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0001582090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TWILIO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001-37806</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101 Spear Street, Fifth Floor</w:t>
              <w:br/>
              <w:t>San Francisco</w:t>
              <w:br/>
              <w:t xml:space="preserve">CALIFORNIA </w:t>
              <w:br/>
              <w:t>94105</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415-390-2337</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Sachem Head Capital Management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Director, Affiliate of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6"/>
        <w:gridCol w:w="1572"/>
        <w:gridCol w:w="1124"/>
        <w:gridCol w:w="1645"/>
        <w:gridCol w:w="1512"/>
        <w:gridCol w:w="1542"/>
        <w:gridCol w:w="1334"/>
      </w:tblGrid>
      <w:tr>
        <w:trPr/>
        <w:tc>
          <w:tcPr>
            <w:tcW w:w="1476" w:type="dxa"/>
            <w:tcBorders/>
            <w:vAlign w:val="center"/>
          </w:tcPr>
          <w:p>
            <w:pPr>
              <w:pStyle w:val="TableHeading"/>
              <w:suppressLineNumbers/>
              <w:bidi w:val="0"/>
              <w:spacing w:before="0" w:after="283"/>
              <w:jc w:val="center"/>
              <w:rPr/>
            </w:pPr>
            <w:r>
              <w:rPr/>
              <w:t>Title of the Class of Securities To Be Sold</w:t>
            </w:r>
          </w:p>
        </w:tc>
        <w:tc>
          <w:tcPr>
            <w:tcW w:w="1572" w:type="dxa"/>
            <w:tcBorders/>
            <w:vAlign w:val="center"/>
          </w:tcPr>
          <w:p>
            <w:pPr>
              <w:pStyle w:val="TableHeading"/>
              <w:suppressLineNumbers/>
              <w:bidi w:val="0"/>
              <w:spacing w:before="0" w:after="283"/>
              <w:jc w:val="center"/>
              <w:rPr/>
            </w:pPr>
            <w:r>
              <w:rPr/>
              <w:t>Name and Address of the Broker</w:t>
            </w:r>
          </w:p>
        </w:tc>
        <w:tc>
          <w:tcPr>
            <w:tcW w:w="1124" w:type="dxa"/>
            <w:tcBorders/>
            <w:vAlign w:val="center"/>
          </w:tcPr>
          <w:p>
            <w:pPr>
              <w:pStyle w:val="TableHeading"/>
              <w:suppressLineNumbers/>
              <w:bidi w:val="0"/>
              <w:spacing w:before="0" w:after="283"/>
              <w:jc w:val="center"/>
              <w:rPr/>
            </w:pPr>
            <w:r>
              <w:rPr/>
              <w:t>Number of Shares or Other Units To Be Sold</w:t>
            </w:r>
          </w:p>
        </w:tc>
        <w:tc>
          <w:tcPr>
            <w:tcW w:w="1645" w:type="dxa"/>
            <w:tcBorders/>
            <w:vAlign w:val="center"/>
          </w:tcPr>
          <w:p>
            <w:pPr>
              <w:pStyle w:val="TableHeading"/>
              <w:suppressLineNumbers/>
              <w:bidi w:val="0"/>
              <w:spacing w:before="0" w:after="283"/>
              <w:jc w:val="center"/>
              <w:rPr/>
            </w:pPr>
            <w:r>
              <w:rPr/>
              <w:t>Aggregate Market Value</w:t>
            </w:r>
          </w:p>
        </w:tc>
        <w:tc>
          <w:tcPr>
            <w:tcW w:w="1512" w:type="dxa"/>
            <w:tcBorders/>
            <w:vAlign w:val="center"/>
          </w:tcPr>
          <w:p>
            <w:pPr>
              <w:pStyle w:val="TableHeading"/>
              <w:suppressLineNumbers/>
              <w:bidi w:val="0"/>
              <w:spacing w:before="0" w:after="283"/>
              <w:jc w:val="center"/>
              <w:rPr/>
            </w:pPr>
            <w:r>
              <w:rPr/>
              <w:t>Number of Shares or Other Units Outstanding</w:t>
            </w:r>
          </w:p>
        </w:tc>
        <w:tc>
          <w:tcPr>
            <w:tcW w:w="1542"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476" w:type="dxa"/>
            <w:tcBorders/>
            <w:vAlign w:val="center"/>
          </w:tcPr>
          <w:p>
            <w:pPr>
              <w:pStyle w:val="TableContents"/>
              <w:bidi w:val="0"/>
              <w:spacing w:before="0" w:after="283"/>
              <w:jc w:val="left"/>
              <w:rPr/>
            </w:pPr>
            <w:r>
              <w:rPr/>
              <w:t>Common</w:t>
            </w:r>
          </w:p>
        </w:tc>
        <w:tc>
          <w:tcPr>
            <w:tcW w:w="1572" w:type="dxa"/>
            <w:tcBorders/>
            <w:vAlign w:val="center"/>
          </w:tcPr>
          <w:p>
            <w:pPr>
              <w:pStyle w:val="TableContents"/>
              <w:bidi w:val="0"/>
              <w:spacing w:before="0" w:after="0"/>
              <w:jc w:val="left"/>
              <w:rPr/>
            </w:pPr>
            <w:r>
              <w:rPr/>
              <w:t>Jones Trading Institutional Services LLC</w:t>
              <w:br/>
              <w:t>32133 W Lindero Canyon Road</w:t>
              <w:br/>
              <w:t>Suite 208</w:t>
              <w:br/>
              <w:t>West Lake Village   CA   91361</w:t>
            </w:r>
          </w:p>
        </w:tc>
        <w:tc>
          <w:tcPr>
            <w:tcW w:w="1124" w:type="dxa"/>
            <w:tcBorders/>
            <w:vAlign w:val="center"/>
          </w:tcPr>
          <w:p>
            <w:pPr>
              <w:pStyle w:val="TableContents"/>
              <w:bidi w:val="0"/>
              <w:spacing w:before="0" w:after="283"/>
              <w:jc w:val="left"/>
              <w:rPr/>
            </w:pPr>
            <w:r>
              <w:rPr/>
              <w:t>500000</w:t>
            </w:r>
          </w:p>
        </w:tc>
        <w:tc>
          <w:tcPr>
            <w:tcW w:w="1645" w:type="dxa"/>
            <w:tcBorders/>
            <w:vAlign w:val="center"/>
          </w:tcPr>
          <w:p>
            <w:pPr>
              <w:pStyle w:val="TableContents"/>
              <w:bidi w:val="0"/>
              <w:spacing w:before="0" w:after="283"/>
              <w:jc w:val="left"/>
              <w:rPr/>
            </w:pPr>
            <w:r>
              <w:rPr/>
              <w:t>123538400.00</w:t>
            </w:r>
          </w:p>
        </w:tc>
        <w:tc>
          <w:tcPr>
            <w:tcW w:w="1512" w:type="dxa"/>
            <w:tcBorders/>
            <w:vAlign w:val="center"/>
          </w:tcPr>
          <w:p>
            <w:pPr>
              <w:pStyle w:val="TableContents"/>
              <w:bidi w:val="0"/>
              <w:spacing w:before="0" w:after="283"/>
              <w:jc w:val="left"/>
              <w:rPr/>
            </w:pPr>
            <w:r>
              <w:rPr/>
              <w:t>153575220</w:t>
            </w:r>
          </w:p>
        </w:tc>
        <w:tc>
          <w:tcPr>
            <w:tcW w:w="1542" w:type="dxa"/>
            <w:tcBorders/>
            <w:vAlign w:val="center"/>
          </w:tcPr>
          <w:p>
            <w:pPr>
              <w:pStyle w:val="TableContents"/>
              <w:bidi w:val="0"/>
              <w:spacing w:before="0" w:after="283"/>
              <w:jc w:val="left"/>
              <w:rPr/>
            </w:pPr>
            <w:r>
              <w:rPr/>
              <w:t>08/12/2026</w:t>
            </w:r>
          </w:p>
        </w:tc>
        <w:tc>
          <w:tcPr>
            <w:tcW w:w="133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02/21/2024</w:t>
            </w:r>
          </w:p>
        </w:tc>
        <w:tc>
          <w:tcPr>
            <w:tcW w:w="1505" w:type="dxa"/>
            <w:tcBorders/>
            <w:vAlign w:val="center"/>
          </w:tcPr>
          <w:p>
            <w:pPr>
              <w:pStyle w:val="TableContents"/>
              <w:bidi w:val="0"/>
              <w:spacing w:before="0" w:after="283"/>
              <w:jc w:val="left"/>
              <w:rPr/>
            </w:pPr>
            <w:r>
              <w:rPr/>
              <w:t>Open market purchases</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500000</w:t>
            </w:r>
          </w:p>
        </w:tc>
        <w:tc>
          <w:tcPr>
            <w:tcW w:w="1078" w:type="dxa"/>
            <w:tcBorders/>
            <w:vAlign w:val="center"/>
          </w:tcPr>
          <w:p>
            <w:pPr>
              <w:pStyle w:val="TableContents"/>
              <w:bidi w:val="0"/>
              <w:spacing w:before="0" w:after="283"/>
              <w:jc w:val="left"/>
              <w:rPr/>
            </w:pPr>
            <w:r>
              <w:rPr/>
              <w:t>02/21/2024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4"/>
        <w:gridCol w:w="2795"/>
        <w:gridCol w:w="916"/>
        <w:gridCol w:w="1523"/>
        <w:gridCol w:w="1977"/>
      </w:tblGrid>
      <w:tr>
        <w:trPr/>
        <w:tc>
          <w:tcPr>
            <w:tcW w:w="2994" w:type="dxa"/>
            <w:tcBorders/>
            <w:vAlign w:val="center"/>
          </w:tcPr>
          <w:p>
            <w:pPr>
              <w:pStyle w:val="TableHeading"/>
              <w:suppressLineNumbers/>
              <w:bidi w:val="0"/>
              <w:spacing w:before="0" w:after="283"/>
              <w:jc w:val="center"/>
              <w:rPr/>
            </w:pPr>
            <w:r>
              <w:rPr/>
              <w:t>Name and Address of Seller</w:t>
            </w:r>
          </w:p>
        </w:tc>
        <w:tc>
          <w:tcPr>
            <w:tcW w:w="2795"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977" w:type="dxa"/>
            <w:tcBorders/>
            <w:vAlign w:val="center"/>
          </w:tcPr>
          <w:p>
            <w:pPr>
              <w:pStyle w:val="TableHeading"/>
              <w:suppressLineNumbers/>
              <w:bidi w:val="0"/>
              <w:spacing w:before="0" w:after="283"/>
              <w:jc w:val="center"/>
              <w:rPr/>
            </w:pPr>
            <w:r>
              <w:rPr/>
              <w:t>Gross Proceeds</w:t>
            </w:r>
          </w:p>
        </w:tc>
      </w:tr>
      <w:tr>
        <w:trPr/>
        <w:tc>
          <w:tcPr>
            <w:tcW w:w="2994" w:type="dxa"/>
            <w:tcBorders/>
            <w:vAlign w:val="center"/>
          </w:tcPr>
          <w:p>
            <w:pPr>
              <w:pStyle w:val="TableContents"/>
              <w:bidi w:val="0"/>
              <w:spacing w:before="0" w:after="283"/>
              <w:jc w:val="left"/>
              <w:rPr/>
            </w:pPr>
            <w:r>
              <w:rPr/>
              <w:t>Sachem Head Capital Management LP</w:t>
              <w:br/>
              <w:t>250 West 55th Street</w:t>
              <w:br/>
              <w:t>34th Floor</w:t>
              <w:br/>
              <w:t>New York   NY   10019</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05/27/2026</w:t>
            </w:r>
          </w:p>
        </w:tc>
        <w:tc>
          <w:tcPr>
            <w:tcW w:w="1523" w:type="dxa"/>
            <w:tcBorders/>
            <w:vAlign w:val="center"/>
          </w:tcPr>
          <w:p>
            <w:pPr>
              <w:pStyle w:val="TableContents"/>
              <w:bidi w:val="0"/>
              <w:spacing w:before="0" w:after="283"/>
              <w:jc w:val="left"/>
              <w:rPr/>
            </w:pPr>
            <w:r>
              <w:rPr/>
              <w:t>1000000</w:t>
            </w:r>
          </w:p>
        </w:tc>
        <w:tc>
          <w:tcPr>
            <w:tcW w:w="1977" w:type="dxa"/>
            <w:tcBorders/>
            <w:vAlign w:val="center"/>
          </w:tcPr>
          <w:p>
            <w:pPr>
              <w:pStyle w:val="TableContents"/>
              <w:bidi w:val="0"/>
              <w:spacing w:before="0" w:after="283"/>
              <w:jc w:val="left"/>
              <w:rPr/>
            </w:pPr>
            <w:r>
              <w:rPr/>
              <w:t>184140000.00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Remarks</w:t>
            </w:r>
          </w:p>
        </w:tc>
        <w:tc>
          <w:tcPr>
            <w:tcW w:w="9019" w:type="dxa"/>
            <w:tcBorders/>
            <w:vAlign w:val="center"/>
          </w:tcPr>
          <w:p>
            <w:pPr>
              <w:pStyle w:val="TableContents"/>
              <w:bidi w:val="0"/>
              <w:spacing w:before="0" w:after="0"/>
              <w:jc w:val="left"/>
              <w:rPr/>
            </w:pPr>
            <w:r>
              <w:rPr/>
              <w:t>Sachem Head Capital Management LP (SHCM) is the investment manager of certain funds that are selling the shares. Andrew Stafman, partner of SHCM, is a director of the Issuer. The aggregate market value is based on the sale price on 08/12/2026. The number of securities outstanding is as of 07/24/2026. The shares proposed to be sold were acquired and paid for between 02/21/2024 and 03/07/2024.</w:t>
            </w:r>
          </w:p>
        </w:tc>
      </w:tr>
      <w:tr>
        <w:trPr/>
        <w:tc>
          <w:tcPr>
            <w:tcW w:w="1186" w:type="dxa"/>
            <w:tcBorders/>
            <w:vAlign w:val="center"/>
          </w:tcPr>
          <w:p>
            <w:pPr>
              <w:pStyle w:val="TableContents"/>
              <w:bidi w:val="0"/>
              <w:spacing w:before="0" w:after="283"/>
              <w:jc w:val="left"/>
              <w:rPr/>
            </w:pPr>
            <w:r>
              <w:rPr/>
              <w:t>Date of Notice</w:t>
            </w:r>
          </w:p>
        </w:tc>
        <w:tc>
          <w:tcPr>
            <w:tcW w:w="9019"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0"/>
              <w:jc w:val="left"/>
              <w:rPr/>
            </w:pPr>
            <w:r>
              <w:rPr/>
              <w:t>/s/ Michael Adamski, as General Counsel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3471</Characters>
  <CharactersWithSpaces>4096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