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69"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307"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1934</w:t>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transition period from to</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001-37806</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TWILIO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4"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156" w:lineRule="exact"/>
        <w:rPr>
          <w:sz w:val="24"/>
          <w:szCs w:val="24"/>
          <w:color w:val="auto"/>
        </w:rPr>
      </w:pPr>
    </w:p>
    <w:p>
      <w:pPr>
        <w:ind w:left="2360"/>
        <w:spacing w:after="0"/>
        <w:tabs>
          <w:tab w:leader="none" w:pos="80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26-2574840</w:t>
      </w:r>
    </w:p>
    <w:p>
      <w:pPr>
        <w:spacing w:after="0" w:line="27" w:lineRule="exact"/>
        <w:rPr>
          <w:sz w:val="24"/>
          <w:szCs w:val="24"/>
          <w:color w:val="auto"/>
        </w:rPr>
      </w:pPr>
    </w:p>
    <w:p>
      <w:pPr>
        <w:ind w:left="980"/>
        <w:spacing w:after="0"/>
        <w:tabs>
          <w:tab w:leader="none" w:pos="73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Number)</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101 Spear Street, First Floor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 Francisco, California 94105</w:t>
      </w:r>
    </w:p>
    <w:p>
      <w:pPr>
        <w:jc w:val="center"/>
        <w:ind w:right="-39"/>
        <w:spacing w:after="0"/>
        <w:rPr>
          <w:sz w:val="20"/>
          <w:szCs w:val="20"/>
          <w:color w:val="auto"/>
        </w:rPr>
      </w:pPr>
      <w:r>
        <w:rPr>
          <w:rFonts w:ascii="Arial" w:cs="Arial" w:eastAsia="Arial" w:hAnsi="Arial"/>
          <w:sz w:val="14"/>
          <w:szCs w:val="14"/>
          <w:color w:val="auto"/>
        </w:rPr>
        <w:t>(Address of principal executive offices) (Zip Code)</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(415) 390-2337</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37"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7"/>
        </w:trPr>
        <w:tc>
          <w:tcPr>
            <w:tcW w:w="4520" w:type="dxa"/>
            <w:vAlign w:val="bottom"/>
            <w:vMerge w:val="restart"/>
          </w:tcPr>
          <w:p>
            <w:pPr>
              <w:jc w:val="center"/>
              <w:spacing w:after="0"/>
              <w:rPr>
                <w:sz w:val="20"/>
                <w:szCs w:val="20"/>
                <w:color w:val="auto"/>
              </w:rPr>
            </w:pPr>
            <w:r>
              <w:rPr>
                <w:rFonts w:ascii="Arial" w:cs="Arial" w:eastAsia="Arial" w:hAnsi="Arial"/>
                <w:sz w:val="16"/>
                <w:szCs w:val="16"/>
                <w:color w:val="auto"/>
                <w:w w:val="90"/>
              </w:rPr>
              <w:t>Class A Common Stock, par value $0.001 per share</w:t>
            </w:r>
          </w:p>
        </w:tc>
        <w:tc>
          <w:tcPr>
            <w:tcW w:w="2380" w:type="dxa"/>
            <w:vAlign w:val="bottom"/>
            <w:vMerge w:val="restart"/>
          </w:tcPr>
          <w:p>
            <w:pPr>
              <w:jc w:val="center"/>
              <w:spacing w:after="0"/>
              <w:rPr>
                <w:sz w:val="20"/>
                <w:szCs w:val="20"/>
                <w:color w:val="auto"/>
              </w:rPr>
            </w:pPr>
            <w:r>
              <w:rPr>
                <w:rFonts w:ascii="Arial" w:cs="Arial" w:eastAsia="Arial" w:hAnsi="Arial"/>
                <w:sz w:val="16"/>
                <w:szCs w:val="16"/>
                <w:color w:val="auto"/>
                <w:w w:val="99"/>
              </w:rPr>
              <w:t>TWLO</w:t>
            </w:r>
          </w:p>
        </w:tc>
        <w:tc>
          <w:tcPr>
            <w:tcW w:w="416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108"/>
        </w:trPr>
        <w:tc>
          <w:tcPr>
            <w:tcW w:w="452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4160" w:type="dxa"/>
            <w:vAlign w:val="bottom"/>
            <w:vMerge w:val="restart"/>
          </w:tcPr>
          <w:p>
            <w:pPr>
              <w:jc w:val="center"/>
              <w:spacing w:after="0"/>
              <w:rPr>
                <w:sz w:val="20"/>
                <w:szCs w:val="20"/>
                <w:color w:val="auto"/>
              </w:rPr>
            </w:pPr>
            <w:r>
              <w:rPr>
                <w:rFonts w:ascii="Arial" w:cs="Arial" w:eastAsia="Arial" w:hAnsi="Arial"/>
                <w:sz w:val="16"/>
                <w:szCs w:val="16"/>
                <w:color w:val="auto"/>
                <w:w w:val="91"/>
              </w:rPr>
              <w:t>Long-Term Stock Exchange</w:t>
            </w: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April 30, 2022, 171,861,852 shares of the registrant’s Class A common stock and 9,817,605 shares of registrant’s Class B common stock were outstanding.</w:t>
      </w:r>
    </w:p>
    <w:p>
      <w:pPr>
        <w:spacing w:after="0" w:line="109" w:lineRule="exact"/>
        <w:rPr>
          <w:sz w:val="24"/>
          <w:szCs w:val="24"/>
          <w:color w:val="auto"/>
        </w:rPr>
      </w:pPr>
    </w:p>
    <w:p>
      <w:pPr>
        <w:ind w:right="420" w:firstLine="648"/>
        <w:spacing w:after="0" w:line="33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9" w:lineRule="exact"/>
        <w:rPr>
          <w:sz w:val="24"/>
          <w:szCs w:val="24"/>
          <w:color w:val="auto"/>
        </w:rPr>
      </w:pPr>
    </w:p>
    <w:p>
      <w:pPr>
        <w:ind w:right="180" w:firstLine="64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ind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1880" w:type="dxa"/>
        <w:tblCellMar>
          <w:top w:w="0" w:type="dxa"/>
          <w:left w:w="0" w:type="dxa"/>
          <w:bottom w:w="0" w:type="dxa"/>
          <w:right w:w="0" w:type="dxa"/>
        </w:tblCellMar>
      </w:tblPr>
      <w:tr>
        <w:trPr>
          <w:trHeight w:val="189"/>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Arial" w:cs="Arial" w:eastAsia="Arial" w:hAnsi="Arial"/>
                <w:sz w:val="14"/>
                <w:szCs w:val="14"/>
                <w:color w:val="auto"/>
                <w:w w:val="95"/>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5" w:lineRule="exact"/>
        <w:rPr>
          <w:sz w:val="24"/>
          <w:szCs w:val="24"/>
          <w:color w:val="auto"/>
        </w:rPr>
      </w:pPr>
    </w:p>
    <w:p>
      <w:pPr>
        <w:ind w:right="560" w:firstLine="648"/>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vMerge w:val="restart"/>
          </w:tcPr>
          <w:p>
            <w:pPr>
              <w:spacing w:after="0"/>
              <w:rPr>
                <w:sz w:val="20"/>
                <w:szCs w:val="20"/>
                <w:color w:val="auto"/>
              </w:rPr>
            </w:pPr>
          </w:p>
        </w:tc>
        <w:tc>
          <w:tcPr>
            <w:tcW w:w="3140" w:type="dxa"/>
            <w:vAlign w:val="bottom"/>
            <w:gridSpan w:val="6"/>
            <w:vMerge w:val="restart"/>
          </w:tcPr>
          <w:p>
            <w:pPr>
              <w:jc w:val="cente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 FINANCIAL INFORMATION</w:t>
              </w:r>
            </w:hyperlink>
          </w:p>
        </w:tc>
        <w:tc>
          <w:tcPr>
            <w:tcW w:w="3240" w:type="dxa"/>
            <w:vAlign w:val="bottom"/>
            <w:gridSpan w:val="6"/>
            <w:vMerge w:val="restart"/>
          </w:tcPr>
          <w:p>
            <w:pPr>
              <w:spacing w:after="0"/>
              <w:rPr>
                <w:sz w:val="20"/>
                <w:szCs w:val="20"/>
                <w:color w:val="auto"/>
              </w:rPr>
            </w:pPr>
          </w:p>
        </w:tc>
        <w:tc>
          <w:tcPr>
            <w:tcW w:w="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140" w:type="dxa"/>
            <w:vAlign w:val="bottom"/>
            <w:tcBorders>
              <w:bottom w:val="single" w:sz="8" w:color="0000FF"/>
            </w:tcBorders>
            <w:gridSpan w:val="6"/>
            <w:vMerge w:val="continue"/>
          </w:tcPr>
          <w:p>
            <w:pPr>
              <w:spacing w:after="0"/>
              <w:rPr>
                <w:sz w:val="14"/>
                <w:szCs w:val="14"/>
                <w:color w:val="auto"/>
              </w:rPr>
            </w:pPr>
          </w:p>
        </w:tc>
        <w:tc>
          <w:tcPr>
            <w:tcW w:w="32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520" w:type="dxa"/>
            <w:vAlign w:val="bottom"/>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440" w:type="dxa"/>
            <w:vAlign w:val="bottom"/>
            <w:gridSpan w:val="2"/>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 xml:space="preserve">Condensed Consolidated Balance Sheets as of March </w:t>
              </w:r>
            </w:hyperlink>
            <w:r>
              <w:rPr>
                <w:rFonts w:ascii="Arial" w:cs="Arial" w:eastAsia="Arial" w:hAnsi="Arial"/>
                <w:sz w:val="18"/>
                <w:szCs w:val="18"/>
                <w:color w:val="0000FF"/>
                <w:w w:val="88"/>
              </w:rPr>
              <w:t xml:space="preserve">31, 2022 </w:t>
            </w:r>
            <w:hyperlink w:anchor="page6">
              <w:r>
                <w:rPr>
                  <w:rFonts w:ascii="Arial" w:cs="Arial" w:eastAsia="Arial" w:hAnsi="Arial"/>
                  <w:sz w:val="18"/>
                  <w:szCs w:val="18"/>
                  <w:color w:val="0000FF"/>
                  <w:w w:val="88"/>
                </w:rPr>
                <w:t xml:space="preserve">and December 31, </w:t>
              </w:r>
            </w:hyperlink>
            <w:r>
              <w:rPr>
                <w:rFonts w:ascii="Arial" w:cs="Arial" w:eastAsia="Arial" w:hAnsi="Arial"/>
                <w:sz w:val="18"/>
                <w:szCs w:val="18"/>
                <w:color w:val="0000FF"/>
                <w:w w:val="88"/>
              </w:rPr>
              <w:t>2021</w:t>
            </w:r>
          </w:p>
        </w:tc>
        <w:tc>
          <w:tcPr>
            <w:tcW w:w="3320" w:type="dxa"/>
            <w:vAlign w:val="bottom"/>
            <w:gridSpan w:val="7"/>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Operations for the Three Months Ended March </w:t>
              </w:r>
            </w:hyperlink>
            <w:r>
              <w:rPr>
                <w:rFonts w:ascii="Arial" w:cs="Arial" w:eastAsia="Arial" w:hAnsi="Arial"/>
                <w:sz w:val="18"/>
                <w:szCs w:val="18"/>
                <w:color w:val="0000FF"/>
              </w:rPr>
              <w:t xml:space="preserve">31, 2022 </w:t>
            </w:r>
            <w:hyperlink w:anchor="page6">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Comprehensive Loss for the Three Months Ended March </w:t>
              </w:r>
            </w:hyperlink>
            <w:r>
              <w:rPr>
                <w:rFonts w:ascii="Arial" w:cs="Arial" w:eastAsia="Arial" w:hAnsi="Arial"/>
                <w:sz w:val="18"/>
                <w:szCs w:val="18"/>
                <w:color w:val="0000FF"/>
              </w:rPr>
              <w:t xml:space="preserve">31, 2022 </w:t>
            </w:r>
            <w:hyperlink w:anchor="page7">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200" w:type="dxa"/>
            <w:vAlign w:val="bottom"/>
            <w:gridSpan w:val="3"/>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18"/>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Stockholders’ Equity for the Three Months Ended March 31, 2022 and 2021</w:t>
              </w:r>
            </w:hyperlink>
          </w:p>
        </w:tc>
        <w:tc>
          <w:tcPr>
            <w:tcW w:w="122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00" w:type="dxa"/>
            <w:vAlign w:val="bottom"/>
            <w:gridSpan w:val="16"/>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 xml:space="preserve">Condensed Consolidated Statements of Cash Flows for the Three Months Ended March </w:t>
              </w:r>
            </w:hyperlink>
            <w:r>
              <w:rPr>
                <w:rFonts w:ascii="Arial" w:cs="Arial" w:eastAsia="Arial" w:hAnsi="Arial"/>
                <w:sz w:val="18"/>
                <w:szCs w:val="18"/>
                <w:color w:val="0000FF"/>
                <w:w w:val="89"/>
              </w:rPr>
              <w:t xml:space="preserve">31, 2022 </w:t>
            </w:r>
            <w:hyperlink w:anchor="page9">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2021</w:t>
            </w:r>
          </w:p>
        </w:tc>
        <w:tc>
          <w:tcPr>
            <w:tcW w:w="6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700" w:type="dxa"/>
            <w:vAlign w:val="bottom"/>
            <w:gridSpan w:val="7"/>
          </w:tcPr>
          <w:p>
            <w:pPr>
              <w:spacing w:after="0"/>
              <w:rPr>
                <w:sz w:val="24"/>
                <w:szCs w:val="24"/>
                <w:color w:val="auto"/>
              </w:rPr>
            </w:pPr>
          </w:p>
        </w:tc>
        <w:tc>
          <w:tcPr>
            <w:tcW w:w="1900" w:type="dxa"/>
            <w:vAlign w:val="bottom"/>
            <w:gridSpan w:val="3"/>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w:t>
              </w:r>
            </w:hyperlink>
          </w:p>
        </w:tc>
        <w:tc>
          <w:tcPr>
            <w:tcW w:w="440" w:type="dxa"/>
            <w:vAlign w:val="bottom"/>
            <w:gridSpan w:val="2"/>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660" w:type="dxa"/>
            <w:vAlign w:val="bottom"/>
            <w:gridSpan w:val="4"/>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3.</w:t>
              </w:r>
            </w:hyperlink>
          </w:p>
        </w:tc>
        <w:tc>
          <w:tcPr>
            <w:tcW w:w="44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24"/>
                <w:szCs w:val="24"/>
                <w:color w:val="auto"/>
              </w:rPr>
            </w:pPr>
          </w:p>
        </w:tc>
        <w:tc>
          <w:tcPr>
            <w:tcW w:w="3140" w:type="dxa"/>
            <w:vAlign w:val="bottom"/>
            <w:gridSpan w:val="5"/>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4.</w:t>
              </w:r>
            </w:hyperlink>
          </w:p>
        </w:tc>
        <w:tc>
          <w:tcPr>
            <w:tcW w:w="44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240" w:type="dxa"/>
            <w:vAlign w:val="bottom"/>
            <w:gridSpan w:val="9"/>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80" w:type="dxa"/>
            <w:vAlign w:val="bottom"/>
            <w:gridSpan w:val="12"/>
          </w:tcPr>
          <w:p>
            <w:pPr>
              <w:jc w:val="center"/>
              <w:ind w:right="3240"/>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 OTHER INFORMATION</w:t>
              </w:r>
            </w:hyperlink>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1.</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2060" w:type="dxa"/>
            <w:vAlign w:val="bottom"/>
            <w:gridSpan w:val="4"/>
          </w:tcPr>
          <w:p>
            <w:pPr>
              <w:spacing w:after="0"/>
              <w:rPr>
                <w:sz w:val="24"/>
                <w:szCs w:val="24"/>
                <w:color w:val="auto"/>
              </w:rPr>
            </w:pPr>
          </w:p>
        </w:tc>
        <w:tc>
          <w:tcPr>
            <w:tcW w:w="2820" w:type="dxa"/>
            <w:vAlign w:val="bottom"/>
            <w:tcBorders>
              <w:top w:val="single" w:sz="8" w:color="0000FF"/>
            </w:tcBorders>
            <w:gridSpan w:val="3"/>
          </w:tcPr>
          <w:p>
            <w:pPr>
              <w:spacing w:after="0"/>
              <w:rPr>
                <w:sz w:val="24"/>
                <w:szCs w:val="24"/>
                <w:color w:val="auto"/>
              </w:rPr>
            </w:pPr>
          </w:p>
        </w:tc>
        <w:tc>
          <w:tcPr>
            <w:tcW w:w="3400" w:type="dxa"/>
            <w:vAlign w:val="bottom"/>
            <w:gridSpan w:val="8"/>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1A.</w:t>
              </w:r>
            </w:hyperlink>
          </w:p>
        </w:tc>
        <w:tc>
          <w:tcPr>
            <w:tcW w:w="960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660" w:type="dxa"/>
            <w:vAlign w:val="bottom"/>
            <w:gridSpan w:val="4"/>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Unregistered Sales of Equity Securities and Use of Proceeds</w:t>
              </w:r>
            </w:hyperlink>
          </w:p>
        </w:tc>
        <w:tc>
          <w:tcPr>
            <w:tcW w:w="5240" w:type="dxa"/>
            <w:vAlign w:val="bottom"/>
            <w:gridSpan w:val="9"/>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Item 5.</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Other Information</w:t>
              </w:r>
            </w:hyperlink>
          </w:p>
        </w:tc>
        <w:tc>
          <w:tcPr>
            <w:tcW w:w="3040" w:type="dxa"/>
            <w:vAlign w:val="bottom"/>
            <w:gridSpan w:val="6"/>
          </w:tcPr>
          <w:p>
            <w:pPr>
              <w:spacing w:after="0"/>
              <w:rPr>
                <w:sz w:val="24"/>
                <w:szCs w:val="24"/>
                <w:color w:val="auto"/>
              </w:rPr>
            </w:pPr>
          </w:p>
        </w:tc>
        <w:tc>
          <w:tcPr>
            <w:tcW w:w="5240" w:type="dxa"/>
            <w:vAlign w:val="bottom"/>
            <w:gridSpan w:val="9"/>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Item 6.</w:t>
              </w:r>
            </w:hyperlink>
          </w:p>
        </w:tc>
        <w:tc>
          <w:tcPr>
            <w:tcW w:w="44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Exhibits</w:t>
              </w:r>
            </w:hyperlink>
          </w:p>
        </w:tc>
        <w:tc>
          <w:tcPr>
            <w:tcW w:w="8280" w:type="dxa"/>
            <w:vAlign w:val="bottom"/>
            <w:gridSpan w:val="15"/>
          </w:tcPr>
          <w:p>
            <w:pPr>
              <w:spacing w:after="0"/>
              <w:rPr>
                <w:sz w:val="24"/>
                <w:szCs w:val="24"/>
                <w:color w:val="auto"/>
              </w:rPr>
            </w:pPr>
          </w:p>
        </w:tc>
        <w:tc>
          <w:tcPr>
            <w:tcW w:w="660" w:type="dxa"/>
            <w:vAlign w:val="bottom"/>
            <w:gridSpan w:val="4"/>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660" w:type="dxa"/>
            <w:vAlign w:val="bottom"/>
            <w:gridSpan w:val="4"/>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2" w:name="page3"/>
    <w:bookmarkEnd w:id="2"/>
    <w:p>
      <w:pPr>
        <w:ind w:left="38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maintaining our corporate culture;</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gross margin and operating expenses, ability to generate positive cash flow and ability to achieve and sustain profitability;</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disease of 2019 (“COVID-19”) pandemic on the global economy, our customers, partners, employees and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980" w:right="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retain and increase revenue from existing customers and attract new customers, including our ability to attract and retain enterprises and international organizations as customers for our products and our ability to maintain reliable service levels for our customers;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investments in sales and marketing, research and development and additional systems and processes to support our growth;</w:t>
      </w:r>
    </w:p>
    <w:p>
      <w:pPr>
        <w:spacing w:after="0" w:line="248" w:lineRule="exact"/>
        <w:rPr>
          <w:rFonts w:ascii="Arial" w:cs="Arial" w:eastAsia="Arial" w:hAnsi="Arial"/>
          <w:sz w:val="16"/>
          <w:szCs w:val="16"/>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an intensely competitive market, including our ability to adapt and respond effectively to rising costs, rapidly changing technology and evolving customer needs, requirements, and preferences;</w:t>
      </w:r>
    </w:p>
    <w:p>
      <w:pPr>
        <w:spacing w:after="0" w:line="170" w:lineRule="exact"/>
        <w:rPr>
          <w:rFonts w:ascii="Arial" w:cs="Arial" w:eastAsia="Arial" w:hAnsi="Arial"/>
          <w:sz w:val="18"/>
          <w:szCs w:val="18"/>
          <w:color w:val="auto"/>
        </w:rPr>
      </w:pPr>
    </w:p>
    <w:p>
      <w:pPr>
        <w:ind w:left="980" w:right="12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industry standards, laws and regulations applying to our business, including the General Data Protection Regulation (“GDPR”), the California Consumer Privacy Act of 2018 (“CCPA”), Brazil's General Data Protection Law (Lei Geral de Proteção de Dados Pessoais) (Law No. 13,709/2018), and other privacy or cybersecurity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92"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harm caused by compromises in security, data and infrastructure, including cybersecurity protections, investments and resources and costs required to prevent, detect and remediate potential cybersecurity threats, incidents and breaches of ours or our customers’ systems or information;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our network service provider coverage and connectivity;</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changes in network service provider fees that we pay in connection with the delivery of communications on our platform;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work closely with email inbox service providers to maintain deliverability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pass on our savings associated with our platform optimization efforts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expected results from changes in our relationships with our larger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and expand partnerships with technology partners and consulting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technology trends, such as the use of and demand for cloud communications;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3" w:name="page4"/>
    <w:bookmarkEnd w:id="3"/>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enter into new markets and manage our international expansion;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the interest on our 3.625% senior notes due 2029 (“2029 Notes”), our 3.875% notes due 2031 (“2031 Notes,” and together with the 2029 Notes, the “Notes”), and repay such Notes;</w:t>
      </w:r>
    </w:p>
    <w:p>
      <w:pPr>
        <w:spacing w:after="0" w:line="17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w:t>
      </w:r>
      <w:r>
        <w:rPr>
          <w:rFonts w:ascii="Arial" w:cs="Arial" w:eastAsia="Arial" w:hAnsi="Arial"/>
          <w:sz w:val="21"/>
          <w:szCs w:val="21"/>
          <w:color w:val="auto"/>
        </w:rPr>
        <w:t>’</w:t>
      </w:r>
      <w:r>
        <w:rPr>
          <w:rFonts w:ascii="Arial" w:cs="Arial" w:eastAsia="Arial" w:hAnsi="Arial"/>
          <w:sz w:val="18"/>
          <w:szCs w:val="18"/>
          <w:color w:val="auto"/>
        </w:rPr>
        <w:t xml:space="preserve"> and other platform users</w:t>
      </w:r>
      <w:r>
        <w:rPr>
          <w:rFonts w:ascii="Arial" w:cs="Arial" w:eastAsia="Arial" w:hAnsi="Arial"/>
          <w:sz w:val="21"/>
          <w:szCs w:val="21"/>
          <w:color w:val="auto"/>
        </w:rPr>
        <w:t>’</w:t>
      </w:r>
      <w:r>
        <w:rPr>
          <w:rFonts w:ascii="Arial" w:cs="Arial" w:eastAsia="Arial" w:hAnsi="Arial"/>
          <w:sz w:val="18"/>
          <w:szCs w:val="18"/>
          <w:color w:val="auto"/>
        </w:rPr>
        <w:t xml:space="preserve"> violation of our policies or other misuse of our platform;</w:t>
      </w:r>
    </w:p>
    <w:p>
      <w:pPr>
        <w:spacing w:after="0" w:line="224"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the impact of climate change, natural disasters, public health epidemics and other natural catastrophic events and man-made problems such as data security breaches, war or terrorism;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3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Summary of Risk Factors and Uncertainties Associated with Our Business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our ability to effectively manage our rapid growth;</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fluctuations in our quarterly results and our ability to meet securities analysts’ and investors’ expectations;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impact of the global COVID-19 pandemic;</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i w:val="1"/>
          <w:iCs w:val="1"/>
          <w:color w:val="auto"/>
        </w:rPr>
      </w:pPr>
      <w:r>
        <w:rPr>
          <w:rFonts w:ascii="Arial" w:cs="Arial" w:eastAsia="Arial" w:hAnsi="Arial"/>
          <w:sz w:val="18"/>
          <w:szCs w:val="18"/>
          <w:i w:val="1"/>
          <w:iCs w:val="1"/>
          <w:color w:val="auto"/>
        </w:rPr>
        <w:t>the loss of our senior management and other key employees;</w:t>
      </w:r>
    </w:p>
    <w:p>
      <w:pPr>
        <w:spacing w:after="0" w:line="10" w:lineRule="exact"/>
        <w:rPr>
          <w:rFonts w:ascii="Arial" w:cs="Arial" w:eastAsia="Arial" w:hAnsi="Arial"/>
          <w:sz w:val="22"/>
          <w:szCs w:val="22"/>
          <w:i w:val="1"/>
          <w:iCs w:val="1"/>
          <w:color w:val="auto"/>
        </w:rPr>
      </w:pPr>
    </w:p>
    <w:p>
      <w:pPr>
        <w:ind w:left="660" w:hanging="328"/>
        <w:spacing w:after="0" w:line="233" w:lineRule="auto"/>
        <w:tabs>
          <w:tab w:leader="none" w:pos="660" w:val="left"/>
        </w:tabs>
        <w:numPr>
          <w:ilvl w:val="0"/>
          <w:numId w:val="5"/>
        </w:numPr>
        <w:rPr>
          <w:rFonts w:ascii="Arial" w:cs="Arial" w:eastAsia="Arial" w:hAnsi="Arial"/>
          <w:sz w:val="22"/>
          <w:szCs w:val="22"/>
          <w:i w:val="1"/>
          <w:iCs w:val="1"/>
          <w:color w:val="auto"/>
        </w:rPr>
      </w:pPr>
      <w:r>
        <w:rPr>
          <w:rFonts w:ascii="Arial" w:cs="Arial" w:eastAsia="Arial" w:hAnsi="Arial"/>
          <w:sz w:val="18"/>
          <w:szCs w:val="18"/>
          <w:i w:val="1"/>
          <w:iCs w:val="1"/>
          <w:color w:val="auto"/>
        </w:rPr>
        <w:t>our ability to hire, retain and motivate qualified employees;</w:t>
      </w:r>
    </w:p>
    <w:p>
      <w:pPr>
        <w:spacing w:after="0" w:line="10" w:lineRule="exact"/>
        <w:rPr>
          <w:rFonts w:ascii="Arial" w:cs="Arial" w:eastAsia="Arial" w:hAnsi="Arial"/>
          <w:sz w:val="22"/>
          <w:szCs w:val="22"/>
          <w:i w:val="1"/>
          <w:iCs w:val="1"/>
          <w:color w:val="auto"/>
        </w:rPr>
      </w:pPr>
    </w:p>
    <w:p>
      <w:pPr>
        <w:ind w:left="660" w:hanging="328"/>
        <w:spacing w:after="0" w:line="233" w:lineRule="auto"/>
        <w:tabs>
          <w:tab w:leader="none" w:pos="660" w:val="left"/>
        </w:tabs>
        <w:numPr>
          <w:ilvl w:val="0"/>
          <w:numId w:val="5"/>
        </w:numPr>
        <w:rPr>
          <w:rFonts w:ascii="Arial" w:cs="Arial" w:eastAsia="Arial" w:hAnsi="Arial"/>
          <w:sz w:val="22"/>
          <w:szCs w:val="22"/>
          <w:i w:val="1"/>
          <w:iCs w:val="1"/>
          <w:color w:val="auto"/>
        </w:rPr>
      </w:pPr>
      <w:r>
        <w:rPr>
          <w:rFonts w:ascii="Arial" w:cs="Arial" w:eastAsia="Arial" w:hAnsi="Arial"/>
          <w:sz w:val="18"/>
          <w:szCs w:val="18"/>
          <w:i w:val="1"/>
          <w:iCs w:val="1"/>
          <w:color w:val="auto"/>
        </w:rPr>
        <w:t>our ability to maintain and grow our relationships with existing customers and have them increase their usage of our platform;</w:t>
      </w:r>
    </w:p>
    <w:p>
      <w:pPr>
        <w:spacing w:after="0" w:line="10" w:lineRule="exact"/>
        <w:rPr>
          <w:rFonts w:ascii="Arial" w:cs="Arial" w:eastAsia="Arial" w:hAnsi="Arial"/>
          <w:sz w:val="22"/>
          <w:szCs w:val="22"/>
          <w:i w:val="1"/>
          <w:iCs w:val="1"/>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our ability to maintain and enhance our brand and increase market awareness of our company and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new and unproven markets for our products and platform;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 w:name="page5"/>
    <w:bookmarkEnd w:id="4"/>
    <w:p>
      <w:pPr>
        <w:ind w:left="328"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limitations on the use and adoption of our solutions due to privacy laws, data collection and transfer restrictions and related domestic or foreign regulations;</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attract new customers in a cost-effective manner;</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develop enhancements to our products and introduce new products that achieve market acceptance;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compete effectively in the markets in which we participate;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history of losses and uncertainty about our future profitability;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increase adoption of our products by enterprises;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expand our relationships with existing technology partner customers and add new technology partner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significant risks associated with expansion of our international operations;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compliance with applicable laws and regulations;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telecommunications-related regulations and future legislative or regulatory actions;</w:t>
      </w:r>
    </w:p>
    <w:p>
      <w:pPr>
        <w:spacing w:after="0" w:line="27" w:lineRule="exact"/>
        <w:rPr>
          <w:rFonts w:ascii="Arial" w:cs="Arial" w:eastAsia="Arial" w:hAnsi="Arial"/>
          <w:sz w:val="22"/>
          <w:szCs w:val="22"/>
          <w:color w:val="auto"/>
        </w:rPr>
      </w:pPr>
    </w:p>
    <w:p>
      <w:pPr>
        <w:ind w:left="328" w:right="2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obtain or retain geographical, mobile, regional, local or toll-free numbers and to effectively process requests to port such numbers in a timely manner due to industry regulations;</w:t>
      </w:r>
    </w:p>
    <w:p>
      <w:pPr>
        <w:spacing w:after="0" w:line="27" w:lineRule="exact"/>
        <w:rPr>
          <w:rFonts w:ascii="Arial" w:cs="Arial" w:eastAsia="Arial" w:hAnsi="Arial"/>
          <w:sz w:val="22"/>
          <w:szCs w:val="22"/>
          <w:color w:val="auto"/>
        </w:rPr>
      </w:pPr>
    </w:p>
    <w:p>
      <w:pPr>
        <w:ind w:left="328" w:right="26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adapt and respond effectively to rapidly changing technology, evolving industry standards, changing regulations, and changing customer needs, requirements or preferences;</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provide monthly uptime service level commitments of a minimum of 99.95% under our agreements with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any breaches of our networks or systems, or those of AWS or our service providers;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defects or errors in our products;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any loss or decline in revenue from our largest customers;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litigation by third parties for alleged infringement of their proprietary rights;</w:t>
      </w:r>
    </w:p>
    <w:p>
      <w:pPr>
        <w:spacing w:after="0" w:line="1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exposure to substantial liability for intellectual property infringement and other losses from indemnity provisions in various agreements;</w:t>
      </w:r>
    </w:p>
    <w:p>
      <w:pPr>
        <w:spacing w:after="0" w:line="26" w:lineRule="exact"/>
        <w:rPr>
          <w:rFonts w:ascii="Arial" w:cs="Arial" w:eastAsia="Arial" w:hAnsi="Arial"/>
          <w:sz w:val="21"/>
          <w:szCs w:val="21"/>
          <w:color w:val="auto"/>
        </w:rPr>
      </w:pPr>
    </w:p>
    <w:p>
      <w:pPr>
        <w:ind w:left="328" w:right="28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successfully utilize or to integrate acquired businesses and technologies successfully or to achieve the expected benefits of such acquisitions, partnerships and investments;</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use of open source software;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reliance on SaaS technologies from third parties;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potentially adverse tax consequences on our global operations and structure;</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fraudulent usage of or activity relating to our products;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unfavorable conditions in our industry or the global economy;</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requirement of additional capital to support our business and its availability on acceptable terms, if at all;</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exposure to foreign currency exchange rate fluctuations;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use our net operating losses and certain other tax attributes to offset future taxable income and taxes;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failure to maintain an effective system of disclosure controls and internal control over financial reporting;</w:t>
      </w:r>
    </w:p>
    <w:p>
      <w:pPr>
        <w:spacing w:after="0" w:line="27" w:lineRule="exact"/>
        <w:rPr>
          <w:rFonts w:ascii="Arial" w:cs="Arial" w:eastAsia="Arial" w:hAnsi="Arial"/>
          <w:sz w:val="22"/>
          <w:szCs w:val="22"/>
          <w:color w:val="auto"/>
        </w:rPr>
      </w:pPr>
    </w:p>
    <w:p>
      <w:pPr>
        <w:ind w:left="328" w:right="20" w:hanging="328"/>
        <w:spacing w:after="0" w:line="232" w:lineRule="auto"/>
        <w:tabs>
          <w:tab w:leader="none" w:pos="323"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the risks of pandemics, earthquakes, fire, floods and other natural catastrophic events and of interruption by man-made problems such as power disruptions, computer viruses, data security breaches, war or terrorism;</w:t>
      </w:r>
    </w:p>
    <w:p>
      <w:pPr>
        <w:spacing w:after="0" w:line="5" w:lineRule="exact"/>
        <w:rPr>
          <w:rFonts w:ascii="Arial" w:cs="Arial" w:eastAsia="Arial" w:hAnsi="Arial"/>
          <w:sz w:val="22"/>
          <w:szCs w:val="22"/>
          <w:color w:val="auto"/>
        </w:rPr>
      </w:pPr>
    </w:p>
    <w:p>
      <w:pPr>
        <w:ind w:left="328" w:hanging="328"/>
        <w:spacing w:after="0"/>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volatility of the trading price of our Class A common stock;</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potential decline in the market price of our Class A common stock due to substantial future sales of shares;</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requirement of a significant amount of cash to service our future debt; and</w:t>
      </w:r>
    </w:p>
    <w:p>
      <w:pPr>
        <w:spacing w:after="0" w:line="10" w:lineRule="exact"/>
        <w:rPr>
          <w:rFonts w:ascii="Arial" w:cs="Arial" w:eastAsia="Arial" w:hAnsi="Arial"/>
          <w:sz w:val="22"/>
          <w:szCs w:val="22"/>
          <w:color w:val="auto"/>
        </w:rPr>
      </w:pPr>
    </w:p>
    <w:p>
      <w:pPr>
        <w:ind w:left="328" w:hanging="328"/>
        <w:spacing w:after="0" w:line="233" w:lineRule="auto"/>
        <w:tabs>
          <w:tab w:leader="none" w:pos="328"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ability to raise the funds necessary for the repayment of the 2029 Notes and 2031 Notes for cash.</w:t>
      </w:r>
    </w:p>
    <w:p>
      <w:pPr>
        <w:spacing w:after="0" w:line="200" w:lineRule="exact"/>
        <w:rPr>
          <w:sz w:val="20"/>
          <w:szCs w:val="20"/>
          <w:color w:val="auto"/>
        </w:rPr>
      </w:pPr>
    </w:p>
    <w:p>
      <w:pPr>
        <w:spacing w:after="0" w:line="340"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652" w:top="935"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 March 31,</w:t>
            </w:r>
          </w:p>
        </w:tc>
        <w:tc>
          <w:tcPr>
            <w:tcW w:w="400" w:type="dxa"/>
            <w:vAlign w:val="bottom"/>
          </w:tcPr>
          <w:p>
            <w:pPr>
              <w:spacing w:after="0"/>
              <w:rPr>
                <w:sz w:val="16"/>
                <w:szCs w:val="16"/>
                <w:color w:val="auto"/>
              </w:rPr>
            </w:pPr>
          </w:p>
        </w:tc>
        <w:tc>
          <w:tcPr>
            <w:tcW w:w="1720" w:type="dxa"/>
            <w:vAlign w:val="bottom"/>
          </w:tcPr>
          <w:p>
            <w:pPr>
              <w:jc w:val="right"/>
              <w:ind w:right="4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1,617,022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1,479,452</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Short-term marketable securities</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3,606,290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3,878,430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388,215</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201,142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186,131</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5,831,190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5,932,228</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259,003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255,316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right-of-use assets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234,584</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1,006,692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1,050,012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5,286,683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5,263,166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281,283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263,292</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12,890,802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12,998,598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93,389</w:t>
            </w:r>
          </w:p>
        </w:tc>
        <w:tc>
          <w:tcPr>
            <w:tcW w:w="120" w:type="dxa"/>
            <w:vAlign w:val="bottom"/>
          </w:tcPr>
          <w:p>
            <w:pPr>
              <w:spacing w:after="0"/>
              <w:rPr>
                <w:sz w:val="18"/>
                <w:szCs w:val="18"/>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93,333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417,503</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139,671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140,389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 current</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52,325</w:t>
            </w:r>
          </w:p>
        </w:tc>
        <w:tc>
          <w:tcPr>
            <w:tcW w:w="0" w:type="dxa"/>
            <w:vAlign w:val="bottom"/>
          </w:tcPr>
          <w:p>
            <w:pPr>
              <w:spacing w:after="0"/>
              <w:rPr>
                <w:sz w:val="1"/>
                <w:szCs w:val="1"/>
                <w:color w:val="auto"/>
              </w:rPr>
            </w:pPr>
          </w:p>
        </w:tc>
      </w:tr>
      <w:tr>
        <w:trPr>
          <w:trHeight w:val="206"/>
        </w:trPr>
        <w:tc>
          <w:tcPr>
            <w:tcW w:w="682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719,822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703,550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 noncurrent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211,253</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Finance lease liability, noncurrent</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22,053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25,132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985,907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41,290</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1,973,369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1,967,132</w:t>
            </w:r>
          </w:p>
        </w:tc>
        <w:tc>
          <w:tcPr>
            <w:tcW w:w="0" w:type="dxa"/>
            <w:vAlign w:val="bottom"/>
          </w:tcPr>
          <w:p>
            <w:pPr>
              <w:spacing w:after="0"/>
              <w:rPr>
                <w:sz w:val="1"/>
                <w:szCs w:val="1"/>
                <w:color w:val="auto"/>
              </w:rPr>
            </w:pPr>
          </w:p>
        </w:tc>
      </w:tr>
      <w:tr>
        <w:trPr>
          <w:trHeight w:val="193"/>
        </w:trPr>
        <w:tc>
          <w:tcPr>
            <w:tcW w:w="68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Preferred stock</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Class A and Class B common stock</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13,343,554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13,169,118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(18,141)</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(2,341,318)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(2,119,691)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10,917,433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11,031,466</w:t>
            </w:r>
          </w:p>
        </w:tc>
        <w:tc>
          <w:tcPr>
            <w:tcW w:w="0" w:type="dxa"/>
            <w:vAlign w:val="bottom"/>
          </w:tcPr>
          <w:p>
            <w:pPr>
              <w:spacing w:after="0"/>
              <w:rPr>
                <w:sz w:val="1"/>
                <w:szCs w:val="1"/>
                <w:color w:val="auto"/>
              </w:rPr>
            </w:pPr>
          </w:p>
        </w:tc>
      </w:tr>
      <w:tr>
        <w:trPr>
          <w:trHeight w:val="213"/>
        </w:trPr>
        <w:tc>
          <w:tcPr>
            <w:tcW w:w="682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12,890,802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12,998,598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center"/>
              <w:ind w:left="861"/>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40" w:type="dxa"/>
            <w:vAlign w:val="bottom"/>
            <w:gridSpan w:val="4"/>
          </w:tcPr>
          <w:p>
            <w:pPr>
              <w:jc w:val="center"/>
              <w:ind w:right="240"/>
              <w:spacing w:after="0"/>
              <w:rPr>
                <w:sz w:val="20"/>
                <w:szCs w:val="20"/>
                <w:color w:val="auto"/>
              </w:rPr>
            </w:pPr>
            <w:r>
              <w:rPr>
                <w:rFonts w:ascii="Arial" w:cs="Arial" w:eastAsia="Arial" w:hAnsi="Arial"/>
                <w:sz w:val="14"/>
                <w:szCs w:val="14"/>
                <w:color w:val="auto"/>
                <w:w w:val="90"/>
              </w:rPr>
              <w:t>(In thousands, except share and per share amounts)</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875,363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589,988</w:t>
            </w: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450,292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291,684</w:t>
            </w: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425,071</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298,304</w:t>
            </w:r>
          </w:p>
        </w:tc>
        <w:tc>
          <w:tcPr>
            <w:tcW w:w="0" w:type="dxa"/>
            <w:vAlign w:val="bottom"/>
          </w:tcPr>
          <w:p>
            <w:pPr>
              <w:spacing w:after="0"/>
              <w:rPr>
                <w:sz w:val="1"/>
                <w:szCs w:val="1"/>
                <w:color w:val="auto"/>
              </w:rPr>
            </w:pPr>
          </w:p>
        </w:tc>
      </w:tr>
      <w:tr>
        <w:trPr>
          <w:trHeight w:val="193"/>
        </w:trPr>
        <w:tc>
          <w:tcPr>
            <w:tcW w:w="688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240,611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0" w:type="dxa"/>
            <w:vAlign w:val="bottom"/>
          </w:tcPr>
          <w:p>
            <w:pPr>
              <w:spacing w:after="0"/>
              <w:rPr>
                <w:sz w:val="1"/>
                <w:szCs w:val="1"/>
                <w:color w:val="auto"/>
              </w:rPr>
            </w:pPr>
          </w:p>
        </w:tc>
      </w:tr>
      <w:tr>
        <w:trPr>
          <w:trHeight w:val="213"/>
        </w:trPr>
        <w:tc>
          <w:tcPr>
            <w:tcW w:w="688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287,906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210,590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114,362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0" w:type="dxa"/>
            <w:vAlign w:val="bottom"/>
          </w:tcPr>
          <w:p>
            <w:pPr>
              <w:spacing w:after="0"/>
              <w:rPr>
                <w:sz w:val="1"/>
                <w:szCs w:val="1"/>
                <w:color w:val="auto"/>
              </w:rPr>
            </w:pPr>
          </w:p>
        </w:tc>
      </w:tr>
      <w:tr>
        <w:trPr>
          <w:trHeight w:val="206"/>
        </w:trPr>
        <w:tc>
          <w:tcPr>
            <w:tcW w:w="68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642,879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495,643</w:t>
            </w:r>
          </w:p>
        </w:tc>
        <w:tc>
          <w:tcPr>
            <w:tcW w:w="0" w:type="dxa"/>
            <w:vAlign w:val="bottom"/>
          </w:tcPr>
          <w:p>
            <w:pPr>
              <w:spacing w:after="0"/>
              <w:rPr>
                <w:sz w:val="1"/>
                <w:szCs w:val="1"/>
                <w:color w:val="auto"/>
              </w:rPr>
            </w:pPr>
          </w:p>
        </w:tc>
      </w:tr>
      <w:tr>
        <w:trPr>
          <w:trHeight w:val="213"/>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(217,808)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(197,339)</w:t>
            </w: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expenses, net</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(8,313)</w:t>
            </w:r>
          </w:p>
        </w:tc>
        <w:tc>
          <w:tcPr>
            <w:tcW w:w="0" w:type="dxa"/>
            <w:vAlign w:val="bottom"/>
          </w:tcPr>
          <w:p>
            <w:pPr>
              <w:spacing w:after="0"/>
              <w:rPr>
                <w:sz w:val="1"/>
                <w:szCs w:val="1"/>
                <w:color w:val="auto"/>
              </w:rPr>
            </w:pPr>
          </w:p>
        </w:tc>
      </w:tr>
      <w:tr>
        <w:trPr>
          <w:trHeight w:val="213"/>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benefit from (provision for) income taxes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(224,485)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(205,652)</w:t>
            </w: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Benefit from (provision for) income taxes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2,858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34"/>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(221,627)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80" w:type="dxa"/>
            <w:vAlign w:val="bottom"/>
            <w:shd w:val="clear" w:color="auto" w:fill="CCEEFF"/>
          </w:tcPr>
          <w:p>
            <w:pPr>
              <w:ind w:left="660"/>
              <w:spacing w:after="0" w:line="136" w:lineRule="exact"/>
              <w:rPr>
                <w:sz w:val="20"/>
                <w:szCs w:val="20"/>
                <w:color w:val="auto"/>
              </w:rPr>
            </w:pPr>
            <w:r>
              <w:rPr>
                <w:rFonts w:ascii="Arial" w:cs="Arial" w:eastAsia="Arial" w:hAnsi="Arial"/>
                <w:sz w:val="15"/>
                <w:szCs w:val="15"/>
                <w:color w:val="auto"/>
              </w:rPr>
              <w:t>Weighted-average shares used in computing net loss per share attributable to common</w:t>
            </w:r>
          </w:p>
        </w:tc>
        <w:tc>
          <w:tcPr>
            <w:tcW w:w="32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180,898,713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167,160,458</w:t>
            </w:r>
          </w:p>
        </w:tc>
        <w:tc>
          <w:tcPr>
            <w:tcW w:w="0" w:type="dxa"/>
            <w:vAlign w:val="bottom"/>
          </w:tcPr>
          <w:p>
            <w:pPr>
              <w:spacing w:after="0"/>
              <w:rPr>
                <w:sz w:val="1"/>
                <w:szCs w:val="1"/>
                <w:color w:val="auto"/>
              </w:rPr>
            </w:pPr>
          </w:p>
        </w:tc>
      </w:tr>
      <w:tr>
        <w:trPr>
          <w:trHeight w:val="205"/>
        </w:trPr>
        <w:tc>
          <w:tcPr>
            <w:tcW w:w="6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stockholders, basic and diluted</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1"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r>
      <w:tr>
        <w:trPr>
          <w:trHeight w:val="187"/>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181"/>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center"/>
              <w:ind w:left="543"/>
              <w:spacing w:after="0"/>
              <w:rPr>
                <w:sz w:val="20"/>
                <w:szCs w:val="20"/>
                <w:color w:val="auto"/>
              </w:rPr>
            </w:pPr>
            <w:r>
              <w:rPr>
                <w:rFonts w:ascii="Arial" w:cs="Arial" w:eastAsia="Arial" w:hAnsi="Arial"/>
                <w:sz w:val="14"/>
                <w:szCs w:val="14"/>
                <w:color w:val="auto"/>
                <w:w w:val="91"/>
              </w:rPr>
              <w:t>(In thousands)</w:t>
            </w:r>
          </w:p>
        </w:tc>
        <w:tc>
          <w:tcPr>
            <w:tcW w:w="960" w:type="dxa"/>
            <w:vAlign w:val="bottom"/>
          </w:tcPr>
          <w:p>
            <w:pPr>
              <w:spacing w:after="0"/>
              <w:rPr>
                <w:sz w:val="15"/>
                <w:szCs w:val="15"/>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(206,542)</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r>
      <w:tr>
        <w:trPr>
          <w:trHeight w:val="213"/>
        </w:trPr>
        <w:tc>
          <w:tcPr>
            <w:tcW w:w="67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change in market value of effective foreign currency forward exchange contracts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other comprehensive loss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(66,843)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w:t>
            </w:r>
          </w:p>
        </w:tc>
      </w:tr>
      <w:tr>
        <w:trPr>
          <w:trHeight w:val="238"/>
        </w:trPr>
        <w:tc>
          <w:tcPr>
            <w:tcW w:w="67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Comprehensive loss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(210,928)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080" w:top="445" w:right="10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restart"/>
          </w:tcPr>
          <w:p>
            <w:pPr>
              <w:jc w:val="center"/>
              <w:ind w:right="12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left="448"/>
              <w:spacing w:after="0"/>
              <w:rPr>
                <w:sz w:val="20"/>
                <w:szCs w:val="20"/>
                <w:color w:val="auto"/>
              </w:rPr>
            </w:pPr>
            <w:r>
              <w:rPr>
                <w:rFonts w:ascii="Arial" w:cs="Arial" w:eastAsia="Arial" w:hAnsi="Arial"/>
                <w:sz w:val="14"/>
                <w:szCs w:val="14"/>
                <w:b w:val="1"/>
                <w:bCs w:val="1"/>
                <w:color w:val="auto"/>
                <w:w w:val="89"/>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2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170,625,994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168</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9,842,105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13,169,118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(2,119,691)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(221,627)</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(221,627)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180,643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193,889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877,089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215,389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00"/>
              <w:spacing w:after="0"/>
              <w:rPr>
                <w:sz w:val="20"/>
                <w:szCs w:val="20"/>
                <w:color w:val="auto"/>
              </w:rPr>
            </w:pPr>
            <w:r>
              <w:rPr>
                <w:rFonts w:ascii="Arial" w:cs="Arial" w:eastAsia="Arial" w:hAnsi="Arial"/>
                <w:sz w:val="14"/>
                <w:szCs w:val="14"/>
                <w:color w:val="auto"/>
                <w:w w:val="96"/>
              </w:rPr>
              <w:t>(215,389)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of Class A common stock donated to charity</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Shares returned from escrow</w:t>
            </w:r>
          </w:p>
        </w:tc>
        <w:tc>
          <w:tcPr>
            <w:tcW w:w="940" w:type="dxa"/>
            <w:vAlign w:val="bottom"/>
          </w:tcPr>
          <w:p>
            <w:pPr>
              <w:jc w:val="right"/>
              <w:spacing w:after="0"/>
              <w:rPr>
                <w:sz w:val="20"/>
                <w:szCs w:val="20"/>
                <w:color w:val="auto"/>
              </w:rPr>
            </w:pPr>
            <w:r>
              <w:rPr>
                <w:rFonts w:ascii="Arial" w:cs="Arial" w:eastAsia="Arial" w:hAnsi="Arial"/>
                <w:sz w:val="14"/>
                <w:szCs w:val="14"/>
                <w:color w:val="auto"/>
              </w:rPr>
              <w:t>(152,239)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159,930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159,930</w:t>
            </w: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171,763,174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9,820,605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13,343,554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(84,984)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(2,341,318)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10,917,433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60" w:type="dxa"/>
            <w:vAlign w:val="bottom"/>
          </w:tcPr>
          <w:p>
            <w:pPr>
              <w:spacing w:after="0"/>
              <w:rPr>
                <w:sz w:val="24"/>
                <w:szCs w:val="24"/>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restart"/>
          </w:tcPr>
          <w:p>
            <w:pPr>
              <w:jc w:val="center"/>
              <w:ind w:right="12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left="448"/>
              <w:spacing w:after="0"/>
              <w:rPr>
                <w:sz w:val="20"/>
                <w:szCs w:val="20"/>
                <w:color w:val="auto"/>
              </w:rPr>
            </w:pPr>
            <w:r>
              <w:rPr>
                <w:rFonts w:ascii="Arial" w:cs="Arial" w:eastAsia="Arial" w:hAnsi="Arial"/>
                <w:sz w:val="14"/>
                <w:szCs w:val="14"/>
                <w:b w:val="1"/>
                <w:bCs w:val="1"/>
                <w:color w:val="auto"/>
                <w:w w:val="89"/>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2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153,496,222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151</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9"/>
              </w:rPr>
              <w:t>10,551,302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9,613,246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(1,169,791)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8,452,665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(206,542)</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(206,542)</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248,008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211,371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11,564</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913,966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419,371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00"/>
              <w:spacing w:after="0"/>
              <w:rPr>
                <w:sz w:val="20"/>
                <w:szCs w:val="20"/>
                <w:color w:val="auto"/>
              </w:rPr>
            </w:pPr>
            <w:r>
              <w:rPr>
                <w:rFonts w:ascii="Arial" w:cs="Arial" w:eastAsia="Arial" w:hAnsi="Arial"/>
                <w:sz w:val="14"/>
                <w:szCs w:val="14"/>
                <w:color w:val="auto"/>
                <w:w w:val="96"/>
              </w:rPr>
              <w:t>(419,371)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Equity component from partial settlement of 2023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1,158,381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80,047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80,049</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senior notes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Shares of Class A common stock donated to charity</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9,405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 connection with a follow-on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4,312,500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1,766,396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1,766,400</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public offering, net of underwriter discounts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Costs related to the follow-on public offering</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24,697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141,542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141,542</w:t>
            </w: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160,588,258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9"/>
              </w:rPr>
              <w:t>10,343,302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11,618,698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(1,376,333)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10,247,196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TWILIO INC</w:t>
      </w:r>
      <w:r>
        <w:rPr>
          <w:rFonts w:ascii="Arial" w:cs="Arial" w:eastAsia="Arial" w:hAnsi="Arial"/>
          <w:sz w:val="14"/>
          <w:szCs w:val="14"/>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jc w:val="center"/>
              <w:ind w:right="193"/>
              <w:spacing w:after="0"/>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97"/>
        </w:trPr>
        <w:tc>
          <w:tcPr>
            <w:tcW w:w="7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3"/>
                <w:szCs w:val="13"/>
                <w:b w:val="1"/>
                <w:bCs w:val="1"/>
                <w:color w:val="auto"/>
                <w:w w:val="99"/>
              </w:rPr>
              <w:t>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center"/>
              <w:ind w:left="393"/>
              <w:spacing w:after="0"/>
              <w:rPr>
                <w:sz w:val="20"/>
                <w:szCs w:val="20"/>
                <w:color w:val="auto"/>
              </w:rPr>
            </w:pPr>
            <w:r>
              <w:rPr>
                <w:rFonts w:ascii="Arial" w:cs="Arial" w:eastAsia="Arial" w:hAnsi="Arial"/>
                <w:sz w:val="13"/>
                <w:szCs w:val="13"/>
                <w:color w:val="auto"/>
                <w:w w:val="91"/>
              </w:rPr>
              <w:t>(In thousands)</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(221,627)</w:t>
            </w:r>
          </w:p>
        </w:tc>
        <w:tc>
          <w:tcPr>
            <w:tcW w:w="12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(206,542)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68,103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59,592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reduction to the right-of-use asset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11,711</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Net amortization of investment premium and discount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10,712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4,240</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debt discount and issuance costs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155,275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137,155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deferred commissions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5,630</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Allowance for credit losses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2,558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1,985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 of shares of Class A common stock donated to charity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9,405</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Loss on extinguishment of debt</w:t>
            </w:r>
          </w:p>
        </w:tc>
        <w:tc>
          <w:tcPr>
            <w:tcW w:w="2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7,602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adjustments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receivable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5,565</w:t>
            </w:r>
          </w:p>
        </w:tc>
        <w:tc>
          <w:tcPr>
            <w:tcW w:w="0" w:type="dxa"/>
            <w:vAlign w:val="bottom"/>
          </w:tcPr>
          <w:p>
            <w:pPr>
              <w:spacing w:after="0"/>
              <w:rPr>
                <w:sz w:val="1"/>
                <w:szCs w:val="1"/>
                <w:color w:val="auto"/>
              </w:rPr>
            </w:pPr>
          </w:p>
        </w:tc>
      </w:tr>
      <w:tr>
        <w:trPr>
          <w:trHeight w:val="182"/>
        </w:trPr>
        <w:tc>
          <w:tcPr>
            <w:tcW w:w="7060" w:type="dxa"/>
            <w:vAlign w:val="bottom"/>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(14,176)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(29,912)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long-term assets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(15,232)</w:t>
            </w:r>
          </w:p>
        </w:tc>
        <w:tc>
          <w:tcPr>
            <w:tcW w:w="0" w:type="dxa"/>
            <w:vAlign w:val="bottom"/>
          </w:tcPr>
          <w:p>
            <w:pPr>
              <w:spacing w:after="0"/>
              <w:rPr>
                <w:sz w:val="1"/>
                <w:szCs w:val="1"/>
                <w:color w:val="auto"/>
              </w:rPr>
            </w:pPr>
          </w:p>
        </w:tc>
      </w:tr>
      <w:tr>
        <w:trPr>
          <w:trHeight w:val="182"/>
        </w:trPr>
        <w:tc>
          <w:tcPr>
            <w:tcW w:w="7060" w:type="dxa"/>
            <w:vAlign w:val="bottom"/>
          </w:tcPr>
          <w:p>
            <w:pPr>
              <w:ind w:left="34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(10,275)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Accrued expenses and other current liabilities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28,307</w:t>
            </w:r>
          </w:p>
        </w:tc>
        <w:tc>
          <w:tcPr>
            <w:tcW w:w="0" w:type="dxa"/>
            <w:vAlign w:val="bottom"/>
          </w:tcPr>
          <w:p>
            <w:pPr>
              <w:spacing w:after="0"/>
              <w:rPr>
                <w:sz w:val="1"/>
                <w:szCs w:val="1"/>
                <w:color w:val="auto"/>
              </w:rPr>
            </w:pPr>
          </w:p>
        </w:tc>
      </w:tr>
      <w:tr>
        <w:trPr>
          <w:trHeight w:val="182"/>
        </w:trPr>
        <w:tc>
          <w:tcPr>
            <w:tcW w:w="7060" w:type="dxa"/>
            <w:vAlign w:val="bottom"/>
          </w:tcPr>
          <w:p>
            <w:pPr>
              <w:ind w:left="340"/>
              <w:spacing w:after="0"/>
              <w:rPr>
                <w:sz w:val="20"/>
                <w:szCs w:val="20"/>
                <w:color w:val="auto"/>
              </w:rPr>
            </w:pPr>
            <w:r>
              <w:rPr>
                <w:rFonts w:ascii="Arial" w:cs="Arial" w:eastAsia="Arial" w:hAnsi="Arial"/>
                <w:sz w:val="13"/>
                <w:szCs w:val="13"/>
                <w:color w:val="auto"/>
              </w:rPr>
              <w:t>Deferred revenue and customer deposits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(1,453)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3,435</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(12,053)</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Other long-term liabilities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(2,570)</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cash (used in)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0" w:type="dxa"/>
            <w:vAlign w:val="bottom"/>
          </w:tcPr>
          <w:p>
            <w:pPr>
              <w:spacing w:after="0"/>
              <w:rPr>
                <w:sz w:val="1"/>
                <w:szCs w:val="1"/>
                <w:color w:val="auto"/>
              </w:rPr>
            </w:pPr>
          </w:p>
        </w:tc>
      </w:tr>
      <w:tr>
        <w:trPr>
          <w:trHeight w:val="162"/>
        </w:trPr>
        <w:tc>
          <w:tcPr>
            <w:tcW w:w="706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 net of cash acquired and other related payments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(27,682)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Purchases of marketable securities and other investments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(246,874)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9"/>
              </w:rPr>
              <w:t>(1,640,499)</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sales and maturities of marketable securities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442,753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356,824</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(10,250)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(10,434)</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Purchases of long-lived and intangible assets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(4,986)</w:t>
            </w:r>
          </w:p>
        </w:tc>
        <w:tc>
          <w:tcPr>
            <w:tcW w:w="0" w:type="dxa"/>
            <w:vAlign w:val="bottom"/>
          </w:tcPr>
          <w:p>
            <w:pPr>
              <w:spacing w:after="0"/>
              <w:rPr>
                <w:sz w:val="1"/>
                <w:szCs w:val="1"/>
                <w:color w:val="auto"/>
              </w:rPr>
            </w:pPr>
          </w:p>
        </w:tc>
      </w:tr>
      <w:tr>
        <w:trPr>
          <w:trHeight w:val="176"/>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150,967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(1,366,021)</w:t>
            </w: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Proceeds from public offerings, net of underwriters' discount and issuance costs</w:t>
            </w:r>
          </w:p>
        </w:tc>
        <w:tc>
          <w:tcPr>
            <w:tcW w:w="2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1,766,400</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of costs related to public offerings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Proceeds from issuance of senior notes due 2029 and 2031</w:t>
            </w:r>
          </w:p>
        </w:tc>
        <w:tc>
          <w:tcPr>
            <w:tcW w:w="2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987,500</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of debt issuance costs</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Principal payments on debt and finance leases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 of equity awards withheld for tax liabilities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Proceeds from exercises of stock options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11,564</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provided by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2,759,449</w:t>
            </w:r>
          </w:p>
        </w:tc>
        <w:tc>
          <w:tcPr>
            <w:tcW w:w="0" w:type="dxa"/>
            <w:vAlign w:val="bottom"/>
          </w:tcPr>
          <w:p>
            <w:pPr>
              <w:spacing w:after="0"/>
              <w:rPr>
                <w:sz w:val="1"/>
                <w:szCs w:val="1"/>
                <w:color w:val="auto"/>
              </w:rPr>
            </w:pPr>
          </w:p>
        </w:tc>
      </w:tr>
      <w:tr>
        <w:trPr>
          <w:trHeight w:val="17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137,526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1,397,889</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1,481,831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933,885</w:t>
            </w:r>
          </w:p>
        </w:tc>
        <w:tc>
          <w:tcPr>
            <w:tcW w:w="0" w:type="dxa"/>
            <w:vAlign w:val="bottom"/>
          </w:tcPr>
          <w:p>
            <w:pPr>
              <w:spacing w:after="0"/>
              <w:rPr>
                <w:sz w:val="1"/>
                <w:szCs w:val="1"/>
                <w:color w:val="auto"/>
              </w:rPr>
            </w:pPr>
          </w:p>
        </w:tc>
      </w:tr>
      <w:tr>
        <w:trPr>
          <w:trHeight w:val="21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1,619,357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2,331,774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tcPr>
          <w:p>
            <w:pPr>
              <w:ind w:left="20"/>
              <w:spacing w:after="0"/>
              <w:rPr>
                <w:sz w:val="20"/>
                <w:szCs w:val="20"/>
                <w:color w:val="auto"/>
              </w:rPr>
            </w:pPr>
            <w:r>
              <w:rPr>
                <w:rFonts w:ascii="Arial" w:cs="Arial" w:eastAsia="Arial" w:hAnsi="Arial"/>
                <w:sz w:val="13"/>
                <w:szCs w:val="13"/>
                <w:color w:val="auto"/>
              </w:rPr>
              <w:t>Cash paid for income taxes, net</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19,011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property and equipment through finance leases</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20"/>
              <w:spacing w:after="0"/>
              <w:rPr>
                <w:sz w:val="20"/>
                <w:szCs w:val="20"/>
                <w:color w:val="auto"/>
              </w:rPr>
            </w:pPr>
            <w:r>
              <w:rPr>
                <w:rFonts w:ascii="Arial" w:cs="Arial" w:eastAsia="Arial" w:hAnsi="Arial"/>
                <w:sz w:val="13"/>
                <w:szCs w:val="13"/>
                <w:color w:val="auto"/>
              </w:rPr>
              <w:t>Value of common stock issued to settle convertible senior notes due 2023</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060" w:type="dxa"/>
            <w:vAlign w:val="bottom"/>
            <w:vMerge w:val="continue"/>
          </w:tcPr>
          <w:p>
            <w:pPr>
              <w:spacing w:after="0"/>
              <w:rPr>
                <w:sz w:val="11"/>
                <w:szCs w:val="11"/>
                <w:color w:val="auto"/>
              </w:rPr>
            </w:pPr>
          </w:p>
        </w:tc>
        <w:tc>
          <w:tcPr>
            <w:tcW w:w="260" w:type="dxa"/>
            <w:vAlign w:val="bottom"/>
          </w:tcPr>
          <w:p>
            <w:pPr>
              <w:jc w:val="right"/>
              <w:ind w:right="93"/>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360" w:type="dxa"/>
            <w:vAlign w:val="bottom"/>
          </w:tcPr>
          <w:p>
            <w:pPr>
              <w:jc w:val="right"/>
              <w:ind w:right="213"/>
              <w:spacing w:after="0" w:line="136"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422,716</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060" w:type="dxa"/>
            <w:vAlign w:val="bottom"/>
          </w:tcPr>
          <w:p>
            <w:pPr>
              <w:ind w:left="20"/>
              <w:spacing w:after="0" w:line="138" w:lineRule="exact"/>
              <w:rPr>
                <w:sz w:val="20"/>
                <w:szCs w:val="20"/>
                <w:color w:val="auto"/>
              </w:rPr>
            </w:pPr>
            <w:r>
              <w:rPr>
                <w:rFonts w:ascii="Arial" w:cs="Arial" w:eastAsia="Arial" w:hAnsi="Arial"/>
                <w:sz w:val="13"/>
                <w:szCs w:val="13"/>
                <w:color w:val="auto"/>
              </w:rPr>
              <w:t>RECONCILIATION OF CASH, CASH EQUIVALENTS AND RESTRICTED CASH TO THE CONSOLIDATED BALANCE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7060" w:type="dxa"/>
            <w:vAlign w:val="bottom"/>
          </w:tcPr>
          <w:p>
            <w:pPr>
              <w:ind w:left="20"/>
              <w:spacing w:after="0"/>
              <w:rPr>
                <w:sz w:val="20"/>
                <w:szCs w:val="20"/>
                <w:color w:val="auto"/>
              </w:rPr>
            </w:pPr>
            <w:r>
              <w:rPr>
                <w:rFonts w:ascii="Arial" w:cs="Arial" w:eastAsia="Arial" w:hAnsi="Arial"/>
                <w:sz w:val="13"/>
                <w:szCs w:val="13"/>
                <w:color w:val="auto"/>
              </w:rPr>
              <w:t>SHEETS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1,617,022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2,331,774</w:t>
            </w:r>
          </w:p>
        </w:tc>
        <w:tc>
          <w:tcPr>
            <w:tcW w:w="0" w:type="dxa"/>
            <w:vAlign w:val="bottom"/>
          </w:tcPr>
          <w:p>
            <w:pPr>
              <w:spacing w:after="0"/>
              <w:rPr>
                <w:sz w:val="1"/>
                <w:szCs w:val="1"/>
                <w:color w:val="auto"/>
              </w:rPr>
            </w:pPr>
          </w:p>
        </w:tc>
      </w:tr>
      <w:tr>
        <w:trPr>
          <w:trHeight w:val="182"/>
        </w:trPr>
        <w:tc>
          <w:tcPr>
            <w:tcW w:w="7060" w:type="dxa"/>
            <w:vAlign w:val="bottom"/>
          </w:tcPr>
          <w:p>
            <w:pPr>
              <w:ind w:left="220"/>
              <w:spacing w:after="0"/>
              <w:rPr>
                <w:sz w:val="20"/>
                <w:szCs w:val="20"/>
                <w:color w:val="auto"/>
              </w:rPr>
            </w:pPr>
            <w:r>
              <w:rPr>
                <w:rFonts w:ascii="Arial" w:cs="Arial" w:eastAsia="Arial" w:hAnsi="Arial"/>
                <w:sz w:val="13"/>
                <w:szCs w:val="13"/>
                <w:color w:val="auto"/>
              </w:rPr>
              <w:t>Restricted cash in other current assets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 in other long-term assets</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060" w:type="dxa"/>
            <w:vAlign w:val="bottom"/>
          </w:tcPr>
          <w:p>
            <w:pPr>
              <w:ind w:left="340"/>
              <w:spacing w:after="0"/>
              <w:rPr>
                <w:sz w:val="20"/>
                <w:szCs w:val="20"/>
                <w:color w:val="auto"/>
              </w:rPr>
            </w:pPr>
            <w:r>
              <w:rPr>
                <w:rFonts w:ascii="Arial" w:cs="Arial" w:eastAsia="Arial" w:hAnsi="Arial"/>
                <w:sz w:val="13"/>
                <w:szCs w:val="13"/>
                <w:color w:val="auto"/>
              </w:rPr>
              <w:t>Total cash, cash equivalents and restricted cash</w:t>
            </w: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1,619,357</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2,331,774</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40"/>
          </w:cols>
          <w:pgMar w:left="1280" w:top="445" w:right="1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Twilio Inc. (the “Company”) was incorporated in the state of Delaware on March 13, 2008. The Company is the leading cloud communications platform and enables developers to build, scale and operate real-time customer engagement within their software applications via simple-to-use Application Programming Interfaces (“API”). The power, flexibility, and reliability offered by the Company’s software building blocks empower entities of virtually every shape and size to build world-class engagement into their customer experience.</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Company’s headquarters are located in San Francisco, California, and the Company has subsidiaries across North America, South America, Europe, Asia and Australia.</w:t>
      </w:r>
    </w:p>
    <w:p>
      <w:pPr>
        <w:spacing w:after="0" w:line="16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300" w:hanging="806"/>
        <w:spacing w:after="0"/>
        <w:tabs>
          <w:tab w:leader="none" w:pos="130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22, 2022 (“Annual Report”).</w:t>
      </w:r>
    </w:p>
    <w:p>
      <w:pPr>
        <w:spacing w:after="0" w:line="19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condensed consolidated balance sheet as of December 31, 2021, included herein, was derived from the audited financial statements as of that date, but may not include all disclosures including certain notes required by U.S. GAAP on an annual reporting basis.</w:t>
      </w:r>
    </w:p>
    <w:p>
      <w:pPr>
        <w:spacing w:after="0" w:line="14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2022 or any future period.</w:t>
      </w:r>
    </w:p>
    <w:p>
      <w:pPr>
        <w:spacing w:after="0" w:line="165" w:lineRule="exact"/>
        <w:rPr>
          <w:sz w:val="20"/>
          <w:szCs w:val="20"/>
          <w:color w:val="auto"/>
        </w:rPr>
      </w:pPr>
    </w:p>
    <w:p>
      <w:pPr>
        <w:ind w:left="1300" w:hanging="806"/>
        <w:spacing w:after="0"/>
        <w:tabs>
          <w:tab w:leader="none" w:pos="1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 owned subsidiaries. All significant intercompany balances and transactions have been eliminated.</w:t>
      </w:r>
    </w:p>
    <w:p>
      <w:pPr>
        <w:spacing w:after="0" w:line="170" w:lineRule="exact"/>
        <w:rPr>
          <w:sz w:val="20"/>
          <w:szCs w:val="20"/>
          <w:color w:val="auto"/>
        </w:rPr>
      </w:pPr>
    </w:p>
    <w:p>
      <w:pPr>
        <w:ind w:left="1300" w:hanging="806"/>
        <w:spacing w:after="0"/>
        <w:tabs>
          <w:tab w:leader="none" w:pos="13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78" w:lineRule="exact"/>
        <w:rPr>
          <w:sz w:val="20"/>
          <w:szCs w:val="20"/>
          <w:color w:val="auto"/>
        </w:rPr>
      </w:pPr>
    </w:p>
    <w:p>
      <w:pPr>
        <w:ind w:left="1300" w:hanging="806"/>
        <w:spacing w:after="0"/>
        <w:tabs>
          <w:tab w:leader="none" w:pos="13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Revenue allocated to remaining performance obligations for contracts with durations of more than one year was $152.7 million as of March 31, 2022, of which 67% is expected to be recognized over the next 12 months and 94% is expected to be recognized over the next 24 months.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 and Customer Deposits</w:t>
      </w:r>
    </w:p>
    <w:p>
      <w:pPr>
        <w:spacing w:after="0" w:line="225" w:lineRule="exact"/>
        <w:rPr>
          <w:sz w:val="20"/>
          <w:szCs w:val="20"/>
          <w:color w:val="auto"/>
        </w:rPr>
      </w:pPr>
    </w:p>
    <w:p>
      <w:pPr>
        <w:ind w:right="480" w:firstLine="486"/>
        <w:spacing w:after="0" w:line="301" w:lineRule="auto"/>
        <w:rPr>
          <w:sz w:val="20"/>
          <w:szCs w:val="20"/>
          <w:color w:val="auto"/>
        </w:rPr>
      </w:pPr>
      <w:r>
        <w:rPr>
          <w:rFonts w:ascii="Arial" w:cs="Arial" w:eastAsia="Arial" w:hAnsi="Arial"/>
          <w:sz w:val="16"/>
          <w:szCs w:val="16"/>
          <w:color w:val="auto"/>
        </w:rPr>
        <w:t>As of March 31, 2022 and December 31, 2021, the Company recorded $140.4 million and $141.5 million as its deferred revenue and customer deposits, respectively, that are included in deferred revenue and customer deposits and other long-term liabilities in the accompanying condensed consolidated balance sheets. During the three months ended March 31, 2022 and 2021, the Company recognized $64.9 million and $27.8 million of revenue, respectively, that was included in the deferred revenue and customer deposits balance as of the end of the previous year.</w:t>
      </w:r>
    </w:p>
    <w:p>
      <w:pPr>
        <w:spacing w:after="0" w:line="157" w:lineRule="exact"/>
        <w:rPr>
          <w:sz w:val="20"/>
          <w:szCs w:val="20"/>
          <w:color w:val="auto"/>
        </w:rPr>
      </w:pPr>
    </w:p>
    <w:p>
      <w:pPr>
        <w:ind w:left="1300" w:hanging="806"/>
        <w:spacing w:after="0"/>
        <w:tabs>
          <w:tab w:leader="none" w:pos="13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Sales Commissions</w:t>
      </w:r>
    </w:p>
    <w:p>
      <w:pPr>
        <w:spacing w:after="0" w:line="225" w:lineRule="exact"/>
        <w:rPr>
          <w:sz w:val="20"/>
          <w:szCs w:val="20"/>
          <w:color w:val="auto"/>
        </w:rPr>
      </w:pPr>
    </w:p>
    <w:p>
      <w:pPr>
        <w:ind w:right="120" w:firstLine="486"/>
        <w:spacing w:after="0" w:line="224" w:lineRule="exact"/>
        <w:rPr>
          <w:sz w:val="20"/>
          <w:szCs w:val="20"/>
          <w:color w:val="auto"/>
        </w:rPr>
      </w:pPr>
      <w:r>
        <w:rPr>
          <w:rFonts w:ascii="Arial" w:cs="Arial" w:eastAsia="Arial" w:hAnsi="Arial"/>
          <w:sz w:val="16"/>
          <w:szCs w:val="16"/>
          <w:color w:val="auto"/>
        </w:rPr>
        <w:t>Total net capitalized commission costs as of March 31, 2022 and December 31, 2021, were $196.4 million and $193.4 million, respectively, and are included in prepaid expenses and other current assets and other long</w:t>
      </w:r>
      <w:r>
        <w:rPr>
          <w:rFonts w:ascii="MS PGothic" w:cs="MS PGothic" w:eastAsia="MS PGothic" w:hAnsi="MS PGothic"/>
          <w:sz w:val="16"/>
          <w:szCs w:val="16"/>
          <w:color w:val="auto"/>
        </w:rPr>
        <w:t>‑</w:t>
      </w:r>
      <w:r>
        <w:rPr>
          <w:rFonts w:ascii="Arial" w:cs="Arial" w:eastAsia="Arial" w:hAnsi="Arial"/>
          <w:sz w:val="16"/>
          <w:szCs w:val="16"/>
          <w:color w:val="auto"/>
        </w:rPr>
        <w:t>term assets in the accompanying condensed consolidated balance sheets.</w:t>
      </w:r>
    </w:p>
    <w:p>
      <w:pPr>
        <w:spacing w:after="0" w:line="202" w:lineRule="exact"/>
        <w:rPr>
          <w:sz w:val="20"/>
          <w:szCs w:val="20"/>
          <w:color w:val="auto"/>
        </w:rPr>
      </w:pPr>
    </w:p>
    <w:p>
      <w:pPr>
        <w:ind w:left="1300" w:hanging="806"/>
        <w:spacing w:after="0"/>
        <w:tabs>
          <w:tab w:leader="none" w:pos="130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that management believes are financially sound and have minimal credit risk exposure although the balances will exceed insured limits.</w:t>
      </w:r>
    </w:p>
    <w:p>
      <w:pPr>
        <w:spacing w:after="0" w:line="149"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months ended March 31, 2022 and 2021, no customer organization accounted for more than 10% of the Company’s total revenue.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2022 and December 31, 2021, no customer organization represented more than 10% of the Company’s gross accounts receivable.</w:t>
      </w:r>
    </w:p>
    <w:p>
      <w:pPr>
        <w:spacing w:after="0" w:line="248" w:lineRule="exact"/>
        <w:rPr>
          <w:sz w:val="20"/>
          <w:szCs w:val="20"/>
          <w:color w:val="auto"/>
        </w:rPr>
      </w:pPr>
    </w:p>
    <w:p>
      <w:pPr>
        <w:ind w:left="1300" w:hanging="806"/>
        <w:spacing w:after="0"/>
        <w:tabs>
          <w:tab w:leader="none" w:pos="130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to Significant Accounting Policies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changes to the Company’s significant accounting policies as described in its Annual Report.</w:t>
      </w:r>
    </w:p>
    <w:p>
      <w:pPr>
        <w:spacing w:after="0" w:line="225" w:lineRule="exact"/>
        <w:rPr>
          <w:sz w:val="20"/>
          <w:szCs w:val="20"/>
          <w:color w:val="auto"/>
        </w:rPr>
      </w:pPr>
    </w:p>
    <w:p>
      <w:pPr>
        <w:ind w:left="1300" w:hanging="806"/>
        <w:spacing w:after="0"/>
        <w:tabs>
          <w:tab w:leader="none" w:pos="13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ind w:right="240" w:firstLine="486"/>
        <w:spacing w:after="0" w:line="291" w:lineRule="auto"/>
        <w:rPr>
          <w:sz w:val="20"/>
          <w:szCs w:val="20"/>
          <w:color w:val="auto"/>
        </w:rPr>
      </w:pPr>
      <w:r>
        <w:rPr>
          <w:rFonts w:ascii="Arial" w:cs="Arial" w:eastAsia="Arial" w:hAnsi="Arial"/>
          <w:sz w:val="16"/>
          <w:szCs w:val="16"/>
          <w:color w:val="auto"/>
        </w:rPr>
        <w:t>In October 2021, the Financial Accounting Standards Board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ASC 606, "Revenue from Contracts with Customers." At the acquisition date, an acquirer should account for the related revenue contracts as if it had originated the contracts. Generally, this should result in an acquirer recognizing and measuring the acquired contact assets and contract liabilities consistent with how they were recognized and measured in the acquiree's financial statements, assuming the acquirer is able to assess and rely on how the acquiree applied ASC 606. The Company adopted ASU 2021-08 in the first quarter of 2022 with no material impact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right="9080" w:hanging="492"/>
        <w:spacing w:after="0" w:line="566" w:lineRule="auto"/>
        <w:tabs>
          <w:tab w:leader="none" w:pos="19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Assets</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the financial assets measured at fair value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Amortized</w:t>
            </w:r>
          </w:p>
        </w:tc>
        <w:tc>
          <w:tcPr>
            <w:tcW w:w="140" w:type="dxa"/>
            <w:vAlign w:val="bottom"/>
          </w:tcPr>
          <w:p>
            <w:pPr>
              <w:spacing w:after="0"/>
              <w:rPr>
                <w:sz w:val="14"/>
                <w:szCs w:val="14"/>
                <w:color w:val="auto"/>
              </w:rPr>
            </w:pPr>
          </w:p>
        </w:tc>
        <w:tc>
          <w:tcPr>
            <w:tcW w:w="94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4"/>
                <w:szCs w:val="14"/>
                <w:color w:val="auto"/>
              </w:rPr>
            </w:pPr>
          </w:p>
        </w:tc>
        <w:tc>
          <w:tcPr>
            <w:tcW w:w="94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4"/>
                <w:szCs w:val="14"/>
                <w:color w:val="auto"/>
              </w:rPr>
            </w:pPr>
          </w:p>
        </w:tc>
        <w:tc>
          <w:tcPr>
            <w:tcW w:w="2180" w:type="dxa"/>
            <w:vAlign w:val="bottom"/>
            <w:gridSpan w:val="6"/>
          </w:tcPr>
          <w:p>
            <w:pPr>
              <w:jc w:val="center"/>
              <w:ind w:left="510"/>
              <w:spacing w:after="0"/>
              <w:rPr>
                <w:sz w:val="20"/>
                <w:szCs w:val="20"/>
                <w:color w:val="auto"/>
              </w:rPr>
            </w:pPr>
            <w:r>
              <w:rPr>
                <w:rFonts w:ascii="Arial" w:cs="Arial" w:eastAsia="Arial" w:hAnsi="Arial"/>
                <w:sz w:val="13"/>
                <w:szCs w:val="13"/>
                <w:b w:val="1"/>
                <w:bCs w:val="1"/>
                <w:color w:val="auto"/>
                <w:w w:val="90"/>
              </w:rPr>
              <w:t>Fair Value Hierarchy 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Cost or</w:t>
            </w:r>
          </w:p>
        </w:tc>
        <w:tc>
          <w:tcPr>
            <w:tcW w:w="1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March 31, 2022</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4"/>
          </w:tcPr>
          <w:p>
            <w:pPr>
              <w:jc w:val="center"/>
              <w:ind w:right="240"/>
              <w:spacing w:after="0" w:line="54" w:lineRule="exact"/>
              <w:rPr>
                <w:sz w:val="20"/>
                <w:szCs w:val="20"/>
                <w:color w:val="auto"/>
              </w:rPr>
            </w:pPr>
            <w:r>
              <w:rPr>
                <w:rFonts w:ascii="Arial" w:cs="Arial" w:eastAsia="Arial" w:hAnsi="Arial"/>
                <w:sz w:val="6"/>
                <w:szCs w:val="6"/>
                <w:b w:val="1"/>
                <w:bCs w:val="1"/>
                <w:color w:val="auto"/>
              </w:rPr>
              <w:t>Carrying</w:t>
            </w:r>
          </w:p>
        </w:tc>
        <w:tc>
          <w:tcPr>
            <w:tcW w:w="140" w:type="dxa"/>
            <w:vAlign w:val="bottom"/>
          </w:tcPr>
          <w:p>
            <w:pPr>
              <w:spacing w:after="0"/>
              <w:rPr>
                <w:sz w:val="4"/>
                <w:szCs w:val="4"/>
                <w:color w:val="auto"/>
              </w:rPr>
            </w:pPr>
          </w:p>
        </w:tc>
        <w:tc>
          <w:tcPr>
            <w:tcW w:w="940" w:type="dxa"/>
            <w:vAlign w:val="bottom"/>
            <w:gridSpan w:val="4"/>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140" w:type="dxa"/>
            <w:vAlign w:val="bottom"/>
          </w:tcPr>
          <w:p>
            <w:pPr>
              <w:spacing w:after="0"/>
              <w:rPr>
                <w:sz w:val="4"/>
                <w:szCs w:val="4"/>
                <w:color w:val="auto"/>
              </w:rPr>
            </w:pPr>
          </w:p>
        </w:tc>
        <w:tc>
          <w:tcPr>
            <w:tcW w:w="940" w:type="dxa"/>
            <w:vAlign w:val="bottom"/>
            <w:gridSpan w:val="4"/>
          </w:tcPr>
          <w:p>
            <w:pPr>
              <w:jc w:val="center"/>
              <w:ind w:right="240"/>
              <w:spacing w:after="0" w:line="54" w:lineRule="exact"/>
              <w:rPr>
                <w:sz w:val="20"/>
                <w:szCs w:val="20"/>
                <w:color w:val="auto"/>
              </w:rPr>
            </w:pPr>
            <w:r>
              <w:rPr>
                <w:rFonts w:ascii="Arial" w:cs="Arial" w:eastAsia="Arial" w:hAnsi="Arial"/>
                <w:sz w:val="6"/>
                <w:szCs w:val="6"/>
                <w:b w:val="1"/>
                <w:bCs w:val="1"/>
                <w:color w:val="auto"/>
              </w:rPr>
              <w:t>Unrealized</w:t>
            </w: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jc w:val="right"/>
              <w:ind w:right="153"/>
              <w:spacing w:after="0" w:line="54"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77"/>
        </w:trPr>
        <w:tc>
          <w:tcPr>
            <w:tcW w:w="3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6"/>
              </w:rPr>
              <w:t>Level 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Level 2</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88"/>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(In thousands)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272,248</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272,248</w:t>
            </w:r>
          </w:p>
        </w:tc>
        <w:tc>
          <w:tcPr>
            <w:tcW w:w="0" w:type="dxa"/>
            <w:vAlign w:val="bottom"/>
          </w:tcPr>
          <w:p>
            <w:pPr>
              <w:spacing w:after="0"/>
              <w:rPr>
                <w:sz w:val="1"/>
                <w:szCs w:val="1"/>
                <w:color w:val="auto"/>
              </w:rPr>
            </w:pPr>
          </w:p>
        </w:tc>
      </w:tr>
      <w:tr>
        <w:trPr>
          <w:trHeight w:val="186"/>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Reverse repurchase agreements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4"/>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24,900</w:t>
            </w:r>
          </w:p>
        </w:tc>
        <w:tc>
          <w:tcPr>
            <w:tcW w:w="0" w:type="dxa"/>
            <w:vAlign w:val="bottom"/>
          </w:tcPr>
          <w:p>
            <w:pPr>
              <w:spacing w:after="0"/>
              <w:rPr>
                <w:sz w:val="1"/>
                <w:szCs w:val="1"/>
                <w:color w:val="auto"/>
              </w:rPr>
            </w:pPr>
          </w:p>
        </w:tc>
      </w:tr>
      <w:tr>
        <w:trPr>
          <w:trHeight w:val="179"/>
        </w:trPr>
        <w:tc>
          <w:tcPr>
            <w:tcW w:w="376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Total included in cash and cash equivalents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497,148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272,248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224,900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497,148</w:t>
            </w:r>
          </w:p>
        </w:tc>
        <w:tc>
          <w:tcPr>
            <w:tcW w:w="0" w:type="dxa"/>
            <w:vAlign w:val="bottom"/>
          </w:tcPr>
          <w:p>
            <w:pPr>
              <w:spacing w:after="0"/>
              <w:rPr>
                <w:sz w:val="1"/>
                <w:szCs w:val="1"/>
                <w:color w:val="auto"/>
              </w:rPr>
            </w:pPr>
          </w:p>
        </w:tc>
      </w:tr>
      <w:tr>
        <w:trPr>
          <w:trHeight w:val="17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410,933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401,241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401,241</w:t>
            </w: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Non-U.S. government securities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176,645</w:t>
            </w:r>
          </w:p>
        </w:tc>
        <w:tc>
          <w:tcPr>
            <w:tcW w:w="0" w:type="dxa"/>
            <w:vAlign w:val="bottom"/>
          </w:tcPr>
          <w:p>
            <w:pPr>
              <w:spacing w:after="0"/>
              <w:rPr>
                <w:sz w:val="1"/>
                <w:szCs w:val="1"/>
                <w:color w:val="auto"/>
              </w:rPr>
            </w:pPr>
          </w:p>
        </w:tc>
      </w:tr>
      <w:tr>
        <w:trPr>
          <w:trHeight w:val="186"/>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Corporate debt securities and commercial paper</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3,095,397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(67,173)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3,017,404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3,028,404</w:t>
            </w:r>
          </w:p>
        </w:tc>
        <w:tc>
          <w:tcPr>
            <w:tcW w:w="0" w:type="dxa"/>
            <w:vAlign w:val="bottom"/>
          </w:tcPr>
          <w:p>
            <w:pPr>
              <w:spacing w:after="0"/>
              <w:rPr>
                <w:sz w:val="1"/>
                <w:szCs w:val="1"/>
                <w:color w:val="auto"/>
              </w:rPr>
            </w:pPr>
          </w:p>
        </w:tc>
      </w:tr>
      <w:tr>
        <w:trPr>
          <w:trHeight w:val="186"/>
        </w:trPr>
        <w:tc>
          <w:tcPr>
            <w:tcW w:w="376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marketable securities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3,687,958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(81,850)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588,886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3,017,404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3,606,290</w:t>
            </w:r>
          </w:p>
        </w:tc>
        <w:tc>
          <w:tcPr>
            <w:tcW w:w="0" w:type="dxa"/>
            <w:vAlign w:val="bottom"/>
          </w:tcPr>
          <w:p>
            <w:pPr>
              <w:spacing w:after="0"/>
              <w:rPr>
                <w:sz w:val="1"/>
                <w:szCs w:val="1"/>
                <w:color w:val="auto"/>
              </w:rPr>
            </w:pPr>
          </w:p>
        </w:tc>
      </w:tr>
      <w:tr>
        <w:trPr>
          <w:trHeight w:val="179"/>
        </w:trPr>
        <w:tc>
          <w:tcPr>
            <w:tcW w:w="3760" w:type="dxa"/>
            <w:vAlign w:val="bottom"/>
            <w:gridSpan w:val="2"/>
          </w:tcPr>
          <w:p>
            <w:pPr>
              <w:ind w:left="680"/>
              <w:spacing w:after="0"/>
              <w:rPr>
                <w:sz w:val="20"/>
                <w:szCs w:val="20"/>
                <w:color w:val="auto"/>
              </w:rPr>
            </w:pPr>
            <w:r>
              <w:rPr>
                <w:rFonts w:ascii="Arial" w:cs="Arial" w:eastAsia="Arial" w:hAnsi="Arial"/>
                <w:sz w:val="14"/>
                <w:szCs w:val="14"/>
                <w:color w:val="auto"/>
              </w:rPr>
              <w:t>Total financial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4,185,106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(81,850)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861,134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3,242,304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4,103,438</w:t>
            </w: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24"/>
                <w:szCs w:val="24"/>
                <w:color w:val="auto"/>
              </w:rPr>
            </w:pPr>
          </w:p>
        </w:tc>
        <w:tc>
          <w:tcPr>
            <w:tcW w:w="94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24"/>
                <w:szCs w:val="24"/>
                <w:color w:val="auto"/>
              </w:rPr>
            </w:pPr>
          </w:p>
        </w:tc>
        <w:tc>
          <w:tcPr>
            <w:tcW w:w="94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24"/>
                <w:szCs w:val="24"/>
                <w:color w:val="auto"/>
              </w:rPr>
            </w:pPr>
          </w:p>
        </w:tc>
        <w:tc>
          <w:tcPr>
            <w:tcW w:w="2180" w:type="dxa"/>
            <w:vAlign w:val="bottom"/>
            <w:gridSpan w:val="6"/>
          </w:tcPr>
          <w:p>
            <w:pPr>
              <w:jc w:val="center"/>
              <w:ind w:left="490"/>
              <w:spacing w:after="0"/>
              <w:rPr>
                <w:sz w:val="20"/>
                <w:szCs w:val="20"/>
                <w:color w:val="auto"/>
              </w:rPr>
            </w:pPr>
            <w:r>
              <w:rPr>
                <w:rFonts w:ascii="Arial" w:cs="Arial" w:eastAsia="Arial" w:hAnsi="Arial"/>
                <w:sz w:val="13"/>
                <w:szCs w:val="13"/>
                <w:b w:val="1"/>
                <w:bCs w:val="1"/>
                <w:color w:val="auto"/>
                <w:w w:val="88"/>
              </w:rPr>
              <w:t>Fair Value Hierarchy as of</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jc w:val="center"/>
              <w:ind w:right="280"/>
              <w:spacing w:after="0" w:line="122" w:lineRule="exact"/>
              <w:rPr>
                <w:sz w:val="20"/>
                <w:szCs w:val="20"/>
                <w:color w:val="auto"/>
              </w:rPr>
            </w:pPr>
            <w:r>
              <w:rPr>
                <w:rFonts w:ascii="Arial" w:cs="Arial" w:eastAsia="Arial" w:hAnsi="Arial"/>
                <w:sz w:val="13"/>
                <w:szCs w:val="13"/>
                <w:b w:val="1"/>
                <w:bCs w:val="1"/>
                <w:color w:val="auto"/>
                <w:w w:val="87"/>
              </w:rPr>
              <w:t>Cost or</w:t>
            </w:r>
          </w:p>
        </w:tc>
        <w:tc>
          <w:tcPr>
            <w:tcW w:w="1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 2021</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4"/>
          </w:tcPr>
          <w:p>
            <w:pPr>
              <w:jc w:val="center"/>
              <w:ind w:right="260"/>
              <w:spacing w:after="0" w:line="54" w:lineRule="exact"/>
              <w:rPr>
                <w:sz w:val="20"/>
                <w:szCs w:val="20"/>
                <w:color w:val="auto"/>
              </w:rPr>
            </w:pPr>
            <w:r>
              <w:rPr>
                <w:rFonts w:ascii="Arial" w:cs="Arial" w:eastAsia="Arial" w:hAnsi="Arial"/>
                <w:sz w:val="6"/>
                <w:szCs w:val="6"/>
                <w:b w:val="1"/>
                <w:bCs w:val="1"/>
                <w:color w:val="auto"/>
              </w:rPr>
              <w:t>Carrying</w:t>
            </w:r>
          </w:p>
        </w:tc>
        <w:tc>
          <w:tcPr>
            <w:tcW w:w="140" w:type="dxa"/>
            <w:vAlign w:val="bottom"/>
          </w:tcPr>
          <w:p>
            <w:pPr>
              <w:spacing w:after="0"/>
              <w:rPr>
                <w:sz w:val="4"/>
                <w:szCs w:val="4"/>
                <w:color w:val="auto"/>
              </w:rPr>
            </w:pPr>
          </w:p>
        </w:tc>
        <w:tc>
          <w:tcPr>
            <w:tcW w:w="940" w:type="dxa"/>
            <w:vAlign w:val="bottom"/>
            <w:gridSpan w:val="4"/>
          </w:tcPr>
          <w:p>
            <w:pPr>
              <w:jc w:val="center"/>
              <w:ind w:right="280"/>
              <w:spacing w:after="0" w:line="54" w:lineRule="exact"/>
              <w:rPr>
                <w:sz w:val="20"/>
                <w:szCs w:val="20"/>
                <w:color w:val="auto"/>
              </w:rPr>
            </w:pPr>
            <w:r>
              <w:rPr>
                <w:rFonts w:ascii="Arial" w:cs="Arial" w:eastAsia="Arial" w:hAnsi="Arial"/>
                <w:sz w:val="6"/>
                <w:szCs w:val="6"/>
                <w:b w:val="1"/>
                <w:bCs w:val="1"/>
                <w:color w:val="auto"/>
              </w:rPr>
              <w:t>Unrealized</w:t>
            </w:r>
          </w:p>
        </w:tc>
        <w:tc>
          <w:tcPr>
            <w:tcW w:w="140" w:type="dxa"/>
            <w:vAlign w:val="bottom"/>
          </w:tcPr>
          <w:p>
            <w:pPr>
              <w:spacing w:after="0"/>
              <w:rPr>
                <w:sz w:val="4"/>
                <w:szCs w:val="4"/>
                <w:color w:val="auto"/>
              </w:rPr>
            </w:pPr>
          </w:p>
        </w:tc>
        <w:tc>
          <w:tcPr>
            <w:tcW w:w="920" w:type="dxa"/>
            <w:vAlign w:val="bottom"/>
            <w:gridSpan w:val="3"/>
          </w:tcPr>
          <w:p>
            <w:pPr>
              <w:jc w:val="center"/>
              <w:ind w:right="260"/>
              <w:spacing w:after="0" w:line="54" w:lineRule="exact"/>
              <w:rPr>
                <w:sz w:val="20"/>
                <w:szCs w:val="20"/>
                <w:color w:val="auto"/>
              </w:rPr>
            </w:pPr>
            <w:r>
              <w:rPr>
                <w:rFonts w:ascii="Arial" w:cs="Arial" w:eastAsia="Arial" w:hAnsi="Arial"/>
                <w:sz w:val="6"/>
                <w:szCs w:val="6"/>
                <w:b w:val="1"/>
                <w:bCs w:val="1"/>
                <w:color w:val="auto"/>
              </w:rPr>
              <w:t>Unrealized</w:t>
            </w: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jc w:val="right"/>
              <w:ind w:right="153"/>
              <w:spacing w:after="0" w:line="54"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77"/>
        </w:trPr>
        <w:tc>
          <w:tcPr>
            <w:tcW w:w="37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Level 2</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(In thousands)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0" w:type="dxa"/>
            <w:vAlign w:val="bottom"/>
          </w:tcPr>
          <w:p>
            <w:pPr>
              <w:spacing w:after="0"/>
              <w:rPr>
                <w:sz w:val="1"/>
                <w:szCs w:val="1"/>
                <w:color w:val="auto"/>
              </w:rPr>
            </w:pPr>
          </w:p>
        </w:tc>
      </w:tr>
      <w:tr>
        <w:trPr>
          <w:trHeight w:val="186"/>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46,076</w:t>
            </w:r>
          </w:p>
        </w:tc>
        <w:tc>
          <w:tcPr>
            <w:tcW w:w="0" w:type="dxa"/>
            <w:vAlign w:val="bottom"/>
          </w:tcPr>
          <w:p>
            <w:pPr>
              <w:spacing w:after="0"/>
              <w:rPr>
                <w:sz w:val="1"/>
                <w:szCs w:val="1"/>
                <w:color w:val="auto"/>
              </w:rPr>
            </w:pPr>
          </w:p>
        </w:tc>
      </w:tr>
      <w:tr>
        <w:trPr>
          <w:trHeight w:val="186"/>
        </w:trPr>
        <w:tc>
          <w:tcPr>
            <w:tcW w:w="37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included in cash and cash equivalents</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832,624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832,624</w:t>
            </w:r>
          </w:p>
        </w:tc>
        <w:tc>
          <w:tcPr>
            <w:tcW w:w="0" w:type="dxa"/>
            <w:vAlign w:val="bottom"/>
          </w:tcPr>
          <w:p>
            <w:pPr>
              <w:spacing w:after="0"/>
              <w:rPr>
                <w:sz w:val="1"/>
                <w:szCs w:val="1"/>
                <w:color w:val="auto"/>
              </w:rPr>
            </w:pPr>
          </w:p>
        </w:tc>
      </w:tr>
      <w:tr>
        <w:trPr>
          <w:trHeight w:val="18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Treasury securities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372,750</w:t>
            </w:r>
          </w:p>
        </w:tc>
        <w:tc>
          <w:tcPr>
            <w:tcW w:w="0" w:type="dxa"/>
            <w:vAlign w:val="bottom"/>
          </w:tcPr>
          <w:p>
            <w:pPr>
              <w:spacing w:after="0"/>
              <w:rPr>
                <w:sz w:val="1"/>
                <w:szCs w:val="1"/>
                <w:color w:val="auto"/>
              </w:rPr>
            </w:pPr>
          </w:p>
        </w:tc>
      </w:tr>
      <w:tr>
        <w:trPr>
          <w:trHeight w:val="186"/>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Non-U.S. government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221,641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220,286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220,286</w:t>
            </w:r>
          </w:p>
        </w:tc>
        <w:tc>
          <w:tcPr>
            <w:tcW w:w="0" w:type="dxa"/>
            <w:vAlign w:val="bottom"/>
          </w:tcPr>
          <w:p>
            <w:pPr>
              <w:spacing w:after="0"/>
              <w:rPr>
                <w:sz w:val="1"/>
                <w:szCs w:val="1"/>
                <w:color w:val="auto"/>
              </w:rPr>
            </w:pPr>
          </w:p>
        </w:tc>
      </w:tr>
      <w:tr>
        <w:trPr>
          <w:trHeight w:val="192"/>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Corporate debt securities and commercial paper</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3,300,326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3,254,394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3,285,394</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marketable securities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3,897,272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624,036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3,254,394</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3,878,430</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financial assets</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4,729,896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1,410,584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3,300,470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4,711,054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Company's primary objective when investing excess cash is preservation of capital, hence the Company's marketable securities primarily consist of U.S. Treasury Securities, non-U.S government securities, high credit quality corporate debt securities and commercial paper. As the Company views its marketable securities as available to support current operations, it has classified all available for sale securities as short-term. As of March 31, 2022 and 2021,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March 31, 2022 and 2021, the Company anticipates that it will recover the entire amortized cost basis of such fixed income securities before maturity.</w:t>
      </w:r>
    </w:p>
    <w:p>
      <w:pPr>
        <w:spacing w:after="0" w:line="19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Interest earned on marketable securities was $15.6 million and $3.9 million in the three months ended March 31, 2022 and 2021, respectively. The interest is recorded as other expenses, net, in the accompanying condensed consolidated statements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contractual maturities of marketable securities:</w:t>
      </w:r>
    </w:p>
    <w:p>
      <w:pPr>
        <w:spacing w:after="0" w:line="257"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March 31, 2022</w:t>
            </w:r>
          </w:p>
        </w:tc>
        <w:tc>
          <w:tcPr>
            <w:tcW w:w="180" w:type="dxa"/>
            <w:vAlign w:val="bottom"/>
          </w:tcPr>
          <w:p>
            <w:pPr>
              <w:spacing w:after="0"/>
              <w:rPr>
                <w:sz w:val="16"/>
                <w:szCs w:val="16"/>
                <w:color w:val="auto"/>
              </w:rPr>
            </w:pPr>
          </w:p>
        </w:tc>
        <w:tc>
          <w:tcPr>
            <w:tcW w:w="232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December 31, 2021</w:t>
            </w:r>
          </w:p>
        </w:tc>
      </w:tr>
      <w:tr>
        <w:trPr>
          <w:trHeight w:val="134"/>
        </w:trPr>
        <w:tc>
          <w:tcPr>
            <w:tcW w:w="4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04"/>
              <w:spacing w:after="0" w:line="135"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Amortized</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03"/>
              <w:spacing w:after="0" w:line="135" w:lineRule="exact"/>
              <w:rPr>
                <w:sz w:val="20"/>
                <w:szCs w:val="20"/>
                <w:color w:val="auto"/>
              </w:rPr>
            </w:pPr>
            <w:r>
              <w:rPr>
                <w:rFonts w:ascii="Arial" w:cs="Arial" w:eastAsia="Arial" w:hAnsi="Arial"/>
                <w:sz w:val="14"/>
                <w:szCs w:val="14"/>
                <w:b w:val="1"/>
                <w:bCs w:val="1"/>
                <w:color w:val="auto"/>
              </w:rPr>
              <w:t>Aggregate</w:t>
            </w:r>
          </w:p>
        </w:tc>
      </w:tr>
      <w:tr>
        <w:trPr>
          <w:trHeight w:val="188"/>
        </w:trPr>
        <w:tc>
          <w:tcPr>
            <w:tcW w:w="4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20" w:type="dxa"/>
            <w:vAlign w:val="bottom"/>
            <w:gridSpan w:val="5"/>
            <w:shd w:val="clear" w:color="auto" w:fill="CCEEFF"/>
          </w:tcPr>
          <w:p>
            <w:pPr>
              <w:ind w:left="640"/>
              <w:spacing w:after="0"/>
              <w:rPr>
                <w:sz w:val="20"/>
                <w:szCs w:val="20"/>
                <w:color w:val="auto"/>
              </w:rPr>
            </w:pPr>
            <w:r>
              <w:rPr>
                <w:rFonts w:ascii="Arial" w:cs="Arial" w:eastAsia="Arial" w:hAnsi="Arial"/>
                <w:sz w:val="14"/>
                <w:szCs w:val="14"/>
                <w:color w:val="auto"/>
              </w:rPr>
              <w:t>(In thousands)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Less than one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1,066,875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1,061,276</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300"/>
              <w:spacing w:after="0"/>
              <w:rPr>
                <w:sz w:val="20"/>
                <w:szCs w:val="20"/>
                <w:color w:val="auto"/>
              </w:rPr>
            </w:pPr>
            <w:r>
              <w:rPr>
                <w:rFonts w:ascii="Arial" w:cs="Arial" w:eastAsia="Arial" w:hAnsi="Arial"/>
                <w:sz w:val="16"/>
                <w:szCs w:val="16"/>
                <w:color w:val="auto"/>
                <w:w w:val="98"/>
              </w:rPr>
              <w:t>1,084,751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1,085,006</w:t>
            </w: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to three years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2,621,083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2,545,014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8"/>
              </w:rPr>
              <w:t>2,812,521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2,793,424</w:t>
            </w:r>
          </w:p>
        </w:tc>
      </w:tr>
      <w:tr>
        <w:trPr>
          <w:trHeight w:val="207"/>
        </w:trPr>
        <w:tc>
          <w:tcPr>
            <w:tcW w:w="420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3,687,958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3,606,290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8"/>
              </w:rPr>
              <w:t>3,897,272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3,878,430</w:t>
            </w:r>
          </w:p>
        </w:tc>
      </w:tr>
      <w:tr>
        <w:trPr>
          <w:trHeight w:val="23"/>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Strategic Investments</w:t>
      </w:r>
    </w:p>
    <w:p>
      <w:pPr>
        <w:spacing w:after="0" w:line="225"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As of March 31, 2022 and December 31, 2021, the Company held strategic investments with a carrying value of $69.3 million and $68.3 million, respectively, recorded as other long-term assets in the accompanying condensed consolidated balance sheets. The carrying value of these securities is determined under the measurement alternative on a non-recurring basis and adjusted for observable changes in fair value. There were no impairments or other adjustments recorded in the three months ended March 31, 2022 and 2021 related to these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The Company’s financial liabilities that are measured at fair value on a recurring basis consist of foreign currency derivative liabilities and are classified as Level 2 financial instruments in the fair value hierarchy. As of March 31, 2022 and December 31, 2021, the aggregate fair value of these instruments and the associated gross unrealized losses were not significant.</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Company’s financial liabilities that are not measured at fair value on a recurring basis consist of its 2029 Notes and 2031 Notes, respectively. As of March 31, 2022 the fair values of the 2029 Notes and 2031 Notes were $474.4 million and $466.5 million, respectively. As of December 31, 2021, the fair value of the 2029 Notes and 2031 Notes were $510.2 million and $512.8 million,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As of December 31, 2021</w:t>
            </w:r>
          </w:p>
        </w:tc>
      </w:tr>
      <w:tr>
        <w:trPr>
          <w:trHeight w:val="185"/>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right"/>
              <w:ind w:right="222"/>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6"/>
                <w:szCs w:val="16"/>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development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213,309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198,589</w:t>
            </w: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Data center equipment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78,210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77,946</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85,297</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61,063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58,636</w:t>
            </w: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w:t>
            </w:r>
          </w:p>
        </w:tc>
      </w:tr>
      <w:tr>
        <w:trPr>
          <w:trHeight w:val="212"/>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446,334</w:t>
            </w:r>
          </w:p>
        </w:tc>
      </w:tr>
      <w:tr>
        <w:trPr>
          <w:trHeight w:val="216"/>
        </w:trPr>
        <w:tc>
          <w:tcPr>
            <w:tcW w:w="4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accumulated depreciation and amortization </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(207,501)</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(191,018)</w:t>
            </w:r>
          </w:p>
        </w:tc>
      </w:tr>
      <w:tr>
        <w:trPr>
          <w:trHeight w:val="235"/>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259,003</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255,316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right="160"/>
        <w:spacing w:after="0" w:line="236" w:lineRule="auto"/>
        <w:rPr>
          <w:sz w:val="20"/>
          <w:szCs w:val="20"/>
          <w:color w:val="auto"/>
        </w:rPr>
      </w:pPr>
      <w:r>
        <w:rPr>
          <w:rFonts w:ascii="Arial" w:cs="Arial" w:eastAsia="Arial" w:hAnsi="Arial"/>
          <w:sz w:val="9"/>
          <w:szCs w:val="9"/>
          <w:color w:val="auto"/>
        </w:rPr>
        <w:t>(</w:t>
      </w:r>
      <w:r>
        <w:rPr>
          <w:rFonts w:ascii="Arial" w:cs="Arial" w:eastAsia="Arial" w:hAnsi="Arial"/>
          <w:sz w:val="21"/>
          <w:szCs w:val="21"/>
          <w:color w:val="auto"/>
          <w:vertAlign w:val="superscript"/>
        </w:rPr>
        <w:t>1</w:t>
      </w:r>
      <w:r>
        <w:rPr>
          <w:rFonts w:ascii="Arial" w:cs="Arial" w:eastAsia="Arial" w:hAnsi="Arial"/>
          <w:sz w:val="9"/>
          <w:szCs w:val="9"/>
          <w:color w:val="auto"/>
        </w:rPr>
        <w:t xml:space="preserve">) </w:t>
      </w:r>
      <w:r>
        <w:rPr>
          <w:rFonts w:ascii="Arial" w:cs="Arial" w:eastAsia="Arial" w:hAnsi="Arial"/>
          <w:sz w:val="16"/>
          <w:szCs w:val="16"/>
          <w:color w:val="auto"/>
        </w:rPr>
        <w:t>Data center equipment contains $63.0 million in assets held under finance leases as of each March 31, 2022, and December 31,</w:t>
      </w:r>
      <w:r>
        <w:rPr>
          <w:rFonts w:ascii="Arial" w:cs="Arial" w:eastAsia="Arial" w:hAnsi="Arial"/>
          <w:sz w:val="9"/>
          <w:szCs w:val="9"/>
          <w:color w:val="auto"/>
        </w:rPr>
        <w:t xml:space="preserve"> </w:t>
      </w:r>
      <w:r>
        <w:rPr>
          <w:rFonts w:ascii="Arial" w:cs="Arial" w:eastAsia="Arial" w:hAnsi="Arial"/>
          <w:sz w:val="17"/>
          <w:szCs w:val="17"/>
          <w:color w:val="auto"/>
        </w:rPr>
        <w:t>2021</w:t>
      </w:r>
      <w:r>
        <w:rPr>
          <w:rFonts w:ascii="Arial" w:cs="Arial" w:eastAsia="Arial" w:hAnsi="Arial"/>
          <w:sz w:val="16"/>
          <w:szCs w:val="16"/>
          <w:color w:val="auto"/>
        </w:rPr>
        <w:t>. Accumulated depreciation</w:t>
      </w:r>
      <w:r>
        <w:rPr>
          <w:rFonts w:ascii="Arial" w:cs="Arial" w:eastAsia="Arial" w:hAnsi="Arial"/>
          <w:sz w:val="9"/>
          <w:szCs w:val="9"/>
          <w:color w:val="auto"/>
        </w:rPr>
        <w:t xml:space="preserve"> </w:t>
      </w:r>
      <w:r>
        <w:rPr>
          <w:rFonts w:ascii="Arial" w:cs="Arial" w:eastAsia="Arial" w:hAnsi="Arial"/>
          <w:sz w:val="16"/>
          <w:szCs w:val="16"/>
          <w:color w:val="auto"/>
        </w:rPr>
        <w:t>and amortization contains $30.1 million and $26.8 million in accumulated amortization for assets held under finance leases as of March 31, 2022, and December 31, 2021, respectively.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Depreciation and amortization expense was $16.6 million and $14.4 million in the three months ended March 31, 2022 and 2021, respectively.</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23" w:lineRule="exact"/>
        <w:rPr>
          <w:sz w:val="20"/>
          <w:szCs w:val="20"/>
          <w:color w:val="auto"/>
        </w:rPr>
      </w:pPr>
      <w:r>
        <w:rPr>
          <w:rFonts w:ascii="Arial" w:cs="Arial" w:eastAsia="Arial" w:hAnsi="Arial"/>
          <w:sz w:val="18"/>
          <w:szCs w:val="18"/>
          <w:color w:val="auto"/>
        </w:rPr>
        <w:t>The Company capitalized $14.7 million and $15.1 million in internal</w:t>
      </w:r>
      <w:r>
        <w:rPr>
          <w:rFonts w:ascii="MS PGothic" w:cs="MS PGothic" w:eastAsia="MS PGothic" w:hAnsi="MS PGothic"/>
          <w:sz w:val="18"/>
          <w:szCs w:val="18"/>
          <w:color w:val="auto"/>
        </w:rPr>
        <w:t>‑</w:t>
      </w:r>
      <w:r>
        <w:rPr>
          <w:rFonts w:ascii="Arial" w:cs="Arial" w:eastAsia="Arial" w:hAnsi="Arial"/>
          <w:sz w:val="18"/>
          <w:szCs w:val="18"/>
          <w:color w:val="auto"/>
        </w:rPr>
        <w:t>use software development costs in the three months ended March 31, 2022 and 2021,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and Hedging</w:t>
      </w:r>
    </w:p>
    <w:p>
      <w:pPr>
        <w:spacing w:after="0" w:line="229"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As of March 31, 2022, the Company had outstanding foreign currency forward contracts designated as cash flow hedges with a total sell notional value of $324.9 million. The notional value represents the amount that will be sold upon maturity of the forward contract. As of March 31, 2022, these contracts had maturities of less than 9 months.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Gains and losses associated with these foreign currency forward contracts were as follows:</w:t>
      </w:r>
    </w:p>
    <w:p>
      <w:pPr>
        <w:spacing w:after="0" w:line="312"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780" w:type="dxa"/>
            <w:vAlign w:val="bottom"/>
            <w:gridSpan w:val="2"/>
          </w:tcPr>
          <w:p>
            <w:pPr>
              <w:ind w:left="660"/>
              <w:spacing w:after="0"/>
              <w:rPr>
                <w:sz w:val="20"/>
                <w:szCs w:val="20"/>
                <w:color w:val="auto"/>
              </w:rPr>
            </w:pPr>
            <w:r>
              <w:rPr>
                <w:rFonts w:ascii="Arial" w:cs="Arial" w:eastAsia="Arial" w:hAnsi="Arial"/>
                <w:sz w:val="16"/>
                <w:szCs w:val="16"/>
                <w:b w:val="1"/>
                <w:bCs w:val="1"/>
                <w:color w:val="auto"/>
              </w:rPr>
              <w:t>Consolidated Statement of</w:t>
            </w:r>
          </w:p>
        </w:tc>
        <w:tc>
          <w:tcPr>
            <w:tcW w:w="660" w:type="dxa"/>
            <w:vAlign w:val="bottom"/>
          </w:tcPr>
          <w:p>
            <w:pPr>
              <w:spacing w:after="0"/>
              <w:rPr>
                <w:sz w:val="16"/>
                <w:szCs w:val="16"/>
                <w:color w:val="auto"/>
              </w:rPr>
            </w:pPr>
          </w:p>
        </w:tc>
        <w:tc>
          <w:tcPr>
            <w:tcW w:w="2300" w:type="dxa"/>
            <w:vAlign w:val="bottom"/>
            <w:gridSpan w:val="3"/>
            <w:vMerge w:val="restart"/>
          </w:tcPr>
          <w:p>
            <w:pPr>
              <w:jc w:val="right"/>
              <w:ind w:right="185"/>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3"/>
        </w:trPr>
        <w:tc>
          <w:tcPr>
            <w:tcW w:w="2540" w:type="dxa"/>
            <w:vAlign w:val="bottom"/>
          </w:tcPr>
          <w:p>
            <w:pPr>
              <w:spacing w:after="0"/>
              <w:rPr>
                <w:sz w:val="12"/>
                <w:szCs w:val="12"/>
                <w:color w:val="auto"/>
              </w:rPr>
            </w:pPr>
          </w:p>
        </w:tc>
        <w:tc>
          <w:tcPr>
            <w:tcW w:w="278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90"/>
              </w:rPr>
              <w:t>Operations and Statement of</w:t>
            </w:r>
          </w:p>
        </w:tc>
        <w:tc>
          <w:tcPr>
            <w:tcW w:w="6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Comprehensive Loss</w:t>
            </w:r>
          </w:p>
        </w:tc>
        <w:tc>
          <w:tcPr>
            <w:tcW w:w="660" w:type="dxa"/>
            <w:vAlign w:val="bottom"/>
          </w:tcPr>
          <w:p>
            <w:pPr>
              <w:spacing w:after="0"/>
              <w:rPr>
                <w:sz w:val="18"/>
                <w:szCs w:val="18"/>
                <w:color w:val="auto"/>
              </w:rPr>
            </w:pPr>
          </w:p>
        </w:tc>
        <w:tc>
          <w:tcPr>
            <w:tcW w:w="1060" w:type="dxa"/>
            <w:vAlign w:val="bottom"/>
          </w:tcPr>
          <w:p>
            <w:pPr>
              <w:jc w:val="right"/>
              <w:ind w:right="504"/>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8"/>
                <w:szCs w:val="18"/>
                <w:color w:val="auto"/>
              </w:rPr>
            </w:pPr>
          </w:p>
        </w:tc>
        <w:tc>
          <w:tcPr>
            <w:tcW w:w="700" w:type="dxa"/>
            <w:vAlign w:val="bottom"/>
          </w:tcPr>
          <w:p>
            <w:pPr>
              <w:jc w:val="right"/>
              <w:ind w:right="22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6"/>
                <w:szCs w:val="16"/>
                <w:color w:val="auto"/>
              </w:rPr>
              <w:t>(In thousands)</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color w:val="auto"/>
              </w:rPr>
              <w:t>Losses recognized in OCI</w:t>
            </w:r>
          </w:p>
        </w:tc>
        <w:tc>
          <w:tcPr>
            <w:tcW w:w="27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9"/>
              </w:rPr>
              <w:t>Net change in market value of effective</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4"/>
                <w:szCs w:val="14"/>
                <w:color w:val="auto"/>
              </w:rPr>
              <w:t>3,852</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foreign currency forward exchange</w:t>
            </w:r>
          </w:p>
        </w:tc>
        <w:tc>
          <w:tcPr>
            <w:tcW w:w="6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contracts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line="166" w:lineRule="exact"/>
              <w:rPr>
                <w:sz w:val="20"/>
                <w:szCs w:val="20"/>
                <w:color w:val="auto"/>
              </w:rPr>
            </w:pPr>
            <w:r>
              <w:rPr>
                <w:rFonts w:ascii="Arial" w:cs="Arial" w:eastAsia="Arial" w:hAnsi="Arial"/>
                <w:sz w:val="16"/>
                <w:szCs w:val="16"/>
                <w:color w:val="auto"/>
                <w:w w:val="98"/>
              </w:rPr>
              <w:t>Losses recognized in income due to</w:t>
            </w:r>
          </w:p>
        </w:tc>
        <w:tc>
          <w:tcPr>
            <w:tcW w:w="2780" w:type="dxa"/>
            <w:vAlign w:val="bottom"/>
            <w:gridSpan w:val="2"/>
          </w:tcPr>
          <w:p>
            <w:pPr>
              <w:ind w:left="500"/>
              <w:spacing w:after="0" w:line="166" w:lineRule="exact"/>
              <w:rPr>
                <w:sz w:val="20"/>
                <w:szCs w:val="20"/>
                <w:color w:val="auto"/>
              </w:rPr>
            </w:pPr>
            <w:r>
              <w:rPr>
                <w:rFonts w:ascii="Arial" w:cs="Arial" w:eastAsia="Arial" w:hAnsi="Arial"/>
                <w:sz w:val="16"/>
                <w:szCs w:val="16"/>
                <w:color w:val="auto"/>
              </w:rPr>
              <w:t>Cost of revenue</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4"/>
              <w:spacing w:after="0"/>
              <w:rPr>
                <w:sz w:val="20"/>
                <w:szCs w:val="20"/>
                <w:color w:val="auto"/>
              </w:rPr>
            </w:pPr>
            <w:r>
              <w:rPr>
                <w:rFonts w:ascii="Arial" w:cs="Arial" w:eastAsia="Arial" w:hAnsi="Arial"/>
                <w:sz w:val="14"/>
                <w:szCs w:val="14"/>
                <w:color w:val="auto"/>
              </w:rPr>
              <w:t>1,597</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160"/>
              <w:spacing w:after="0"/>
              <w:rPr>
                <w:sz w:val="20"/>
                <w:szCs w:val="20"/>
                <w:color w:val="auto"/>
              </w:rPr>
            </w:pPr>
            <w:r>
              <w:rPr>
                <w:rFonts w:ascii="Arial" w:cs="Arial" w:eastAsia="Arial" w:hAnsi="Arial"/>
                <w:sz w:val="16"/>
                <w:szCs w:val="16"/>
                <w:color w:val="auto"/>
              </w:rPr>
              <w:t>instruments maturing</w:t>
            </w: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March 31, 2022, the Company did not have any offsetting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During 2022, the Company completed a business combination for an aggregate accounting purchase price of $32.7 million, of which $25.7 million was allocated to goodwill and $8.2 million was allocated to intangible assets.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goodwill balance as of March 31, 2022 and December 31, 2021 was as follows:</w:t>
      </w:r>
    </w:p>
    <w:p>
      <w:pPr>
        <w:spacing w:after="0" w:line="203"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185"/>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Arial" w:cs="Arial" w:eastAsia="Arial" w:hAnsi="Arial"/>
                <w:sz w:val="14"/>
                <w:szCs w:val="14"/>
                <w:color w:val="auto"/>
              </w:rPr>
              <w:t>(In thousands)</w:t>
            </w:r>
          </w:p>
        </w:tc>
      </w:tr>
      <w:tr>
        <w:trPr>
          <w:trHeight w:val="219"/>
        </w:trPr>
        <w:tc>
          <w:tcPr>
            <w:tcW w:w="8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Balance as of December 31, 2021</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5,263,166</w:t>
            </w:r>
          </w:p>
        </w:tc>
      </w:tr>
      <w:tr>
        <w:trPr>
          <w:trHeight w:val="213"/>
        </w:trPr>
        <w:tc>
          <w:tcPr>
            <w:tcW w:w="828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Goodwill additions and adjustments</w:t>
            </w: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23,517</w:t>
            </w:r>
          </w:p>
        </w:tc>
      </w:tr>
      <w:tr>
        <w:trPr>
          <w:trHeight w:val="234"/>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Balance as of March 31, 2022</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5,286,683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3"/>
              </w:rPr>
              <w:t>As of March 31, 2022</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Gross</w:t>
            </w:r>
          </w:p>
        </w:tc>
        <w:tc>
          <w:tcPr>
            <w:tcW w:w="860" w:type="dxa"/>
            <w:vAlign w:val="bottom"/>
          </w:tcPr>
          <w:p>
            <w:pPr>
              <w:spacing w:after="0"/>
              <w:rPr>
                <w:sz w:val="11"/>
                <w:szCs w:val="11"/>
                <w:color w:val="auto"/>
              </w:rPr>
            </w:pPr>
          </w:p>
        </w:tc>
        <w:tc>
          <w:tcPr>
            <w:tcW w:w="13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spacing w:after="0"/>
              <w:rPr>
                <w:sz w:val="11"/>
                <w:szCs w:val="11"/>
                <w:color w:val="auto"/>
              </w:rPr>
            </w:pPr>
          </w:p>
        </w:tc>
        <w:tc>
          <w:tcPr>
            <w:tcW w:w="11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Amortizable intangible assets:</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1"/>
              </w:rPr>
              <w:t>(In thousands)</w:t>
            </w: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860"/>
              <w:spacing w:after="0"/>
              <w:rPr>
                <w:sz w:val="20"/>
                <w:szCs w:val="20"/>
                <w:color w:val="auto"/>
              </w:rPr>
            </w:pPr>
            <w:r>
              <w:rPr>
                <w:rFonts w:ascii="Arial" w:cs="Arial" w:eastAsia="Arial" w:hAnsi="Arial"/>
                <w:sz w:val="18"/>
                <w:szCs w:val="18"/>
                <w:color w:val="auto"/>
              </w:rPr>
              <w:t>Developed technology</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796,231</w:t>
            </w:r>
          </w:p>
        </w:tc>
        <w:tc>
          <w:tcPr>
            <w:tcW w:w="1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(251,248)</w:t>
            </w:r>
          </w:p>
        </w:tc>
        <w:tc>
          <w:tcPr>
            <w:tcW w:w="1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544,983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392,236</w:t>
            </w:r>
          </w:p>
        </w:tc>
        <w:tc>
          <w:tcPr>
            <w:tcW w:w="0" w:type="dxa"/>
            <w:vAlign w:val="bottom"/>
          </w:tcPr>
          <w:p>
            <w:pPr>
              <w:spacing w:after="0"/>
              <w:rPr>
                <w:sz w:val="1"/>
                <w:szCs w:val="1"/>
                <w:color w:val="auto"/>
              </w:rPr>
            </w:pPr>
          </w:p>
        </w:tc>
      </w:tr>
      <w:tr>
        <w:trPr>
          <w:trHeight w:val="230"/>
        </w:trPr>
        <w:tc>
          <w:tcPr>
            <w:tcW w:w="3940" w:type="dxa"/>
            <w:vAlign w:val="bottom"/>
          </w:tcPr>
          <w:p>
            <w:pPr>
              <w:ind w:left="860"/>
              <w:spacing w:after="0"/>
              <w:rPr>
                <w:sz w:val="20"/>
                <w:szCs w:val="20"/>
                <w:color w:val="auto"/>
              </w:rPr>
            </w:pPr>
            <w:r>
              <w:rPr>
                <w:rFonts w:ascii="Arial" w:cs="Arial" w:eastAsia="Arial" w:hAnsi="Arial"/>
                <w:sz w:val="18"/>
                <w:szCs w:val="18"/>
                <w:color w:val="auto"/>
              </w:rPr>
              <w:t>Supplier relationships</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45,556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Trade names</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30"/>
        </w:trPr>
        <w:tc>
          <w:tcPr>
            <w:tcW w:w="3940" w:type="dxa"/>
            <w:vAlign w:val="bottom"/>
          </w:tcPr>
          <w:p>
            <w:pPr>
              <w:ind w:left="860"/>
              <w:spacing w:after="0"/>
              <w:rPr>
                <w:sz w:val="20"/>
                <w:szCs w:val="20"/>
                <w:color w:val="auto"/>
              </w:rPr>
            </w:pPr>
            <w:r>
              <w:rPr>
                <w:rFonts w:ascii="Arial" w:cs="Arial" w:eastAsia="Arial" w:hAnsi="Arial"/>
                <w:sz w:val="18"/>
                <w:szCs w:val="18"/>
                <w:color w:val="auto"/>
              </w:rPr>
              <w:t>Order backlog</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Patent</w:t>
            </w:r>
          </w:p>
        </w:tc>
        <w:tc>
          <w:tcPr>
            <w:tcW w:w="1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Total amortizable intangible assets</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1,437,663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(436,186)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1,001,477</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Non-amortizable intangible assets:</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860"/>
              <w:spacing w:after="0"/>
              <w:rPr>
                <w:sz w:val="20"/>
                <w:szCs w:val="20"/>
                <w:color w:val="auto"/>
              </w:rPr>
            </w:pPr>
            <w:r>
              <w:rPr>
                <w:rFonts w:ascii="Arial" w:cs="Arial" w:eastAsia="Arial" w:hAnsi="Arial"/>
                <w:sz w:val="18"/>
                <w:szCs w:val="18"/>
                <w:color w:val="auto"/>
              </w:rPr>
              <w:t>Telecommunication licenses</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Trademarks and other</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3940" w:type="dxa"/>
            <w:vAlign w:val="bottom"/>
          </w:tcPr>
          <w:p>
            <w:pPr>
              <w:ind w:left="110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1,442,878</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(436,186)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1,006,692</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794,831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(222,765)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572,066</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Supplier relationships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42,180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Order backlog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1,044,797</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Telecommunication licenses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1,434,685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1,050,012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was $51.5 million and $45.2 million for the three months ended March 31, 2022 and 2021, respectively.</w:t>
      </w: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estimated future amortization expense is as follows:</w:t>
      </w:r>
    </w:p>
    <w:p>
      <w:pPr>
        <w:spacing w:after="0" w:line="271" w:lineRule="exact"/>
        <w:rPr>
          <w:sz w:val="20"/>
          <w:szCs w:val="20"/>
          <w:color w:val="auto"/>
        </w:rPr>
      </w:pPr>
    </w:p>
    <w:tbl>
      <w:tblPr>
        <w:tblLayout w:type="fixed"/>
        <w:tblInd w:w="21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61"/>
              <w:spacing w:after="0"/>
              <w:rPr>
                <w:sz w:val="20"/>
                <w:szCs w:val="20"/>
                <w:color w:val="auto"/>
              </w:rPr>
            </w:pPr>
            <w:r>
              <w:rPr>
                <w:rFonts w:ascii="Arial" w:cs="Arial" w:eastAsia="Arial" w:hAnsi="Arial"/>
                <w:sz w:val="14"/>
                <w:szCs w:val="14"/>
                <w:b w:val="1"/>
                <w:bCs w:val="1"/>
                <w:color w:val="auto"/>
                <w:w w:val="93"/>
              </w:rPr>
              <w:t>As of March 31, 2022</w:t>
            </w:r>
          </w:p>
        </w:tc>
        <w:tc>
          <w:tcPr>
            <w:tcW w:w="0" w:type="dxa"/>
            <w:vAlign w:val="bottom"/>
          </w:tcPr>
          <w:p>
            <w:pPr>
              <w:spacing w:after="0"/>
              <w:rPr>
                <w:sz w:val="1"/>
                <w:szCs w:val="1"/>
                <w:color w:val="auto"/>
              </w:rPr>
            </w:pPr>
          </w:p>
        </w:tc>
      </w:tr>
      <w:tr>
        <w:trPr>
          <w:trHeight w:val="26"/>
        </w:trPr>
        <w:tc>
          <w:tcPr>
            <w:tcW w:w="5340" w:type="dxa"/>
            <w:vAlign w:val="bottom"/>
            <w:gridSpan w:val="3"/>
            <w:vMerge w:val="restart"/>
          </w:tcPr>
          <w:p>
            <w:pPr>
              <w:ind w:left="20"/>
              <w:spacing w:after="0"/>
              <w:rPr>
                <w:sz w:val="20"/>
                <w:szCs w:val="20"/>
                <w:color w:val="auto"/>
              </w:rPr>
            </w:pPr>
            <w:r>
              <w:rPr>
                <w:rFonts w:ascii="Arial" w:cs="Arial" w:eastAsia="Arial" w:hAnsi="Arial"/>
                <w:sz w:val="16"/>
                <w:szCs w:val="16"/>
                <w:color w:val="auto"/>
              </w:rPr>
              <w:t>Year Ended December 31,</w:t>
            </w: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301"/>
              <w:spacing w:after="0" w:line="155"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2022 (remaining nine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154,826</w:t>
            </w:r>
          </w:p>
        </w:tc>
        <w:tc>
          <w:tcPr>
            <w:tcW w:w="0" w:type="dxa"/>
            <w:vAlign w:val="bottom"/>
          </w:tcPr>
          <w:p>
            <w:pPr>
              <w:spacing w:after="0"/>
              <w:rPr>
                <w:sz w:val="1"/>
                <w:szCs w:val="1"/>
                <w:color w:val="auto"/>
              </w:rPr>
            </w:pP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2023</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203,128</w:t>
            </w:r>
          </w:p>
        </w:tc>
        <w:tc>
          <w:tcPr>
            <w:tcW w:w="0" w:type="dxa"/>
            <w:vAlign w:val="bottom"/>
          </w:tcPr>
          <w:p>
            <w:pPr>
              <w:spacing w:after="0"/>
              <w:rPr>
                <w:sz w:val="1"/>
                <w:szCs w:val="1"/>
                <w:color w:val="auto"/>
              </w:rPr>
            </w:pP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197,693</w:t>
            </w:r>
          </w:p>
        </w:tc>
        <w:tc>
          <w:tcPr>
            <w:tcW w:w="0" w:type="dxa"/>
            <w:vAlign w:val="bottom"/>
          </w:tcPr>
          <w:p>
            <w:pPr>
              <w:spacing w:after="0"/>
              <w:rPr>
                <w:sz w:val="1"/>
                <w:szCs w:val="1"/>
                <w:color w:val="auto"/>
              </w:rPr>
            </w:pP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194,119</w:t>
            </w:r>
          </w:p>
        </w:tc>
        <w:tc>
          <w:tcPr>
            <w:tcW w:w="0" w:type="dxa"/>
            <w:vAlign w:val="bottom"/>
          </w:tcPr>
          <w:p>
            <w:pPr>
              <w:spacing w:after="0"/>
              <w:rPr>
                <w:sz w:val="1"/>
                <w:szCs w:val="1"/>
                <w:color w:val="auto"/>
              </w:rPr>
            </w:pP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120,493</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131,218</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1,001,477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71"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r>
      <w:tr>
        <w:trPr>
          <w:trHeight w:val="26"/>
        </w:trPr>
        <w:tc>
          <w:tcPr>
            <w:tcW w:w="4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4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20" w:type="dxa"/>
            <w:vAlign w:val="bottom"/>
            <w:gridSpan w:val="3"/>
          </w:tcPr>
          <w:p>
            <w:pPr>
              <w:jc w:val="right"/>
              <w:ind w:right="402"/>
              <w:spacing w:after="0"/>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7"/>
                <w:szCs w:val="17"/>
                <w:color w:val="auto"/>
              </w:rPr>
            </w:pPr>
          </w:p>
        </w:tc>
      </w:tr>
      <w:tr>
        <w:trPr>
          <w:trHeight w:val="219"/>
        </w:trPr>
        <w:tc>
          <w:tcPr>
            <w:tcW w:w="4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payroll and related</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84,255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78,780</w:t>
            </w:r>
          </w:p>
        </w:tc>
      </w:tr>
      <w:tr>
        <w:trPr>
          <w:trHeight w:val="213"/>
        </w:trPr>
        <w:tc>
          <w:tcPr>
            <w:tcW w:w="4840" w:type="dxa"/>
            <w:vAlign w:val="bottom"/>
          </w:tcPr>
          <w:p>
            <w:pPr>
              <w:ind w:left="660"/>
              <w:spacing w:after="0"/>
              <w:rPr>
                <w:sz w:val="20"/>
                <w:szCs w:val="20"/>
                <w:color w:val="auto"/>
              </w:rPr>
            </w:pPr>
            <w:r>
              <w:rPr>
                <w:rFonts w:ascii="Arial" w:cs="Arial" w:eastAsia="Arial" w:hAnsi="Arial"/>
                <w:sz w:val="16"/>
                <w:szCs w:val="16"/>
                <w:color w:val="auto"/>
              </w:rPr>
              <w:t>Accrued bonus and commission</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30,533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64,665</w:t>
            </w:r>
          </w:p>
        </w:tc>
      </w:tr>
      <w:tr>
        <w:trPr>
          <w:trHeight w:val="219"/>
        </w:trPr>
        <w:tc>
          <w:tcPr>
            <w:tcW w:w="4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cost of revenue</w:t>
            </w: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153,571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118,004</w:t>
            </w:r>
          </w:p>
        </w:tc>
      </w:tr>
      <w:tr>
        <w:trPr>
          <w:trHeight w:val="213"/>
        </w:trPr>
        <w:tc>
          <w:tcPr>
            <w:tcW w:w="4840" w:type="dxa"/>
            <w:vAlign w:val="bottom"/>
          </w:tcPr>
          <w:p>
            <w:pPr>
              <w:ind w:left="660"/>
              <w:spacing w:after="0"/>
              <w:rPr>
                <w:sz w:val="20"/>
                <w:szCs w:val="20"/>
                <w:color w:val="auto"/>
              </w:rPr>
            </w:pPr>
            <w:r>
              <w:rPr>
                <w:rFonts w:ascii="Arial" w:cs="Arial" w:eastAsia="Arial" w:hAnsi="Arial"/>
                <w:sz w:val="16"/>
                <w:szCs w:val="16"/>
                <w:color w:val="auto"/>
              </w:rPr>
              <w:t>Sales and other taxes payable</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67,123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61,975</w:t>
            </w:r>
          </w:p>
        </w:tc>
      </w:tr>
      <w:tr>
        <w:trPr>
          <w:trHeight w:val="219"/>
        </w:trPr>
        <w:tc>
          <w:tcPr>
            <w:tcW w:w="4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ESPP contributions</w:t>
            </w: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10,284</w:t>
            </w:r>
          </w:p>
        </w:tc>
      </w:tr>
      <w:tr>
        <w:trPr>
          <w:trHeight w:val="213"/>
        </w:trPr>
        <w:tc>
          <w:tcPr>
            <w:tcW w:w="4840" w:type="dxa"/>
            <w:vAlign w:val="bottom"/>
          </w:tcPr>
          <w:p>
            <w:pPr>
              <w:ind w:left="660"/>
              <w:spacing w:after="0"/>
              <w:rPr>
                <w:sz w:val="20"/>
                <w:szCs w:val="20"/>
                <w:color w:val="auto"/>
              </w:rPr>
            </w:pPr>
            <w:r>
              <w:rPr>
                <w:rFonts w:ascii="Arial" w:cs="Arial" w:eastAsia="Arial" w:hAnsi="Arial"/>
                <w:sz w:val="16"/>
                <w:szCs w:val="16"/>
                <w:color w:val="auto"/>
              </w:rPr>
              <w:t>Finance lease liability, current</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12,254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12,370</w:t>
            </w:r>
          </w:p>
        </w:tc>
      </w:tr>
      <w:tr>
        <w:trPr>
          <w:trHeight w:val="216"/>
        </w:trPr>
        <w:tc>
          <w:tcPr>
            <w:tcW w:w="4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other expense</w:t>
            </w:r>
          </w:p>
        </w:tc>
        <w:tc>
          <w:tcPr>
            <w:tcW w:w="7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59,751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71,425</w:t>
            </w:r>
          </w:p>
        </w:tc>
      </w:tr>
      <w:tr>
        <w:trPr>
          <w:trHeight w:val="213"/>
        </w:trPr>
        <w:tc>
          <w:tcPr>
            <w:tcW w:w="4840" w:type="dxa"/>
            <w:vAlign w:val="bottom"/>
          </w:tcPr>
          <w:p>
            <w:pPr>
              <w:ind w:left="860"/>
              <w:spacing w:after="0"/>
              <w:rPr>
                <w:sz w:val="20"/>
                <w:szCs w:val="20"/>
                <w:color w:val="auto"/>
              </w:rPr>
            </w:pPr>
            <w:r>
              <w:rPr>
                <w:rFonts w:ascii="Arial" w:cs="Arial" w:eastAsia="Arial" w:hAnsi="Arial"/>
                <w:sz w:val="16"/>
                <w:szCs w:val="16"/>
                <w:color w:val="auto"/>
              </w:rPr>
              <w:t>Total accrued expenses and other 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433,668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417,503</w:t>
            </w:r>
          </w:p>
        </w:tc>
      </w:tr>
      <w:tr>
        <w:trPr>
          <w:trHeight w:val="20"/>
        </w:trPr>
        <w:tc>
          <w:tcPr>
            <w:tcW w:w="4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net, consisted of the following:</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r>
      <w:tr>
        <w:trPr>
          <w:trHeight w:val="25"/>
        </w:trPr>
        <w:tc>
          <w:tcPr>
            <w:tcW w:w="39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40" w:type="dxa"/>
            <w:vAlign w:val="bottom"/>
            <w:gridSpan w:val="3"/>
          </w:tcPr>
          <w:p>
            <w:pPr>
              <w:jc w:val="right"/>
              <w:ind w:right="382"/>
              <w:spacing w:after="0"/>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7"/>
                <w:szCs w:val="17"/>
                <w:color w:val="auto"/>
              </w:rPr>
            </w:pPr>
          </w:p>
        </w:tc>
      </w:tr>
      <w:tr>
        <w:trPr>
          <w:trHeight w:val="219"/>
        </w:trPr>
        <w:tc>
          <w:tcPr>
            <w:tcW w:w="3980" w:type="dxa"/>
            <w:vAlign w:val="bottom"/>
            <w:shd w:val="clear" w:color="auto" w:fill="CCEEFF"/>
          </w:tcPr>
          <w:p>
            <w:pPr>
              <w:ind w:left="880"/>
              <w:spacing w:after="0"/>
              <w:rPr>
                <w:sz w:val="20"/>
                <w:szCs w:val="20"/>
                <w:color w:val="auto"/>
              </w:rPr>
            </w:pPr>
            <w:r>
              <w:rPr>
                <w:rFonts w:ascii="Arial" w:cs="Arial" w:eastAsia="Arial" w:hAnsi="Arial"/>
                <w:sz w:val="16"/>
                <w:szCs w:val="16"/>
                <w:b w:val="1"/>
                <w:bCs w:val="1"/>
                <w:color w:val="auto"/>
              </w:rPr>
              <w:t>2029 Senior Notes</w:t>
            </w:r>
          </w:p>
        </w:tc>
        <w:tc>
          <w:tcPr>
            <w:tcW w:w="7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980" w:type="dxa"/>
            <w:vAlign w:val="bottom"/>
          </w:tcPr>
          <w:p>
            <w:pPr>
              <w:ind w:left="980"/>
              <w:spacing w:after="0"/>
              <w:rPr>
                <w:sz w:val="20"/>
                <w:szCs w:val="20"/>
                <w:color w:val="auto"/>
              </w:rPr>
            </w:pPr>
            <w:r>
              <w:rPr>
                <w:rFonts w:ascii="Arial" w:cs="Arial" w:eastAsia="Arial" w:hAnsi="Arial"/>
                <w:sz w:val="16"/>
                <w:szCs w:val="16"/>
                <w:color w:val="auto"/>
              </w:rPr>
              <w:t>Principal</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118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9"/>
        </w:trPr>
        <w:tc>
          <w:tcPr>
            <w:tcW w:w="39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Unamortized discount</w:t>
            </w:r>
          </w:p>
        </w:tc>
        <w:tc>
          <w:tcPr>
            <w:tcW w:w="7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r>
      <w:tr>
        <w:trPr>
          <w:trHeight w:val="213"/>
        </w:trPr>
        <w:tc>
          <w:tcPr>
            <w:tcW w:w="398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Unamortized issuance costs</w:t>
            </w: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r>
      <w:tr>
        <w:trPr>
          <w:trHeight w:val="213"/>
        </w:trPr>
        <w:tc>
          <w:tcPr>
            <w:tcW w:w="39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carrying amount</w:t>
            </w:r>
          </w:p>
        </w:tc>
        <w:tc>
          <w:tcPr>
            <w:tcW w:w="7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493,227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493,013</w:t>
            </w:r>
          </w:p>
        </w:tc>
      </w:tr>
      <w:tr>
        <w:trPr>
          <w:trHeight w:val="193"/>
        </w:trPr>
        <w:tc>
          <w:tcPr>
            <w:tcW w:w="3980" w:type="dxa"/>
            <w:vAlign w:val="bottom"/>
          </w:tcPr>
          <w:p>
            <w:pPr>
              <w:ind w:left="880"/>
              <w:spacing w:after="0"/>
              <w:rPr>
                <w:sz w:val="20"/>
                <w:szCs w:val="20"/>
                <w:color w:val="auto"/>
              </w:rPr>
            </w:pPr>
            <w:r>
              <w:rPr>
                <w:rFonts w:ascii="Arial" w:cs="Arial" w:eastAsia="Arial" w:hAnsi="Arial"/>
                <w:sz w:val="16"/>
                <w:szCs w:val="16"/>
                <w:b w:val="1"/>
                <w:bCs w:val="1"/>
                <w:color w:val="auto"/>
              </w:rPr>
              <w:t>2031 Senior Notes</w:t>
            </w: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39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Principal</w:t>
            </w:r>
          </w:p>
        </w:tc>
        <w:tc>
          <w:tcPr>
            <w:tcW w:w="7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3980" w:type="dxa"/>
            <w:vAlign w:val="bottom"/>
          </w:tcPr>
          <w:p>
            <w:pPr>
              <w:ind w:left="980"/>
              <w:spacing w:after="0"/>
              <w:rPr>
                <w:sz w:val="20"/>
                <w:szCs w:val="20"/>
                <w:color w:val="auto"/>
              </w:rPr>
            </w:pPr>
            <w:r>
              <w:rPr>
                <w:rFonts w:ascii="Arial" w:cs="Arial" w:eastAsia="Arial" w:hAnsi="Arial"/>
                <w:sz w:val="16"/>
                <w:szCs w:val="16"/>
                <w:color w:val="auto"/>
              </w:rPr>
              <w:t>Unamortized discount</w:t>
            </w:r>
          </w:p>
        </w:tc>
        <w:tc>
          <w:tcPr>
            <w:tcW w:w="7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(5,832)</w:t>
            </w:r>
          </w:p>
        </w:tc>
      </w:tr>
      <w:tr>
        <w:trPr>
          <w:trHeight w:val="219"/>
        </w:trPr>
        <w:tc>
          <w:tcPr>
            <w:tcW w:w="39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Unamortized issuance costs</w:t>
            </w:r>
          </w:p>
        </w:tc>
        <w:tc>
          <w:tcPr>
            <w:tcW w:w="7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6"/>
        </w:trPr>
        <w:tc>
          <w:tcPr>
            <w:tcW w:w="398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Net carrying amount</w:t>
            </w: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493,016</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492,894</w:t>
            </w:r>
          </w:p>
        </w:tc>
      </w:tr>
      <w:tr>
        <w:trPr>
          <w:trHeight w:val="238"/>
        </w:trPr>
        <w:tc>
          <w:tcPr>
            <w:tcW w:w="39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Total long-term debt,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986,243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985,907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the Company was in compliance with all of its financial covenants under the Indenture.</w:t>
      </w:r>
    </w:p>
    <w:p>
      <w:pPr>
        <w:spacing w:after="0" w:line="200" w:lineRule="exact"/>
        <w:rPr>
          <w:sz w:val="20"/>
          <w:szCs w:val="20"/>
          <w:color w:val="auto"/>
        </w:rPr>
      </w:pPr>
    </w:p>
    <w:p>
      <w:pPr>
        <w:spacing w:after="0" w:line="36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by Geographic Area</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Revenue by geographic area is based on the IP address or the mailing address at the time of registration. The following table sets forth revenue by geographic area:</w:t>
      </w:r>
    </w:p>
    <w:p>
      <w:pPr>
        <w:spacing w:after="0" w:line="202"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3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197"/>
        </w:trPr>
        <w:tc>
          <w:tcPr>
            <w:tcW w:w="3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Revenue by geographic area:</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w w:val="91"/>
              </w:rPr>
              <w:t>(In thousands)</w:t>
            </w:r>
          </w:p>
        </w:tc>
        <w:tc>
          <w:tcPr>
            <w:tcW w:w="1040" w:type="dxa"/>
            <w:vAlign w:val="bottom"/>
            <w:shd w:val="clear" w:color="auto" w:fill="CCEEFF"/>
          </w:tcPr>
          <w:p>
            <w:pPr>
              <w:spacing w:after="0"/>
              <w:rPr>
                <w:sz w:val="17"/>
                <w:szCs w:val="17"/>
                <w:color w:val="auto"/>
              </w:rPr>
            </w:pPr>
          </w:p>
        </w:tc>
      </w:tr>
      <w:tr>
        <w:trPr>
          <w:trHeight w:val="213"/>
        </w:trPr>
        <w:tc>
          <w:tcPr>
            <w:tcW w:w="3660" w:type="dxa"/>
            <w:vAlign w:val="bottom"/>
          </w:tcPr>
          <w:p>
            <w:pPr>
              <w:ind w:left="860"/>
              <w:spacing w:after="0"/>
              <w:rPr>
                <w:sz w:val="20"/>
                <w:szCs w:val="20"/>
                <w:color w:val="auto"/>
              </w:rPr>
            </w:pPr>
            <w:r>
              <w:rPr>
                <w:rFonts w:ascii="Arial" w:cs="Arial" w:eastAsia="Arial" w:hAnsi="Arial"/>
                <w:sz w:val="16"/>
                <w:szCs w:val="16"/>
                <w:color w:val="auto"/>
              </w:rPr>
              <w:t>United States</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w w:val="93"/>
              </w:rPr>
              <w:t>570,380</w:t>
            </w: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421,531</w:t>
            </w:r>
          </w:p>
        </w:tc>
      </w:tr>
      <w:tr>
        <w:trPr>
          <w:trHeight w:val="219"/>
        </w:trPr>
        <w:tc>
          <w:tcPr>
            <w:tcW w:w="36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International</w:t>
            </w:r>
          </w:p>
        </w:tc>
        <w:tc>
          <w:tcPr>
            <w:tcW w:w="9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93"/>
              </w:rPr>
              <w:t>304,983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168,457</w:t>
            </w:r>
          </w:p>
        </w:tc>
      </w:tr>
      <w:tr>
        <w:trPr>
          <w:trHeight w:val="206"/>
        </w:trPr>
        <w:tc>
          <w:tcPr>
            <w:tcW w:w="3660" w:type="dxa"/>
            <w:vAlign w:val="bottom"/>
          </w:tcPr>
          <w:p>
            <w:pPr>
              <w:ind w:left="110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w w:val="93"/>
              </w:rPr>
              <w:t>875,363</w:t>
            </w: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589,988</w:t>
            </w:r>
          </w:p>
        </w:tc>
      </w:tr>
      <w:tr>
        <w:trPr>
          <w:trHeight w:val="24"/>
        </w:trPr>
        <w:tc>
          <w:tcPr>
            <w:tcW w:w="366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122"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4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Percentage of revenue by geographic area:</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4120" w:type="dxa"/>
            <w:vAlign w:val="bottom"/>
          </w:tcPr>
          <w:p>
            <w:pPr>
              <w:ind w:left="860"/>
              <w:spacing w:after="0"/>
              <w:rPr>
                <w:sz w:val="20"/>
                <w:szCs w:val="20"/>
                <w:color w:val="auto"/>
              </w:rPr>
            </w:pPr>
            <w:r>
              <w:rPr>
                <w:rFonts w:ascii="Arial" w:cs="Arial" w:eastAsia="Arial" w:hAnsi="Arial"/>
                <w:sz w:val="16"/>
                <w:szCs w:val="16"/>
                <w:color w:val="auto"/>
              </w:rPr>
              <w:t>United States</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65</w:t>
            </w:r>
          </w:p>
        </w:tc>
        <w:tc>
          <w:tcPr>
            <w:tcW w:w="9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71</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International</w:t>
            </w: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35</w:t>
            </w:r>
          </w:p>
        </w:tc>
        <w:tc>
          <w:tcPr>
            <w:tcW w:w="9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29</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Long-lived assets outside of the United States were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ind w:left="1300" w:hanging="806"/>
        <w:spacing w:after="0"/>
        <w:tabs>
          <w:tab w:leader="none" w:pos="130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and Other Commitments</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Company has entered into various non-cancelable operating lease agreements for its facilities. In the three months ended March 31, 2022, the Company did not enter into any significant new lease agreements.</w:t>
      </w:r>
    </w:p>
    <w:p>
      <w:pPr>
        <w:spacing w:after="0" w:line="17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Additionally, the Company has non-cancelable contractual commitments with its cloud infrastructure provider, network service providers and other vendors. In the three months ended March 31, 2022, the Company entered into several such agreements with terms up to three years for a total purchase commitment of $30.2 million.</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February 2021, the Company entered into a Framework Agreement, as subsequently amended, with Syniverse Corporation (“Syniverse”) and Carlyle Partners V Holdings, L.P. (“Carlyle”) (the “Framework Agreement”), pursuant to which Syniverse would issue to the Company shares of Syniverse common stock in consideration for an investment by the Company of $500.0 million to $750.0 million. In August 2021, Syniverse entered into an Agreement and Plan of Merger (the “Merger Agreement”) with Blue Steel Merger Sub Inc. (the “Merger Sub”) and M-3 Brigade Acquisition II Corp. (“MBAC”), which would result in Syniverse being a wholly owned subsidiary of MBAC (the “Merger”). Concurrently, the Company and MBAC entered into the Twilio Subscription Agreement (the “Subscription Agreement”), pursuant to which the Company agreed, subject to the terms and conditions set forth therein, to subscribe for and purchase, and MBAC agreed to issue and sell to the Company, immediately prior to the closing of the Merger, shares of Class A common stock and, if applicable, shares of Class C common stock for an aggregate amount of $500.0 million to $750.0 million, depending on redemptions by MBAC’s shareholders. In connection with the closing of the investment, the Company and Syniverse (or their respective subsidiaries) would enter into a wholesale agreement.</w:t>
      </w:r>
    </w:p>
    <w:p>
      <w:pPr>
        <w:spacing w:after="0" w:line="172" w:lineRule="exact"/>
        <w:rPr>
          <w:sz w:val="20"/>
          <w:szCs w:val="20"/>
          <w:color w:val="auto"/>
        </w:rPr>
      </w:pPr>
    </w:p>
    <w:p>
      <w:pPr>
        <w:ind w:right="120" w:firstLine="486"/>
        <w:spacing w:after="0" w:line="246" w:lineRule="auto"/>
        <w:rPr>
          <w:sz w:val="20"/>
          <w:szCs w:val="20"/>
          <w:color w:val="auto"/>
        </w:rPr>
      </w:pPr>
      <w:r>
        <w:rPr>
          <w:rFonts w:ascii="Arial" w:cs="Arial" w:eastAsia="Arial" w:hAnsi="Arial"/>
          <w:sz w:val="17"/>
          <w:szCs w:val="17"/>
          <w:color w:val="auto"/>
        </w:rPr>
        <w:t>In February 2022, Syniverse, MBAC and the Merger Sub mutually terminated the Merger Agreement and the related proposed Merger. The parties agreed to this termination because the rate of MBAC shareholder redemptions for the proposed transaction would have left MBAC with insufficient funds to meet the minimum cash condition for closing, which occurred as a result of the recent changes in market conditions. Consequently, the Company will not be purchasing any shares of common stock of, or making any investments in, MBAC.</w:t>
      </w:r>
    </w:p>
    <w:p>
      <w:pPr>
        <w:spacing w:after="0" w:line="18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Notwithstanding the above, the Framework Agreement between the Company, Syniverse and Carlyle remains in full force and effect. Pursuant to the terms and subject to the closing conditions set forth in the Framework Agreement, the parties are pursuing the alternative transaction, whereby the Company will make a minority investment of $500.0 million to $750.0 million in Syniverse and the parties (or their applicable subsidiaries) will enter into a wholesale agreement.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transaction is expected to close in 2022.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Twilio’s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A trial date has been set for March 6, 2023.</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10(d) of these condensed consolidated financial statements.</w:t>
      </w:r>
    </w:p>
    <w:p>
      <w:pPr>
        <w:spacing w:after="0" w:line="188"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8"/>
          <w:szCs w:val="18"/>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8"/>
          <w:szCs w:val="18"/>
          <w:color w:val="auto"/>
        </w:rPr>
        <w:t>‑</w:t>
      </w:r>
      <w:r>
        <w:rPr>
          <w:rFonts w:ascii="Arial" w:cs="Arial" w:eastAsia="Arial" w:hAnsi="Arial"/>
          <w:sz w:val="18"/>
          <w:szCs w:val="18"/>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2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70" w:lineRule="exact"/>
        <w:rPr>
          <w:sz w:val="20"/>
          <w:szCs w:val="20"/>
          <w:color w:val="auto"/>
        </w:rPr>
      </w:pPr>
    </w:p>
    <w:p>
      <w:pPr>
        <w:ind w:left="1300" w:hanging="806"/>
        <w:spacing w:after="0"/>
        <w:tabs>
          <w:tab w:leader="none" w:pos="13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5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and December 31, 2021, no amounts were accrued related to any outstanding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Taxes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conducts operations in many tax jurisdictions within and outside the United States. In many of these jurisdictions, non-income-based taxes, such as sales, use, telecommunications, and other local taxes are assessed on the Company’s operations. In the last several years the Company has expanded to collect taxes in most jurisdictions where it operates. The Company continues to carry reserves for certain of its prior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6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10(b), the Company is currently involved in legal proceedings with San Francisco City and County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w:t>
      </w:r>
    </w:p>
    <w:p>
      <w:pPr>
        <w:spacing w:after="0" w:line="17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March 31, 2022, the liabilities recorded for these taxes were $26.5 million for domestic jurisdictions and $18.5 million for jurisdictions outside of the United States. As of December 31, 2021, these liabilities were $25.4 million and $17.7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of March 31, 2022 and December 31, 2021, the Company had authorized 100,000,000 shares of preferred stock, par value $0.001, of which no shares were issued and outstanding.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of March 31, 2022 and December 31, 2021, the Company had authorized 1,000,000,000 shares of Class A common stock and 100,000,000 shares of Class B common stock, each par value of $0.001 per share. As of March 31, 2022, 171,763,174 shares of Class A common stock and 9,820,605 shares of Class B common stock were issued and outstanding. As of December 31, 2021, 170,625,994 shares of Class A common stock and 9,842,105 shares of Class B common stock were issued and outstanding.</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4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780" w:type="dxa"/>
            <w:vAlign w:val="bottom"/>
            <w:gridSpan w:val="2"/>
          </w:tcPr>
          <w:p>
            <w:pPr>
              <w:ind w:left="580"/>
              <w:spacing w:after="0"/>
              <w:rPr>
                <w:sz w:val="20"/>
                <w:szCs w:val="20"/>
                <w:color w:val="auto"/>
              </w:rPr>
            </w:pPr>
            <w:r>
              <w:rPr>
                <w:rFonts w:ascii="Arial" w:cs="Arial" w:eastAsia="Arial" w:hAnsi="Arial"/>
                <w:sz w:val="14"/>
                <w:szCs w:val="14"/>
                <w:b w:val="1"/>
                <w:bCs w:val="1"/>
                <w:color w:val="auto"/>
              </w:rPr>
              <w:t>As of March 31,</w:t>
            </w:r>
          </w:p>
        </w:tc>
        <w:tc>
          <w:tcPr>
            <w:tcW w:w="1660" w:type="dxa"/>
            <w:vAlign w:val="bottom"/>
          </w:tcPr>
          <w:p>
            <w:pPr>
              <w:jc w:val="right"/>
              <w:ind w:right="21"/>
              <w:spacing w:after="0"/>
              <w:rPr>
                <w:sz w:val="20"/>
                <w:szCs w:val="20"/>
                <w:color w:val="auto"/>
              </w:rPr>
            </w:pPr>
            <w:r>
              <w:rPr>
                <w:rFonts w:ascii="Arial" w:cs="Arial" w:eastAsia="Arial" w:hAnsi="Arial"/>
                <w:sz w:val="14"/>
                <w:szCs w:val="14"/>
                <w:b w:val="1"/>
                <w:bCs w:val="1"/>
                <w:color w:val="auto"/>
              </w:rPr>
              <w:t>As of December</w:t>
            </w:r>
          </w:p>
        </w:tc>
      </w:tr>
      <w:tr>
        <w:trPr>
          <w:trHeight w:val="188"/>
        </w:trPr>
        <w:tc>
          <w:tcPr>
            <w:tcW w:w="59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31, 2021</w:t>
            </w:r>
          </w:p>
        </w:tc>
      </w:tr>
      <w:tr>
        <w:trPr>
          <w:trHeight w:val="211"/>
        </w:trPr>
        <w:tc>
          <w:tcPr>
            <w:tcW w:w="5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 options issued and outstanding</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2,709,573</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3,351,313</w:t>
            </w: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Unvested restricted stock units issued and outstanding</w:t>
            </w:r>
          </w:p>
        </w:tc>
        <w:tc>
          <w:tcPr>
            <w:tcW w:w="1660" w:type="dxa"/>
            <w:vAlign w:val="bottom"/>
          </w:tcPr>
          <w:p>
            <w:pPr>
              <w:jc w:val="right"/>
              <w:spacing w:after="0"/>
              <w:rPr>
                <w:sz w:val="20"/>
                <w:szCs w:val="20"/>
                <w:color w:val="auto"/>
              </w:rPr>
            </w:pPr>
            <w:r>
              <w:rPr>
                <w:rFonts w:ascii="Arial" w:cs="Arial" w:eastAsia="Arial" w:hAnsi="Arial"/>
                <w:sz w:val="16"/>
                <w:szCs w:val="16"/>
                <w:color w:val="auto"/>
              </w:rPr>
              <w:t>7,745,115</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6,475,700</w:t>
            </w:r>
          </w:p>
        </w:tc>
      </w:tr>
      <w:tr>
        <w:trPr>
          <w:trHeight w:val="219"/>
        </w:trPr>
        <w:tc>
          <w:tcPr>
            <w:tcW w:w="5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A common stock reserved for Twilio.org</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596,755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618,857</w:t>
            </w: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Stock-based awards available for grant under 2016 Plan</w:t>
            </w:r>
          </w:p>
        </w:tc>
        <w:tc>
          <w:tcPr>
            <w:tcW w:w="1660" w:type="dxa"/>
            <w:vAlign w:val="bottom"/>
          </w:tcPr>
          <w:p>
            <w:pPr>
              <w:jc w:val="right"/>
              <w:spacing w:after="0"/>
              <w:rPr>
                <w:sz w:val="20"/>
                <w:szCs w:val="20"/>
                <w:color w:val="auto"/>
              </w:rPr>
            </w:pPr>
            <w:r>
              <w:rPr>
                <w:rFonts w:ascii="Arial" w:cs="Arial" w:eastAsia="Arial" w:hAnsi="Arial"/>
                <w:sz w:val="16"/>
                <w:szCs w:val="16"/>
                <w:color w:val="auto"/>
              </w:rPr>
              <w:t>30,763,355</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24,650,104</w:t>
            </w:r>
          </w:p>
        </w:tc>
      </w:tr>
      <w:tr>
        <w:trPr>
          <w:trHeight w:val="219"/>
        </w:trPr>
        <w:tc>
          <w:tcPr>
            <w:tcW w:w="5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awards available for grant under ESPP</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8,182,830</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6,382,830</w:t>
            </w:r>
          </w:p>
        </w:tc>
      </w:tr>
      <w:tr>
        <w:trPr>
          <w:trHeight w:val="207"/>
        </w:trPr>
        <w:tc>
          <w:tcPr>
            <w:tcW w:w="5940" w:type="dxa"/>
            <w:vAlign w:val="bottom"/>
          </w:tcPr>
          <w:p>
            <w:pPr>
              <w:ind w:left="700"/>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49,997,628</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41,478,804</w:t>
            </w:r>
          </w:p>
        </w:tc>
      </w:tr>
      <w:tr>
        <w:trPr>
          <w:trHeight w:val="23"/>
        </w:trPr>
        <w:tc>
          <w:tcPr>
            <w:tcW w:w="59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 also offers an Employee Stock Purchase Plan (“ESPP”) to eligible employees. The ESPP provides for separate six-month offering periods beginning in May and November of each year.</w:t>
      </w:r>
    </w:p>
    <w:p>
      <w:pPr>
        <w:spacing w:after="0" w:line="1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March 2022, the Company granted 919,289 shares of performance-based restricted stock unit awards to its executive employees with a grant date fair value per share of $157.44 and an aggregate grant date fair value of $144.7 million. Each award consists of three tranches each of which will vest over a separate service period if its respective performance targets, as defined in the grant agreements, are achieved. The first tranche will vest if the revenue growth targets are achieved with respect to fiscal year 2022. The second and third tranches will vest if both (a) revenue growth targets are achieved with respect to fiscal years 2023 and 2024, and (b) profitability targets are achieved in each year. If performance targets are not achieved with respect to a particular fiscal year, the related tranche will be forfeited. Vesting of these performance-based restricted stock unit awards will range up to 100% above the target based on levels of performance and will be recorded in stock-based compensation expense in the fiscal year during which each tranche vests. The Company estimated the fair value of these awards based on the closing price of its Class A common stock on the date of grant.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total unrecognized compensation cost was as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Unrecognized Compensation</w:t>
            </w:r>
          </w:p>
        </w:tc>
        <w:tc>
          <w:tcPr>
            <w:tcW w:w="100" w:type="dxa"/>
            <w:vAlign w:val="bottom"/>
          </w:tcPr>
          <w:p>
            <w:pPr>
              <w:spacing w:after="0"/>
              <w:rPr>
                <w:sz w:val="14"/>
                <w:szCs w:val="14"/>
                <w:color w:val="auto"/>
              </w:rPr>
            </w:pPr>
          </w:p>
        </w:tc>
        <w:tc>
          <w:tcPr>
            <w:tcW w:w="1600" w:type="dxa"/>
            <w:vAlign w:val="bottom"/>
          </w:tcPr>
          <w:p>
            <w:pPr>
              <w:jc w:val="center"/>
              <w:ind w:left="40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average remaining</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tcPr>
          <w:p>
            <w:pPr>
              <w:jc w:val="right"/>
              <w:ind w:right="462"/>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1600" w:type="dxa"/>
            <w:vAlign w:val="bottom"/>
          </w:tcPr>
          <w:p>
            <w:pPr>
              <w:jc w:val="center"/>
              <w:ind w:left="408"/>
              <w:spacing w:after="0"/>
              <w:rPr>
                <w:sz w:val="20"/>
                <w:szCs w:val="20"/>
                <w:color w:val="auto"/>
              </w:rPr>
            </w:pPr>
            <w:r>
              <w:rPr>
                <w:rFonts w:ascii="Arial" w:cs="Arial" w:eastAsia="Arial" w:hAnsi="Arial"/>
                <w:sz w:val="14"/>
                <w:szCs w:val="14"/>
                <w:color w:val="auto"/>
                <w:w w:val="94"/>
              </w:rPr>
              <w:t>(In years)</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Unvested stock options</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99,727</w:t>
            </w:r>
          </w:p>
        </w:tc>
        <w:tc>
          <w:tcPr>
            <w:tcW w:w="170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13"/>
        </w:trPr>
        <w:tc>
          <w:tcPr>
            <w:tcW w:w="4740" w:type="dxa"/>
            <w:vAlign w:val="bottom"/>
          </w:tcPr>
          <w:p>
            <w:pPr>
              <w:ind w:left="500"/>
              <w:spacing w:after="0"/>
              <w:rPr>
                <w:sz w:val="20"/>
                <w:szCs w:val="20"/>
                <w:color w:val="auto"/>
              </w:rPr>
            </w:pPr>
            <w:r>
              <w:rPr>
                <w:rFonts w:ascii="Arial" w:cs="Arial" w:eastAsia="Arial" w:hAnsi="Arial"/>
                <w:sz w:val="16"/>
                <w:szCs w:val="16"/>
                <w:color w:val="auto"/>
              </w:rPr>
              <w:t>Unvested restricted stock units and awards</w:t>
            </w: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1,591,704</w:t>
            </w:r>
          </w:p>
        </w:tc>
        <w:tc>
          <w:tcPr>
            <w:tcW w:w="1700" w:type="dxa"/>
            <w:vAlign w:val="bottom"/>
            <w:gridSpan w:val="2"/>
          </w:tcPr>
          <w:p>
            <w:pPr>
              <w:jc w:val="center"/>
              <w:ind w:left="4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ESPP</w:t>
            </w:r>
          </w:p>
        </w:tc>
        <w:tc>
          <w:tcPr>
            <w:tcW w:w="8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70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color w:val="auto"/>
                <w:w w:val="89"/>
              </w:rPr>
              <w:t>0.1</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Class A shares in escrow subject to future vesting</w:t>
            </w: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17,027</w:t>
            </w:r>
          </w:p>
        </w:tc>
        <w:tc>
          <w:tcPr>
            <w:tcW w:w="1700" w:type="dxa"/>
            <w:vAlign w:val="bottom"/>
            <w:tcBorders>
              <w:bottom w:val="single" w:sz="8" w:color="CCEEFF"/>
            </w:tcBorders>
            <w:gridSpan w:val="2"/>
          </w:tcPr>
          <w:p>
            <w:pPr>
              <w:jc w:val="center"/>
              <w:ind w:left="499"/>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1,711,070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total stock-based compensation expense as follows:</w:t>
      </w:r>
    </w:p>
    <w:p>
      <w:pPr>
        <w:spacing w:after="0" w:line="257"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2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18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jc w:val="right"/>
              <w:ind w:right="702"/>
              <w:spacing w:after="0"/>
              <w:rPr>
                <w:sz w:val="20"/>
                <w:szCs w:val="20"/>
                <w:color w:val="auto"/>
              </w:rPr>
            </w:pPr>
            <w:r>
              <w:rPr>
                <w:rFonts w:ascii="Arial" w:cs="Arial" w:eastAsia="Arial" w:hAnsi="Arial"/>
                <w:sz w:val="14"/>
                <w:szCs w:val="14"/>
                <w:color w:val="auto"/>
              </w:rPr>
              <w:t>(In thousands)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160"/>
              <w:spacing w:after="0" w:line="169" w:lineRule="exact"/>
              <w:rPr>
                <w:sz w:val="20"/>
                <w:szCs w:val="20"/>
                <w:color w:val="auto"/>
              </w:rPr>
            </w:pPr>
            <w:r>
              <w:rPr>
                <w:rFonts w:ascii="Arial" w:cs="Arial" w:eastAsia="Arial" w:hAnsi="Arial"/>
                <w:sz w:val="16"/>
                <w:szCs w:val="16"/>
                <w:color w:val="auto"/>
              </w:rPr>
              <w:t>Cost of</w:t>
            </w:r>
          </w:p>
        </w:tc>
        <w:tc>
          <w:tcPr>
            <w:tcW w:w="2280" w:type="dxa"/>
            <w:vAlign w:val="bottom"/>
            <w:vMerge w:val="restart"/>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160"/>
              <w:spacing w:after="0" w:line="166" w:lineRule="exact"/>
              <w:rPr>
                <w:sz w:val="20"/>
                <w:szCs w:val="20"/>
                <w:color w:val="auto"/>
              </w:rPr>
            </w:pPr>
            <w:r>
              <w:rPr>
                <w:rFonts w:ascii="Arial" w:cs="Arial" w:eastAsia="Arial" w:hAnsi="Arial"/>
                <w:sz w:val="16"/>
                <w:szCs w:val="16"/>
                <w:color w:val="auto"/>
              </w:rPr>
              <w:t>Research</w:t>
            </w:r>
          </w:p>
        </w:tc>
        <w:tc>
          <w:tcPr>
            <w:tcW w:w="2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79,369</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56,959</w:t>
            </w: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Arial" w:cs="Arial" w:eastAsia="Arial" w:hAnsi="Arial"/>
                <w:sz w:val="16"/>
                <w:szCs w:val="16"/>
                <w:color w:val="auto"/>
              </w:rPr>
              <w:t>and development</w:t>
            </w:r>
          </w:p>
        </w:tc>
        <w:tc>
          <w:tcPr>
            <w:tcW w:w="2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160"/>
              <w:spacing w:after="0" w:line="169" w:lineRule="exact"/>
              <w:rPr>
                <w:sz w:val="20"/>
                <w:szCs w:val="20"/>
                <w:color w:val="auto"/>
              </w:rPr>
            </w:pPr>
            <w:r>
              <w:rPr>
                <w:rFonts w:ascii="Arial" w:cs="Arial" w:eastAsia="Arial" w:hAnsi="Arial"/>
                <w:sz w:val="16"/>
                <w:szCs w:val="16"/>
                <w:color w:val="auto"/>
              </w:rPr>
              <w:t>Sales</w:t>
            </w:r>
          </w:p>
        </w:tc>
        <w:tc>
          <w:tcPr>
            <w:tcW w:w="22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47,586</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41,636</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marketing</w:t>
            </w:r>
          </w:p>
        </w:tc>
        <w:tc>
          <w:tcPr>
            <w:tcW w:w="22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160"/>
              <w:spacing w:after="0" w:line="166" w:lineRule="exact"/>
              <w:rPr>
                <w:sz w:val="20"/>
                <w:szCs w:val="20"/>
                <w:color w:val="auto"/>
              </w:rPr>
            </w:pPr>
            <w:r>
              <w:rPr>
                <w:rFonts w:ascii="Arial" w:cs="Arial" w:eastAsia="Arial" w:hAnsi="Arial"/>
                <w:sz w:val="16"/>
                <w:szCs w:val="16"/>
                <w:color w:val="auto"/>
              </w:rPr>
              <w:t>General</w:t>
            </w:r>
          </w:p>
        </w:tc>
        <w:tc>
          <w:tcPr>
            <w:tcW w:w="2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23,799</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35,843</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administrative</w:t>
            </w:r>
          </w:p>
        </w:tc>
        <w:tc>
          <w:tcPr>
            <w:tcW w:w="2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8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155,275</w:t>
            </w: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137,155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Basic and diluted net loss per common share is presented in conformity with the two-class method required for participating securities and is described in detail in the Company’s Annual Report.</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w:t>
      </w:r>
    </w:p>
    <w:p>
      <w:pPr>
        <w:spacing w:after="0" w:line="202"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w w:val="98"/>
              </w:rPr>
              <w:t>Net loss attributable to common stockholders (in thousands)</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(221,627)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660"/>
              <w:spacing w:after="0" w:line="153" w:lineRule="exact"/>
              <w:rPr>
                <w:sz w:val="20"/>
                <w:szCs w:val="20"/>
                <w:color w:val="auto"/>
              </w:rPr>
            </w:pPr>
            <w:r>
              <w:rPr>
                <w:rFonts w:ascii="Arial" w:cs="Arial" w:eastAsia="Arial" w:hAnsi="Arial"/>
                <w:sz w:val="16"/>
                <w:szCs w:val="16"/>
                <w:color w:val="auto"/>
                <w:w w:val="95"/>
              </w:rPr>
              <w:t>Weighted-average shares used to compute net loss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8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6"/>
                <w:szCs w:val="16"/>
                <w:color w:val="auto"/>
              </w:rPr>
              <w:t>attributable to</w:t>
            </w:r>
          </w:p>
        </w:tc>
        <w:tc>
          <w:tcPr>
            <w:tcW w:w="96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180,898,713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167,160,458</w:t>
            </w:r>
          </w:p>
        </w:tc>
        <w:tc>
          <w:tcPr>
            <w:tcW w:w="0" w:type="dxa"/>
            <w:vAlign w:val="bottom"/>
          </w:tcPr>
          <w:p>
            <w:pPr>
              <w:spacing w:after="0"/>
              <w:rPr>
                <w:sz w:val="1"/>
                <w:szCs w:val="1"/>
                <w:color w:val="auto"/>
              </w:rPr>
            </w:pPr>
          </w:p>
        </w:tc>
      </w:tr>
      <w:tr>
        <w:trPr>
          <w:trHeight w:val="185"/>
        </w:trPr>
        <w:tc>
          <w:tcPr>
            <w:tcW w:w="4880" w:type="dxa"/>
            <w:vAlign w:val="bottom"/>
          </w:tcPr>
          <w:p>
            <w:pPr>
              <w:ind w:left="220"/>
              <w:spacing w:after="0"/>
              <w:rPr>
                <w:sz w:val="20"/>
                <w:szCs w:val="20"/>
                <w:color w:val="auto"/>
              </w:rPr>
            </w:pPr>
            <w:r>
              <w:rPr>
                <w:rFonts w:ascii="Arial" w:cs="Arial" w:eastAsia="Arial" w:hAnsi="Arial"/>
                <w:sz w:val="16"/>
                <w:szCs w:val="16"/>
                <w:color w:val="auto"/>
              </w:rPr>
              <w:t>common stockholders, basic and diluted</w:t>
            </w: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80" w:type="dxa"/>
            <w:vAlign w:val="bottom"/>
            <w:shd w:val="clear" w:color="auto" w:fill="CCEEFF"/>
          </w:tcPr>
          <w:p>
            <w:pPr>
              <w:ind w:left="660"/>
              <w:spacing w:after="0" w:line="133" w:lineRule="exact"/>
              <w:rPr>
                <w:sz w:val="20"/>
                <w:szCs w:val="20"/>
                <w:color w:val="auto"/>
              </w:rPr>
            </w:pPr>
            <w:r>
              <w:rPr>
                <w:rFonts w:ascii="Arial" w:cs="Arial" w:eastAsia="Arial" w:hAnsi="Arial"/>
                <w:sz w:val="15"/>
                <w:szCs w:val="15"/>
                <w:color w:val="auto"/>
              </w:rPr>
              <w:t>Net loss per share attributable to common stockholders, basic</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5"/>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and diluted</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02"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7"/>
        </w:trPr>
        <w:tc>
          <w:tcPr>
            <w:tcW w:w="59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Stock options issued and outstanding</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2,709,573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5,216,385</w:t>
            </w:r>
          </w:p>
        </w:tc>
        <w:tc>
          <w:tcPr>
            <w:tcW w:w="0" w:type="dxa"/>
            <w:vAlign w:val="bottom"/>
          </w:tcPr>
          <w:p>
            <w:pPr>
              <w:spacing w:after="0"/>
              <w:rPr>
                <w:sz w:val="1"/>
                <w:szCs w:val="1"/>
                <w:color w:val="auto"/>
              </w:rPr>
            </w:pPr>
          </w:p>
        </w:tc>
      </w:tr>
      <w:tr>
        <w:trPr>
          <w:trHeight w:val="213"/>
        </w:trPr>
        <w:tc>
          <w:tcPr>
            <w:tcW w:w="5900" w:type="dxa"/>
            <w:vAlign w:val="bottom"/>
          </w:tcPr>
          <w:p>
            <w:pPr>
              <w:ind w:left="660"/>
              <w:spacing w:after="0"/>
              <w:rPr>
                <w:sz w:val="20"/>
                <w:szCs w:val="20"/>
                <w:color w:val="auto"/>
              </w:rPr>
            </w:pPr>
            <w:r>
              <w:rPr>
                <w:rFonts w:ascii="Arial" w:cs="Arial" w:eastAsia="Arial" w:hAnsi="Arial"/>
                <w:sz w:val="16"/>
                <w:szCs w:val="16"/>
                <w:color w:val="auto"/>
              </w:rPr>
              <w:t>Unvested restricted stock units issued and outstanding</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7,745,115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6,758,222</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Class A common stock reserved for Twilio.org</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596,755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685,163</w:t>
            </w:r>
          </w:p>
        </w:tc>
        <w:tc>
          <w:tcPr>
            <w:tcW w:w="0" w:type="dxa"/>
            <w:vAlign w:val="bottom"/>
          </w:tcPr>
          <w:p>
            <w:pPr>
              <w:spacing w:after="0"/>
              <w:rPr>
                <w:sz w:val="1"/>
                <w:szCs w:val="1"/>
                <w:color w:val="auto"/>
              </w:rPr>
            </w:pPr>
          </w:p>
        </w:tc>
      </w:tr>
      <w:tr>
        <w:trPr>
          <w:trHeight w:val="213"/>
        </w:trPr>
        <w:tc>
          <w:tcPr>
            <w:tcW w:w="5900" w:type="dxa"/>
            <w:vAlign w:val="bottom"/>
          </w:tcPr>
          <w:p>
            <w:pPr>
              <w:ind w:left="660"/>
              <w:spacing w:after="0"/>
              <w:rPr>
                <w:sz w:val="20"/>
                <w:szCs w:val="20"/>
                <w:color w:val="auto"/>
              </w:rPr>
            </w:pPr>
            <w:r>
              <w:rPr>
                <w:rFonts w:ascii="Arial" w:cs="Arial" w:eastAsia="Arial" w:hAnsi="Arial"/>
                <w:sz w:val="16"/>
                <w:szCs w:val="16"/>
                <w:color w:val="auto"/>
              </w:rPr>
              <w:t>Class A common stock committed under ESPP</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147,947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101,030</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660"/>
              <w:spacing w:after="0" w:line="219" w:lineRule="exact"/>
              <w:rPr>
                <w:sz w:val="20"/>
                <w:szCs w:val="20"/>
                <w:color w:val="auto"/>
              </w:rPr>
            </w:pPr>
            <w:r>
              <w:rPr>
                <w:rFonts w:ascii="Arial" w:cs="Arial" w:eastAsia="Arial" w:hAnsi="Arial"/>
                <w:sz w:val="16"/>
                <w:szCs w:val="16"/>
                <w:color w:val="auto"/>
              </w:rPr>
              <w:t>Convertible Notes</w:t>
            </w:r>
            <w:r>
              <w:rPr>
                <w:rFonts w:ascii="Arial" w:cs="Arial" w:eastAsia="Arial" w:hAnsi="Arial"/>
                <w:sz w:val="21"/>
                <w:szCs w:val="21"/>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3,689,177</w:t>
            </w:r>
          </w:p>
        </w:tc>
        <w:tc>
          <w:tcPr>
            <w:tcW w:w="0" w:type="dxa"/>
            <w:vAlign w:val="bottom"/>
          </w:tcPr>
          <w:p>
            <w:pPr>
              <w:spacing w:after="0"/>
              <w:rPr>
                <w:sz w:val="1"/>
                <w:szCs w:val="1"/>
                <w:color w:val="auto"/>
              </w:rPr>
            </w:pPr>
          </w:p>
        </w:tc>
      </w:tr>
      <w:tr>
        <w:trPr>
          <w:trHeight w:val="213"/>
        </w:trPr>
        <w:tc>
          <w:tcPr>
            <w:tcW w:w="5900" w:type="dxa"/>
            <w:vAlign w:val="bottom"/>
          </w:tcPr>
          <w:p>
            <w:pPr>
              <w:ind w:left="660"/>
              <w:spacing w:after="0"/>
              <w:rPr>
                <w:sz w:val="20"/>
                <w:szCs w:val="20"/>
                <w:color w:val="auto"/>
              </w:rPr>
            </w:pPr>
            <w:r>
              <w:rPr>
                <w:rFonts w:ascii="Arial" w:cs="Arial" w:eastAsia="Arial" w:hAnsi="Arial"/>
                <w:sz w:val="16"/>
                <w:szCs w:val="16"/>
                <w:color w:val="auto"/>
              </w:rPr>
              <w:t>Class A common stock in escrow</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31,503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75,612</w:t>
            </w:r>
          </w:p>
        </w:tc>
        <w:tc>
          <w:tcPr>
            <w:tcW w:w="0" w:type="dxa"/>
            <w:vAlign w:val="bottom"/>
          </w:tcPr>
          <w:p>
            <w:pPr>
              <w:spacing w:after="0"/>
              <w:rPr>
                <w:sz w:val="1"/>
                <w:szCs w:val="1"/>
                <w:color w:val="auto"/>
              </w:rPr>
            </w:pPr>
          </w:p>
        </w:tc>
      </w:tr>
      <w:tr>
        <w:trPr>
          <w:trHeight w:val="169"/>
        </w:trPr>
        <w:tc>
          <w:tcPr>
            <w:tcW w:w="590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w w:val="94"/>
              </w:rPr>
              <w:t>Class A common stock in escrow and restricted stock awards subject to future</w:t>
            </w:r>
          </w:p>
        </w:tc>
        <w:tc>
          <w:tcPr>
            <w:tcW w:w="14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76,080</w:t>
            </w: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289,618</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w:t>
            </w: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86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11,306,973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16,815,207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right="400" w:hanging="6"/>
        <w:spacing w:after="0" w:line="239" w:lineRule="auto"/>
        <w:tabs>
          <w:tab w:leader="none" w:pos="663" w:val="left"/>
        </w:tabs>
        <w:numPr>
          <w:ilvl w:val="1"/>
          <w:numId w:val="21"/>
        </w:numPr>
        <w:rPr>
          <w:rFonts w:ascii="Arial" w:cs="Arial" w:eastAsia="Arial" w:hAnsi="Arial"/>
          <w:sz w:val="20"/>
          <w:szCs w:val="20"/>
          <w:color w:val="auto"/>
          <w:vertAlign w:val="superscript"/>
        </w:rPr>
      </w:pPr>
      <w:r>
        <w:rPr>
          <w:rFonts w:ascii="Arial" w:cs="Arial" w:eastAsia="Arial" w:hAnsi="Arial"/>
          <w:sz w:val="15"/>
          <w:szCs w:val="15"/>
          <w:color w:val="auto"/>
        </w:rPr>
        <w:t>The Convertible Notes were fully redeemed in the second quarter of 2021 and were no longer outstanding as of March 31, 2022. As of March 31, 2021, the Company expected to settle the principal amount of the notes in shares of its Class A common stock, and as such used the if-converted method to calculate any potential dilutive effect of the debt settlement on diluted net income per share, if applicable.</w:t>
      </w:r>
    </w:p>
    <w:p>
      <w:pPr>
        <w:spacing w:after="0" w:line="192" w:lineRule="exact"/>
        <w:rPr>
          <w:rFonts w:ascii="Arial" w:cs="Arial" w:eastAsia="Arial" w:hAnsi="Arial"/>
          <w:sz w:val="20"/>
          <w:szCs w:val="20"/>
          <w:color w:val="auto"/>
          <w:vertAlign w:val="superscript"/>
        </w:rPr>
      </w:pPr>
    </w:p>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Company computes its provision for interim periods by applying an estimated annual effective tax rate to anticipated annual pretax income or loss. The estimated annual effective tax rate is applied to the Company’s year to date income or loss, and is adjusted for discrete items recorded in the period. The Company recorded an income tax benefit of $2.9 million and an income tax provision of $0.9 million for the three months ended March 31, 2022 and 2021, respectively.</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benefit for income taxes recorded in the three months ended March 31, 2022 consists primarily of a release of the valuation allowance related to intangible assets acquired in a current year business combination, offset by withholding taxes in foreign jurisdictions in which the Company conducts business. The provision for income taxes recorded in the three months ended March 31, 2021 consists primarily of income taxes and withholding taxes in foreign jurisdictions in which the Company conducts business, partially offset by an income tax benefit from the reversal of U.S. deferred tax liabilities related to acquired intangibles from prior year business combinations.</w:t>
      </w:r>
    </w:p>
    <w:p>
      <w:pPr>
        <w:spacing w:after="0" w:line="21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primary difference between the effective tax rate and the federal statutory rate is the full valuation allowance the Company established on the federal, state, and certain foreign net operating losses and credits. The Company continues to maintain a full valuation allowance against its U.S. federal and state net deferred tax assets.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7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86"/>
        <w:spacing w:after="0" w:line="218" w:lineRule="exact"/>
        <w:rPr>
          <w:sz w:val="20"/>
          <w:szCs w:val="20"/>
          <w:color w:val="auto"/>
        </w:rPr>
      </w:pPr>
      <w:r>
        <w:rPr>
          <w:rFonts w:ascii="Arial" w:cs="Arial" w:eastAsia="Arial" w:hAnsi="Arial"/>
          <w:sz w:val="16"/>
          <w:szCs w:val="16"/>
          <w:color w:val="auto"/>
        </w:rPr>
        <w:t>We are the leader in the cloud communications platform category. We enable developers to build, scale and operate real</w:t>
      </w:r>
      <w:r>
        <w:rPr>
          <w:rFonts w:ascii="MS PGothic" w:cs="MS PGothic" w:eastAsia="MS PGothic" w:hAnsi="MS PGothic"/>
          <w:sz w:val="16"/>
          <w:szCs w:val="16"/>
          <w:color w:val="auto"/>
        </w:rPr>
        <w:t>‑</w:t>
      </w:r>
      <w:r>
        <w:rPr>
          <w:rFonts w:ascii="Arial" w:cs="Arial" w:eastAsia="Arial" w:hAnsi="Arial"/>
          <w:sz w:val="16"/>
          <w:szCs w:val="16"/>
          <w:color w:val="auto"/>
        </w:rPr>
        <w:t>time customer engagement within their software applications. We offer a customer engagement platform with software designed to address specific use cases like account security and contact centers, and a set of Application Programming Interfaces (“APIs”) that handles the higher level communication logic needed for nearly every type of customer engagement. The power, flexibility and reliability offered by our software building blocks empower companies of virtually every shape and size to build world-class engagement into their customer experience. For additional detail on the description of our business and products please refer to Part I, Item 1, “Business,” of our Annual Report on Form 10-K filed with the SEC on February 22, 2022 (“Annual Report”).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achieved significant growth in recent periods. In the three months ended March 31, 2022 and 2021, our revenue was $875.4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$590.0 million, respectively, and our net loss was $221.6 million and $206.5 million, respectively. In the three months ended March 31, 2022 and 2021,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largest Active Customer Accounts generated an aggregate of 11% and 12% of our total revenue,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 in Syniverse Corporation</w:t>
      </w:r>
    </w:p>
    <w:p>
      <w:pPr>
        <w:spacing w:after="0" w:line="225"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In February 2021, we entered into a Framework Agreement, as amended, with Syniverse Corporation (“Syniverse”) and Carlyle Partners V Holdings, L.P., (“Framework Agreement”), pursuant to which Syniverse would issue to us shares of Syniverse common stock in consideration for an investment by us of $500.0 million to $750.0 million, subject to certain terms and conditions. The initial agreements and conditions to closing of this transaction are described in detail in Note 10(a) to our condensed consolidated financial statements included elsewhere in this Quarterly Report on Form 10-Q.</w:t>
      </w:r>
    </w:p>
    <w:p>
      <w:pPr>
        <w:spacing w:after="0" w:line="188"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On February 9, 2022, M-3 Brigade Acquisition II Corp. (“MBAC”), Blue Steel Merger Sub Inc. and Syniverse mutually terminated a proposed Agreement and Plan of Merger because the rate of MBAC shareholder redemptions for the proposed transaction would have left MBAC with insufficient funds to meet the minimum cash condition for closing, which occurred as a result of recent changes in market conditions (“MBAC Transaction Termination”). Consequently, the Company will not be purchasing any shares of common stock of, or making any investments in, MBAC.</w:t>
      </w:r>
    </w:p>
    <w:p>
      <w:pPr>
        <w:spacing w:after="0" w:line="15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Framework Agreement, dated as of February 26, 2021, by and between Twilio, Syniverse and Carlyle Partners V Holdings, L.P., remains in full force and effect. The amendment, dated as of August 16, 2021, to the Framework Agreement terminated on February 9, 2022, as a result of the MBAC Transaction Termination. Pursuant to the terms and subject to the closing conditions set forth in the Framework Agreement, the parties thereto are pursuing the alternative transaction, whereby Twilio will make a minority investment of $500.0 million to $750.0 million in Syniverse and the parties (or their applicable subsidiaries) will enter into a wholesale agreement.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As of the first quarter of 2022, as COVID-19 related restrictions continue to ease in various geographies, the majority of our offices have reopened. The broader implications of COVID-19 on our results of operations and overall financial performance remain uncertain. The COVID-19 pandemic and its adverse effects on economic and market conditions, including labor shortages, supply chain disruptions and inflation, have been prevalent in the locations where we, our customers, our suppliers or our third-party business partners conduct business. These adverse conditions may continue for an extended period and there may be additional impacts to the economy and our business as a result of COVID-19. This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See the risk factor titled “The global COVID-19 pandemic may adversely impact our business, results of operations and financial condition” in Part II, Item 1A, “Risk Factors” of this Quarterly Report on Form 10-Q for further discussion of the possible impact of the COVID-19 pandemic on our business, financial condition and results of operations.</w:t>
      </w:r>
    </w:p>
    <w:p>
      <w:pPr>
        <w:spacing w:after="0" w:line="17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Key Business Metrics</w:t>
      </w:r>
    </w:p>
    <w:p>
      <w:pPr>
        <w:spacing w:after="0" w:line="261"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Three Months Ended March 31,</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00" w:type="dxa"/>
            <w:vAlign w:val="bottom"/>
            <w:shd w:val="clear" w:color="auto" w:fill="CCEEFF"/>
          </w:tcPr>
          <w:p>
            <w:pPr>
              <w:ind w:left="500"/>
              <w:spacing w:after="0" w:line="147" w:lineRule="exact"/>
              <w:rPr>
                <w:sz w:val="20"/>
                <w:szCs w:val="20"/>
                <w:color w:val="auto"/>
              </w:rPr>
            </w:pPr>
            <w:r>
              <w:rPr>
                <w:rFonts w:ascii="Arial" w:cs="Arial" w:eastAsia="Arial" w:hAnsi="Arial"/>
                <w:sz w:val="16"/>
                <w:szCs w:val="16"/>
                <w:color w:val="auto"/>
                <w:w w:val="95"/>
              </w:rPr>
              <w:t>Number of Active Customer Accounts (as of end date of</w:t>
            </w:r>
          </w:p>
        </w:tc>
        <w:tc>
          <w:tcPr>
            <w:tcW w:w="9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268,000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89"/>
              </w:rPr>
              <w:t>235,000</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period)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500"/>
              <w:spacing w:after="0" w:line="216" w:lineRule="exact"/>
              <w:rPr>
                <w:sz w:val="20"/>
                <w:szCs w:val="20"/>
                <w:color w:val="auto"/>
              </w:rPr>
            </w:pPr>
            <w:r>
              <w:rPr>
                <w:rFonts w:ascii="Arial" w:cs="Arial" w:eastAsia="Arial" w:hAnsi="Arial"/>
                <w:sz w:val="16"/>
                <w:szCs w:val="16"/>
                <w:color w:val="auto"/>
              </w:rPr>
              <w:t xml:space="preserve">Total Revenue (in thousands) </w:t>
            </w:r>
            <w:r>
              <w:rPr>
                <w:rFonts w:ascii="Arial" w:cs="Arial" w:eastAsia="Arial" w:hAnsi="Arial"/>
                <w:sz w:val="21"/>
                <w:szCs w:val="21"/>
                <w:color w:val="auto"/>
                <w:vertAlign w:val="superscript"/>
              </w:rPr>
              <w:t>(2)</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875,363</w:t>
            </w:r>
          </w:p>
        </w:tc>
        <w:tc>
          <w:tcPr>
            <w:tcW w:w="20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w w:val="89"/>
              </w:rPr>
              <w:t>589,988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20"/>
              <w:spacing w:after="0" w:line="216" w:lineRule="exact"/>
              <w:rPr>
                <w:sz w:val="20"/>
                <w:szCs w:val="20"/>
                <w:color w:val="auto"/>
              </w:rPr>
            </w:pPr>
            <w:r>
              <w:rPr>
                <w:rFonts w:ascii="Arial" w:cs="Arial" w:eastAsia="Arial" w:hAnsi="Arial"/>
                <w:sz w:val="16"/>
                <w:szCs w:val="16"/>
                <w:i w:val="1"/>
                <w:iCs w:val="1"/>
                <w:color w:val="auto"/>
              </w:rPr>
              <w:t xml:space="preserve">Total Revenue Growth Rate </w:t>
            </w:r>
            <w:r>
              <w:rPr>
                <w:rFonts w:ascii="Arial" w:cs="Arial" w:eastAsia="Arial" w:hAnsi="Arial"/>
                <w:sz w:val="21"/>
                <w:szCs w:val="21"/>
                <w:i w:val="1"/>
                <w:iCs w:val="1"/>
                <w:color w:val="auto"/>
                <w:vertAlign w:val="superscript"/>
              </w:rPr>
              <w:t>(2)</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62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300" w:type="dxa"/>
            <w:vAlign w:val="bottom"/>
          </w:tcPr>
          <w:p>
            <w:pPr>
              <w:ind w:left="500"/>
              <w:spacing w:after="0" w:line="220" w:lineRule="exact"/>
              <w:rPr>
                <w:sz w:val="20"/>
                <w:szCs w:val="20"/>
                <w:color w:val="auto"/>
              </w:rPr>
            </w:pPr>
            <w:r>
              <w:rPr>
                <w:rFonts w:ascii="Arial" w:cs="Arial" w:eastAsia="Arial" w:hAnsi="Arial"/>
                <w:sz w:val="16"/>
                <w:szCs w:val="16"/>
                <w:color w:val="auto"/>
              </w:rPr>
              <w:t xml:space="preserve">Dollar-Based Net Expansion Rate </w:t>
            </w:r>
            <w:r>
              <w:rPr>
                <w:rFonts w:ascii="Arial" w:cs="Arial" w:eastAsia="Arial" w:hAnsi="Arial"/>
                <w:sz w:val="21"/>
                <w:szCs w:val="21"/>
                <w:color w:val="auto"/>
                <w:vertAlign w:val="superscript"/>
              </w:rPr>
              <w:t>(3)</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ind w:right="201"/>
              <w:spacing w:after="0"/>
              <w:rPr>
                <w:sz w:val="20"/>
                <w:szCs w:val="20"/>
                <w:color w:val="auto"/>
              </w:rPr>
            </w:pPr>
            <w:r>
              <w:rPr>
                <w:rFonts w:ascii="Arial" w:cs="Arial" w:eastAsia="Arial" w:hAnsi="Arial"/>
                <w:sz w:val="16"/>
                <w:szCs w:val="16"/>
                <w:color w:val="auto"/>
              </w:rPr>
              <w:t>133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4300" w:type="dxa"/>
            <w:vAlign w:val="bottom"/>
          </w:tcPr>
          <w:p>
            <w:pPr>
              <w:ind w:left="500"/>
              <w:spacing w:after="0"/>
              <w:rPr>
                <w:sz w:val="20"/>
                <w:szCs w:val="20"/>
                <w:color w:val="auto"/>
              </w:rPr>
            </w:pPr>
            <w:r>
              <w:rPr>
                <w:rFonts w:ascii="Arial" w:cs="Arial" w:eastAsia="Arial" w:hAnsi="Arial"/>
                <w:sz w:val="11"/>
                <w:szCs w:val="11"/>
                <w:color w:val="auto"/>
              </w:rPr>
              <w:t>____________________</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80" w:hanging="153"/>
        <w:spacing w:after="0" w:line="230" w:lineRule="auto"/>
        <w:tabs>
          <w:tab w:leader="none" w:pos="1880" w:val="left"/>
        </w:tabs>
        <w:numPr>
          <w:ilvl w:val="1"/>
          <w:numId w:val="23"/>
        </w:numPr>
        <w:rPr>
          <w:rFonts w:ascii="Arial" w:cs="Arial" w:eastAsia="Arial" w:hAnsi="Arial"/>
          <w:sz w:val="18"/>
          <w:szCs w:val="18"/>
          <w:color w:val="auto"/>
          <w:vertAlign w:val="superscript"/>
        </w:rPr>
      </w:pPr>
      <w:r>
        <w:rPr>
          <w:rFonts w:ascii="Arial" w:cs="Arial" w:eastAsia="Arial" w:hAnsi="Arial"/>
          <w:sz w:val="14"/>
          <w:szCs w:val="14"/>
          <w:color w:val="auto"/>
        </w:rPr>
        <w:t>Excludes customer accounts from Zipwhip.</w:t>
      </w:r>
    </w:p>
    <w:p>
      <w:pPr>
        <w:spacing w:after="0" w:line="19" w:lineRule="exact"/>
        <w:rPr>
          <w:rFonts w:ascii="Arial" w:cs="Arial" w:eastAsia="Arial" w:hAnsi="Arial"/>
          <w:sz w:val="18"/>
          <w:szCs w:val="18"/>
          <w:color w:val="auto"/>
          <w:vertAlign w:val="superscript"/>
        </w:rPr>
      </w:pPr>
    </w:p>
    <w:p>
      <w:pPr>
        <w:ind w:left="1880" w:hanging="153"/>
        <w:spacing w:after="0" w:line="197" w:lineRule="auto"/>
        <w:tabs>
          <w:tab w:leader="none" w:pos="1880" w:val="left"/>
        </w:tabs>
        <w:numPr>
          <w:ilvl w:val="1"/>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revenue from Zipwhip, acquired July 14, 2021, and other smaller acquisitions made after January 1, 2021.</w:t>
      </w:r>
    </w:p>
    <w:p>
      <w:pPr>
        <w:spacing w:after="0" w:line="19" w:lineRule="exact"/>
        <w:rPr>
          <w:rFonts w:ascii="Arial" w:cs="Arial" w:eastAsia="Arial" w:hAnsi="Arial"/>
          <w:sz w:val="18"/>
          <w:szCs w:val="18"/>
          <w:color w:val="auto"/>
          <w:vertAlign w:val="superscript"/>
        </w:rPr>
      </w:pPr>
    </w:p>
    <w:p>
      <w:pPr>
        <w:ind w:left="1380" w:hanging="139"/>
        <w:spacing w:after="0" w:line="208" w:lineRule="auto"/>
        <w:tabs>
          <w:tab w:leader="none" w:pos="1380"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Excludes the contributions from Zipwhip, acquired July 14, 2021, and other smaller acquisitions made after January 1, 2021.</w:t>
      </w:r>
    </w:p>
    <w:p>
      <w:pPr>
        <w:spacing w:after="0" w:line="309"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b w:val="1"/>
          <w:bCs w:val="1"/>
          <w:i w:val="1"/>
          <w:iCs w:val="1"/>
          <w:color w:val="auto"/>
        </w:rPr>
        <w:t xml:space="preserve">Number of Active Customer Accounts. </w:t>
      </w:r>
      <w:r>
        <w:rPr>
          <w:rFonts w:ascii="Arial" w:cs="Arial" w:eastAsia="Arial" w:hAnsi="Arial"/>
          <w:sz w:val="17"/>
          <w:szCs w:val="17"/>
          <w:color w:val="auto"/>
        </w:rPr>
        <w:t>We believe that the number of Active Customer Accounts is an important indicator of the growth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the market acceptance of our platform and 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March 31, 2022 and 2021,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77" w:lineRule="exact"/>
        <w:rPr>
          <w:sz w:val="20"/>
          <w:szCs w:val="20"/>
          <w:color w:val="auto"/>
        </w:rPr>
      </w:pPr>
    </w:p>
    <w:p>
      <w:pPr>
        <w:ind w:right="60" w:firstLine="486"/>
        <w:spacing w:after="0" w:line="217" w:lineRule="exact"/>
        <w:rPr>
          <w:sz w:val="20"/>
          <w:szCs w:val="20"/>
          <w:color w:val="auto"/>
        </w:rPr>
      </w:pPr>
      <w:r>
        <w:rPr>
          <w:rFonts w:ascii="Arial" w:cs="Arial" w:eastAsia="Arial" w:hAnsi="Arial"/>
          <w:sz w:val="17"/>
          <w:szCs w:val="17"/>
          <w:b w:val="1"/>
          <w:bCs w:val="1"/>
          <w:i w:val="1"/>
          <w:iCs w:val="1"/>
          <w:color w:val="auto"/>
        </w:rPr>
        <w:t>Dollar</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Based Net Expansion Rate. </w:t>
      </w:r>
      <w:r>
        <w:rPr>
          <w:rFonts w:ascii="Arial" w:cs="Arial" w:eastAsia="Arial" w:hAnsi="Arial"/>
          <w:sz w:val="17"/>
          <w:szCs w:val="17"/>
          <w:color w:val="auto"/>
        </w:rPr>
        <w:t>Our ability to drive growth and generate incremental revenue depends, in part, on our ability to maintain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more meaningful indication of the performance of our efforts to increase revenue from existing customers.</w:t>
      </w:r>
    </w:p>
    <w:p>
      <w:pPr>
        <w:spacing w:after="0" w:line="20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Dollar-Based Net Expansion Rate compares the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w:t>
      </w:r>
    </w:p>
    <w:p>
      <w:pPr>
        <w:spacing w:after="0" w:line="18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229" w:lineRule="exact"/>
        <w:rPr>
          <w:sz w:val="20"/>
          <w:szCs w:val="20"/>
          <w:color w:val="auto"/>
        </w:rPr>
      </w:pPr>
    </w:p>
    <w:p>
      <w:pPr>
        <w:ind w:firstLine="486"/>
        <w:spacing w:after="0" w:line="218" w:lineRule="exact"/>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derive our revenue primarily from usage</w:t>
      </w:r>
      <w:r>
        <w:rPr>
          <w:rFonts w:ascii="MS PGothic" w:cs="MS PGothic" w:eastAsia="MS PGothic" w:hAnsi="MS PGothic"/>
          <w:sz w:val="18"/>
          <w:szCs w:val="18"/>
          <w:color w:val="auto"/>
        </w:rPr>
        <w:t>‑</w:t>
      </w:r>
      <w:r>
        <w:rPr>
          <w:rFonts w:ascii="Arial" w:cs="Arial" w:eastAsia="Arial" w:hAnsi="Arial"/>
          <w:sz w:val="18"/>
          <w:szCs w:val="18"/>
          <w:color w:val="auto"/>
        </w:rPr>
        <w:t>based fees earned from customers using the software products within our Channel APIs.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usage</w:t>
      </w:r>
      <w:r>
        <w:rPr>
          <w:rFonts w:ascii="MS PGothic" w:cs="MS PGothic" w:eastAsia="MS PGothic" w:hAnsi="MS PGothic"/>
          <w:sz w:val="18"/>
          <w:szCs w:val="18"/>
          <w:color w:val="auto"/>
        </w:rPr>
        <w:t>‑</w:t>
      </w:r>
      <w:r>
        <w:rPr>
          <w:rFonts w:ascii="Arial" w:cs="Arial" w:eastAsia="Arial" w:hAnsi="Arial"/>
          <w:sz w:val="18"/>
          <w:szCs w:val="18"/>
          <w:color w:val="auto"/>
        </w:rPr>
        <w:t>based software products include offerings such as Programmable Messaging, Programmable Voice and Programmable Video, among others. Some examples of the usage</w:t>
      </w:r>
      <w:r>
        <w:rPr>
          <w:rFonts w:ascii="MS PGothic" w:cs="MS PGothic" w:eastAsia="MS PGothic" w:hAnsi="MS PGothic"/>
          <w:sz w:val="18"/>
          <w:szCs w:val="18"/>
          <w:color w:val="auto"/>
        </w:rPr>
        <w:t>‑</w:t>
      </w:r>
      <w:r>
        <w:rPr>
          <w:rFonts w:ascii="Arial" w:cs="Arial" w:eastAsia="Arial" w:hAnsi="Arial"/>
          <w:sz w:val="18"/>
          <w:szCs w:val="18"/>
          <w:color w:val="auto"/>
        </w:rPr>
        <w:t>based fees that we charge include fees related to the number of text messages sent or received using our Programmable Messaging products, minutes of call duration activity for our Programmable Voice products and the number of authentications for our Verify product. In the three months ended March 31, 2022 and 2021, we generated 73% and 71% of our revenue, respectively, from usage</w:t>
      </w:r>
      <w:r>
        <w:rPr>
          <w:rFonts w:ascii="MS PGothic" w:cs="MS PGothic" w:eastAsia="MS PGothic" w:hAnsi="MS PGothic"/>
          <w:sz w:val="18"/>
          <w:szCs w:val="18"/>
          <w:color w:val="auto"/>
        </w:rPr>
        <w:t>‑</w:t>
      </w:r>
      <w:r>
        <w:rPr>
          <w:rFonts w:ascii="Arial" w:cs="Arial" w:eastAsia="Arial" w:hAnsi="Arial"/>
          <w:sz w:val="18"/>
          <w:szCs w:val="18"/>
          <w:color w:val="auto"/>
        </w:rPr>
        <w:t>based fees. We also earn monthly flat fees from certain fee</w:t>
      </w:r>
      <w:r>
        <w:rPr>
          <w:rFonts w:ascii="MS PGothic" w:cs="MS PGothic" w:eastAsia="MS PGothic" w:hAnsi="MS PGothic"/>
          <w:sz w:val="18"/>
          <w:szCs w:val="18"/>
          <w:color w:val="auto"/>
        </w:rPr>
        <w:t>‑</w:t>
      </w:r>
      <w:r>
        <w:rPr>
          <w:rFonts w:ascii="Arial" w:cs="Arial" w:eastAsia="Arial" w:hAnsi="Arial"/>
          <w:sz w:val="18"/>
          <w:szCs w:val="18"/>
          <w:color w:val="auto"/>
        </w:rPr>
        <w:t>based products, such as our Email API, Marketing Campaigns, Twilio Flex, our cloud contact center platform and Twilio Segment, our customer data platform.</w:t>
      </w:r>
    </w:p>
    <w:p>
      <w:pPr>
        <w:spacing w:after="0" w:line="20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4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7"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24" w:lineRule="exact"/>
        <w:rPr>
          <w:sz w:val="20"/>
          <w:szCs w:val="20"/>
          <w:color w:val="auto"/>
        </w:rPr>
      </w:pPr>
    </w:p>
    <w:p>
      <w:pPr>
        <w:ind w:right="160" w:firstLine="486"/>
        <w:spacing w:after="0" w:line="219" w:lineRule="exact"/>
        <w:rPr>
          <w:sz w:val="20"/>
          <w:szCs w:val="20"/>
          <w:color w:val="auto"/>
        </w:rPr>
      </w:pPr>
      <w:r>
        <w:rPr>
          <w:rFonts w:ascii="Arial" w:cs="Arial" w:eastAsia="Arial" w:hAnsi="Arial"/>
          <w:sz w:val="17"/>
          <w:szCs w:val="17"/>
          <w:b w:val="1"/>
          <w:bCs w:val="1"/>
          <w:i w:val="1"/>
          <w:iCs w:val="1"/>
          <w:color w:val="auto"/>
        </w:rPr>
        <w:t xml:space="preserve">Cost of Revenue and Gross Margin. </w:t>
      </w:r>
      <w:r>
        <w:rPr>
          <w:rFonts w:ascii="Arial" w:cs="Arial" w:eastAsia="Arial" w:hAnsi="Arial"/>
          <w:sz w:val="17"/>
          <w:szCs w:val="17"/>
          <w:color w:val="auto"/>
        </w:rPr>
        <w:t>Cost of revenue consists primarily of fees paid to network service providers. Cost of revenue also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fees, direct costs of personnel, such as salaries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our customer support employees and non</w:t>
      </w:r>
      <w:r>
        <w:rPr>
          <w:rFonts w:ascii="MS PGothic" w:cs="MS PGothic" w:eastAsia="MS PGothic" w:hAnsi="MS PGothic"/>
          <w:sz w:val="17"/>
          <w:szCs w:val="17"/>
          <w:color w:val="auto"/>
        </w:rPr>
        <w:t>‑</w:t>
      </w:r>
      <w:r>
        <w:rPr>
          <w:rFonts w:ascii="Arial" w:cs="Arial" w:eastAsia="Arial" w:hAnsi="Arial"/>
          <w:sz w:val="17"/>
          <w:szCs w:val="17"/>
          <w:color w:val="auto"/>
        </w:rPr>
        <w:t>personnel costs, such as depreciation and amortization expense related to data centers and hosting equipment, amortization of capitalized internal 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202" w:lineRule="exact"/>
        <w:rPr>
          <w:sz w:val="20"/>
          <w:szCs w:val="20"/>
          <w:color w:val="auto"/>
        </w:rPr>
      </w:pPr>
    </w:p>
    <w:p>
      <w:pPr>
        <w:ind w:right="60" w:firstLine="486"/>
        <w:spacing w:after="0" w:line="219" w:lineRule="exact"/>
        <w:rPr>
          <w:sz w:val="20"/>
          <w:szCs w:val="20"/>
          <w:color w:val="auto"/>
        </w:rPr>
      </w:pPr>
      <w:r>
        <w:rPr>
          <w:rFonts w:ascii="Arial" w:cs="Arial" w:eastAsia="Arial" w:hAnsi="Arial"/>
          <w:sz w:val="18"/>
          <w:szCs w:val="18"/>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8"/>
          <w:szCs w:val="18"/>
          <w:color w:val="auto"/>
        </w:rPr>
        <w:t>‑</w:t>
      </w:r>
      <w:r>
        <w:rPr>
          <w:rFonts w:ascii="Arial" w:cs="Arial" w:eastAsia="Arial" w:hAnsi="Arial"/>
          <w:sz w:val="18"/>
          <w:szCs w:val="18"/>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205" w:lineRule="exact"/>
        <w:rPr>
          <w:sz w:val="20"/>
          <w:szCs w:val="20"/>
          <w:color w:val="auto"/>
        </w:rPr>
      </w:pPr>
    </w:p>
    <w:p>
      <w:pPr>
        <w:ind w:firstLine="486"/>
        <w:spacing w:after="0" w:line="221" w:lineRule="exact"/>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The most significant components of operating expenses are personnel costs, which consist of salaries, benefits,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and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We also incur other non</w:t>
      </w:r>
      <w:r>
        <w:rPr>
          <w:rFonts w:ascii="MS PGothic" w:cs="MS PGothic" w:eastAsia="MS PGothic" w:hAnsi="MS PGothic"/>
          <w:sz w:val="17"/>
          <w:szCs w:val="17"/>
          <w:color w:val="auto"/>
        </w:rPr>
        <w:t>‑</w:t>
      </w:r>
      <w:r>
        <w:rPr>
          <w:rFonts w:ascii="Arial" w:cs="Arial" w:eastAsia="Arial" w:hAnsi="Arial"/>
          <w:sz w:val="17"/>
          <w:szCs w:val="17"/>
          <w:color w:val="auto"/>
        </w:rPr>
        <w:t>personnel costs related to our general overhead expenses. We expect that our operating costs will increase in absolute dollars as we add additional employees and invest in our infrastructure to grow our business.</w:t>
      </w:r>
    </w:p>
    <w:p>
      <w:pPr>
        <w:spacing w:after="0" w:line="202"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consist primarily of personnel costs, outsourced engineering services, cloud</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fees for staging and development, amortization of capitalized internal use software development costs, depreciation and an allocation of our general overhead expenses. We capitalize the portion of our software development costs that meets the criteria for capitalization.</w:t>
      </w:r>
    </w:p>
    <w:p>
      <w:pPr>
        <w:spacing w:after="0" w:line="16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continue to focus our research and development efforts on adding new features and products, including new use cases, improving our platform and increasing the functionality of our existing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including commissions for our sales employees.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also include expenditures related 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187" w:lineRule="exact"/>
        <w:rPr>
          <w:sz w:val="20"/>
          <w:szCs w:val="20"/>
          <w:color w:val="auto"/>
        </w:rPr>
      </w:pPr>
    </w:p>
    <w:p>
      <w:pPr>
        <w:ind w:right="120" w:firstLine="486"/>
        <w:spacing w:after="0" w:line="220" w:lineRule="exact"/>
        <w:rPr>
          <w:sz w:val="20"/>
          <w:szCs w:val="20"/>
          <w:color w:val="auto"/>
        </w:rPr>
      </w:pPr>
      <w:r>
        <w:rPr>
          <w:rFonts w:ascii="Arial" w:cs="Arial" w:eastAsia="Arial" w:hAnsi="Arial"/>
          <w:sz w:val="18"/>
          <w:szCs w:val="18"/>
          <w:color w:val="auto"/>
        </w:rPr>
        <w:t>We focus our sales and marketing efforts on generating awareness of our company, platform and products,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8"/>
          <w:szCs w:val="18"/>
          <w:color w:val="auto"/>
        </w:rPr>
        <w:t>‑</w:t>
      </w:r>
      <w:r>
        <w:rPr>
          <w:rFonts w:ascii="Arial" w:cs="Arial" w:eastAsia="Arial" w:hAnsi="Arial"/>
          <w:sz w:val="18"/>
          <w:szCs w:val="18"/>
          <w:color w:val="auto"/>
        </w:rPr>
        <w:t>service model with an enterprise sales approach, expanding our sales channels, driving our go</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strategies, building our brand awareness and sponsoring additional marketing events.</w:t>
      </w:r>
    </w:p>
    <w:p>
      <w:pPr>
        <w:spacing w:after="0" w:line="204"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 primarily of personnel costs for our accounting, finance, legal,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administrative support personnel. General and administrative expenses also include costs related to business acquisitions, legal and other professional services fees, certain taxes, depreciation and amortization, charitable contributions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7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general and administrative expenses include a certain amount of prior non-income-based taxes in certain domestic and international jurisdictions that we are subject to based on the manner we sell and deliver our products. Additional details are provided in Note 10(d) to our condensed consolidated financial statements included elsewhere in this Quarterly Report on Form 10-Q.</w:t>
      </w:r>
    </w:p>
    <w:p>
      <w:pPr>
        <w:spacing w:after="0" w:line="18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Our income tax provision or benefit for interim periods is determined using an estimate of our annual effective tax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for discrete items occurring in the quarter. The primary difference between our effective tax rate and the federal statutory rate relates to the full valuation allowance the Company established on the federal, state, and certain foreign net operating losses and credits.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486"/>
        <w:spacing w:after="0" w:line="218" w:lineRule="exact"/>
        <w:rPr>
          <w:sz w:val="20"/>
          <w:szCs w:val="20"/>
          <w:color w:val="auto"/>
        </w:rPr>
      </w:pPr>
      <w:r>
        <w:rPr>
          <w:rFonts w:ascii="Arial" w:cs="Arial" w:eastAsia="Arial" w:hAnsi="Arial"/>
          <w:sz w:val="17"/>
          <w:szCs w:val="17"/>
          <w:color w:val="auto"/>
        </w:rPr>
        <w:t>We use the following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collectively, to evaluate our ongoing operations and for internal planning and forecasting purposes. We believe that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results of operations and assists in comparisons with other companies, many of which use similar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to supplement their GAAP results.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7"/>
          <w:szCs w:val="17"/>
          <w:color w:val="auto"/>
        </w:rPr>
        <w:t>‑</w:t>
      </w:r>
      <w:r>
        <w:rPr>
          <w:rFonts w:ascii="Arial" w:cs="Arial" w:eastAsia="Arial" w:hAnsi="Arial"/>
          <w:sz w:val="17"/>
          <w:szCs w:val="17"/>
          <w:color w:val="auto"/>
        </w:rPr>
        <w:t>titled non</w:t>
      </w:r>
      <w:r>
        <w:rPr>
          <w:rFonts w:ascii="MS PGothic" w:cs="MS PGothic" w:eastAsia="MS PGothic" w:hAnsi="MS PGothic"/>
          <w:sz w:val="17"/>
          <w:szCs w:val="17"/>
          <w:color w:val="auto"/>
        </w:rPr>
        <w:t>‑</w:t>
      </w:r>
      <w:r>
        <w:rPr>
          <w:rFonts w:ascii="Arial" w:cs="Arial" w:eastAsia="Arial" w:hAnsi="Arial"/>
          <w:sz w:val="17"/>
          <w:szCs w:val="17"/>
          <w:color w:val="auto"/>
        </w:rPr>
        <w:t>GAAP measures used by other companies. Whenever we use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their most directly comparable GAAP financial measures.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40" w:firstLine="486"/>
        <w:spacing w:after="0" w:line="225"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 Gross Profit and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GAAP Gross Margin. </w:t>
      </w:r>
      <w:r>
        <w:rPr>
          <w:rFonts w:ascii="Arial" w:cs="Arial" w:eastAsia="Arial" w:hAnsi="Arial"/>
          <w:sz w:val="16"/>
          <w:szCs w:val="16"/>
          <w:color w:val="auto"/>
        </w:rPr>
        <w:t>For the periods presented, we define non</w:t>
      </w:r>
      <w:r>
        <w:rPr>
          <w:rFonts w:ascii="MS PGothic" w:cs="MS PGothic" w:eastAsia="MS PGothic" w:hAnsi="MS PGothic"/>
          <w:sz w:val="16"/>
          <w:szCs w:val="16"/>
          <w:color w:val="auto"/>
        </w:rPr>
        <w:t>‑</w:t>
      </w:r>
      <w:r>
        <w:rPr>
          <w:rFonts w:ascii="Arial" w:cs="Arial" w:eastAsia="Arial" w:hAnsi="Arial"/>
          <w:sz w:val="16"/>
          <w:szCs w:val="16"/>
          <w:color w:val="auto"/>
        </w:rPr>
        <w:t>GAAP gross profit and non</w:t>
      </w:r>
      <w:r>
        <w:rPr>
          <w:rFonts w:ascii="MS PGothic" w:cs="MS PGothic" w:eastAsia="MS PGothic" w:hAnsi="MS PGothic"/>
          <w:sz w:val="16"/>
          <w:szCs w:val="16"/>
          <w:color w:val="auto"/>
        </w:rPr>
        <w:t>‑</w:t>
      </w:r>
      <w:r>
        <w:rPr>
          <w:rFonts w:ascii="Arial" w:cs="Arial" w:eastAsia="Arial" w:hAnsi="Arial"/>
          <w:sz w:val="16"/>
          <w:szCs w:val="16"/>
          <w:color w:val="auto"/>
        </w:rPr>
        <w:t>GAAP gross</w:t>
      </w:r>
      <w:r>
        <w:rPr>
          <w:rFonts w:ascii="Arial" w:cs="Arial" w:eastAsia="Arial" w:hAnsi="Arial"/>
          <w:sz w:val="16"/>
          <w:szCs w:val="16"/>
          <w:b w:val="1"/>
          <w:bCs w:val="1"/>
          <w:color w:val="auto"/>
        </w:rPr>
        <w:t xml:space="preserve"> </w:t>
      </w:r>
      <w:r>
        <w:rPr>
          <w:rFonts w:ascii="Arial" w:cs="Arial" w:eastAsia="Arial" w:hAnsi="Arial"/>
          <w:sz w:val="16"/>
          <w:szCs w:val="16"/>
          <w:color w:val="auto"/>
        </w:rPr>
        <w:t>margin as GAAP gross profit and GAAP gross margin, respectively, adjusted to exclude, as applicable, certain expenses as presented in the table below:</w:t>
      </w:r>
    </w:p>
    <w:p>
      <w:pPr>
        <w:spacing w:after="0" w:line="329" w:lineRule="exact"/>
        <w:rPr>
          <w:sz w:val="20"/>
          <w:szCs w:val="20"/>
          <w:color w:val="auto"/>
        </w:rPr>
      </w:pPr>
    </w:p>
    <w:tbl>
      <w:tblPr>
        <w:tblLayout w:type="fixed"/>
        <w:tblInd w:w="246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500"/>
              <w:spacing w:after="0"/>
              <w:rPr>
                <w:sz w:val="20"/>
                <w:szCs w:val="20"/>
                <w:color w:val="auto"/>
              </w:rPr>
            </w:pPr>
            <w:r>
              <w:rPr>
                <w:rFonts w:ascii="Arial" w:cs="Arial" w:eastAsia="Arial" w:hAnsi="Arial"/>
                <w:sz w:val="16"/>
                <w:szCs w:val="16"/>
                <w:b w:val="1"/>
                <w:bCs w:val="1"/>
                <w:color w:val="auto"/>
              </w:rPr>
              <w:t>Reconciliation:</w:t>
            </w: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Gross profit</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425,071</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298,304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500"/>
              <w:spacing w:after="0"/>
              <w:rPr>
                <w:sz w:val="20"/>
                <w:szCs w:val="20"/>
                <w:color w:val="auto"/>
              </w:rPr>
            </w:pPr>
            <w:r>
              <w:rPr>
                <w:rFonts w:ascii="Arial" w:cs="Arial" w:eastAsia="Arial" w:hAnsi="Arial"/>
                <w:sz w:val="16"/>
                <w:szCs w:val="16"/>
                <w:color w:val="auto"/>
              </w:rPr>
              <w:t>Gross margin</w:t>
            </w:r>
          </w:p>
        </w:tc>
        <w:tc>
          <w:tcPr>
            <w:tcW w:w="860" w:type="dxa"/>
            <w:vAlign w:val="bottom"/>
          </w:tcPr>
          <w:p>
            <w:pPr>
              <w:spacing w:after="0"/>
              <w:rPr>
                <w:sz w:val="18"/>
                <w:szCs w:val="18"/>
                <w:color w:val="auto"/>
              </w:rPr>
            </w:pPr>
          </w:p>
        </w:tc>
        <w:tc>
          <w:tcPr>
            <w:tcW w:w="1080" w:type="dxa"/>
            <w:vAlign w:val="bottom"/>
          </w:tcPr>
          <w:p>
            <w:pPr>
              <w:jc w:val="right"/>
              <w:ind w:right="181"/>
              <w:spacing w:after="0"/>
              <w:rPr>
                <w:sz w:val="20"/>
                <w:szCs w:val="20"/>
                <w:color w:val="auto"/>
              </w:rPr>
            </w:pPr>
            <w:r>
              <w:rPr>
                <w:rFonts w:ascii="Arial" w:cs="Arial" w:eastAsia="Arial" w:hAnsi="Arial"/>
                <w:sz w:val="16"/>
                <w:szCs w:val="16"/>
                <w:color w:val="auto"/>
              </w:rPr>
              <w:t>49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51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color w:val="auto"/>
              </w:rPr>
              <w:t>Non-GAAP</w:t>
            </w:r>
          </w:p>
        </w:tc>
        <w:tc>
          <w:tcPr>
            <w:tcW w:w="8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700"/>
              <w:spacing w:after="0" w:line="166" w:lineRule="exact"/>
              <w:rPr>
                <w:sz w:val="20"/>
                <w:szCs w:val="20"/>
                <w:color w:val="auto"/>
              </w:rPr>
            </w:pPr>
            <w:r>
              <w:rPr>
                <w:rFonts w:ascii="Arial" w:cs="Arial" w:eastAsia="Arial" w:hAnsi="Arial"/>
                <w:sz w:val="16"/>
                <w:szCs w:val="16"/>
                <w:color w:val="auto"/>
              </w:rPr>
              <w:t>Stock-based</w:t>
            </w:r>
          </w:p>
        </w:tc>
        <w:tc>
          <w:tcPr>
            <w:tcW w:w="860" w:type="dxa"/>
            <w:vAlign w:val="bottom"/>
          </w:tcPr>
          <w:p>
            <w:pPr>
              <w:spacing w:after="0"/>
              <w:rPr>
                <w:sz w:val="14"/>
                <w:szCs w:val="14"/>
                <w:color w:val="auto"/>
              </w:rPr>
            </w:pPr>
          </w:p>
        </w:tc>
        <w:tc>
          <w:tcPr>
            <w:tcW w:w="1080" w:type="dxa"/>
            <w:vAlign w:val="bottom"/>
            <w:vMerge w:val="restart"/>
          </w:tcPr>
          <w:p>
            <w:pPr>
              <w:jc w:val="right"/>
              <w:ind w:right="181"/>
              <w:spacing w:after="0"/>
              <w:rPr>
                <w:sz w:val="20"/>
                <w:szCs w:val="20"/>
                <w:color w:val="auto"/>
              </w:rPr>
            </w:pPr>
            <w:r>
              <w:rPr>
                <w:rFonts w:ascii="Arial" w:cs="Arial" w:eastAsia="Arial" w:hAnsi="Arial"/>
                <w:sz w:val="16"/>
                <w:szCs w:val="16"/>
                <w:color w:val="auto"/>
              </w:rPr>
              <w:t>4,521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6"/>
                <w:szCs w:val="16"/>
                <w:color w:val="auto"/>
              </w:rPr>
              <w:t>2,717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220"/>
              <w:spacing w:after="0"/>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Amortization of</w:t>
            </w:r>
          </w:p>
        </w:tc>
        <w:tc>
          <w:tcPr>
            <w:tcW w:w="8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30,636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26,342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intangibles</w:t>
            </w:r>
          </w:p>
        </w:tc>
        <w:tc>
          <w:tcPr>
            <w:tcW w:w="8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20" w:type="dxa"/>
            <w:vAlign w:val="bottom"/>
          </w:tcPr>
          <w:p>
            <w:pPr>
              <w:ind w:left="860"/>
              <w:spacing w:after="0" w:line="146" w:lineRule="exact"/>
              <w:rPr>
                <w:sz w:val="20"/>
                <w:szCs w:val="20"/>
                <w:color w:val="auto"/>
              </w:rPr>
            </w:pPr>
            <w:r>
              <w:rPr>
                <w:rFonts w:ascii="Arial" w:cs="Arial" w:eastAsia="Arial" w:hAnsi="Arial"/>
                <w:sz w:val="16"/>
                <w:szCs w:val="16"/>
                <w:color w:val="auto"/>
              </w:rPr>
              <w:t>Non-GAAP</w:t>
            </w: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81"/>
              <w:spacing w:after="0"/>
              <w:rPr>
                <w:sz w:val="20"/>
                <w:szCs w:val="20"/>
                <w:color w:val="auto"/>
              </w:rPr>
            </w:pPr>
            <w:r>
              <w:rPr>
                <w:rFonts w:ascii="Arial" w:cs="Arial" w:eastAsia="Arial" w:hAnsi="Arial"/>
                <w:sz w:val="16"/>
                <w:szCs w:val="16"/>
                <w:color w:val="auto"/>
              </w:rPr>
              <w:t>460,228</w:t>
            </w:r>
          </w:p>
        </w:tc>
        <w:tc>
          <w:tcPr>
            <w:tcW w:w="138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80"/>
              <w:spacing w:after="0"/>
              <w:rPr>
                <w:sz w:val="20"/>
                <w:szCs w:val="20"/>
                <w:color w:val="auto"/>
              </w:rPr>
            </w:pPr>
            <w:r>
              <w:rPr>
                <w:rFonts w:ascii="Arial" w:cs="Arial" w:eastAsia="Arial" w:hAnsi="Arial"/>
                <w:sz w:val="16"/>
                <w:szCs w:val="16"/>
                <w:color w:val="auto"/>
              </w:rPr>
              <w:t>327,363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2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8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20" w:type="dxa"/>
            <w:vAlign w:val="bottom"/>
            <w:shd w:val="clear" w:color="auto" w:fill="CCEEFF"/>
          </w:tcPr>
          <w:p>
            <w:pPr>
              <w:ind w:left="860"/>
              <w:spacing w:after="0" w:line="133" w:lineRule="exact"/>
              <w:rPr>
                <w:sz w:val="20"/>
                <w:szCs w:val="20"/>
                <w:color w:val="auto"/>
              </w:rPr>
            </w:pPr>
            <w:r>
              <w:rPr>
                <w:rFonts w:ascii="Arial" w:cs="Arial" w:eastAsia="Arial" w:hAnsi="Arial"/>
                <w:sz w:val="15"/>
                <w:szCs w:val="15"/>
                <w:color w:val="auto"/>
              </w:rPr>
              <w:t>Non-GAAP</w:t>
            </w:r>
          </w:p>
        </w:tc>
        <w:tc>
          <w:tcPr>
            <w:tcW w:w="8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53</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55</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spacing w:after="0" w:line="184"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 Operating Expenses</w:t>
      </w:r>
      <w:r>
        <w:rPr>
          <w:rFonts w:ascii="Arial" w:cs="Arial" w:eastAsia="Arial" w:hAnsi="Arial"/>
          <w:sz w:val="16"/>
          <w:szCs w:val="16"/>
          <w:color w:val="auto"/>
        </w:rPr>
        <w:t>. For the periods presented, we define non</w:t>
      </w:r>
      <w:r>
        <w:rPr>
          <w:rFonts w:ascii="MS PGothic" w:cs="MS PGothic" w:eastAsia="MS PGothic" w:hAnsi="MS PGothic"/>
          <w:sz w:val="16"/>
          <w:szCs w:val="16"/>
          <w:color w:val="auto"/>
        </w:rPr>
        <w:t>‑</w:t>
      </w:r>
      <w:r>
        <w:rPr>
          <w:rFonts w:ascii="Arial" w:cs="Arial" w:eastAsia="Arial" w:hAnsi="Arial"/>
          <w:sz w:val="16"/>
          <w:szCs w:val="16"/>
          <w:color w:val="auto"/>
        </w:rPr>
        <w:t>GAAP operating expenses (including categories of operating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GAAP operating expenses (and categories of operating expenses) adjusted to exclude, as applicable, certain expenses as presented in the table below:</w:t>
      </w:r>
    </w:p>
    <w:p>
      <w:pPr>
        <w:spacing w:after="0" w:line="360" w:lineRule="exact"/>
        <w:rPr>
          <w:sz w:val="20"/>
          <w:szCs w:val="20"/>
          <w:color w:val="auto"/>
        </w:rPr>
      </w:pPr>
    </w:p>
    <w:tbl>
      <w:tblPr>
        <w:tblLayout w:type="fixed"/>
        <w:tblInd w:w="220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500" w:type="dxa"/>
            <w:vAlign w:val="bottom"/>
          </w:tcPr>
          <w:p>
            <w:pPr>
              <w:ind w:left="500"/>
              <w:spacing w:after="0"/>
              <w:rPr>
                <w:sz w:val="20"/>
                <w:szCs w:val="20"/>
                <w:color w:val="auto"/>
              </w:rPr>
            </w:pPr>
            <w:r>
              <w:rPr>
                <w:rFonts w:ascii="Arial" w:cs="Arial" w:eastAsia="Arial" w:hAnsi="Arial"/>
                <w:sz w:val="16"/>
                <w:szCs w:val="16"/>
                <w:b w:val="1"/>
                <w:bCs w:val="1"/>
                <w:color w:val="auto"/>
              </w:rPr>
              <w:t>Reconciliation:</w:t>
            </w:r>
          </w:p>
        </w:tc>
        <w:tc>
          <w:tcPr>
            <w:tcW w:w="800" w:type="dxa"/>
            <w:vAlign w:val="bottom"/>
          </w:tcPr>
          <w:p>
            <w:pPr>
              <w:spacing w:after="0"/>
              <w:rPr>
                <w:sz w:val="17"/>
                <w:szCs w:val="17"/>
                <w:color w:val="auto"/>
              </w:rPr>
            </w:pPr>
          </w:p>
        </w:tc>
        <w:tc>
          <w:tcPr>
            <w:tcW w:w="1980" w:type="dxa"/>
            <w:vAlign w:val="bottom"/>
            <w:gridSpan w:val="3"/>
          </w:tcPr>
          <w:p>
            <w:pPr>
              <w:jc w:val="right"/>
              <w:ind w:right="119"/>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642,879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495,643</w:t>
            </w:r>
          </w:p>
        </w:tc>
        <w:tc>
          <w:tcPr>
            <w:tcW w:w="0" w:type="dxa"/>
            <w:vAlign w:val="bottom"/>
          </w:tcPr>
          <w:p>
            <w:pPr>
              <w:spacing w:after="0"/>
              <w:rPr>
                <w:sz w:val="1"/>
                <w:szCs w:val="1"/>
                <w:color w:val="auto"/>
              </w:rPr>
            </w:pPr>
          </w:p>
        </w:tc>
      </w:tr>
      <w:tr>
        <w:trPr>
          <w:trHeight w:val="213"/>
        </w:trPr>
        <w:tc>
          <w:tcPr>
            <w:tcW w:w="3500" w:type="dxa"/>
            <w:vAlign w:val="bottom"/>
          </w:tcPr>
          <w:p>
            <w:pPr>
              <w:ind w:left="500"/>
              <w:spacing w:after="0"/>
              <w:rPr>
                <w:sz w:val="20"/>
                <w:szCs w:val="20"/>
                <w:color w:val="auto"/>
              </w:rPr>
            </w:pPr>
            <w:r>
              <w:rPr>
                <w:rFonts w:ascii="Arial" w:cs="Arial" w:eastAsia="Arial" w:hAnsi="Arial"/>
                <w:sz w:val="16"/>
                <w:szCs w:val="16"/>
                <w:color w:val="auto"/>
              </w:rPr>
              <w:t>Non-GAAP adjustments: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(134,438)</w:t>
            </w:r>
          </w:p>
        </w:tc>
        <w:tc>
          <w:tcPr>
            <w:tcW w:w="0" w:type="dxa"/>
            <w:vAlign w:val="bottom"/>
          </w:tcPr>
          <w:p>
            <w:pPr>
              <w:spacing w:after="0"/>
              <w:rPr>
                <w:sz w:val="1"/>
                <w:szCs w:val="1"/>
                <w:color w:val="auto"/>
              </w:rPr>
            </w:pPr>
          </w:p>
        </w:tc>
      </w:tr>
      <w:tr>
        <w:trPr>
          <w:trHeight w:val="213"/>
        </w:trPr>
        <w:tc>
          <w:tcPr>
            <w:tcW w:w="3500" w:type="dxa"/>
            <w:vAlign w:val="bottom"/>
          </w:tcPr>
          <w:p>
            <w:pPr>
              <w:ind w:left="700"/>
              <w:spacing w:after="0"/>
              <w:rPr>
                <w:sz w:val="20"/>
                <w:szCs w:val="20"/>
                <w:color w:val="auto"/>
              </w:rPr>
            </w:pPr>
            <w:r>
              <w:rPr>
                <w:rFonts w:ascii="Arial" w:cs="Arial" w:eastAsia="Arial" w:hAnsi="Arial"/>
                <w:sz w:val="16"/>
                <w:szCs w:val="16"/>
                <w:color w:val="auto"/>
              </w:rPr>
              <w:t>Amortization of acquired intangibles</w:t>
            </w: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(18,809)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Acquisition-related expenses</w:t>
            </w: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13"/>
        </w:trPr>
        <w:tc>
          <w:tcPr>
            <w:tcW w:w="3500" w:type="dxa"/>
            <w:vAlign w:val="bottom"/>
          </w:tcPr>
          <w:p>
            <w:pPr>
              <w:ind w:left="700"/>
              <w:spacing w:after="0"/>
              <w:rPr>
                <w:sz w:val="20"/>
                <w:szCs w:val="20"/>
                <w:color w:val="auto"/>
              </w:rPr>
            </w:pPr>
            <w:r>
              <w:rPr>
                <w:rFonts w:ascii="Arial" w:cs="Arial" w:eastAsia="Arial" w:hAnsi="Arial"/>
                <w:sz w:val="16"/>
                <w:szCs w:val="16"/>
                <w:color w:val="auto"/>
              </w:rPr>
              <w:t>Charitable contributions</w:t>
            </w: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(9,405)</w:t>
            </w: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700"/>
              <w:spacing w:after="0" w:line="169" w:lineRule="exact"/>
              <w:rPr>
                <w:sz w:val="20"/>
                <w:szCs w:val="20"/>
                <w:color w:val="auto"/>
              </w:rPr>
            </w:pPr>
            <w:r>
              <w:rPr>
                <w:rFonts w:ascii="Arial" w:cs="Arial" w:eastAsia="Arial" w:hAnsi="Arial"/>
                <w:sz w:val="16"/>
                <w:szCs w:val="16"/>
                <w:color w:val="auto"/>
              </w:rPr>
              <w:t>Payroll taxes related to stock-based</w:t>
            </w:r>
          </w:p>
        </w:tc>
        <w:tc>
          <w:tcPr>
            <w:tcW w:w="8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(20,171)</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w:t>
            </w: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820"/>
              <w:spacing w:after="0"/>
              <w:rPr>
                <w:sz w:val="20"/>
                <w:szCs w:val="20"/>
                <w:color w:val="auto"/>
              </w:rPr>
            </w:pPr>
            <w:r>
              <w:rPr>
                <w:rFonts w:ascii="Arial" w:cs="Arial" w:eastAsia="Arial" w:hAnsi="Arial"/>
                <w:sz w:val="16"/>
                <w:szCs w:val="16"/>
                <w:color w:val="auto"/>
              </w:rPr>
              <w:t>Non-GAAP operating expenses</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455,185</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firstLine="486"/>
        <w:spacing w:after="0" w:line="222"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GAAP Income from Operations and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GAAP Operating Margin</w:t>
      </w:r>
      <w:r>
        <w:rPr>
          <w:rFonts w:ascii="Arial" w:cs="Arial" w:eastAsia="Arial" w:hAnsi="Arial"/>
          <w:sz w:val="18"/>
          <w:szCs w:val="18"/>
          <w:color w:val="auto"/>
        </w:rPr>
        <w:t>. 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non</w:t>
      </w:r>
      <w:r>
        <w:rPr>
          <w:rFonts w:ascii="MS PGothic" w:cs="MS PGothic" w:eastAsia="MS PGothic" w:hAnsi="MS PGothic"/>
          <w:sz w:val="18"/>
          <w:szCs w:val="18"/>
          <w:color w:val="auto"/>
        </w:rPr>
        <w:t>‑</w:t>
      </w:r>
      <w:r>
        <w:rPr>
          <w:rFonts w:ascii="Arial" w:cs="Arial" w:eastAsia="Arial" w:hAnsi="Arial"/>
          <w:sz w:val="18"/>
          <w:szCs w:val="18"/>
          <w:color w:val="auto"/>
        </w:rPr>
        <w:t>GAAP operating margin as GAAP loss from operations and GAAP operating margin, respectively, adjusted to exclude, as applicable, certain expenses as presented in the table below:</w:t>
      </w:r>
    </w:p>
    <w:p>
      <w:pPr>
        <w:spacing w:after="0" w:line="316" w:lineRule="exact"/>
        <w:rPr>
          <w:sz w:val="20"/>
          <w:szCs w:val="20"/>
          <w:color w:val="auto"/>
        </w:rPr>
      </w:pPr>
    </w:p>
    <w:tbl>
      <w:tblPr>
        <w:tblLayout w:type="fixed"/>
        <w:tblInd w:w="228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Three Month Ended March 31,</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180"/>
              <w:spacing w:after="0"/>
              <w:rPr>
                <w:sz w:val="20"/>
                <w:szCs w:val="20"/>
                <w:color w:val="auto"/>
              </w:rPr>
            </w:pPr>
            <w:r>
              <w:rPr>
                <w:rFonts w:ascii="Arial" w:cs="Arial" w:eastAsia="Arial" w:hAnsi="Arial"/>
                <w:sz w:val="16"/>
                <w:szCs w:val="16"/>
                <w:b w:val="1"/>
                <w:bCs w:val="1"/>
                <w:color w:val="auto"/>
              </w:rPr>
              <w:t>Reconciliation:</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(In thousands)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from operations</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(217,808)</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Operating margin</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adjustments:</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155,275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137,155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acquired intangibles</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45,151</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0"/>
              <w:spacing w:after="0"/>
              <w:rPr>
                <w:sz w:val="20"/>
                <w:szCs w:val="20"/>
                <w:color w:val="auto"/>
              </w:rPr>
            </w:pPr>
            <w:r>
              <w:rPr>
                <w:rFonts w:ascii="Arial" w:cs="Arial" w:eastAsia="Arial" w:hAnsi="Arial"/>
                <w:sz w:val="16"/>
                <w:szCs w:val="16"/>
                <w:color w:val="auto"/>
              </w:rPr>
              <w:t>Acquisition-related expenses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2,764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Charitable contributions</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9,405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160" w:type="dxa"/>
            <w:vAlign w:val="bottom"/>
          </w:tcPr>
          <w:p>
            <w:pPr>
              <w:ind w:left="400"/>
              <w:spacing w:after="0" w:line="166" w:lineRule="exact"/>
              <w:rPr>
                <w:sz w:val="20"/>
                <w:szCs w:val="20"/>
                <w:color w:val="auto"/>
              </w:rPr>
            </w:pPr>
            <w:r>
              <w:rPr>
                <w:rFonts w:ascii="Arial" w:cs="Arial" w:eastAsia="Arial" w:hAnsi="Arial"/>
                <w:sz w:val="16"/>
                <w:szCs w:val="16"/>
                <w:color w:val="auto"/>
              </w:rPr>
              <w:t>Payroll taxes related to stock-based</w:t>
            </w:r>
          </w:p>
        </w:tc>
        <w:tc>
          <w:tcPr>
            <w:tcW w:w="5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11,218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color w:val="auto"/>
              </w:rPr>
              <w:t>20,171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compensation</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Non-GAAP income from operations</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17,307</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rPr>
              <w:t>Non-GAAP operating margin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We have included Zipwhip in our results of operations prospectively after its closing date of July 14, 2021, and all other acquisitions from the respective closing dates of each acquisition. The period-to-period comparison of our historical results are not necessarily indicative of the results that may be expected in the future.</w:t>
      </w:r>
    </w:p>
    <w:p>
      <w:pPr>
        <w:spacing w:after="0" w:line="187" w:lineRule="exact"/>
        <w:rPr>
          <w:sz w:val="20"/>
          <w:szCs w:val="20"/>
          <w:color w:val="auto"/>
        </w:rPr>
      </w:pPr>
    </w:p>
    <w:p>
      <w:pPr>
        <w:jc w:val="both"/>
        <w:ind w:right="400" w:firstLine="486"/>
        <w:spacing w:after="0" w:line="311" w:lineRule="auto"/>
        <w:rPr>
          <w:sz w:val="20"/>
          <w:szCs w:val="20"/>
          <w:color w:val="auto"/>
        </w:rPr>
      </w:pPr>
      <w:r>
        <w:rPr>
          <w:rFonts w:ascii="Arial" w:cs="Arial" w:eastAsia="Arial" w:hAnsi="Arial"/>
          <w:sz w:val="16"/>
          <w:szCs w:val="16"/>
          <w:color w:val="auto"/>
        </w:rPr>
        <w:t>Our results of operations may be significantly affected by many factors, such as uncertainty regarding the impacts of the COVID-19 pandemic, fluctuations in foreign exchange rates, changes in global economic conditions and customer demand and spending, inflation, labor market constraints, world events and existing and new domestic and foreign laws and regulations, as well as those factors outlined in Part II, Item 1A, “Risk Factors.”</w:t>
      </w:r>
    </w:p>
    <w:p>
      <w:pPr>
        <w:spacing w:after="0" w:line="14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revenue is primarily derived from usage-based fees we charge for certain of our products, which can lead to variability and at times create significant differences between forecasts and actual results. In addition, our product mix and mix of international and domestic customers may significantly impact our gross margin. Because usage trends by geographic region and by customer are inherently difficult to estimate, our actual results could differ significantly from our estimates.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Three Month Ended March 31,</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5"/>
        </w:trPr>
        <w:tc>
          <w:tcPr>
            <w:tcW w:w="4120" w:type="dxa"/>
            <w:vAlign w:val="bottom"/>
          </w:tcPr>
          <w:p>
            <w:pPr>
              <w:ind w:left="500"/>
              <w:spacing w:after="0" w:line="145" w:lineRule="exact"/>
              <w:rPr>
                <w:sz w:val="20"/>
                <w:szCs w:val="20"/>
                <w:color w:val="auto"/>
              </w:rPr>
            </w:pPr>
            <w:r>
              <w:rPr>
                <w:rFonts w:ascii="Arial" w:cs="Arial" w:eastAsia="Arial" w:hAnsi="Arial"/>
                <w:sz w:val="16"/>
                <w:szCs w:val="16"/>
                <w:b w:val="1"/>
                <w:bCs w:val="1"/>
                <w:color w:val="auto"/>
              </w:rPr>
              <w:t>Condensed Consolidated Statements of</w:t>
            </w: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Operations Data:</w:t>
            </w:r>
          </w:p>
        </w:tc>
        <w:tc>
          <w:tcPr>
            <w:tcW w:w="680" w:type="dxa"/>
            <w:vAlign w:val="bottom"/>
          </w:tcPr>
          <w:p>
            <w:pPr>
              <w:spacing w:after="0"/>
              <w:rPr>
                <w:sz w:val="18"/>
                <w:szCs w:val="18"/>
                <w:color w:val="auto"/>
              </w:rPr>
            </w:pPr>
          </w:p>
        </w:tc>
        <w:tc>
          <w:tcPr>
            <w:tcW w:w="3360" w:type="dxa"/>
            <w:vAlign w:val="bottom"/>
            <w:gridSpan w:val="4"/>
          </w:tcPr>
          <w:p>
            <w:pPr>
              <w:jc w:val="right"/>
              <w:ind w:right="240"/>
              <w:spacing w:after="0"/>
              <w:rPr>
                <w:sz w:val="20"/>
                <w:szCs w:val="20"/>
                <w:color w:val="auto"/>
              </w:rPr>
            </w:pPr>
            <w:r>
              <w:rPr>
                <w:rFonts w:ascii="Arial" w:cs="Arial" w:eastAsia="Arial" w:hAnsi="Arial"/>
                <w:sz w:val="14"/>
                <w:szCs w:val="14"/>
                <w:color w:val="auto"/>
                <w:w w:val="92"/>
              </w:rPr>
              <w:t>(In thousands, except share and per share amounts)</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875,363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589,988</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50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(1) (2)</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450,292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291,684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Gross profit</w:t>
            </w:r>
          </w:p>
        </w:tc>
        <w:tc>
          <w:tcPr>
            <w:tcW w:w="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425,071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298,304</w:t>
            </w:r>
          </w:p>
        </w:tc>
        <w:tc>
          <w:tcPr>
            <w:tcW w:w="0" w:type="dxa"/>
            <w:vAlign w:val="bottom"/>
          </w:tcPr>
          <w:p>
            <w:pPr>
              <w:spacing w:after="0"/>
              <w:rPr>
                <w:sz w:val="1"/>
                <w:szCs w:val="1"/>
                <w:color w:val="auto"/>
              </w:rPr>
            </w:pPr>
          </w:p>
        </w:tc>
      </w:tr>
      <w:tr>
        <w:trPr>
          <w:trHeight w:val="193"/>
        </w:trPr>
        <w:tc>
          <w:tcPr>
            <w:tcW w:w="4120" w:type="dxa"/>
            <w:vAlign w:val="bottom"/>
          </w:tcPr>
          <w:p>
            <w:pPr>
              <w:ind w:left="500"/>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700"/>
              <w:spacing w:after="0" w:line="219"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240,611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0" w:type="dxa"/>
            <w:vAlign w:val="bottom"/>
          </w:tcPr>
          <w:p>
            <w:pPr>
              <w:spacing w:after="0"/>
              <w:rPr>
                <w:sz w:val="1"/>
                <w:szCs w:val="1"/>
                <w:color w:val="auto"/>
              </w:rPr>
            </w:pPr>
          </w:p>
        </w:tc>
      </w:tr>
      <w:tr>
        <w:trPr>
          <w:trHeight w:val="216"/>
        </w:trPr>
        <w:tc>
          <w:tcPr>
            <w:tcW w:w="4120" w:type="dxa"/>
            <w:vAlign w:val="bottom"/>
          </w:tcPr>
          <w:p>
            <w:pPr>
              <w:ind w:left="700"/>
              <w:spacing w:after="0" w:line="216"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6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287,906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210,590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70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114,362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0" w:type="dxa"/>
            <w:vAlign w:val="bottom"/>
          </w:tcPr>
          <w:p>
            <w:pPr>
              <w:spacing w:after="0"/>
              <w:rPr>
                <w:sz w:val="1"/>
                <w:szCs w:val="1"/>
                <w:color w:val="auto"/>
              </w:rPr>
            </w:pPr>
          </w:p>
        </w:tc>
      </w:tr>
      <w:tr>
        <w:trPr>
          <w:trHeight w:val="206"/>
        </w:trPr>
        <w:tc>
          <w:tcPr>
            <w:tcW w:w="412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642,879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495,643</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Loss from operations</w:t>
            </w: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(217,808)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(197,339)</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expenses, net</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(8,313)</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820"/>
              <w:spacing w:after="0" w:line="148" w:lineRule="exact"/>
              <w:rPr>
                <w:sz w:val="20"/>
                <w:szCs w:val="20"/>
                <w:color w:val="auto"/>
              </w:rPr>
            </w:pPr>
            <w:r>
              <w:rPr>
                <w:rFonts w:ascii="Arial" w:cs="Arial" w:eastAsia="Arial" w:hAnsi="Arial"/>
                <w:sz w:val="16"/>
                <w:szCs w:val="16"/>
                <w:color w:val="auto"/>
                <w:w w:val="99"/>
              </w:rPr>
              <w:t>Loss before benefit from (provision for) income</w:t>
            </w:r>
          </w:p>
        </w:tc>
        <w:tc>
          <w:tcPr>
            <w:tcW w:w="6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(224,485)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(205,652)</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w:t>
            </w:r>
          </w:p>
        </w:tc>
        <w:tc>
          <w:tcPr>
            <w:tcW w:w="6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Benefit from (provision for) income taxes</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2,858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loss attributable to common stockholders</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820"/>
              <w:spacing w:after="0" w:line="153" w:lineRule="exact"/>
              <w:rPr>
                <w:sz w:val="20"/>
                <w:szCs w:val="20"/>
                <w:color w:val="auto"/>
              </w:rPr>
            </w:pPr>
            <w:r>
              <w:rPr>
                <w:rFonts w:ascii="Arial" w:cs="Arial" w:eastAsia="Arial" w:hAnsi="Arial"/>
                <w:sz w:val="16"/>
                <w:szCs w:val="16"/>
                <w:color w:val="auto"/>
              </w:rPr>
              <w:t>Net loss per share attributable to common</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120" w:type="dxa"/>
            <w:vAlign w:val="bottom"/>
            <w:vMerge w:val="continue"/>
          </w:tcPr>
          <w:p>
            <w:pPr>
              <w:spacing w:after="0"/>
              <w:rPr>
                <w:sz w:val="9"/>
                <w:szCs w:val="9"/>
                <w:color w:val="auto"/>
              </w:rPr>
            </w:pP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9"/>
                <w:szCs w:val="9"/>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0"/>
        </w:trPr>
        <w:tc>
          <w:tcPr>
            <w:tcW w:w="4120" w:type="dxa"/>
            <w:vAlign w:val="bottom"/>
          </w:tcPr>
          <w:p>
            <w:pPr>
              <w:ind w:left="540"/>
              <w:spacing w:after="0"/>
              <w:rPr>
                <w:sz w:val="20"/>
                <w:szCs w:val="20"/>
                <w:color w:val="auto"/>
              </w:rPr>
            </w:pPr>
            <w:r>
              <w:rPr>
                <w:rFonts w:ascii="Arial" w:cs="Arial" w:eastAsia="Arial" w:hAnsi="Arial"/>
                <w:sz w:val="16"/>
                <w:szCs w:val="16"/>
                <w:color w:val="auto"/>
              </w:rPr>
              <w:t>stockholders, basic and diluted</w:t>
            </w:r>
          </w:p>
        </w:tc>
        <w:tc>
          <w:tcPr>
            <w:tcW w:w="6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ind w:left="820"/>
              <w:spacing w:after="0" w:line="133" w:lineRule="exact"/>
              <w:rPr>
                <w:sz w:val="20"/>
                <w:szCs w:val="20"/>
                <w:color w:val="auto"/>
              </w:rPr>
            </w:pPr>
            <w:r>
              <w:rPr>
                <w:rFonts w:ascii="Arial" w:cs="Arial" w:eastAsia="Arial" w:hAnsi="Arial"/>
                <w:sz w:val="15"/>
                <w:szCs w:val="15"/>
                <w:color w:val="auto"/>
              </w:rPr>
              <w:t>Weighted-average shares used in computing net</w:t>
            </w:r>
          </w:p>
        </w:tc>
        <w:tc>
          <w:tcPr>
            <w:tcW w:w="6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540"/>
              <w:spacing w:after="0" w:line="162" w:lineRule="exact"/>
              <w:rPr>
                <w:sz w:val="20"/>
                <w:szCs w:val="20"/>
                <w:color w:val="auto"/>
              </w:rPr>
            </w:pPr>
            <w:r>
              <w:rPr>
                <w:rFonts w:ascii="Arial" w:cs="Arial" w:eastAsia="Arial" w:hAnsi="Arial"/>
                <w:sz w:val="16"/>
                <w:szCs w:val="16"/>
                <w:color w:val="auto"/>
              </w:rPr>
              <w:t>loss per share attributable to common</w:t>
            </w:r>
          </w:p>
        </w:tc>
        <w:tc>
          <w:tcPr>
            <w:tcW w:w="6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180,898,713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167,160,458</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stockholders, basic and diluted</w:t>
            </w:r>
          </w:p>
        </w:tc>
        <w:tc>
          <w:tcPr>
            <w:tcW w:w="6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stock-based compensation expense as follows:</w:t>
      </w:r>
    </w:p>
    <w:p>
      <w:pPr>
        <w:spacing w:after="0" w:line="194" w:lineRule="exact"/>
        <w:rPr>
          <w:sz w:val="20"/>
          <w:szCs w:val="20"/>
          <w:color w:val="auto"/>
        </w:rPr>
      </w:pPr>
    </w:p>
    <w:tbl>
      <w:tblPr>
        <w:tblLayout w:type="fixed"/>
        <w:tblInd w:w="206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368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81"/>
        </w:trPr>
        <w:tc>
          <w:tcPr>
            <w:tcW w:w="3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20" w:type="dxa"/>
            <w:vAlign w:val="bottom"/>
            <w:gridSpan w:val="3"/>
          </w:tcPr>
          <w:p>
            <w:pPr>
              <w:jc w:val="right"/>
              <w:ind w:right="688"/>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5"/>
                <w:szCs w:val="15"/>
                <w:color w:val="auto"/>
              </w:rPr>
            </w:pPr>
          </w:p>
        </w:tc>
      </w:tr>
      <w:tr>
        <w:trPr>
          <w:trHeight w:val="192"/>
        </w:trPr>
        <w:tc>
          <w:tcPr>
            <w:tcW w:w="3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Cost of revenue</w:t>
            </w:r>
          </w:p>
        </w:tc>
        <w:tc>
          <w:tcPr>
            <w:tcW w:w="13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r>
      <w:tr>
        <w:trPr>
          <w:trHeight w:val="186"/>
        </w:trPr>
        <w:tc>
          <w:tcPr>
            <w:tcW w:w="3680" w:type="dxa"/>
            <w:vAlign w:val="bottom"/>
          </w:tcPr>
          <w:p>
            <w:pPr>
              <w:ind w:left="50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79,369</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56,959</w:t>
            </w:r>
          </w:p>
        </w:tc>
      </w:tr>
      <w:tr>
        <w:trPr>
          <w:trHeight w:val="192"/>
        </w:trPr>
        <w:tc>
          <w:tcPr>
            <w:tcW w:w="3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and marketing</w:t>
            </w:r>
          </w:p>
        </w:tc>
        <w:tc>
          <w:tcPr>
            <w:tcW w:w="1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47,586</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41,636</w:t>
            </w:r>
          </w:p>
        </w:tc>
      </w:tr>
      <w:tr>
        <w:trPr>
          <w:trHeight w:val="186"/>
        </w:trPr>
        <w:tc>
          <w:tcPr>
            <w:tcW w:w="36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General and administrative</w:t>
            </w:r>
          </w:p>
        </w:tc>
        <w:tc>
          <w:tcPr>
            <w:tcW w:w="1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35,843</w:t>
            </w:r>
          </w:p>
        </w:tc>
      </w:tr>
      <w:tr>
        <w:trPr>
          <w:trHeight w:val="211"/>
        </w:trPr>
        <w:tc>
          <w:tcPr>
            <w:tcW w:w="36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155,275</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137,155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Includes amortization of acquired intangibles as follows:</w:t>
      </w:r>
    </w:p>
    <w:p>
      <w:pPr>
        <w:spacing w:after="0" w:line="181" w:lineRule="exact"/>
        <w:rPr>
          <w:sz w:val="20"/>
          <w:szCs w:val="20"/>
          <w:color w:val="auto"/>
        </w:rPr>
      </w:pPr>
    </w:p>
    <w:tbl>
      <w:tblPr>
        <w:tblLayout w:type="fixed"/>
        <w:tblInd w:w="182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81"/>
        </w:trPr>
        <w:tc>
          <w:tcPr>
            <w:tcW w:w="4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jc w:val="right"/>
              <w:ind w:right="568"/>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5"/>
                <w:szCs w:val="15"/>
                <w:color w:val="auto"/>
              </w:rPr>
            </w:pPr>
          </w:p>
        </w:tc>
      </w:tr>
      <w:tr>
        <w:trPr>
          <w:trHeight w:val="19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30,636</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26,342</w:t>
            </w:r>
          </w:p>
        </w:tc>
      </w:tr>
      <w:tr>
        <w:trPr>
          <w:trHeight w:val="186"/>
        </w:trPr>
        <w:tc>
          <w:tcPr>
            <w:tcW w:w="45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w:t>
            </w:r>
          </w:p>
        </w:tc>
      </w:tr>
      <w:tr>
        <w:trPr>
          <w:trHeight w:val="186"/>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11"/>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51,466</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14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560" w:type="dxa"/>
            <w:vAlign w:val="bottom"/>
          </w:tcPr>
          <w:p>
            <w:pPr>
              <w:ind w:left="660"/>
              <w:spacing w:after="0" w:line="145" w:lineRule="exact"/>
              <w:rPr>
                <w:sz w:val="20"/>
                <w:szCs w:val="20"/>
                <w:color w:val="auto"/>
              </w:rPr>
            </w:pPr>
            <w:r>
              <w:rPr>
                <w:rFonts w:ascii="Arial" w:cs="Arial" w:eastAsia="Arial" w:hAnsi="Arial"/>
                <w:sz w:val="16"/>
                <w:szCs w:val="16"/>
                <w:b w:val="1"/>
                <w:bCs w:val="1"/>
                <w:color w:val="auto"/>
                <w:w w:val="94"/>
              </w:rPr>
              <w:t>Consolidated Statements of Operations,</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as a percentage of revenue: **</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Revenue</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Cost of revenue</w:t>
            </w: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49</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Gross profit</w:t>
            </w: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49</w:t>
            </w: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51</w:t>
            </w:r>
          </w:p>
        </w:tc>
        <w:tc>
          <w:tcPr>
            <w:tcW w:w="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660"/>
              <w:spacing w:after="0"/>
              <w:rPr>
                <w:sz w:val="20"/>
                <w:szCs w:val="20"/>
                <w:color w:val="auto"/>
              </w:rPr>
            </w:pPr>
            <w:r>
              <w:rPr>
                <w:rFonts w:ascii="Arial" w:cs="Arial" w:eastAsia="Arial" w:hAnsi="Arial"/>
                <w:sz w:val="16"/>
                <w:szCs w:val="16"/>
                <w:color w:val="auto"/>
              </w:rPr>
              <w:t>Operating expenses:</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Research and development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30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860"/>
              <w:spacing w:after="0"/>
              <w:rPr>
                <w:sz w:val="20"/>
                <w:szCs w:val="20"/>
                <w:color w:val="auto"/>
              </w:rPr>
            </w:pPr>
            <w:r>
              <w:rPr>
                <w:rFonts w:ascii="Arial" w:cs="Arial" w:eastAsia="Arial" w:hAnsi="Arial"/>
                <w:sz w:val="16"/>
                <w:szCs w:val="16"/>
                <w:color w:val="auto"/>
              </w:rPr>
              <w:t>Sales and marketing</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33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420"/>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General and administrative</w:t>
            </w: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operating expenses</w:t>
            </w: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73</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84</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Loss from operations</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(33)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expenses, net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980"/>
              <w:spacing w:after="0" w:line="148" w:lineRule="exact"/>
              <w:rPr>
                <w:sz w:val="20"/>
                <w:szCs w:val="20"/>
                <w:color w:val="auto"/>
              </w:rPr>
            </w:pPr>
            <w:r>
              <w:rPr>
                <w:rFonts w:ascii="Arial" w:cs="Arial" w:eastAsia="Arial" w:hAnsi="Arial"/>
                <w:sz w:val="16"/>
                <w:szCs w:val="16"/>
                <w:color w:val="auto"/>
              </w:rPr>
              <w:t>Loss before benefit from (provision</w:t>
            </w:r>
          </w:p>
        </w:tc>
        <w:tc>
          <w:tcPr>
            <w:tcW w:w="14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ind w:right="380"/>
              <w:spacing w:after="0"/>
              <w:rPr>
                <w:sz w:val="20"/>
                <w:szCs w:val="20"/>
                <w:color w:val="auto"/>
              </w:rPr>
            </w:pPr>
            <w:r>
              <w:rPr>
                <w:rFonts w:ascii="Arial" w:cs="Arial" w:eastAsia="Arial" w:hAnsi="Arial"/>
                <w:sz w:val="16"/>
                <w:szCs w:val="16"/>
                <w:color w:val="auto"/>
              </w:rPr>
              <w:t>(35)</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 income taxes</w:t>
            </w:r>
          </w:p>
        </w:tc>
        <w:tc>
          <w:tcPr>
            <w:tcW w:w="1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Benefit from (provision for) income taxes</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980"/>
              <w:spacing w:after="0" w:line="148" w:lineRule="exact"/>
              <w:rPr>
                <w:sz w:val="20"/>
                <w:szCs w:val="20"/>
                <w:color w:val="auto"/>
              </w:rPr>
            </w:pPr>
            <w:r>
              <w:rPr>
                <w:rFonts w:ascii="Arial" w:cs="Arial" w:eastAsia="Arial" w:hAnsi="Arial"/>
                <w:sz w:val="16"/>
                <w:szCs w:val="16"/>
                <w:color w:val="auto"/>
              </w:rPr>
              <w:t>Net loss attributable to common</w:t>
            </w:r>
          </w:p>
        </w:tc>
        <w:tc>
          <w:tcPr>
            <w:tcW w:w="14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ind w:right="420"/>
              <w:spacing w:after="0"/>
              <w:rPr>
                <w:sz w:val="20"/>
                <w:szCs w:val="20"/>
                <w:color w:val="auto"/>
              </w:rPr>
            </w:pPr>
            <w:r>
              <w:rPr>
                <w:rFonts w:ascii="Arial" w:cs="Arial" w:eastAsia="Arial" w:hAnsi="Arial"/>
                <w:sz w:val="16"/>
                <w:szCs w:val="16"/>
                <w:color w:val="auto"/>
              </w:rPr>
              <w:t>(35</w:t>
            </w:r>
          </w:p>
        </w:tc>
        <w:tc>
          <w:tcPr>
            <w:tcW w:w="42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stockholders</w:t>
            </w: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Columns may not add up to 100% due to rounding.</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352"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w w:val="89"/>
              </w:rPr>
              <w:t>Change</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2"/>
          </w:tcPr>
          <w:p>
            <w:pPr>
              <w:jc w:val="right"/>
              <w:ind w:right="239"/>
              <w:spacing w:after="0"/>
              <w:rPr>
                <w:sz w:val="20"/>
                <w:szCs w:val="20"/>
                <w:color w:val="auto"/>
              </w:rPr>
            </w:pPr>
            <w:r>
              <w:rPr>
                <w:rFonts w:ascii="Arial" w:cs="Arial" w:eastAsia="Arial" w:hAnsi="Arial"/>
                <w:sz w:val="14"/>
                <w:szCs w:val="14"/>
                <w:color w:val="auto"/>
              </w:rPr>
              <w:t>(Dollars in thousands)</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0"/>
              </w:rPr>
              <w:t>Revenue</w:t>
            </w:r>
          </w:p>
        </w:tc>
        <w:tc>
          <w:tcPr>
            <w:tcW w:w="1460" w:type="dxa"/>
            <w:vAlign w:val="bottom"/>
            <w:gridSpan w:val="2"/>
            <w:shd w:val="clear" w:color="auto" w:fill="CCEEFF"/>
          </w:tcPr>
          <w:p>
            <w:pPr>
              <w:jc w:val="right"/>
              <w:ind w:right="1100"/>
              <w:spacing w:after="0" w:line="169" w:lineRule="exact"/>
              <w:rPr>
                <w:sz w:val="20"/>
                <w:szCs w:val="20"/>
                <w:color w:val="auto"/>
              </w:rPr>
            </w:pPr>
            <w:r>
              <w:rPr>
                <w:rFonts w:ascii="Arial" w:cs="Arial" w:eastAsia="Arial" w:hAnsi="Arial"/>
                <w:sz w:val="16"/>
                <w:szCs w:val="16"/>
                <w:color w:val="auto"/>
                <w:w w:val="95"/>
              </w:rPr>
              <w:t>Total</w:t>
            </w:r>
          </w:p>
        </w:tc>
        <w:tc>
          <w:tcPr>
            <w:tcW w:w="13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875,363</w:t>
            </w:r>
          </w:p>
        </w:tc>
        <w:tc>
          <w:tcPr>
            <w:tcW w:w="7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589,988</w:t>
            </w:r>
          </w:p>
        </w:tc>
        <w:tc>
          <w:tcPr>
            <w:tcW w:w="11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285,375</w:t>
            </w:r>
          </w:p>
        </w:tc>
        <w:tc>
          <w:tcPr>
            <w:tcW w:w="1300" w:type="dxa"/>
            <w:vAlign w:val="bottom"/>
            <w:vMerge w:val="restart"/>
            <w:shd w:val="clear" w:color="auto" w:fill="CCEEFF"/>
          </w:tcPr>
          <w:p>
            <w:pPr>
              <w:jc w:val="right"/>
              <w:ind w:right="264"/>
              <w:spacing w:after="0"/>
              <w:rPr>
                <w:sz w:val="20"/>
                <w:szCs w:val="20"/>
                <w:color w:val="auto"/>
              </w:rPr>
            </w:pPr>
            <w:r>
              <w:rPr>
                <w:rFonts w:ascii="Arial" w:cs="Arial" w:eastAsia="Arial" w:hAnsi="Arial"/>
                <w:sz w:val="16"/>
                <w:szCs w:val="16"/>
                <w:color w:val="auto"/>
              </w:rPr>
              <w:t>48</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color w:val="auto"/>
        </w:rPr>
        <w:t>In 2022, total revenue increased by $285.4 million, or 48%, compared to the same period last year. This increase was primarily attributable to an increase in the usage of our products, particularly our Programmable Messaging, Programmable Voice, Email and Software products; the adoption of additional products by our existing customers; the additional A2P fees imposed by certain carriers; and revenue contributions from our acquisition of Zipwhip and other businesses. The change in usage from our existing customers was reflected in our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127% for the year ended March 31, 2022. The increase in usage was also attributable to a 14% increase in the number of Active Customer Accounts, from 235,000 as of March 31, 2021, to over 268,000 as of March 31, 2022.</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In 2022, U.S. revenue and international revenue represented $570.4 million or 65%, and $305.0 million, or 35%, respectively, of total revenue. In 2021, U.S. revenue and international revenue represented $421.5 million, or 71%, and $168.5 million, or 29%, respectively, of total revenue. The increase in international revenue was attributable to the growth in usage of our products, particularly our Programmable Messaging and Programmable Voice products, by our existing international Active Customer Accounts; a 13% increase in the number of international Active Customer Accounts driven in part by our focus on expanding our sales to customers outside of the United States; and revenue contribution from our recent acquisitions.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Three Months Ended March 31,</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2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tcPr>
          <w:p>
            <w:pPr>
              <w:jc w:val="center"/>
              <w:ind w:left="4"/>
              <w:spacing w:after="0"/>
              <w:rPr>
                <w:sz w:val="20"/>
                <w:szCs w:val="20"/>
                <w:color w:val="auto"/>
              </w:rPr>
            </w:pPr>
            <w:r>
              <w:rPr>
                <w:rFonts w:ascii="Arial" w:cs="Arial" w:eastAsia="Arial" w:hAnsi="Arial"/>
                <w:sz w:val="14"/>
                <w:szCs w:val="14"/>
                <w:color w:val="auto"/>
                <w:w w:val="93"/>
              </w:rPr>
              <w:t>(Dollars in thousands)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Cost</w:t>
            </w:r>
          </w:p>
        </w:tc>
        <w:tc>
          <w:tcPr>
            <w:tcW w:w="108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450,292</w:t>
            </w:r>
          </w:p>
        </w:tc>
        <w:tc>
          <w:tcPr>
            <w:tcW w:w="216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282"/>
              <w:spacing w:after="0"/>
              <w:rPr>
                <w:sz w:val="20"/>
                <w:szCs w:val="20"/>
                <w:color w:val="auto"/>
              </w:rPr>
            </w:pPr>
            <w:r>
              <w:rPr>
                <w:rFonts w:ascii="Arial" w:cs="Arial" w:eastAsia="Arial" w:hAnsi="Arial"/>
                <w:sz w:val="16"/>
                <w:szCs w:val="16"/>
                <w:color w:val="auto"/>
                <w:w w:val="93"/>
              </w:rPr>
              <w:t>291,684</w:t>
            </w:r>
          </w:p>
        </w:tc>
        <w:tc>
          <w:tcPr>
            <w:tcW w:w="16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158,608</w:t>
            </w:r>
          </w:p>
        </w:tc>
        <w:tc>
          <w:tcPr>
            <w:tcW w:w="1320" w:type="dxa"/>
            <w:vAlign w:val="bottom"/>
            <w:vMerge w:val="restart"/>
            <w:shd w:val="clear" w:color="auto" w:fill="CCEEFF"/>
          </w:tcPr>
          <w:p>
            <w:pPr>
              <w:jc w:val="right"/>
              <w:ind w:right="284"/>
              <w:spacing w:after="0"/>
              <w:rPr>
                <w:sz w:val="20"/>
                <w:szCs w:val="20"/>
                <w:color w:val="auto"/>
              </w:rPr>
            </w:pPr>
            <w:r>
              <w:rPr>
                <w:rFonts w:ascii="Arial" w:cs="Arial" w:eastAsia="Arial" w:hAnsi="Arial"/>
                <w:sz w:val="16"/>
                <w:szCs w:val="16"/>
                <w:color w:val="auto"/>
              </w:rPr>
              <w:t>54</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revenue</w:t>
            </w:r>
          </w:p>
        </w:tc>
        <w:tc>
          <w:tcPr>
            <w:tcW w:w="10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60" w:type="dxa"/>
            <w:vAlign w:val="bottom"/>
          </w:tcPr>
          <w:p>
            <w:pPr>
              <w:ind w:left="660"/>
              <w:spacing w:after="0" w:line="166" w:lineRule="exact"/>
              <w:rPr>
                <w:sz w:val="20"/>
                <w:szCs w:val="20"/>
                <w:color w:val="auto"/>
              </w:rPr>
            </w:pPr>
            <w:r>
              <w:rPr>
                <w:rFonts w:ascii="Arial" w:cs="Arial" w:eastAsia="Arial" w:hAnsi="Arial"/>
                <w:sz w:val="16"/>
                <w:szCs w:val="16"/>
                <w:color w:val="auto"/>
              </w:rPr>
              <w:t>Gross</w:t>
            </w:r>
          </w:p>
        </w:tc>
        <w:tc>
          <w:tcPr>
            <w:tcW w:w="1080" w:type="dxa"/>
            <w:vAlign w:val="bottom"/>
          </w:tcPr>
          <w:p>
            <w:pPr>
              <w:spacing w:after="0"/>
              <w:rPr>
                <w:sz w:val="14"/>
                <w:szCs w:val="14"/>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6"/>
                <w:szCs w:val="16"/>
                <w:color w:val="auto"/>
              </w:rPr>
              <w:t>49</w:t>
            </w:r>
          </w:p>
        </w:tc>
        <w:tc>
          <w:tcPr>
            <w:tcW w:w="2160" w:type="dxa"/>
            <w:vAlign w:val="bottom"/>
            <w:vMerge w:val="restart"/>
          </w:tcPr>
          <w:p>
            <w:pPr>
              <w:jc w:val="right"/>
              <w:ind w:right="1384"/>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282"/>
              <w:spacing w:after="0"/>
              <w:rPr>
                <w:sz w:val="20"/>
                <w:szCs w:val="20"/>
                <w:color w:val="auto"/>
              </w:rPr>
            </w:pPr>
            <w:r>
              <w:rPr>
                <w:rFonts w:ascii="Arial" w:cs="Arial" w:eastAsia="Arial" w:hAnsi="Arial"/>
                <w:sz w:val="16"/>
                <w:szCs w:val="16"/>
                <w:color w:val="auto"/>
              </w:rPr>
              <w:t>51</w:t>
            </w:r>
          </w:p>
        </w:tc>
        <w:tc>
          <w:tcPr>
            <w:tcW w:w="5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margin</w:t>
            </w:r>
          </w:p>
        </w:tc>
        <w:tc>
          <w:tcPr>
            <w:tcW w:w="10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2022, cost of revenue increased by $158.6 million, or 54%, compared to the same period last year. The increase in cost of revenue was primarily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 $136.6 million increase in network service providers’ costs, which included the additional A2P fees imposed by certain carriers,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 million increase in cloud infrastructure fees, all to support the growth in usage of our products. The increase was also due to a $4.3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expense of intangible assets that we acquired through business combinations. In addition, the three months ended March 31, 2022 included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from our recent acquisitions.</w:t>
      </w:r>
    </w:p>
    <w:p>
      <w:pPr>
        <w:spacing w:after="0" w:line="211"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In 2022, the gross margin percentage declined compared to the same period last year. This decline was primarily driven by continued strong growth of our international messaging business, the additional A2P fees imposed by certain carriers and an increase in network service provider fees in certain geographies, which we pass to our customers at cost. The decline was also due to an increase in amortization expense related to our acquired intangible assets. These declines were partially offset by the growth of our other application services products and certain operational improvements.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5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0" w:type="dxa"/>
            <w:vAlign w:val="bottom"/>
            <w:gridSpan w:val="3"/>
          </w:tcPr>
          <w:p>
            <w:pPr>
              <w:jc w:val="right"/>
              <w:ind w:right="239"/>
              <w:spacing w:after="0"/>
              <w:rPr>
                <w:sz w:val="20"/>
                <w:szCs w:val="20"/>
                <w:color w:val="auto"/>
              </w:rPr>
            </w:pPr>
            <w:r>
              <w:rPr>
                <w:rFonts w:ascii="Arial" w:cs="Arial" w:eastAsia="Arial" w:hAnsi="Arial"/>
                <w:sz w:val="14"/>
                <w:szCs w:val="14"/>
                <w:color w:val="auto"/>
              </w:rPr>
              <w:t>(Dollars in thousands)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ind w:left="680"/>
              <w:spacing w:after="0" w:line="169" w:lineRule="exact"/>
              <w:rPr>
                <w:sz w:val="20"/>
                <w:szCs w:val="20"/>
                <w:color w:val="auto"/>
              </w:rPr>
            </w:pPr>
            <w:r>
              <w:rPr>
                <w:rFonts w:ascii="Arial" w:cs="Arial" w:eastAsia="Arial" w:hAnsi="Arial"/>
                <w:sz w:val="16"/>
                <w:szCs w:val="16"/>
                <w:color w:val="auto"/>
                <w:w w:val="99"/>
              </w:rPr>
              <w:t>Research</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w w:val="96"/>
              </w:rPr>
              <w:t>240,611</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174,800</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65,811</w:t>
            </w:r>
          </w:p>
        </w:tc>
        <w:tc>
          <w:tcPr>
            <w:tcW w:w="13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38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development</w:t>
            </w:r>
          </w:p>
        </w:tc>
        <w:tc>
          <w:tcPr>
            <w:tcW w:w="9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80" w:type="dxa"/>
            <w:vAlign w:val="bottom"/>
          </w:tcPr>
          <w:p>
            <w:pPr>
              <w:ind w:left="680"/>
              <w:spacing w:after="0" w:line="166" w:lineRule="exact"/>
              <w:rPr>
                <w:sz w:val="20"/>
                <w:szCs w:val="20"/>
                <w:color w:val="auto"/>
              </w:rPr>
            </w:pPr>
            <w:r>
              <w:rPr>
                <w:rFonts w:ascii="Arial" w:cs="Arial" w:eastAsia="Arial" w:hAnsi="Arial"/>
                <w:sz w:val="16"/>
                <w:szCs w:val="16"/>
                <w:color w:val="auto"/>
              </w:rPr>
              <w:t>Sales</w:t>
            </w:r>
          </w:p>
        </w:tc>
        <w:tc>
          <w:tcPr>
            <w:tcW w:w="960" w:type="dxa"/>
            <w:vAlign w:val="bottom"/>
          </w:tcPr>
          <w:p>
            <w:pPr>
              <w:spacing w:after="0"/>
              <w:rPr>
                <w:sz w:val="14"/>
                <w:szCs w:val="14"/>
                <w:color w:val="auto"/>
              </w:rPr>
            </w:pPr>
          </w:p>
        </w:tc>
        <w:tc>
          <w:tcPr>
            <w:tcW w:w="1040" w:type="dxa"/>
            <w:vAlign w:val="bottom"/>
            <w:vMerge w:val="restart"/>
          </w:tcPr>
          <w:p>
            <w:pPr>
              <w:ind w:left="440"/>
              <w:spacing w:after="0"/>
              <w:rPr>
                <w:sz w:val="20"/>
                <w:szCs w:val="20"/>
                <w:color w:val="auto"/>
              </w:rPr>
            </w:pPr>
            <w:r>
              <w:rPr>
                <w:rFonts w:ascii="Arial" w:cs="Arial" w:eastAsia="Arial" w:hAnsi="Arial"/>
                <w:sz w:val="16"/>
                <w:szCs w:val="16"/>
                <w:color w:val="auto"/>
              </w:rPr>
              <w:t>287,906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210,590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77,316</w:t>
            </w: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37</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6"/>
                <w:szCs w:val="16"/>
                <w:color w:val="auto"/>
              </w:rPr>
              <w:t>and marketing</w:t>
            </w:r>
          </w:p>
        </w:tc>
        <w:tc>
          <w:tcPr>
            <w:tcW w:w="9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ind w:left="680"/>
              <w:spacing w:after="0" w:line="169" w:lineRule="exact"/>
              <w:rPr>
                <w:sz w:val="20"/>
                <w:szCs w:val="20"/>
                <w:color w:val="auto"/>
              </w:rPr>
            </w:pPr>
            <w:r>
              <w:rPr>
                <w:rFonts w:ascii="Arial" w:cs="Arial" w:eastAsia="Arial" w:hAnsi="Arial"/>
                <w:sz w:val="16"/>
                <w:szCs w:val="16"/>
                <w:color w:val="auto"/>
              </w:rPr>
              <w:t>General</w:t>
            </w:r>
          </w:p>
        </w:tc>
        <w:tc>
          <w:tcPr>
            <w:tcW w:w="9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w w:val="96"/>
              </w:rPr>
              <w:t>114,362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110,253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3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4</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administrative</w:t>
            </w:r>
          </w:p>
        </w:tc>
        <w:tc>
          <w:tcPr>
            <w:tcW w:w="9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380" w:type="dxa"/>
            <w:vAlign w:val="bottom"/>
          </w:tcPr>
          <w:p>
            <w:pPr>
              <w:ind w:left="880"/>
              <w:spacing w:after="0" w:line="146" w:lineRule="exact"/>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20"/>
              <w:spacing w:after="0" w:line="162" w:lineRule="exact"/>
              <w:rPr>
                <w:sz w:val="20"/>
                <w:szCs w:val="20"/>
                <w:color w:val="auto"/>
              </w:rPr>
            </w:pPr>
            <w:r>
              <w:rPr>
                <w:rFonts w:ascii="Arial" w:cs="Arial" w:eastAsia="Arial" w:hAnsi="Arial"/>
                <w:sz w:val="16"/>
                <w:szCs w:val="16"/>
                <w:color w:val="auto"/>
              </w:rPr>
              <w:t>operating</w:t>
            </w: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ind w:left="440"/>
              <w:spacing w:after="0"/>
              <w:rPr>
                <w:sz w:val="20"/>
                <w:szCs w:val="20"/>
                <w:color w:val="auto"/>
              </w:rPr>
            </w:pPr>
            <w:r>
              <w:rPr>
                <w:rFonts w:ascii="Arial" w:cs="Arial" w:eastAsia="Arial" w:hAnsi="Arial"/>
                <w:sz w:val="16"/>
                <w:szCs w:val="16"/>
                <w:color w:val="auto"/>
              </w:rPr>
              <w:t>642,879</w:t>
            </w:r>
          </w:p>
        </w:tc>
        <w:tc>
          <w:tcPr>
            <w:tcW w:w="8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495,643</w:t>
            </w:r>
          </w:p>
        </w:tc>
        <w:tc>
          <w:tcPr>
            <w:tcW w:w="80" w:type="dxa"/>
            <w:vAlign w:val="bottom"/>
          </w:tcPr>
          <w:p>
            <w:pPr>
              <w:spacing w:after="0"/>
              <w:rPr>
                <w:sz w:val="14"/>
                <w:szCs w:val="14"/>
                <w:color w:val="auto"/>
              </w:rPr>
            </w:pPr>
          </w:p>
        </w:tc>
        <w:tc>
          <w:tcPr>
            <w:tcW w:w="108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147,236</w:t>
            </w: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30</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380" w:type="dxa"/>
            <w:vAlign w:val="bottom"/>
          </w:tcPr>
          <w:p>
            <w:pPr>
              <w:ind w:left="220"/>
              <w:spacing w:after="0"/>
              <w:rPr>
                <w:sz w:val="20"/>
                <w:szCs w:val="20"/>
                <w:color w:val="auto"/>
              </w:rPr>
            </w:pPr>
            <w:r>
              <w:rPr>
                <w:rFonts w:ascii="Arial" w:cs="Arial" w:eastAsia="Arial" w:hAnsi="Arial"/>
                <w:sz w:val="16"/>
                <w:szCs w:val="16"/>
                <w:color w:val="auto"/>
              </w:rPr>
              <w:t>expenses</w:t>
            </w:r>
          </w:p>
        </w:tc>
        <w:tc>
          <w:tcPr>
            <w:tcW w:w="9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2022, research and development expenses increased by $65.8 million, or 38%, compared to the same period last year. The increase was primarily attributable to a $63.2 million increase in personnel costs, inclusive of a $0.4 million decrease in capitalized software development costs, largely as a result of a 53% average increase in our research and development headcount, as we continued to focus on enhancing our existing products, introducing new products as well as enhancing product management and other technical functions.</w:t>
      </w:r>
    </w:p>
    <w:p>
      <w:pPr>
        <w:spacing w:after="0" w:line="18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In 2022, sales and marketing expenses increased by $77.3 million, or 37%, compared to the same period last year. The increase was primarily attributable to a $58.8 million increase in personnel costs, largely as a result of a 61% average increase in sales and marketing headcount, as we continued to expand our sales efforts globally, and a $7.5 million increase in advertising expenses.</w:t>
      </w:r>
    </w:p>
    <w:p>
      <w:pPr>
        <w:spacing w:after="0" w:line="18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2022, general and administrative expenses increased by $4.1 million, or 4%, compared to the same period last year. The increase was primarily attributable to a $14.0 million, or 46%, increase in personnel costs, exclusive of stock-based compensation, largely as a result of a 70% average increase in general and administrative headcount, to support the growth of our business globally. This increase was partially offset by a $12.0 million decrease in stock-based compensation expense mainly driven by attrition.</w:t>
      </w:r>
    </w:p>
    <w:p>
      <w:pPr>
        <w:sectPr>
          <w:pgSz w:w="11900" w:h="16838" w:orient="portrait"/>
          <w:cols w:equalWidth="0" w:num="1">
            <w:col w:w="11300"/>
          </w:cols>
          <w:pgMar w:left="32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(iii) the net proceeds of $228.4 million, after deducting transaction costs paid by us, from settlement of our capped call arrangements in June 2021; and (iv) the payments received from customers using our products.</w:t>
      </w:r>
    </w:p>
    <w:p>
      <w:pPr>
        <w:spacing w:after="0" w:line="18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primary uses of cash include operating costs, such as personnel-related costs, network service provider costs, cloud infrastructure costs, facility-related spending, as well as acquisitions and investments. Our principal contractual and other commitments consist of obligations under our 2029 Notes and 2031 Notes, our operating leases for office space, contractual commitments to our cloud infrastructure and network service providers and our proposed minority investment in Syniverse Corporation. Refer to Note 8 and Note 10(a) to our condensed consolidated financial statements included elsewhere in this Quarterly Report on Form 10-Q for detailed discussions of our obligations and commitments related to debt, other purchase obligations and our proposed minority investment in Syniverse Corporation.</w:t>
      </w:r>
    </w:p>
    <w:p>
      <w:pPr>
        <w:spacing w:after="0" w:line="192"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16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believe that our cash, cash equivalents and marketable securities balances, as well as the cash flows generated by our operations, will be sufficient to satisfy our anticipated cash needs for working capital and capital expenditures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COVID-19 pandemic, including timing and ability to collect payments from our customers and other risks detailed in Part II, Item 1A, “Risk Factors.”</w:t>
      </w: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w:t>
      </w:r>
    </w:p>
    <w:p>
      <w:pPr>
        <w:spacing w:after="0" w:line="257"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 (used in) provided by operating activities</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13"/>
        </w:trPr>
        <w:tc>
          <w:tcPr>
            <w:tcW w:w="5120" w:type="dxa"/>
            <w:vAlign w:val="bottom"/>
          </w:tcPr>
          <w:p>
            <w:pPr>
              <w:ind w:left="500"/>
              <w:spacing w:after="0"/>
              <w:rPr>
                <w:sz w:val="20"/>
                <w:szCs w:val="20"/>
                <w:color w:val="auto"/>
              </w:rPr>
            </w:pPr>
            <w:r>
              <w:rPr>
                <w:rFonts w:ascii="Arial" w:cs="Arial" w:eastAsia="Arial" w:hAnsi="Arial"/>
                <w:sz w:val="16"/>
                <w:szCs w:val="16"/>
                <w:color w:val="auto"/>
              </w:rPr>
              <w:t>Cash provided by (used in) investing activities</w:t>
            </w:r>
          </w:p>
        </w:tc>
        <w:tc>
          <w:tcPr>
            <w:tcW w:w="7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150,967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(1,366,021)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 provided by financing activities</w:t>
            </w: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2,759,449</w:t>
            </w:r>
          </w:p>
        </w:tc>
        <w:tc>
          <w:tcPr>
            <w:tcW w:w="0" w:type="dxa"/>
            <w:vAlign w:val="bottom"/>
          </w:tcPr>
          <w:p>
            <w:pPr>
              <w:spacing w:after="0"/>
              <w:rPr>
                <w:sz w:val="1"/>
                <w:szCs w:val="1"/>
                <w:color w:val="auto"/>
              </w:rPr>
            </w:pPr>
          </w:p>
        </w:tc>
      </w:tr>
      <w:tr>
        <w:trPr>
          <w:trHeight w:val="166"/>
        </w:trPr>
        <w:tc>
          <w:tcPr>
            <w:tcW w:w="5120" w:type="dxa"/>
            <w:vAlign w:val="bottom"/>
          </w:tcPr>
          <w:p>
            <w:pPr>
              <w:ind w:left="500"/>
              <w:spacing w:after="0" w:line="166" w:lineRule="exact"/>
              <w:rPr>
                <w:sz w:val="20"/>
                <w:szCs w:val="20"/>
                <w:color w:val="auto"/>
              </w:rPr>
            </w:pPr>
            <w:r>
              <w:rPr>
                <w:rFonts w:ascii="Arial" w:cs="Arial" w:eastAsia="Arial" w:hAnsi="Arial"/>
                <w:sz w:val="16"/>
                <w:szCs w:val="16"/>
                <w:color w:val="auto"/>
              </w:rPr>
              <w:t>Effect of exchange rate changes on cash, cash equivalents and</w:t>
            </w:r>
          </w:p>
        </w:tc>
        <w:tc>
          <w:tcPr>
            <w:tcW w:w="76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increase in cash, cash equivalents and restricted cash</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137,526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1,397,889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2022, cash used in operating activities consisted primarily of our net loss of $221.6 million adjusted for non-cash items, including $155.3 million of stock-based compensation expense, $68.1 million of depreciation and amortization expense, $12.4 million of non-cash reduction to our operating right-of-use asset, $12.6 million amortization of deferred commissions and $60.7 million of cumulative changes in operating assets and liabilities. With respect to changes in operating assets and liabilities, accounts receivable and prepaid expenses increased $33.8 million primarily due to revenue growth, the timing of cash receipts and pre-payments for cloud infrastructure fees and certain operating expenses. Accounts payable and other current liabilities increased $19.4 million primarily due to increases in transaction volumes. Operating lease liability decreased $13.1 million due to payments made against our operating lease obligations. Other long-term assets increased $27.4 million primarily due to an increase in the sales commissions balances related to the growth of our business.</w:t>
      </w:r>
    </w:p>
    <w:p>
      <w:pPr>
        <w:spacing w:after="0" w:line="19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2021, cash provided by operating activities consisted primarily of our net loss of $206.5 million adjusted for non-cash items, including $137.2 million of stock-based compensation expense, $59.6 million of depreciation and amortization expense, $9.4 million of donated common stock, $7.6 million loss on extinguishment of our convertible notes, $3.4 million amortization of the debt discount and issuance costs related primarily to our convertible notes, $11.7 million of non-cash reduction to our operating right-of-use asset, $5.6 million amortization of deferred commissions, a $2.0 million increase in our allowance for credit losses, and $32.7 million of cumulative changes in operating assets and liabilities. With respect to changes in operating assets and liabilities, accounts receivable and prepaid expenses increased $24.3 million primarily due to the timing of cash receipts from certain of our larger customers, pre-payments for cloud infrastructure fees and certain operating expenses. Accounts payable and other current liabilities increased $18.0 million primarily due to increases in transaction volumes. Operating lease liability decreased $12.1 million due to payments made against our operating lease obligations. Other long-term assets increased $15.2 million primarily due to an increase in the sales commissions balances related to the growth of our business.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In 2022, cash provided by investing activities was $151.0 million primarily consisting of $195.9 million of proceeds from sales and maturities of marketable securities, net of purchases of marketable securities and other investments, offset by $27.7 million of net cash paid to acquire other businesses, $10.3 million related to capitalized software development costs and $7.0 million related to purchases of long-lived assets.</w:t>
      </w:r>
    </w:p>
    <w:p>
      <w:pPr>
        <w:spacing w:after="0" w:line="165" w:lineRule="exact"/>
        <w:rPr>
          <w:sz w:val="20"/>
          <w:szCs w:val="20"/>
          <w:color w:val="auto"/>
        </w:rPr>
      </w:pPr>
    </w:p>
    <w:p>
      <w:pPr>
        <w:ind w:right="620" w:firstLine="486"/>
        <w:spacing w:after="0" w:line="263" w:lineRule="auto"/>
        <w:rPr>
          <w:sz w:val="20"/>
          <w:szCs w:val="20"/>
          <w:color w:val="auto"/>
        </w:rPr>
      </w:pPr>
      <w:r>
        <w:rPr>
          <w:rFonts w:ascii="Arial" w:cs="Arial" w:eastAsia="Arial" w:hAnsi="Arial"/>
          <w:sz w:val="18"/>
          <w:szCs w:val="18"/>
          <w:color w:val="auto"/>
        </w:rPr>
        <w:t>In 2021, cash used in investing activities was $1.4 billion primarily consisting of $1.3 billion of purchases of marketable securities and other investments, net of maturities and sales, $66.9 million of net cash paid to acquire other businesses, $10.4 million related to capitalized software development costs and $5.0 million related to purchases of long-lived assets.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2022, cash provided by financing activities was $4.1 million primarily consisting of $11.7 million in proceeds from stock options exercised by our employees, offset by $6.5 million in principal payments on debt and finance leases.</w:t>
      </w:r>
    </w:p>
    <w:p>
      <w:pPr>
        <w:spacing w:after="0" w:line="1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2021, cash provided by financing activities was $2.8 billion primarily consisting of $1.8 billion in net proceeds from our public equity offering, $987.4 million in net proceeds from the issuance of our 2029 Notes and 2031 Notes and $11.6 million in proceeds from stock options exercised by our employees. This was offset by $2.8 million in principal payments on finance leases and $2.8 million related to the value of equity awards withheld to settle tax liabilities.</w:t>
      </w:r>
    </w:p>
    <w:p>
      <w:pPr>
        <w:spacing w:after="0" w:line="1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changes to our critical accounting policies as described in our Annual Report on Form 10-K filed with the SEC on February 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no material recent accounting pronouncements not yet adopted.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filings are available to be viewed and downloaded free of charge through our investor relations website after we file them with the Securities and Exchange Commission (“SEC”). Our filings include our Annual Report on Form 10-K, as amended,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76"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certain market risks in the ordinary course of our business, including sensitivities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firstLine="486"/>
        <w:spacing w:after="0" w:line="218" w:lineRule="exact"/>
        <w:rPr>
          <w:sz w:val="20"/>
          <w:szCs w:val="20"/>
          <w:color w:val="auto"/>
        </w:rPr>
      </w:pPr>
      <w:r>
        <w:rPr>
          <w:rFonts w:ascii="Arial" w:cs="Arial" w:eastAsia="Arial" w:hAnsi="Arial"/>
          <w:sz w:val="17"/>
          <w:szCs w:val="17"/>
          <w:color w:val="auto"/>
        </w:rPr>
        <w:t>We had cash, cash equivalents and restricted cash of $1.6 billion and marketable securities of $3.6 billion as of March 31, 2022. Cash, cash equivalents and restricted cash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7"/>
          <w:szCs w:val="17"/>
          <w:color w:val="auto"/>
        </w:rPr>
        <w:t>‑</w:t>
      </w:r>
      <w:r>
        <w:rPr>
          <w:rFonts w:ascii="Arial" w:cs="Arial" w:eastAsia="Arial" w:hAnsi="Arial"/>
          <w:sz w:val="17"/>
          <w:szCs w:val="17"/>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condensed consolidated financial statements.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March 2021, we issued $1.0 billion aggregate principal amount of our 2029 Notes and 2031 Notes carrying fixed interest rates of 3.625% and 3.875%,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Exchange Risks</w:t>
      </w:r>
    </w:p>
    <w:p>
      <w:pPr>
        <w:spacing w:after="0" w:line="225"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4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40" w:firstLine="486"/>
        <w:spacing w:after="0" w:line="263" w:lineRule="auto"/>
        <w:rPr>
          <w:sz w:val="20"/>
          <w:szCs w:val="20"/>
          <w:color w:val="auto"/>
        </w:rPr>
      </w:pPr>
      <w:r>
        <w:rPr>
          <w:rFonts w:ascii="Arial" w:cs="Arial" w:eastAsia="Arial" w:hAnsi="Arial"/>
          <w:sz w:val="18"/>
          <w:szCs w:val="18"/>
          <w:color w:val="auto"/>
        </w:rPr>
        <w:t>We enter into foreign currency derivative hedging transactions to mitigate our exposure to market risks that may result from changes in foreign currency exchange rates. For further information, see Note 5 to our condensed consolidated financial statements included elsewhere in this Quarterly Report on Form 10-Q.</w:t>
      </w:r>
    </w:p>
    <w:p>
      <w:pPr>
        <w:spacing w:after="0" w:line="18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 hypothetical 10% change in foreign exchange rates during any of the periods presented would not have had a material impact on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Quarterly Report on Form 10-Q.</w:t>
      </w:r>
    </w:p>
    <w:p>
      <w:pPr>
        <w:spacing w:after="0" w:line="18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Based on this evaluation, our Chief Executive Officer and our Principal Financial Officer concluded that, as of March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pacing w:after="0" w:line="184"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w:t>
      </w:r>
    </w:p>
    <w:p>
      <w:pPr>
        <w:spacing w:after="0" w:line="229" w:lineRule="exact"/>
        <w:rPr>
          <w:sz w:val="20"/>
          <w:szCs w:val="20"/>
          <w:color w:val="auto"/>
        </w:rPr>
      </w:pPr>
    </w:p>
    <w:p>
      <w:pPr>
        <w:ind w:right="80" w:firstLine="486"/>
        <w:spacing w:after="0" w:line="248"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 13a-15 (d) and 15d-15 (d) of the Exchange Act that occurred during the quarter ended March 31, 2022, that materially affected, or are reasonably likely to materially affect, our internal control over financial reporting.</w:t>
      </w:r>
    </w:p>
    <w:p>
      <w:pPr>
        <w:spacing w:after="0" w:line="232"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Inherent Limitations on Effectiveness of Controls</w:t>
      </w:r>
    </w:p>
    <w:p>
      <w:pPr>
        <w:spacing w:after="0" w:line="270"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6"/>
          <w:szCs w:val="16"/>
          <w:color w:val="auto"/>
        </w:rPr>
        <w:t>‑</w:t>
      </w:r>
      <w:r>
        <w:rPr>
          <w:rFonts w:ascii="Arial" w:cs="Arial" w:eastAsia="Arial" w:hAnsi="Arial"/>
          <w:sz w:val="16"/>
          <w:szCs w:val="16"/>
          <w:color w:val="auto"/>
        </w:rPr>
        <w:t>effective control system, misstatements due to error or fraud may occur and not be detected.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Refer to Note 10(b) of our condensed consolidated financial statements included elsewhere in this Quarterly Report on Form 10-Q for a description of our current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experienced substantial growth in our business since inception. For example, our headcount has grown from 5,482 employees on March 31, 2021 to 8,199 employees on March 31, 2022. We have moved to a virtual on-boarding process since the imposition of COVID-19 restrictions on certain business activities. In addition, we are rapidly expanding our international operations. Our international headcount grew from 1,907 employees as of March 31, 2021 to 3,237 employees as of March 31, 2022.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w:t>
      </w:r>
    </w:p>
    <w:p>
      <w:pPr>
        <w:spacing w:after="0" w:line="208" w:lineRule="exact"/>
        <w:rPr>
          <w:sz w:val="20"/>
          <w:szCs w:val="20"/>
          <w:color w:val="auto"/>
        </w:rPr>
      </w:pPr>
    </w:p>
    <w:p>
      <w:pPr>
        <w:ind w:right="120" w:firstLine="486"/>
        <w:spacing w:after="0" w:line="236" w:lineRule="auto"/>
        <w:rPr>
          <w:sz w:val="20"/>
          <w:szCs w:val="20"/>
          <w:color w:val="auto"/>
        </w:rPr>
      </w:pPr>
      <w:r>
        <w:rPr>
          <w:rFonts w:ascii="Arial" w:cs="Arial" w:eastAsia="Arial" w:hAnsi="Arial"/>
          <w:sz w:val="17"/>
          <w:szCs w:val="17"/>
          <w:color w:val="auto"/>
        </w:rPr>
        <w:t>We believe that our corporate culture has been a critical component of our success. We have invested substantial time and resources in building our team and nurturing our culture. As we expand our business in the U.S. and non-U.S. regions and mature as a public company, we may find it difficult to maintain our corporate culture while managing this growth. In addition, the COVID-19 pandemic may have long-term effects on the nature of the office environment and remote working. Our employees generally continue to work from home as we continue a phased reopening of offices and, in February 2021, we announced a new Open Work hybrid work approach, under which most employees will have a choice about where and how they work. We face uncertainty as to whether Open Work, and any adjustments we may make to our model, will meet the needs and expectations of our workforce or have an adverse effect on workforce engagement, productivity and retention. Any failure to preserve the key aspects of our culture as we manage our anticipated growth and organizational changes could hurt our chance for future success, including our ability to recruit and retain employees, and effectively focus on and pursue our corporate objectives. In addition, Open Work may impose additional risks to our business, including unauthorized access to or dissemination of sensitive, proprietary or confidential information. This, in turn, could adversely affect our business, results of operations and financial condition.</w:t>
      </w:r>
    </w:p>
    <w:p>
      <w:pPr>
        <w:spacing w:after="0" w:line="19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7"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9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 and attract new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amount of revenue from our Active Customer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enterprises and international organizations as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COVID-19 and other global events on our customers, partners and service providers and the global economy in general;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and the actions of our competitors, including pricing changes and the introduction of new products, services and geographies;</w:t>
      </w:r>
    </w:p>
    <w:p>
      <w:pPr>
        <w:spacing w:after="0" w:line="248"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76" w:lineRule="exact"/>
        <w:rPr>
          <w:rFonts w:ascii="Arial" w:cs="Arial" w:eastAsia="Arial" w:hAnsi="Arial"/>
          <w:sz w:val="17"/>
          <w:szCs w:val="17"/>
          <w:color w:val="auto"/>
        </w:rPr>
      </w:pPr>
    </w:p>
    <w:p>
      <w:pPr>
        <w:ind w:left="980" w:right="40" w:hanging="324"/>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policies or practices of third-party platforms, such as the Apple App Store and the Google Play Store, including with respect to Apple’s Identifier for Advertisers (IDFA), which helps advertisers assess the effectiveness of their advertising efforts, and with respect to transparency regarding data processing;</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new employee hires during a particular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network service provider fees that we pay in connection with the delivery of communications on our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cloud infrastructure fees that we pay in connection with the operation of our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pricing as a result of our optimization efforts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reductions in pricing or maintaining current pricing despite inflationary pressure as a result of negotiations with our larger customers;</w:t>
      </w:r>
    </w:p>
    <w:p>
      <w:pPr>
        <w:spacing w:after="0" w:line="236" w:lineRule="exact"/>
        <w:rPr>
          <w:rFonts w:ascii="Arial" w:cs="Arial" w:eastAsia="Arial" w:hAnsi="Arial"/>
          <w:sz w:val="17"/>
          <w:szCs w:val="17"/>
          <w:color w:val="auto"/>
        </w:rPr>
      </w:pPr>
    </w:p>
    <w:p>
      <w:pPr>
        <w:ind w:left="980" w:right="10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 including our enterprise sales force, which has been a focus of our recent expansion efforts;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size and complexity of our customer relationships;</w:t>
      </w:r>
    </w:p>
    <w:p>
      <w:pPr>
        <w:spacing w:after="0" w:line="225" w:lineRule="exact"/>
        <w:rPr>
          <w:rFonts w:ascii="Arial" w:cs="Arial" w:eastAsia="Arial" w:hAnsi="Arial"/>
          <w:sz w:val="18"/>
          <w:szCs w:val="18"/>
          <w:color w:val="auto"/>
        </w:rPr>
      </w:pPr>
    </w:p>
    <w:p>
      <w:pPr>
        <w:ind w:left="980" w:right="10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 and complexity of the sales cycle for our services, especially for sales to larger enterprises, government and regulated organizations;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the mix of products that our customers use during a particular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the revenue mix of U.S. and international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6" w:name="page37"/>
    <w:bookmarkEnd w:id="36"/>
    <w:p>
      <w:pPr>
        <w:ind w:left="980" w:right="320" w:hanging="324"/>
        <w:spacing w:after="0" w:line="342"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on our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 connection with mergers, acquisitions or other strategic transactions and the follow-on costs of integration;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customer payments and any difficulty in collecting accounts receivable from customers;</w:t>
      </w:r>
    </w:p>
    <w:p>
      <w:pPr>
        <w:spacing w:after="0" w:line="225" w:lineRule="exact"/>
        <w:rPr>
          <w:rFonts w:ascii="Arial" w:cs="Arial" w:eastAsia="Arial" w:hAnsi="Arial"/>
          <w:sz w:val="18"/>
          <w:szCs w:val="18"/>
          <w:color w:val="auto"/>
        </w:rPr>
      </w:pPr>
    </w:p>
    <w:p>
      <w:pPr>
        <w:ind w:left="980" w:right="440" w:hanging="324"/>
        <w:spacing w:after="0" w:line="342"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shortages, supply chain disruptions and rising inflation and our ability to control costs, including our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foreign currency exchange rates and our ability to effectively hedge our foreign currency exposure;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Additionally, global events such as the COVID-19 pandemic and the war in Ukraine, as well as certain large scale events, such as major elections and sporting events, can significantly impact usage levels on our platform, which has, and could in the future,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global COVID-19 pandemic may adversely impact our business, results of operations and financial condition.</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global COVID-19 pandemic has in the past disrupted, and may continue to disrupt, our day-to-day operations and the operations of our customers, partners and service providers. The continued uncertainty regarding the trajectory of the pandemic and its impact on the global economy may result in differing levels of demand for our products as the priorities, resources, financial conditions and economic outlook of our customers, partners and service providers change, which could adversely affect or increase the volatility of our financial results. Certain industries were initially more negatively impacted by COVID-19, while others were positively impacted. It has been and may continue to be more difficult for us to forecast usage levels and predict revenue trends for the more adversely impacted industries. Any prolonged contractions in industries historically impacted by COVID-19, along with any effects on supply chain or on other industries in which our customers, partners and service providers operate, could adversely impact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ind w:firstLine="486"/>
        <w:spacing w:after="0" w:line="269" w:lineRule="auto"/>
        <w:rPr>
          <w:sz w:val="20"/>
          <w:szCs w:val="20"/>
          <w:color w:val="auto"/>
        </w:rPr>
      </w:pPr>
      <w:r>
        <w:rPr>
          <w:rFonts w:ascii="Arial" w:cs="Arial" w:eastAsia="Arial" w:hAnsi="Arial"/>
          <w:sz w:val="17"/>
          <w:szCs w:val="17"/>
          <w:color w:val="auto"/>
        </w:rPr>
        <w:t>Additionally the COVID-19 pandemic has adversely affected global economic and market conditions, including causing labor shortages, supply chain disruptions and inflation, which are likely to continue for an extended period, and which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Specifically, we often enter into annual or multi-year, minimum commitment arrangements with our customers. If customers fail to pay us or reduce their spending with us, we may be adversely affected by an inability to collect amounts due, the cost of enforcing the terms of our contracts, including litigation, or a reduction in revenue. The continuing pandemic could also result in constrained supply or reduced customer demand and willingness to enter into or renew contracts with us, any of which could adversely impact our business, results of operations and overall financial performance in future periods. While we have developed and continue to develop plans to help mitigate the potential negative impact of the pandemic on our business, these efforts may not be effective, and a protracted economic downturn, including due to factors such as labor shortages, supply chain disruptions and inflation, may limit the effectiveness of our mitigation efforts.</w:t>
      </w:r>
    </w:p>
    <w:p>
      <w:pPr>
        <w:spacing w:after="0" w:line="17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as companies continue to support a fully remote workforce, and begin to adapt to hybrid work environments,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 data center suppliers and our network service providers have had some outages which resulted in disruptions to service for some of our customers.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To the extent that the COVID-19 pandemic harms our business, results of operations and financial condition, many of the other risks described in this “Risk Factors” section will be exacerbated.</w:t>
      </w:r>
    </w:p>
    <w:p>
      <w:pPr>
        <w:spacing w:after="0" w:line="17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or incapacitation of any of whom could adversely affect our business, results of operations and financial condition.</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6"/>
          <w:szCs w:val="16"/>
          <w:color w:val="auto"/>
        </w:rPr>
        <w:t>‑</w:t>
      </w:r>
      <w:r>
        <w:rPr>
          <w:rFonts w:ascii="Arial" w:cs="Arial" w:eastAsia="Arial" w:hAnsi="Arial"/>
          <w:sz w:val="16"/>
          <w:szCs w:val="16"/>
          <w:color w:val="auto"/>
        </w:rPr>
        <w:t>founder and Chief Executive Officer, Jeff Lawson. None of our executive officers or other senior management are bound by a written employment agreement and any of them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8" w:name="page39"/>
    <w:bookmarkEnd w:id="38"/>
    <w:p>
      <w:pPr>
        <w:ind w:left="500"/>
        <w:spacing w:after="0"/>
        <w:rPr>
          <w:sz w:val="20"/>
          <w:szCs w:val="20"/>
          <w:color w:val="auto"/>
        </w:rPr>
      </w:pPr>
      <w:r>
        <w:rPr>
          <w:rFonts w:ascii="Arial" w:cs="Arial" w:eastAsia="Arial" w:hAnsi="Arial"/>
          <w:sz w:val="18"/>
          <w:szCs w:val="18"/>
          <w:b w:val="1"/>
          <w:bCs w:val="1"/>
          <w:i w:val="1"/>
          <w:iCs w:val="1"/>
          <w:color w:val="auto"/>
        </w:rPr>
        <w:t>If we are unable to hire, retain and motivate qualified employees, our business will suffer.</w:t>
      </w:r>
    </w:p>
    <w:p>
      <w:pPr>
        <w:spacing w:after="0" w:line="225"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addition, we have experienced and may continue to experience employee turnover as a result of the ongoing “great resignation” occurring throughout the U.S. economy. New employees require training, take time before they achieve full productivity, and may not become as productive as we expect, and we may be unable to hire or retain sufficient numbers of qualified individuals. In addition, our new Open Work hybrid approach to work, announced in February 2021, may not meet the expectations of our workforce. Further, labor is subject to external factors that are beyond our control, including our industry’s highly competitive market for skilled workers and leaders, cost inflation, the COVID-19 pandemic and workforce participation rates. We must provide competitive</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compensation packages and a high quality work environment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 Volatility in, or lack of performance of, our stock price may also affect our ability to attract and retain key employees. If we are unable to retain our employees, our business, results of operations and financial condition could be adversely affected.</w:t>
      </w:r>
    </w:p>
    <w:p>
      <w:pPr>
        <w:spacing w:after="0" w:line="17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84" w:lineRule="exact"/>
        <w:rPr>
          <w:sz w:val="20"/>
          <w:szCs w:val="20"/>
          <w:color w:val="auto"/>
        </w:rPr>
      </w:pPr>
    </w:p>
    <w:p>
      <w:pPr>
        <w:ind w:firstLine="486"/>
        <w:spacing w:after="0" w:line="252"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We have taken steps, and continue to undertake long term solutions, to mitigate against future service disruptions, but there can be no guarantee that these actions or improvements will be effective in preventing or reducing such service disruptions. A loss of customers or reduced utilization of our products by customers resulting from service disruptions could adversely affect our business, results of operations and financial condition.</w:t>
      </w:r>
    </w:p>
    <w:p>
      <w:pPr>
        <w:spacing w:after="0" w:line="166" w:lineRule="exact"/>
        <w:rPr>
          <w:sz w:val="20"/>
          <w:szCs w:val="20"/>
          <w:color w:val="auto"/>
        </w:rPr>
      </w:pPr>
    </w:p>
    <w:p>
      <w:pPr>
        <w:ind w:right="100" w:firstLine="486"/>
        <w:spacing w:after="0"/>
        <w:rPr>
          <w:sz w:val="20"/>
          <w:szCs w:val="20"/>
          <w:color w:val="auto"/>
        </w:rPr>
      </w:pPr>
      <w:r>
        <w:rPr>
          <w:rFonts w:ascii="Arial" w:cs="Arial" w:eastAsia="Arial" w:hAnsi="Arial"/>
          <w:sz w:val="17"/>
          <w:szCs w:val="17"/>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9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70"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9" w:name="page40"/>
    <w:bookmarkEnd w:id="39"/>
    <w:p>
      <w:pPr>
        <w:ind w:right="40" w:firstLine="486"/>
        <w:spacing w:after="0" w:line="271" w:lineRule="auto"/>
        <w:rPr>
          <w:sz w:val="20"/>
          <w:szCs w:val="20"/>
          <w:color w:val="auto"/>
        </w:rPr>
      </w:pPr>
      <w:r>
        <w:rPr>
          <w:rFonts w:ascii="Arial" w:cs="Arial" w:eastAsia="Arial" w:hAnsi="Arial"/>
          <w:sz w:val="17"/>
          <w:szCs w:val="17"/>
          <w:color w:val="auto"/>
        </w:rPr>
        <w:t>From time to time, our customers have complained about our products, such as complaints about our pricing, the technical reliability of our products and platform, and our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and otherwise harm our business, results of operations and financial condition.</w:t>
      </w:r>
    </w:p>
    <w:p>
      <w:pPr>
        <w:spacing w:after="0" w:line="178"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spacing w:after="0" w:line="16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were founded in 2008, and we have been developing and providing a cloud</w:t>
      </w:r>
      <w:r>
        <w:rPr>
          <w:rFonts w:ascii="MS PGothic" w:cs="MS PGothic" w:eastAsia="MS PGothic" w:hAnsi="MS PGothic"/>
          <w:sz w:val="16"/>
          <w:szCs w:val="16"/>
          <w:color w:val="auto"/>
        </w:rPr>
        <w:t>‑</w:t>
      </w:r>
      <w:r>
        <w:rPr>
          <w:rFonts w:ascii="Arial" w:cs="Arial" w:eastAsia="Arial" w:hAnsi="Arial"/>
          <w:sz w:val="16"/>
          <w:szCs w:val="16"/>
          <w:color w:val="auto"/>
        </w:rPr>
        <w:t>based platform that enables developers and organizations to integrate voice, messaging, video and email communications capabilities into their software applications. This market continues to evolve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204"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24"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We and our customers are subject to numerous domestic (for example, CCPA in California) and foreign (for example, the GDPR in the EU)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effective January 1, 2023, will expand the CCPA. Similar laws have been enacted or been proposed at the state and federal levels. For example, Virginia and Colorado have each passed laws similar to but different from the CPRA that take effect in 2023.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ind w:firstLine="486"/>
        <w:spacing w:after="0" w:line="254"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privacy, data protection and data security. For example, the GDPR and the United Kingdom’s GDPR (“UK GDPR”) impose strict requirements for processing the personal information of individuals located, respectively within the European Economic Area (“EEA”) and the United Kingdom (“UK”). For example, under the GDPR, government regulators may impose temporary or definitive bans on data processing, as well as fines. Further, individuals may initiate litigation related to our processing of their personal information. As another example, the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w:t>
      </w:r>
    </w:p>
    <w:p>
      <w:pPr>
        <w:spacing w:after="0" w:line="19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62" w:lineRule="exact"/>
        <w:rPr>
          <w:sz w:val="20"/>
          <w:szCs w:val="20"/>
          <w:color w:val="auto"/>
        </w:rPr>
      </w:pPr>
    </w:p>
    <w:p>
      <w:pPr>
        <w:ind w:right="220" w:firstLine="486"/>
        <w:spacing w:after="0" w:line="231" w:lineRule="auto"/>
        <w:rPr>
          <w:sz w:val="20"/>
          <w:szCs w:val="20"/>
          <w:color w:val="auto"/>
        </w:rPr>
      </w:pPr>
      <w:r>
        <w:rPr>
          <w:rFonts w:ascii="Arial" w:cs="Arial" w:eastAsia="Arial" w:hAnsi="Arial"/>
          <w:sz w:val="18"/>
          <w:szCs w:val="18"/>
          <w:color w:val="auto"/>
        </w:rPr>
        <w:t>Similarly, with our registration as an interconnected VoIP provider with the Federal Communications Commission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8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required to sign business associate agreements (“BAAs”) with customers that subject us to the requirements under the U.S. Health Insurance Portability and Accountability Act of 1996 and the U.S. Health Information Technology for Economic and Clinical Health Act as well as state laws that govern health information.</w:t>
      </w:r>
    </w:p>
    <w:p>
      <w:pPr>
        <w:spacing w:after="0" w:line="178"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8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As a cumulative example of these risks, because our primary data processing facilities are currently in the U.S., we have experienced hesitancy, reluctance, or refusal by European or multinational customers to continue to use our services due to the potential risk posed to such customers as a result of the Court of Justice July 2020 ruling in the “Schrems II” case, as well as related guidance from the European Data Protection Board. For example, absent appropriate safeguards or other circumstances, the GDPR and laws in Switzerland and the UK generally restrict the transfer of personal information to countries outside of the EEA, such as the United States, that the European Commission does not consider as providing an adequate level of privacy, data protection and data security. On March 25, 2022, the U.S. and EU announced an “agreement in principle” to replace the EU-U.S. Privacy Shield framework with a valid transfer mechanism, but this mechanism has not yet been established. If we cannot implement a valid mechanism for cross-border data transfers, we may face increased exposure to regulatory actions, substantial fines, and injunctions against processing or transferring personal information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We and our customers are at risk of enforcement actions taken by an EU data protection authority during such time Twilio continues to require data transfers from the EEA for the provision of our services. If we are unable to increase our data processing capabilities in Europe and other countries to limit or eliminate the need for data transfers out of the EEA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1" w:name="page42"/>
    <w:bookmarkEnd w:id="41"/>
    <w:p>
      <w:pPr>
        <w:ind w:right="240" w:firstLine="486"/>
        <w:spacing w:after="0" w:line="223" w:lineRule="exact"/>
        <w:rPr>
          <w:sz w:val="20"/>
          <w:szCs w:val="20"/>
          <w:color w:val="auto"/>
        </w:rPr>
      </w:pPr>
      <w:r>
        <w:rPr>
          <w:rFonts w:ascii="Arial" w:cs="Arial" w:eastAsia="Arial" w:hAnsi="Arial"/>
          <w:sz w:val="18"/>
          <w:szCs w:val="18"/>
          <w:b w:val="1"/>
          <w:bCs w:val="1"/>
          <w:i w:val="1"/>
          <w:iCs w:val="1"/>
          <w:color w:val="auto"/>
        </w:rPr>
        <w:t>If we are unable to attract new customers in a cost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effective manner, then our business, results of operations and financial condition would be adversely affected.</w:t>
      </w:r>
    </w:p>
    <w:p>
      <w:pPr>
        <w:spacing w:after="0" w:line="20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82"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8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business, results of operations and financial condition could be harmed.</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8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legacy on-premises vendors;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regional network service providers that offer limited developer functionality on top of their own physical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smaller software companies that compete with portions of our product line;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software-as a-service (“SaaS”) companies and cloud platform vendors that offer prepackaged applications and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ind w:right="20" w:firstLine="486"/>
        <w:spacing w:after="0" w:line="235"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larger budgets, lower operating costs,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customer requirements or changing economic conditions, like inflation.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replace our products more easily with competitive offerings. Our customers also may choose to build some of the functionality our products provide or establish direct connectivity with network service providers, which may limit or eliminate their demand for our products.</w:t>
      </w:r>
    </w:p>
    <w:p>
      <w:pPr>
        <w:spacing w:after="0" w:line="19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9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6"/>
          <w:szCs w:val="16"/>
          <w:color w:val="auto"/>
        </w:rPr>
        <w:t>Moreover,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effectively. For example, certain of our competitors have engaged in acquisition activity in 2021 and may continue to do so in the future. In addition, some of our competitors have lower list prices than us, which may be attractive to certain customers even if those products have different or lesser functionality. If we are unable to maintain our current pricing due to competitive pressures, including within an inflationary environment,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incurred net losses in each year since our inception, including net losses of $221.6 million, $949.9 million and $491.0 million in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2022 and the years ended December 31, 2021 and 2020, respectively. We had an accumulated deficit of $2.3 billion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2022. We will need to generate and sustain increased revenue levels, and manage our operating expenses, in future periods to become profitable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even if we do, we may not be able to maintain or increase our level of profitability. We expect to continue to expend substantial financial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resources on, among other things:</w:t>
      </w:r>
    </w:p>
    <w:p>
      <w:pPr>
        <w:spacing w:after="0" w:line="211" w:lineRule="exact"/>
        <w:rPr>
          <w:sz w:val="20"/>
          <w:szCs w:val="20"/>
          <w:color w:val="auto"/>
        </w:rPr>
      </w:pPr>
    </w:p>
    <w:p>
      <w:pPr>
        <w:ind w:left="980" w:right="8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our engineering team, improvements in security and data protection, the development of new products, features and functionality and enhancements to our platform;</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our operations and infrastructure, both domestically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the value of our business and Class A common stock may significantly decrease.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ind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increase adoption of our products by enterprises, our business, results of operations and financial condition may be adversely affected.</w:t>
      </w:r>
    </w:p>
    <w:p>
      <w:pPr>
        <w:spacing w:after="0" w:line="1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Historically, we have relied on the adoption of our products by software developers through our self-service model for a majority of our revenue. Our ability to increase our customer base, especially among enterprises, and achieve broader market acceptance of our products will depend, in part, on our ability to effectively organize, focus and train our sales and marketing employees.</w:t>
      </w:r>
    </w:p>
    <w:p>
      <w:pPr>
        <w:spacing w:after="0" w:line="184"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8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which may not address changing inflationary pressure,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notwithstanding increased costs incurred by us to provide such products,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74"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92"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4" w:name="page45"/>
    <w:bookmarkEnd w:id="44"/>
    <w:p>
      <w:pPr>
        <w:ind w:right="340" w:firstLine="486"/>
        <w:spacing w:after="0" w:line="311" w:lineRule="auto"/>
        <w:rPr>
          <w:sz w:val="20"/>
          <w:szCs w:val="20"/>
          <w:color w:val="auto"/>
        </w:rPr>
      </w:pPr>
      <w:r>
        <w:rPr>
          <w:rFonts w:ascii="Arial" w:cs="Arial" w:eastAsia="Arial" w:hAnsi="Arial"/>
          <w:sz w:val="16"/>
          <w:szCs w:val="16"/>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4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9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7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future success depends in part on our ability to drive the adoption of our products by international customers.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the three months ended March 31, 2022, and the years ended December 31, 2021 and 2020, we derived 35%, 34% and 27% of our revenue, respectively, from customer accounts located outside the United States. The future success of our business will depend, in part, on our ability to expand our customer base worldwide. While we have been rapidly expanding our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ind w:right="300"/>
        <w:spacing w:after="0" w:line="301" w:lineRule="auto"/>
        <w:rPr>
          <w:sz w:val="20"/>
          <w:szCs w:val="20"/>
          <w:color w:val="auto"/>
        </w:rPr>
      </w:pPr>
      <w:r>
        <w:rPr>
          <w:rFonts w:ascii="Arial" w:cs="Arial" w:eastAsia="Arial" w:hAnsi="Arial"/>
          <w:sz w:val="16"/>
          <w:szCs w:val="16"/>
          <w:color w:val="auto"/>
        </w:rPr>
        <w:t>efforts internationally, our experience in selling our products outside of the United States is, and our ability to conduct business in local currencies in certain jurisdictions may be or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continuing to expand our international operations, which exposes us to significant risks.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are continuing to expand our international operations to increase our revenue from customers outside of the United States as part of our growth strategy. Between March 31, 2021 and March 31, 2022, our international headcount grew from 1,907 employees to 3,237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225" w:lineRule="exact"/>
        <w:rPr>
          <w:sz w:val="20"/>
          <w:szCs w:val="20"/>
          <w:color w:val="auto"/>
        </w:rPr>
      </w:pPr>
    </w:p>
    <w:p>
      <w:pPr>
        <w:ind w:left="980" w:right="10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and different sources of competition or other changes to our current competitive landscape;</w:t>
      </w:r>
    </w:p>
    <w:p>
      <w:pPr>
        <w:spacing w:after="0" w:line="225"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understanding, reconciling, and implementing technical controls to address, different technical standards, data privacy and telecommunications regulations, registration and certification requirements outside the United States, which could prevent customers from deploying our products or limit their usage;</w:t>
      </w:r>
    </w:p>
    <w:p>
      <w:pPr>
        <w:spacing w:after="0" w:line="183"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non-U.S. jurisdictions;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export controls and economic sanctions regulations administered by the Department of Commerce's Bureau of Industry and Security and the Treasury Department’s Office of Foreign Assets Control;</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and United Kingdom Bribery Act of 2010;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international trade policies, tariffs and other non-tariff barriers, such as quotas and local content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46" w:name="page47"/>
    <w:bookmarkEnd w:id="46"/>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w:t>
      </w:r>
    </w:p>
    <w:p>
      <w:pPr>
        <w:spacing w:after="0" w:line="225" w:lineRule="exact"/>
        <w:rPr>
          <w:rFonts w:ascii="Arial" w:cs="Arial" w:eastAsia="Arial" w:hAnsi="Arial"/>
          <w:sz w:val="18"/>
          <w:szCs w:val="18"/>
          <w:color w:val="auto"/>
        </w:rPr>
      </w:pPr>
    </w:p>
    <w:p>
      <w:pPr>
        <w:jc w:val="both"/>
        <w:ind w:left="980" w:right="36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23" w:lineRule="exact"/>
        <w:rPr>
          <w:rFonts w:ascii="Arial" w:cs="Arial" w:eastAsia="Arial" w:hAnsi="Arial"/>
          <w:sz w:val="16"/>
          <w:szCs w:val="16"/>
          <w:color w:val="auto"/>
        </w:rPr>
      </w:pPr>
    </w:p>
    <w:p>
      <w:pPr>
        <w:ind w:left="980" w:right="16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170" w:lineRule="exact"/>
        <w:rPr>
          <w:sz w:val="20"/>
          <w:szCs w:val="20"/>
          <w:color w:val="auto"/>
        </w:rPr>
      </w:pPr>
    </w:p>
    <w:p>
      <w:pPr>
        <w:ind w:right="60" w:firstLine="486"/>
        <w:spacing w:after="0" w:line="223" w:lineRule="exact"/>
        <w:rPr>
          <w:sz w:val="20"/>
          <w:szCs w:val="20"/>
          <w:color w:val="auto"/>
        </w:rPr>
      </w:pPr>
      <w:r>
        <w:rPr>
          <w:rFonts w:ascii="Arial" w:cs="Arial" w:eastAsia="Arial" w:hAnsi="Arial"/>
          <w:sz w:val="18"/>
          <w:szCs w:val="18"/>
          <w:b w:val="1"/>
          <w:bCs w:val="1"/>
          <w:i w:val="1"/>
          <w:iCs w:val="1"/>
          <w:color w:val="auto"/>
        </w:rPr>
        <w:t>Certain of our products are subject to telecommunications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related regulations, and future legislative or regulatory actions could adversely affect our business, results of operations and financial condition.</w:t>
      </w:r>
    </w:p>
    <w:p>
      <w:pPr>
        <w:spacing w:after="0" w:line="20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Certain of our products are subject to a number of FCC regulations and laws that are administered by the FCC. Among others, we must comply (in whole or in part) with:</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Communications Act of 1934, as amended, which regulates communications services and the provision of such services;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Telephone Consumer Protection Act, which limits the use of automatic dialing systems for calls and texts, artificial or prerecorded voice messages and fax machines;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which requires covered entities to assist law enforcement in undertaking electronic surveillance;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safeguard the privacy of certain customer information;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 of annual FCC regulatory fees and contributions to FCC-administered funds based on our interstate and international revenues;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rules pertaining to access to our services by people with disabilities and contributions to the Telecommunications Relay Services fund.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7" w:name="page48"/>
    <w:bookmarkEnd w:id="47"/>
    <w:p>
      <w:pPr>
        <w:ind w:right="540" w:firstLine="486"/>
        <w:spacing w:after="0" w:line="277" w:lineRule="auto"/>
        <w:rPr>
          <w:sz w:val="20"/>
          <w:szCs w:val="20"/>
          <w:color w:val="auto"/>
        </w:rPr>
      </w:pPr>
      <w:r>
        <w:rPr>
          <w:rFonts w:ascii="Arial" w:cs="Arial" w:eastAsia="Arial" w:hAnsi="Arial"/>
          <w:sz w:val="18"/>
          <w:szCs w:val="18"/>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2"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6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we continue to expand internationally, we have become subject to telecommunications laws and regulations in the foreign countries where we offer our products. Internationally, we currently offer our products across 180 countries.</w:t>
      </w:r>
    </w:p>
    <w:p>
      <w:pPr>
        <w:spacing w:after="0" w:line="17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Our international operations are subject to country-specific governmental regulation and related actions that have increased and will continue to increase our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6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8" w:name="page49"/>
    <w:bookmarkEnd w:id="48"/>
    <w:p>
      <w:pPr>
        <w:ind w:right="420" w:firstLine="486"/>
        <w:spacing w:after="0" w:line="224" w:lineRule="exact"/>
        <w:rPr>
          <w:sz w:val="20"/>
          <w:szCs w:val="20"/>
          <w:color w:val="auto"/>
        </w:rPr>
      </w:pPr>
      <w:r>
        <w:rPr>
          <w:rFonts w:ascii="Arial" w:cs="Arial" w:eastAsia="Arial" w:hAnsi="Arial"/>
          <w:sz w:val="16"/>
          <w:szCs w:val="16"/>
          <w:b w:val="1"/>
          <w:bCs w:val="1"/>
          <w:i w:val="1"/>
          <w:iCs w:val="1"/>
          <w:color w:val="auto"/>
        </w:rPr>
        <w:t>If we are unable to obtain or retain geographical, mobile, regional, local or toll</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20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8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 foregoing factors could adversely affect our business, results of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9" w:name="page50"/>
    <w:bookmarkEnd w:id="49"/>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7"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7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7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pandemics such as COVID-19, fraud or security attacks.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7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ind w:right="140" w:firstLine="486"/>
        <w:spacing w:after="0" w:line="263" w:lineRule="auto"/>
        <w:rPr>
          <w:sz w:val="20"/>
          <w:szCs w:val="20"/>
          <w:color w:val="auto"/>
        </w:rPr>
      </w:pPr>
      <w:r>
        <w:rPr>
          <w:rFonts w:ascii="Arial" w:cs="Arial" w:eastAsia="Arial" w:hAnsi="Arial"/>
          <w:sz w:val="18"/>
          <w:szCs w:val="18"/>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4"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2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In addition, the performance and availability of AWS or other service providers that provide our cloud infrastructures is outside of our control and, therefore, we are not in full control of whether we meet our service level commitments. A loss of customers or reduced utilization of our products by customers resulting from unscheduled downtime or service disruptions could adversely affect our business, results of operations and financial condition.</w:t>
      </w:r>
    </w:p>
    <w:p>
      <w:pPr>
        <w:spacing w:after="0" w:line="196" w:lineRule="exact"/>
        <w:rPr>
          <w:sz w:val="20"/>
          <w:szCs w:val="20"/>
          <w:color w:val="auto"/>
        </w:rPr>
      </w:pPr>
    </w:p>
    <w:p>
      <w:pPr>
        <w:ind w:right="220" w:firstLine="486"/>
        <w:spacing w:after="0" w:line="340" w:lineRule="auto"/>
        <w:rPr>
          <w:sz w:val="20"/>
          <w:szCs w:val="20"/>
          <w:color w:val="auto"/>
        </w:rPr>
      </w:pPr>
      <w:r>
        <w:rPr>
          <w:rFonts w:ascii="Arial" w:cs="Arial" w:eastAsia="Arial" w:hAnsi="Arial"/>
          <w:sz w:val="15"/>
          <w:szCs w:val="15"/>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31" w:lineRule="exact"/>
        <w:rPr>
          <w:sz w:val="20"/>
          <w:szCs w:val="20"/>
          <w:color w:val="auto"/>
        </w:rPr>
      </w:pPr>
    </w:p>
    <w:p>
      <w:pPr>
        <w:ind w:right="100" w:firstLine="486"/>
        <w:spacing w:after="0" w:line="265" w:lineRule="auto"/>
        <w:rPr>
          <w:sz w:val="20"/>
          <w:szCs w:val="20"/>
          <w:color w:val="auto"/>
        </w:rPr>
      </w:pPr>
      <w:r>
        <w:rPr>
          <w:rFonts w:ascii="Arial" w:cs="Arial" w:eastAsia="Arial" w:hAnsi="Arial"/>
          <w:sz w:val="17"/>
          <w:szCs w:val="17"/>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 For example, in 2020, SolarWinds Inc., one of our third party software service providers, was subject to a data security incident. We have completed our investigations of this incident and concluded that there was no adverse impact to us.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ind w:right="60" w:firstLine="486"/>
        <w:spacing w:after="0" w:line="269" w:lineRule="auto"/>
        <w:rPr>
          <w:sz w:val="20"/>
          <w:szCs w:val="20"/>
          <w:color w:val="auto"/>
        </w:rPr>
      </w:pPr>
      <w:r>
        <w:rPr>
          <w:rFonts w:ascii="Arial" w:cs="Arial" w:eastAsia="Arial" w:hAnsi="Arial"/>
          <w:sz w:val="17"/>
          <w:szCs w:val="17"/>
          <w:color w:val="auto"/>
        </w:rPr>
        <w:t>Furthermore, we are required to comply with laws and regulations that require us to maintain the security of personal information and we may have contractual and other legal obligations to notify customers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spacing w:after="0" w:line="17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65"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Defects or errors in our products could diminish demand for our products, harm our business and results of operations and subject us to liability.</w:t>
      </w:r>
    </w:p>
    <w:p>
      <w:pPr>
        <w:spacing w:after="0" w:line="17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6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three months ended March 31, 2022 and the years ended December 31, 2021 and 2020, our 10 largest Active Customer Accounts generated an aggregate of 11%, 11% and 14%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9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70" w:lineRule="exact"/>
        <w:rPr>
          <w:sz w:val="20"/>
          <w:szCs w:val="20"/>
          <w:color w:val="auto"/>
        </w:rPr>
      </w:pPr>
    </w:p>
    <w:p>
      <w:pPr>
        <w:ind w:right="60" w:firstLine="486"/>
        <w:spacing w:after="0" w:line="219" w:lineRule="exact"/>
        <w:rPr>
          <w:sz w:val="20"/>
          <w:szCs w:val="20"/>
          <w:color w:val="auto"/>
        </w:rPr>
      </w:pPr>
      <w:r>
        <w:rPr>
          <w:rFonts w:ascii="Arial" w:cs="Arial" w:eastAsia="Arial" w:hAnsi="Arial"/>
          <w:sz w:val="16"/>
          <w:szCs w:val="16"/>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6"/>
          <w:szCs w:val="16"/>
          <w:color w:val="auto"/>
        </w:rPr>
        <w:t>‑</w:t>
      </w:r>
      <w:r>
        <w:rPr>
          <w:rFonts w:ascii="Arial" w:cs="Arial" w:eastAsia="Arial" w:hAnsi="Arial"/>
          <w:sz w:val="16"/>
          <w:szCs w:val="16"/>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2" w:name="page53"/>
    <w:bookmarkEnd w:id="52"/>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Many of our customers depend on our customer support team to assist them in deploying our products effectively to help them to resolve</w:t>
      </w:r>
    </w:p>
    <w:p>
      <w:pPr>
        <w:spacing w:after="0" w:line="35"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7"/>
          <w:szCs w:val="17"/>
          <w:color w:val="auto"/>
        </w:rPr>
        <w:t>‑</w:t>
      </w:r>
      <w:r>
        <w:rPr>
          <w:rFonts w:ascii="Arial" w:cs="Arial" w:eastAsia="Arial" w:hAnsi="Arial"/>
          <w:sz w:val="17"/>
          <w:szCs w:val="17"/>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Failure to set optimal prices for our products could adversely impact our business, results of operations and financial condition.</w:t>
      </w:r>
    </w:p>
    <w:p>
      <w:pPr>
        <w:spacing w:after="0" w:line="23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For certain of our products, we primarily charge our customers based on their use of such products ("usage-based pricing"). One of the challenges to our usage-based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expect that we may need to change our pricing from time to time. In the past, we have sometimes reduced our prices either for individual</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customers in connection with long</w:t>
      </w:r>
      <w:r>
        <w:rPr>
          <w:rFonts w:ascii="MS PGothic" w:cs="MS PGothic" w:eastAsia="MS PGothic" w:hAnsi="MS PGothic"/>
          <w:sz w:val="16"/>
          <w:szCs w:val="16"/>
          <w:color w:val="auto"/>
        </w:rPr>
        <w:t>‑</w:t>
      </w:r>
      <w:r>
        <w:rPr>
          <w:rFonts w:ascii="Arial" w:cs="Arial" w:eastAsia="Arial" w:hAnsi="Arial"/>
          <w:sz w:val="16"/>
          <w:szCs w:val="16"/>
          <w:color w:val="auto"/>
        </w:rPr>
        <w:t>term agreements or for a particular product. Further, as competitors introduce new products or services that compete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ours or reduce their prices, we may be unable to attract new customers or retain existing customers based on our historical pricing. As we expand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internationally, we also must determine the appropriate price to enable us to compete effectively internationally. Moreover, enterprises, which are a primary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focus for our direct sales efforts, may demand substantial price concessions. In addition, if the mix of products sold changes, including for a shift to</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IP</w:t>
      </w:r>
      <w:r>
        <w:rPr>
          <w:rFonts w:ascii="MS PGothic" w:cs="MS PGothic" w:eastAsia="MS PGothic" w:hAnsi="MS PGothic"/>
          <w:sz w:val="16"/>
          <w:szCs w:val="16"/>
          <w:color w:val="auto"/>
        </w:rPr>
        <w:t>‑</w:t>
      </w:r>
      <w:r>
        <w:rPr>
          <w:rFonts w:ascii="Arial" w:cs="Arial" w:eastAsia="Arial" w:hAnsi="Arial"/>
          <w:sz w:val="16"/>
          <w:szCs w:val="16"/>
          <w:color w:val="auto"/>
        </w:rPr>
        <w:t>based products, then we may need to, or choose to, revise our pricing. As a result, in the future we may be required or choose to reduce our prices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our pricing model, which could adversely affect our business, results of operations and financial condition.</w:t>
      </w:r>
    </w:p>
    <w:p>
      <w:pPr>
        <w:spacing w:after="0" w:line="21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70" w:lineRule="exact"/>
        <w:rPr>
          <w:sz w:val="20"/>
          <w:szCs w:val="20"/>
          <w:color w:val="auto"/>
        </w:rPr>
      </w:pPr>
    </w:p>
    <w:p>
      <w:pPr>
        <w:ind w:firstLine="486"/>
        <w:spacing w:after="0" w:line="217" w:lineRule="exact"/>
        <w:rPr>
          <w:sz w:val="20"/>
          <w:szCs w:val="20"/>
          <w:color w:val="auto"/>
        </w:rPr>
      </w:pPr>
      <w:r>
        <w:rPr>
          <w:rFonts w:ascii="Arial" w:cs="Arial" w:eastAsia="Arial" w:hAnsi="Arial"/>
          <w:sz w:val="17"/>
          <w:szCs w:val="17"/>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third party intellectual property claims.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7"/>
          <w:szCs w:val="17"/>
          <w:color w:val="auto"/>
        </w:rPr>
        <w:t>‑</w:t>
      </w:r>
      <w:r>
        <w:rPr>
          <w:rFonts w:ascii="Arial" w:cs="Arial" w:eastAsia="Arial" w:hAnsi="Arial"/>
          <w:sz w:val="17"/>
          <w:szCs w:val="17"/>
          <w:color w:val="auto"/>
        </w:rPr>
        <w:t xml:space="preserve">factor authentication use case, </w:t>
      </w:r>
      <w:r>
        <w:rPr>
          <w:rFonts w:ascii="Arial" w:cs="Arial" w:eastAsia="Arial" w:hAnsi="Arial"/>
          <w:sz w:val="17"/>
          <w:szCs w:val="17"/>
          <w:i w:val="1"/>
          <w:iCs w:val="1"/>
          <w:color w:val="auto"/>
        </w:rPr>
        <w:t>Authy</w:t>
      </w:r>
      <w:r>
        <w:rPr>
          <w:rFonts w:ascii="Arial" w:cs="Arial" w:eastAsia="Arial" w:hAnsi="Arial"/>
          <w:sz w:val="17"/>
          <w:szCs w:val="17"/>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209" w:lineRule="exact"/>
        <w:rPr>
          <w:sz w:val="20"/>
          <w:szCs w:val="20"/>
          <w:color w:val="auto"/>
        </w:rPr>
      </w:pPr>
    </w:p>
    <w:p>
      <w:pPr>
        <w:ind w:right="40" w:firstLine="486"/>
        <w:spacing w:after="0" w:line="219" w:lineRule="exact"/>
        <w:rPr>
          <w:sz w:val="20"/>
          <w:szCs w:val="20"/>
          <w:color w:val="auto"/>
        </w:rPr>
      </w:pPr>
      <w:r>
        <w:rPr>
          <w:rFonts w:ascii="Arial" w:cs="Arial" w:eastAsia="Arial" w:hAnsi="Arial"/>
          <w:sz w:val="17"/>
          <w:szCs w:val="17"/>
          <w:color w:val="auto"/>
        </w:rPr>
        <w:t>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divert the attention of our management and other employees from our business. Patent infringement, trademark infringement, trade secret misappropriation and other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3" w:name="page54"/>
    <w:bookmarkEnd w:id="53"/>
    <w:p>
      <w:pPr>
        <w:ind w:right="540"/>
        <w:spacing w:after="0" w:line="277" w:lineRule="auto"/>
        <w:rPr>
          <w:sz w:val="20"/>
          <w:szCs w:val="20"/>
          <w:color w:val="auto"/>
        </w:rPr>
      </w:pPr>
      <w:r>
        <w:rPr>
          <w:rFonts w:ascii="Arial" w:cs="Arial" w:eastAsia="Arial" w:hAnsi="Arial"/>
          <w:sz w:val="18"/>
          <w:szCs w:val="18"/>
          <w:color w:val="auto"/>
        </w:rPr>
        <w:t>intellectual property claims and proceedings brought against us, whether successful or not, could harm our brand, business, results of operations and financial condition.</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data breach, intellectual property infringement and other losses.</w:t>
      </w:r>
    </w:p>
    <w:p>
      <w:pPr>
        <w:spacing w:after="0" w:line="170"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w:t>
      </w:r>
      <w:r>
        <w:rPr>
          <w:rFonts w:ascii="Arial" w:cs="Arial" w:eastAsia="Arial" w:hAnsi="Arial"/>
          <w:sz w:val="18"/>
          <w:szCs w:val="18"/>
          <w:color w:val="auto"/>
        </w:rPr>
        <w:t>,</w:t>
      </w:r>
      <w:r>
        <w:rPr>
          <w:rFonts w:ascii="Arial" w:cs="Arial" w:eastAsia="Arial" w:hAnsi="Arial"/>
          <w:sz w:val="17"/>
          <w:szCs w:val="17"/>
          <w:color w:val="auto"/>
        </w:rPr>
        <w:t xml:space="preserve">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17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70"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2021, in the United States, we had been issued 197 patents, which expire between 2029 and 2040. As of such date, we also had 36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2021, we had 50 registered trademarks in the United States and 416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81"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has in the past, and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203" w:lineRule="exact"/>
        <w:rPr>
          <w:sz w:val="20"/>
          <w:szCs w:val="20"/>
          <w:color w:val="auto"/>
        </w:rPr>
      </w:pPr>
    </w:p>
    <w:p>
      <w:pPr>
        <w:ind w:right="20" w:firstLine="486"/>
        <w:spacing w:after="0" w:line="218" w:lineRule="exact"/>
        <w:rPr>
          <w:sz w:val="20"/>
          <w:szCs w:val="20"/>
          <w:color w:val="auto"/>
        </w:rPr>
      </w:pPr>
      <w:r>
        <w:rPr>
          <w:rFonts w:ascii="Arial" w:cs="Arial" w:eastAsia="Arial" w:hAnsi="Arial"/>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litigation could be necessary to enforce and determine the scope of our proprietary rights, and failure to obtain or maintain trade secret protection could adversely affect our competitive business position.</w:t>
      </w:r>
    </w:p>
    <w:p>
      <w:pPr>
        <w:spacing w:after="0" w:line="20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the laws of some countries do not protect intellectual property and other proprietary rights to the same extent as the laws of the United States. To the extent we expand our international activities, whether through acquisitions, international product development, regulatory compliance of local data sovereignty, or improving our services (e.g. reducing latency or ensuring redundancy) our exposure to unauthorized copying, transfer and use of our proprietary technology or information may increase.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4" w:name="page55"/>
    <w:bookmarkEnd w:id="54"/>
    <w:p>
      <w:pPr>
        <w:ind w:right="240" w:firstLine="486"/>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84" w:lineRule="exact"/>
        <w:rPr>
          <w:sz w:val="20"/>
          <w:szCs w:val="20"/>
          <w:color w:val="auto"/>
        </w:rPr>
      </w:pPr>
    </w:p>
    <w:p>
      <w:pPr>
        <w:ind w:right="40" w:firstLine="486"/>
        <w:spacing w:after="0" w:line="381" w:lineRule="auto"/>
        <w:rPr>
          <w:sz w:val="20"/>
          <w:szCs w:val="20"/>
          <w:color w:val="auto"/>
        </w:rPr>
      </w:pPr>
      <w:r>
        <w:rPr>
          <w:rFonts w:ascii="Arial" w:cs="Arial" w:eastAsia="Arial" w:hAnsi="Arial"/>
          <w:sz w:val="15"/>
          <w:szCs w:val="15"/>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0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our acquisitions, please see below under “Risks Related to our Acquisitions.” We also may enter into relationships with other businesses to expand our products and platform, which could involve preferred or exclusive licenses, additional channels of distribution, discount pricing or investments in other companies, such as our recent proposed minority investment of $500.0 million to $750.0 million in Syniverse Corporation.</w:t>
      </w:r>
    </w:p>
    <w:p>
      <w:pPr>
        <w:spacing w:after="0" w:line="18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9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8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encounter difficulties retaining key employees of the acquired company or integrating diverse software codes or business cultures;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 in securities that are illiquid or decline in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encounter difficulties retaining the acquired company's customers;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foregoing could adversely affect our business, results of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5" w:name="page56"/>
    <w:bookmarkEnd w:id="55"/>
    <w:p>
      <w:pPr>
        <w:ind w:right="200" w:firstLine="486"/>
        <w:spacing w:after="0" w:line="342" w:lineRule="auto"/>
        <w:rPr>
          <w:sz w:val="20"/>
          <w:szCs w:val="20"/>
          <w:color w:val="auto"/>
        </w:rPr>
      </w:pPr>
      <w:r>
        <w:rPr>
          <w:rFonts w:ascii="Arial" w:cs="Arial" w:eastAsia="Arial" w:hAnsi="Arial"/>
          <w:sz w:val="16"/>
          <w:szCs w:val="16"/>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2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6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87" w:lineRule="exact"/>
        <w:rPr>
          <w:sz w:val="20"/>
          <w:szCs w:val="20"/>
          <w:color w:val="auto"/>
        </w:rPr>
      </w:pPr>
    </w:p>
    <w:p>
      <w:pPr>
        <w:ind w:right="100" w:firstLine="486"/>
        <w:spacing w:after="0" w:line="294" w:lineRule="auto"/>
        <w:rPr>
          <w:sz w:val="20"/>
          <w:szCs w:val="20"/>
          <w:color w:val="auto"/>
        </w:rPr>
      </w:pPr>
      <w:r>
        <w:rPr>
          <w:rFonts w:ascii="Arial" w:cs="Arial" w:eastAsia="Arial" w:hAnsi="Arial"/>
          <w:sz w:val="16"/>
          <w:szCs w:val="16"/>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w:t>
      </w:r>
    </w:p>
    <w:p>
      <w:pPr>
        <w:spacing w:after="0" w:line="3"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general or other state actor enforcement. Class action suits are the most common method for private enforcement. This has resulted in civil claims against our company and requests for information through third</w:t>
      </w:r>
      <w:r>
        <w:rPr>
          <w:rFonts w:ascii="MS PGothic" w:cs="MS PGothic" w:eastAsia="MS PGothic" w:hAnsi="MS PGothic"/>
          <w:sz w:val="18"/>
          <w:szCs w:val="18"/>
          <w:color w:val="auto"/>
        </w:rPr>
        <w:t>‑</w:t>
      </w:r>
      <w:r>
        <w:rPr>
          <w:rFonts w:ascii="Arial" w:cs="Arial" w:eastAsia="Arial" w:hAnsi="Arial"/>
          <w:sz w:val="18"/>
          <w:szCs w:val="18"/>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20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78"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Moreover, our customers’ and other users’ promotion of their products and services through our platform might not comply with federal, state, and foreign laws or of contractual requirements imposed by carriers, such as the CTIA Shortcode Agreement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ind w:right="20"/>
        <w:spacing w:after="0" w:line="269" w:lineRule="auto"/>
        <w:rPr>
          <w:sz w:val="20"/>
          <w:szCs w:val="20"/>
          <w:color w:val="auto"/>
        </w:rPr>
      </w:pPr>
      <w:r>
        <w:rPr>
          <w:rFonts w:ascii="Arial" w:cs="Arial" w:eastAsia="Arial" w:hAnsi="Arial"/>
          <w:sz w:val="17"/>
          <w:szCs w:val="17"/>
          <w:color w:val="auto"/>
        </w:rPr>
        <w:t>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There are various Congressional, FCC and executive efforts to eliminate or restrict the scope of the protections under Section 230, which limits the liability of internet platforms for third-party content that is transmitted via those platforms and for good-faith moderation of offensive content. In addition, Florida and Texas adopted statutes intended to reduce or eliminate the protections granted under Section 230, although implementation of both statutes has been stayed by federal courts. Florida recently amended its statute in an effort to address issues that led the court to issue the stay. Similar legislation has been introduced in other states in 2022, including a bill that has passed the Georgia State Senate and is pending before the Georgia House.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25"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6"/>
          <w:szCs w:val="16"/>
          <w:color w:val="auto"/>
        </w:rPr>
        <w:t>‑</w:t>
      </w:r>
      <w:r>
        <w:rPr>
          <w:rFonts w:ascii="Arial" w:cs="Arial" w:eastAsia="Arial" w:hAnsi="Arial"/>
          <w:sz w:val="16"/>
          <w:szCs w:val="16"/>
          <w:color w:val="auto"/>
        </w:rPr>
        <w:t>engineer our products or platform or discontinue offering our products to customers in the event re</w:t>
      </w:r>
      <w:r>
        <w:rPr>
          <w:rFonts w:ascii="MS PGothic" w:cs="MS PGothic" w:eastAsia="MS PGothic" w:hAnsi="MS PGothic"/>
          <w:sz w:val="16"/>
          <w:szCs w:val="16"/>
          <w:color w:val="auto"/>
        </w:rPr>
        <w:t>‑</w:t>
      </w:r>
      <w:r>
        <w:rPr>
          <w:rFonts w:ascii="Arial" w:cs="Arial" w:eastAsia="Arial" w:hAnsi="Arial"/>
          <w:sz w:val="16"/>
          <w:szCs w:val="16"/>
          <w:color w:val="auto"/>
        </w:rPr>
        <w:t>engineering cannot be accomplished on a timely basis. Any of the foregoing could require us to devote additional research and development resources to re</w:t>
      </w:r>
      <w:r>
        <w:rPr>
          <w:rFonts w:ascii="MS PGothic" w:cs="MS PGothic" w:eastAsia="MS PGothic" w:hAnsi="MS PGothic"/>
          <w:sz w:val="16"/>
          <w:szCs w:val="16"/>
          <w:color w:val="auto"/>
        </w:rPr>
        <w:t>‑</w:t>
      </w:r>
      <w:r>
        <w:rPr>
          <w:rFonts w:ascii="Arial" w:cs="Arial" w:eastAsia="Arial" w:hAnsi="Arial"/>
          <w:sz w:val="16"/>
          <w:szCs w:val="16"/>
          <w:color w:val="auto"/>
        </w:rPr>
        <w:t>engineer our products or platform, could result in customer dissatisfaction and may adversely affect our business, results of operations and financial condition.</w:t>
      </w:r>
    </w:p>
    <w:p>
      <w:pPr>
        <w:spacing w:after="0" w:line="20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84" w:lineRule="exact"/>
        <w:rPr>
          <w:sz w:val="20"/>
          <w:szCs w:val="20"/>
          <w:color w:val="auto"/>
        </w:rPr>
      </w:pPr>
    </w:p>
    <w:p>
      <w:pPr>
        <w:ind w:firstLine="486"/>
        <w:spacing w:after="0" w:line="191" w:lineRule="exact"/>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6"/>
          <w:szCs w:val="16"/>
          <w:color w:val="auto"/>
        </w:rPr>
        <w:t>‑</w:t>
      </w:r>
      <w:r>
        <w:rPr>
          <w:rFonts w:ascii="Arial" w:cs="Arial" w:eastAsia="Arial" w:hAnsi="Arial"/>
          <w:sz w:val="16"/>
          <w:szCs w:val="16"/>
          <w:color w:val="auto"/>
        </w:rPr>
        <w:t>related commerce or communications generally or result in reductions in the demand for Internet</w:t>
      </w:r>
      <w:r>
        <w:rPr>
          <w:rFonts w:ascii="MS PGothic" w:cs="MS PGothic" w:eastAsia="MS PGothic" w:hAnsi="MS PGothic"/>
          <w:sz w:val="16"/>
          <w:szCs w:val="16"/>
          <w:color w:val="auto"/>
        </w:rPr>
        <w:t>‑</w:t>
      </w:r>
      <w:r>
        <w:rPr>
          <w:rFonts w:ascii="Arial" w:cs="Arial" w:eastAsia="Arial" w:hAnsi="Arial"/>
          <w:sz w:val="16"/>
          <w:szCs w:val="16"/>
          <w:color w:val="auto"/>
        </w:rPr>
        <w: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after a federal district court denied a motion for preliminary injunction on March 10, 2021, and that decision was affirmed by the U.S. Court of Appeals for the Ninth Circuit on January 28, 2022, and on April 20, 2022 it declined to rehear the case. The appellants have the option to appeal to the U.S. Supreme Court. A temporary injunction preventing implementation of a similar law in Vermont expired on April 20, 2022, but the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b w:val="1"/>
          <w:bCs w:val="1"/>
          <w:i w:val="1"/>
          <w:iCs w:val="1"/>
          <w:color w:val="auto"/>
        </w:rPr>
        <w:t>The technology industry is subject to increasing scrutiny that could result in government actions that would negatively affect our business.</w:t>
      </w:r>
    </w:p>
    <w:p>
      <w:pPr>
        <w:spacing w:after="0" w:line="248" w:lineRule="exact"/>
        <w:rPr>
          <w:sz w:val="20"/>
          <w:szCs w:val="20"/>
          <w:color w:val="auto"/>
        </w:rPr>
      </w:pPr>
    </w:p>
    <w:p>
      <w:pPr>
        <w:ind w:right="160" w:firstLine="486"/>
        <w:spacing w:after="0" w:line="287" w:lineRule="auto"/>
        <w:rPr>
          <w:sz w:val="20"/>
          <w:szCs w:val="20"/>
          <w:color w:val="auto"/>
        </w:rPr>
      </w:pPr>
      <w:r>
        <w:rPr>
          <w:rFonts w:ascii="Arial" w:cs="Arial" w:eastAsia="Arial" w:hAnsi="Arial"/>
          <w:sz w:val="16"/>
          <w:szCs w:val="16"/>
          <w:color w:val="auto"/>
        </w:rPr>
        <w:t>The technology industry is subject to intense media, political and regulatory scrutiny, both domestic and foreign,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legislative efforts to eliminate or modify Section 230 of the Communications Decency Act and to regulate platforms that offer apps and other similar actions in some U.S. states.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7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Compliance with new or modified laws and regulations could increase the cost of conducting our business, limit the opportunities to increase our revenues, or prevent us from offering products or services.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8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There can be no assurance that our business will not be materially adversely affected, individually or in the aggregate, by the outcomes of such investigations, litigation or changes to laws and regulations in the future.</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9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Our global operations subject us to potential liability under export control, economic trade sanctions, anti-corruption, and other laws and</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regulations, and such violations could impair our ability to compete in international markets and could subject us to liability for compliance violations.</w:t>
      </w:r>
    </w:p>
    <w:p>
      <w:pPr>
        <w:spacing w:after="0" w:line="245" w:lineRule="exact"/>
        <w:rPr>
          <w:sz w:val="20"/>
          <w:szCs w:val="20"/>
          <w:color w:val="auto"/>
        </w:rPr>
      </w:pPr>
    </w:p>
    <w:p>
      <w:pPr>
        <w:ind w:right="320" w:firstLine="486"/>
        <w:spacing w:after="0" w:line="293" w:lineRule="auto"/>
        <w:rPr>
          <w:sz w:val="20"/>
          <w:szCs w:val="20"/>
          <w:color w:val="auto"/>
        </w:rPr>
      </w:pPr>
      <w:r>
        <w:rPr>
          <w:rFonts w:ascii="Arial" w:cs="Arial" w:eastAsia="Arial" w:hAnsi="Arial"/>
          <w:sz w:val="16"/>
          <w:szCs w:val="16"/>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ind w:right="20"/>
        <w:spacing w:after="0" w:line="217" w:lineRule="exact"/>
        <w:rPr>
          <w:sz w:val="20"/>
          <w:szCs w:val="20"/>
          <w:color w:val="auto"/>
        </w:rPr>
      </w:pPr>
      <w:r>
        <w:rPr>
          <w:rFonts w:ascii="Arial" w:cs="Arial" w:eastAsia="Arial" w:hAnsi="Arial"/>
          <w:sz w:val="16"/>
          <w:szCs w:val="16"/>
          <w:color w:val="auto"/>
        </w:rPr>
        <w:t>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6"/>
          <w:szCs w:val="16"/>
          <w:color w:val="auto"/>
        </w:rPr>
        <w:t>‑</w:t>
      </w:r>
      <w:r>
        <w:rPr>
          <w:rFonts w:ascii="Arial" w:cs="Arial" w:eastAsia="Arial" w:hAnsi="Arial"/>
          <w:sz w:val="16"/>
          <w:szCs w:val="16"/>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207"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6"/>
          <w:szCs w:val="16"/>
          <w:color w:val="auto"/>
        </w:rPr>
        <w:t>‑</w:t>
      </w:r>
      <w:r>
        <w:rPr>
          <w:rFonts w:ascii="Arial" w:cs="Arial" w:eastAsia="Arial" w:hAnsi="Arial"/>
          <w:sz w:val="16"/>
          <w:szCs w:val="16"/>
          <w:color w:val="auto"/>
        </w:rPr>
        <w:t>distributed systems or, in some cases, prevent the export of our products or provision of our services to some countries altogether.</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are also subject to U.S. and foreign anti-corruption and anti-bribery laws, including the Foreign Corrupt Practices Act, as amended, the UK</w:t>
      </w:r>
    </w:p>
    <w:p>
      <w:pPr>
        <w:spacing w:after="0" w:line="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Bribery Act 2010, and other anti-corruption laws and regulations in the countries in which we conduct activities. Anti-corruption laws are interpreted broadly and generally prohibit corrupt payments by our employees and third parties acting on our behalf from directly or indirectly authorizing, offering, or providing, improper payments or things of value to recipients in the public or private sector, and also require that we maintain accurate books and records and adequate internal controls. Our employees or third parties acting on our behalf may fail to comply with our policies, resulting in violations of applicable anti-corruption laws and regulations. Such violations could result in significant fines and penalties, criminal liability for us, our individual officers or employees, prohibitions on our ability to conduct business, and potential reputational damage.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reliance on SaaS technologies from third parties may adversely affect our business, results of operations and financial condition.</w:t>
      </w:r>
    </w:p>
    <w:p>
      <w:pPr>
        <w:spacing w:after="0" w:line="248"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results of operations and financial condition.</w:t>
      </w:r>
    </w:p>
    <w:p>
      <w:pPr>
        <w:spacing w:after="0" w:line="239" w:lineRule="exact"/>
        <w:rPr>
          <w:sz w:val="20"/>
          <w:szCs w:val="20"/>
          <w:color w:val="auto"/>
        </w:rPr>
      </w:pPr>
    </w:p>
    <w:p>
      <w:pPr>
        <w:ind w:right="40" w:firstLine="486"/>
        <w:spacing w:after="0" w:line="196" w:lineRule="exact"/>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w:t>
      </w:r>
      <w:r>
        <w:rPr>
          <w:rFonts w:ascii="MS PGothic" w:cs="MS PGothic" w:eastAsia="MS PGothic" w:hAnsi="MS PGothic"/>
          <w:sz w:val="16"/>
          <w:szCs w:val="16"/>
          <w:color w:val="auto"/>
        </w:rPr>
        <w:t>‑</w:t>
      </w:r>
      <w:r>
        <w:rPr>
          <w:rFonts w:ascii="Arial" w:cs="Arial" w:eastAsia="Arial" w:hAnsi="Arial"/>
          <w:sz w:val="16"/>
          <w:szCs w:val="16"/>
          <w:color w:val="auto"/>
        </w:rPr>
        <w:t>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91" w:lineRule="exact"/>
        <w:rPr>
          <w:sz w:val="20"/>
          <w:szCs w:val="20"/>
          <w:color w:val="auto"/>
        </w:rPr>
      </w:pPr>
    </w:p>
    <w:p>
      <w:pPr>
        <w:ind w:right="120" w:firstLine="486"/>
        <w:spacing w:after="0" w:line="220" w:lineRule="exact"/>
        <w:rPr>
          <w:sz w:val="20"/>
          <w:szCs w:val="20"/>
          <w:color w:val="auto"/>
        </w:rPr>
      </w:pPr>
      <w:r>
        <w:rPr>
          <w:rFonts w:ascii="Arial" w:cs="Arial" w:eastAsia="Arial" w:hAnsi="Arial"/>
          <w:sz w:val="18"/>
          <w:szCs w:val="18"/>
          <w:color w:val="auto"/>
        </w:rPr>
        <w:t>We conduct operations in many tax jurisdictions throughout the United States and internationally. In many of these jurisdictions, non</w:t>
      </w:r>
      <w:r>
        <w:rPr>
          <w:rFonts w:ascii="MS PGothic" w:cs="MS PGothic" w:eastAsia="MS PGothic" w:hAnsi="MS PGothic"/>
          <w:sz w:val="18"/>
          <w:szCs w:val="18"/>
          <w:color w:val="auto"/>
        </w:rPr>
        <w:t>‑</w:t>
      </w:r>
      <w:r>
        <w:rPr>
          <w:rFonts w:ascii="Arial" w:cs="Arial" w:eastAsia="Arial" w:hAnsi="Arial"/>
          <w:sz w:val="18"/>
          <w:szCs w:val="18"/>
          <w:color w:val="auto"/>
        </w:rPr>
        <w:t>income</w:t>
      </w:r>
      <w:r>
        <w:rPr>
          <w:rFonts w:ascii="MS PGothic" w:cs="MS PGothic" w:eastAsia="MS PGothic" w:hAnsi="MS PGothic"/>
          <w:sz w:val="18"/>
          <w:szCs w:val="18"/>
          <w:color w:val="auto"/>
        </w:rPr>
        <w:t>‑</w:t>
      </w:r>
      <w:r>
        <w:rPr>
          <w:rFonts w:ascii="Arial" w:cs="Arial" w:eastAsia="Arial" w:hAnsi="Arial"/>
          <w:sz w:val="18"/>
          <w:szCs w:val="18"/>
          <w:color w:val="auto"/>
        </w:rPr>
        <w:t>based taxes, such as sales, VAT, GST, and telecommunications taxes, are assessed on our operations or our sales to customers. We are subject to indirect taxes, and may be subject to certain other taxes, in some of these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ind w:right="440"/>
        <w:spacing w:after="0" w:line="223" w:lineRule="exact"/>
        <w:rPr>
          <w:sz w:val="20"/>
          <w:szCs w:val="20"/>
          <w:color w:val="auto"/>
        </w:rPr>
      </w:pPr>
      <w:r>
        <w:rPr>
          <w:rFonts w:ascii="Arial" w:cs="Arial" w:eastAsia="Arial" w:hAnsi="Arial"/>
          <w:sz w:val="18"/>
          <w:szCs w:val="18"/>
          <w:color w:val="auto"/>
        </w:rPr>
        <w:t>jurisdictions. We collect certain telecommunications</w:t>
      </w:r>
      <w:r>
        <w:rPr>
          <w:rFonts w:ascii="MS PGothic" w:cs="MS PGothic" w:eastAsia="MS PGothic" w:hAnsi="MS PGothic"/>
          <w:sz w:val="18"/>
          <w:szCs w:val="18"/>
          <w:color w:val="auto"/>
        </w:rPr>
        <w:t>‑</w:t>
      </w:r>
      <w:r>
        <w:rPr>
          <w:rFonts w:ascii="Arial" w:cs="Arial" w:eastAsia="Arial" w:hAnsi="Arial"/>
          <w:sz w:val="18"/>
          <w:szCs w:val="18"/>
          <w:color w:val="auto"/>
        </w:rPr>
        <w:t>based taxes from our customers in certain jurisdictions, and we expect to continue expanding the number of jurisdictions in which we will collect these taxes in the future.</w:t>
      </w:r>
    </w:p>
    <w:p>
      <w:pPr>
        <w:spacing w:after="0" w:line="20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$26.5 million and $18.5 million for domestic jurisdictions and jurisdictions outside of the U.S., respectively, on our March 31, 2022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in discussions with certain jurisdictions regarding potential sales and other indirect taxes for prior periods that we may owe. If any of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jurisdictions disagree with management's assumptions and analysis, the assessment of our tax exposure could differ materially from management's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For example, San Francisco City and County has assessed us for $38.8 million in taxes, including interest and penalties, which exceeded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 million we had accrued for that assessment. We have paid the full amount, as required by law, and the payment made in excess of the accrued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reflected as a deposit on our balance sheet. We believe, however, that this assessment is incorrect and, after failing to reach a settlement, filed a lawsuit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May 27, 2021 contesting the assessment. However, litigation is uncertain and a ruling against us may adversely affect our financial position and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operation.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225"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7"/>
          <w:szCs w:val="17"/>
          <w:color w:val="auto"/>
        </w:rPr>
        <w:t>‑</w:t>
      </w:r>
      <w:r>
        <w:rPr>
          <w:rFonts w:ascii="Arial" w:cs="Arial" w:eastAsia="Arial" w:hAnsi="Arial"/>
          <w:sz w:val="17"/>
          <w:szCs w:val="17"/>
          <w:color w:val="auto"/>
        </w:rPr>
        <w:t>time tax charges, higher effective tax rates, reduced cash flows and lower overall profitability of our operations.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global and U.S. tax legislation may adversely affect our financial condition, results of operations, and cash flows.</w:t>
      </w:r>
    </w:p>
    <w:p>
      <w:pPr>
        <w:spacing w:after="0" w:line="22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 For example, in the United States, Congress and the Biden administration have recently proposed legislation (which has not yet been enacted) to make various tax law changes, including to increase U.S. taxation of international business operations and impose a global minimum tax. While it is too early to predict the outcome of these proposals and they are subject to change, if enacted, they could have a material effect on our income tax liability.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0" w:name="page61"/>
    <w:bookmarkEnd w:id="60"/>
    <w:p>
      <w:pPr>
        <w:ind w:firstLine="486"/>
        <w:spacing w:after="0" w:line="217" w:lineRule="exact"/>
        <w:rPr>
          <w:sz w:val="20"/>
          <w:szCs w:val="20"/>
          <w:color w:val="auto"/>
        </w:rPr>
      </w:pPr>
      <w:r>
        <w:rPr>
          <w:rFonts w:ascii="Arial" w:cs="Arial" w:eastAsia="Arial" w:hAnsi="Arial"/>
          <w:sz w:val="17"/>
          <w:szCs w:val="17"/>
          <w:color w:val="auto"/>
        </w:rPr>
        <w:t>Certain government agencies in jurisdictions where we and our affiliates do business have had an extended focus on issues related to the taxation of multinational companies. In addition, the Organisation for Economic Co</w:t>
      </w:r>
      <w:r>
        <w:rPr>
          <w:rFonts w:ascii="MS PGothic" w:cs="MS PGothic" w:eastAsia="MS PGothic" w:hAnsi="MS PGothic"/>
          <w:sz w:val="17"/>
          <w:szCs w:val="17"/>
          <w:color w:val="auto"/>
        </w:rPr>
        <w:t>‑</w:t>
      </w:r>
      <w:r>
        <w:rPr>
          <w:rFonts w:ascii="Arial" w:cs="Arial" w:eastAsia="Arial" w:hAnsi="Arial"/>
          <w:sz w:val="17"/>
          <w:szCs w:val="17"/>
          <w:color w:val="auto"/>
        </w:rPr>
        <w:t>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by members of the Inclusive Framework delineating an implementation plan, and on December 20, 2021, the OECD released model rules for the domestic implementation of a 15% global minimum tax.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210"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way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experience fraudulent activity relating to our products, we could incur substantial costs.</w:t>
      </w:r>
    </w:p>
    <w:p>
      <w:pPr>
        <w:spacing w:after="0" w:line="225" w:lineRule="exact"/>
        <w:rPr>
          <w:sz w:val="20"/>
          <w:szCs w:val="20"/>
          <w:color w:val="auto"/>
        </w:rPr>
      </w:pPr>
    </w:p>
    <w:p>
      <w:pPr>
        <w:jc w:val="both"/>
        <w:ind w:right="300" w:firstLine="486"/>
        <w:spacing w:after="0" w:line="287" w:lineRule="auto"/>
        <w:rPr>
          <w:sz w:val="20"/>
          <w:szCs w:val="20"/>
          <w:color w:val="auto"/>
        </w:rPr>
      </w:pPr>
      <w:r>
        <w:rPr>
          <w:rFonts w:ascii="Arial" w:cs="Arial" w:eastAsia="Arial" w:hAnsi="Arial"/>
          <w:sz w:val="16"/>
          <w:szCs w:val="16"/>
          <w:color w:val="auto"/>
        </w:rPr>
        <w:t>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require additional capital to support our business, and this capital might not be available on acceptable terms, if at all.</w:t>
      </w:r>
    </w:p>
    <w:p>
      <w:pPr>
        <w:spacing w:after="0" w:line="23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ind w:firstLine="486"/>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70" w:lineRule="exact"/>
        <w:rPr>
          <w:sz w:val="20"/>
          <w:szCs w:val="20"/>
          <w:color w:val="auto"/>
        </w:rPr>
      </w:pPr>
    </w:p>
    <w:p>
      <w:pPr>
        <w:ind w:right="120" w:firstLine="486"/>
        <w:spacing w:after="0" w:line="218" w:lineRule="exact"/>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For example, global political and economic events, such as the COVID-19 pandemic, trade tariff developments and other geopolitical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7"/>
          <w:szCs w:val="17"/>
          <w:color w:val="auto"/>
        </w:rPr>
        <w:t>‑</w:t>
      </w:r>
      <w:r>
        <w:rPr>
          <w:rFonts w:ascii="Arial" w:cs="Arial" w:eastAsia="Arial" w:hAnsi="Arial"/>
          <w:sz w:val="17"/>
          <w:szCs w:val="17"/>
          <w:color w:val="auto"/>
        </w:rPr>
        <w:t>U.S. locations in the respective local currency. Fluctuations in the exchange rates between the U.S. dollar and other currencies could result in an increase to the U.S. dollar equivalent of such expenses.</w:t>
      </w:r>
    </w:p>
    <w:p>
      <w:pPr>
        <w:spacing w:after="0" w:line="204"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64"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7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of December 31, 2021, we had federal, state and foreign net operating loss carryforwards (“NOLs”), of $4.2 billion, $2.7 billion and $268.7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w:t>
      </w:r>
    </w:p>
    <w:p>
      <w:pPr>
        <w:spacing w:after="0" w:line="18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87" w:lineRule="exact"/>
        <w:rPr>
          <w:sz w:val="20"/>
          <w:szCs w:val="20"/>
          <w:color w:val="auto"/>
        </w:rPr>
      </w:pPr>
    </w:p>
    <w:p>
      <w:pPr>
        <w:ind w:right="100" w:firstLine="486"/>
        <w:spacing w:after="0" w:line="218" w:lineRule="exact"/>
        <w:rPr>
          <w:sz w:val="20"/>
          <w:szCs w:val="20"/>
          <w:color w:val="auto"/>
        </w:rPr>
      </w:pPr>
      <w:r>
        <w:rPr>
          <w:rFonts w:ascii="Arial" w:cs="Arial" w:eastAsia="Arial" w:hAnsi="Arial"/>
          <w:sz w:val="17"/>
          <w:szCs w:val="17"/>
          <w:color w:val="auto"/>
        </w:rPr>
        <w:t>Under Sections 382 and 383 of the Internal Revenue Code of 1986, as amended (the “Code”), and corresponding provisions of state law, a corporation that undergoes an “ownership change” (generally defined as a greater than 50</w:t>
      </w:r>
      <w:r>
        <w:rPr>
          <w:rFonts w:ascii="MS PGothic" w:cs="MS PGothic" w:eastAsia="MS PGothic" w:hAnsi="MS PGothic"/>
          <w:sz w:val="17"/>
          <w:szCs w:val="17"/>
          <w:color w:val="auto"/>
        </w:rPr>
        <w:t>‑</w:t>
      </w:r>
      <w:r>
        <w:rPr>
          <w:rFonts w:ascii="Arial" w:cs="Arial" w:eastAsia="Arial" w:hAnsi="Arial"/>
          <w:sz w:val="17"/>
          <w:szCs w:val="17"/>
          <w:color w:val="auto"/>
        </w:rPr>
        <w:t>percentage</w:t>
      </w:r>
      <w:r>
        <w:rPr>
          <w:rFonts w:ascii="MS PGothic" w:cs="MS PGothic" w:eastAsia="MS PGothic" w:hAnsi="MS PGothic"/>
          <w:sz w:val="17"/>
          <w:szCs w:val="17"/>
          <w:color w:val="auto"/>
        </w:rPr>
        <w:t>‑</w:t>
      </w:r>
      <w:r>
        <w:rPr>
          <w:rFonts w:ascii="Arial" w:cs="Arial" w:eastAsia="Arial" w:hAnsi="Arial"/>
          <w:sz w:val="17"/>
          <w:szCs w:val="17"/>
          <w:color w:val="auto"/>
        </w:rPr>
        <w:t>point cumulative change (by value) in the equity ownership of certain stockholders over a rolling three</w:t>
      </w:r>
      <w:r>
        <w:rPr>
          <w:rFonts w:ascii="MS PGothic" w:cs="MS PGothic" w:eastAsia="MS PGothic" w:hAnsi="MS PGothic"/>
          <w:sz w:val="17"/>
          <w:szCs w:val="17"/>
          <w:color w:val="auto"/>
        </w:rPr>
        <w:t>‑</w:t>
      </w:r>
      <w:r>
        <w:rPr>
          <w:rFonts w:ascii="Arial" w:cs="Arial" w:eastAsia="Arial" w:hAnsi="Arial"/>
          <w:sz w:val="17"/>
          <w:szCs w:val="17"/>
          <w:color w:val="auto"/>
        </w:rPr>
        <w:t>year period) is subject to limitations on its ability to utilize its pre</w:t>
      </w:r>
      <w:r>
        <w:rPr>
          <w:rFonts w:ascii="MS PGothic" w:cs="MS PGothic" w:eastAsia="MS PGothic" w:hAnsi="MS PGothic"/>
          <w:sz w:val="17"/>
          <w:szCs w:val="17"/>
          <w:color w:val="auto"/>
        </w:rPr>
        <w:t>‑</w:t>
      </w:r>
      <w:r>
        <w:rPr>
          <w:rFonts w:ascii="Arial" w:cs="Arial" w:eastAsia="Arial" w:hAnsi="Arial"/>
          <w:sz w:val="17"/>
          <w:szCs w:val="17"/>
          <w:color w:val="auto"/>
        </w:rPr>
        <w:t>change NOLs and other pre-change tax attributes to offset post</w:t>
      </w:r>
      <w:r>
        <w:rPr>
          <w:rFonts w:ascii="MS PGothic" w:cs="MS PGothic" w:eastAsia="MS PGothic" w:hAnsi="MS PGothic"/>
          <w:sz w:val="17"/>
          <w:szCs w:val="17"/>
          <w:color w:val="auto"/>
        </w:rPr>
        <w:t>‑</w:t>
      </w:r>
      <w:r>
        <w:rPr>
          <w:rFonts w:ascii="Arial" w:cs="Arial" w:eastAsia="Arial" w:hAnsi="Arial"/>
          <w:sz w:val="17"/>
          <w:szCs w:val="17"/>
          <w:color w:val="auto"/>
        </w:rPr>
        <w: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2" w:name="page63"/>
    <w:bookmarkEnd w:id="62"/>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6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1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7"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 xml:space="preserve">For example,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that became effective January 1, 2019, had a material impact on our consolidated financial statements as described in detail in Note 2 to the consolidated financial statements included in our Annual Report on Form 10-K for the year ended December 31, 2020,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7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80" w:firstLine="486"/>
        <w:spacing w:after="0" w:line="219" w:lineRule="exact"/>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(the “Sarbanes</w:t>
      </w:r>
      <w:r>
        <w:rPr>
          <w:rFonts w:ascii="MS PGothic" w:cs="MS PGothic" w:eastAsia="MS PGothic" w:hAnsi="MS PGothic"/>
          <w:sz w:val="18"/>
          <w:szCs w:val="18"/>
          <w:color w:val="auto"/>
        </w:rPr>
        <w:t>‑</w:t>
      </w:r>
      <w:r>
        <w:rPr>
          <w:rFonts w:ascii="Arial" w:cs="Arial" w:eastAsia="Arial" w:hAnsi="Arial"/>
          <w:sz w:val="18"/>
          <w:szCs w:val="18"/>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20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 or the Long-Term Stock Exchange.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3" w:name="page64"/>
    <w:bookmarkEnd w:id="63"/>
    <w:p>
      <w:pPr>
        <w:ind w:left="50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March 31, 2022, we carried a net $6.3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volatile and may continue to be volatile, and you could lose all or part of your investment.</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March 31, 2022,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8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industry standards, regulations or regulatory enforcement in the United States or internationally, GDPR, the California Consumer Privacy Act of 2018 and other privacy or cybersecurity regulations that may be implemented in the future, SHAKEN/STIR and other robocalling prevention and anti-spam standards and increased costs associated with such compliance, as well as enhanced Know-Your-Client processes that impact our ability to market, sell or deliver our products;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ectPr>
          <w:pgSz w:w="11900" w:h="16838" w:orient="portrait"/>
          <w:cols w:equalWidth="0" w:num="1">
            <w:col w:w="11200"/>
          </w:cols>
          <w:pgMar w:left="320" w:top="111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type w:val="continuous"/>
        </w:sectPr>
      </w:pPr>
    </w:p>
    <w:bookmarkStart w:id="64" w:name="page65"/>
    <w:bookmarkEnd w:id="64"/>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including the effects of the COVID-19 pandemic and the war in Ukraine on the global economy, labor shortages, supply chain disruptions, inflation and slow or negative growth of our markets.</w:t>
      </w:r>
    </w:p>
    <w:p>
      <w:pPr>
        <w:spacing w:after="0" w:line="170"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48"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24"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84"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88" w:lineRule="exact"/>
        <w:rPr>
          <w:sz w:val="20"/>
          <w:szCs w:val="20"/>
          <w:color w:val="auto"/>
        </w:rPr>
      </w:pPr>
    </w:p>
    <w:p>
      <w:pPr>
        <w:ind w:right="60" w:firstLine="486"/>
        <w:spacing w:after="0" w:line="218" w:lineRule="exact"/>
        <w:rPr>
          <w:sz w:val="20"/>
          <w:szCs w:val="20"/>
          <w:color w:val="auto"/>
        </w:rPr>
      </w:pPr>
      <w:r>
        <w:rPr>
          <w:rFonts w:ascii="Arial" w:cs="Arial" w:eastAsia="Arial" w:hAnsi="Arial"/>
          <w:sz w:val="17"/>
          <w:szCs w:val="17"/>
          <w:color w:val="auto"/>
        </w:rPr>
        <w:t>Our Class B common stock has 10 votes per share, and our Class A common stock has one vote per share. As of March 31, 2022, our directors, executive officers and their respective affiliates, held in the aggregate 21.1% of the voting power of our capital stock. Because of the 10</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7"/>
          <w:szCs w:val="17"/>
          <w:color w:val="auto"/>
        </w:rPr>
        <w:t>‑</w:t>
      </w:r>
      <w:r>
        <w:rPr>
          <w:rFonts w:ascii="Arial" w:cs="Arial" w:eastAsia="Arial" w:hAnsi="Arial"/>
          <w:sz w:val="17"/>
          <w:szCs w:val="17"/>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9" w:lineRule="exact"/>
        <w:rPr>
          <w:sz w:val="20"/>
          <w:szCs w:val="20"/>
          <w:color w:val="auto"/>
        </w:rPr>
      </w:pPr>
    </w:p>
    <w:p>
      <w:pPr>
        <w:ind w:right="300" w:firstLine="486"/>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00"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ind w:right="40" w:firstLine="486"/>
        <w:spacing w:after="0" w:line="223"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20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84" w:lineRule="exact"/>
        <w:rPr>
          <w:sz w:val="20"/>
          <w:szCs w:val="20"/>
          <w:color w:val="auto"/>
        </w:rPr>
      </w:pPr>
    </w:p>
    <w:p>
      <w:pPr>
        <w:ind w:left="980" w:right="3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980" w:right="200" w:hanging="324"/>
        <w:spacing w:after="0" w:line="259"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86"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w:t>
      </w:r>
      <w:r>
        <w:rPr>
          <w:rFonts w:ascii="MS PGothic" w:cs="MS PGothic" w:eastAsia="MS PGothic" w:hAnsi="MS PGothic"/>
          <w:sz w:val="18"/>
          <w:szCs w:val="18"/>
          <w:color w:val="auto"/>
        </w:rPr>
        <w:t>‑</w:t>
      </w:r>
      <w:r>
        <w:rPr>
          <w:rFonts w:ascii="Arial" w:cs="Arial" w:eastAsia="Arial" w:hAnsi="Arial"/>
          <w:sz w:val="18"/>
          <w:szCs w:val="18"/>
          <w:color w:val="auto"/>
        </w:rPr>
        <w:t>year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225" w:lineRule="exact"/>
        <w:rPr>
          <w:rFonts w:ascii="Arial" w:cs="Arial" w:eastAsia="Arial" w:hAnsi="Arial"/>
          <w:sz w:val="18"/>
          <w:szCs w:val="18"/>
          <w:color w:val="auto"/>
        </w:rPr>
      </w:pPr>
    </w:p>
    <w:p>
      <w:pPr>
        <w:ind w:left="980" w:right="240" w:hanging="324"/>
        <w:spacing w:after="0" w:line="286" w:lineRule="auto"/>
        <w:tabs>
          <w:tab w:leader="none" w:pos="9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40" w:firstLine="486"/>
        <w:spacing w:after="0" w:line="221" w:lineRule="exact"/>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6"/>
          <w:szCs w:val="16"/>
          <w:color w:val="auto"/>
        </w:rPr>
        <w:t>‑</w:t>
      </w:r>
      <w:r>
        <w:rPr>
          <w:rFonts w:ascii="Arial" w:cs="Arial" w:eastAsia="Arial" w:hAnsi="Arial"/>
          <w:sz w:val="16"/>
          <w:szCs w:val="16"/>
          <w:color w:val="auto"/>
        </w:rPr>
        <w:t>thirds of our outstanding common stock not held by such 15% or greater stockholder.</w:t>
      </w:r>
    </w:p>
    <w:p>
      <w:pPr>
        <w:spacing w:after="0" w:line="204"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second amended and restated bylaws provides that the Court of Chancery of the State of Delaware is the exclusive forum for the following types of actions or proceedings under Delaware statutory or common law:</w:t>
      </w:r>
    </w:p>
    <w:p>
      <w:pPr>
        <w:spacing w:after="0" w:line="17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our directors, officers, employees or our stockholders;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6" w:name="page67"/>
    <w:bookmarkEnd w:id="66"/>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(the “Delaware Forum Provision”).</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480" w:firstLine="486"/>
        <w:spacing w:after="0" w:line="286" w:lineRule="auto"/>
        <w:rPr>
          <w:sz w:val="20"/>
          <w:szCs w:val="20"/>
          <w:color w:val="auto"/>
        </w:rPr>
      </w:pPr>
      <w:r>
        <w:rPr>
          <w:rFonts w:ascii="Arial" w:cs="Arial" w:eastAsia="Arial" w:hAnsi="Arial"/>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6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As of March 31, 2022, we had $1.0 billion of indebtedness outstanding (excluding intercompany indebtedness). Our indebtedness could have important consequences, including:</w:t>
      </w:r>
    </w:p>
    <w:p>
      <w:pPr>
        <w:spacing w:after="0" w:line="170" w:lineRule="exact"/>
        <w:rPr>
          <w:sz w:val="20"/>
          <w:szCs w:val="20"/>
          <w:color w:val="auto"/>
        </w:rPr>
      </w:pPr>
    </w:p>
    <w:p>
      <w:pPr>
        <w:ind w:left="980" w:right="14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a future revolving credit facility, may be at variable rates of interest;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0" w:lineRule="exact"/>
        <w:rPr>
          <w:sz w:val="20"/>
          <w:szCs w:val="20"/>
          <w:color w:val="auto"/>
        </w:rPr>
      </w:pPr>
    </w:p>
    <w:p>
      <w:pPr>
        <w:spacing w:after="0" w:line="255" w:lineRule="exact"/>
        <w:rPr>
          <w:sz w:val="20"/>
          <w:szCs w:val="20"/>
          <w:color w:val="auto"/>
        </w:rPr>
      </w:pPr>
    </w:p>
    <w:p>
      <w:pPr>
        <w:ind w:firstLine="486"/>
        <w:spacing w:after="0" w:line="242" w:lineRule="auto"/>
        <w:rPr>
          <w:sz w:val="20"/>
          <w:szCs w:val="20"/>
          <w:color w:val="auto"/>
        </w:rPr>
      </w:pPr>
      <w:r>
        <w:rPr>
          <w:rFonts w:ascii="Arial" w:cs="Arial" w:eastAsia="Arial" w:hAnsi="Arial"/>
          <w:sz w:val="17"/>
          <w:szCs w:val="17"/>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under the indenture governing the Notes,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The indenture governing the Notes contain cross-default provisions that could result in the acceleration of all of our indebtedness.</w:t>
      </w:r>
    </w:p>
    <w:p>
      <w:pPr>
        <w:spacing w:after="0" w:line="23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all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Risks Related to our Acquisitions</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170"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We regularly acquire or invest in businesses and technologies that are complementary to our business through acquisitions, partnerships or investments, including several transactions in fiscal year 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7"/>
          <w:szCs w:val="17"/>
          <w:color w:val="auto"/>
        </w:rPr>
        <w:t>‑</w:t>
      </w:r>
      <w:r>
        <w:rPr>
          <w:rFonts w:ascii="Arial" w:cs="Arial" w:eastAsia="Arial" w:hAnsi="Arial"/>
          <w:sz w:val="17"/>
          <w:szCs w:val="17"/>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203"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combining the acquired businesses' corporate functions with our corporate functions;</w:t>
      </w:r>
    </w:p>
    <w:p>
      <w:pPr>
        <w:spacing w:after="0" w:line="225" w:lineRule="exact"/>
        <w:rPr>
          <w:rFonts w:ascii="Arial" w:cs="Arial" w:eastAsia="Arial" w:hAnsi="Arial"/>
          <w:sz w:val="18"/>
          <w:szCs w:val="18"/>
          <w:color w:val="auto"/>
        </w:rPr>
      </w:pPr>
    </w:p>
    <w:p>
      <w:pPr>
        <w:ind w:left="980" w:right="360" w:hanging="324"/>
        <w:spacing w:after="0" w:line="263"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83"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integrating the companies’ administrative and information technology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evaluating and forecasting the financial impact of such acquisitions, partnerships and investments, including accounting charges;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225" w:lineRule="exact"/>
        <w:rPr>
          <w:sz w:val="20"/>
          <w:szCs w:val="20"/>
          <w:color w:val="auto"/>
        </w:rPr>
      </w:pPr>
    </w:p>
    <w:p>
      <w:pPr>
        <w:ind w:firstLine="486"/>
        <w:spacing w:after="0" w:line="223" w:lineRule="exact"/>
        <w:rPr>
          <w:sz w:val="20"/>
          <w:szCs w:val="20"/>
          <w:color w:val="auto"/>
        </w:rPr>
      </w:pPr>
      <w:r>
        <w:rPr>
          <w:rFonts w:ascii="Arial" w:cs="Arial" w:eastAsia="Arial" w:hAnsi="Arial"/>
          <w:sz w:val="18"/>
          <w:szCs w:val="18"/>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business operations, which may disrupt our ongoing business.</w:t>
      </w:r>
    </w:p>
    <w:p>
      <w:pPr>
        <w:spacing w:after="0" w:line="2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87"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70"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9" w:name="page70"/>
    <w:bookmarkEnd w:id="69"/>
    <w:p>
      <w:pPr>
        <w:jc w:val="center"/>
        <w:ind w:left="48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1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6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or volatile economic conditions, including due to the COVID-19 pandemic, labor shortages, supply chain disruptions and inflation, geopolitical developments, such as the war in Ukraine and the implementation of, or changes to or further expansions of, trade sanctions, export restrictions, tariffs, and embargoes, and other events outside of our control, result in a reduced volume of business for, and communications by, our customers and prospective customers, demand for, and use of, our products may decline. Furthermore, weak economic conditions may make it more difficult to collect on outstanding accounts receivable and increase our expenses. Additionally, we generate a portion of our revenue from small and medium-sized businesses, which may be affected by economic downturns and other adverse macroeconomic conditions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or rising inflation and increased costs, this could adversely affect our business, results of operations and financial condition.</w:t>
      </w:r>
    </w:p>
    <w:p>
      <w:pPr>
        <w:spacing w:after="0" w:line="17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70"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Our business operations are subject to interruption by natural disasters, flooding, fire, power shortages,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pandemics, such as the COVID-19 pandemic, and geopolitical events, such as the war in Ukraine, could cause disruptions in our or our customers’ businesses, national economies or the world economy as a whole.</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b w:val="1"/>
          <w:bCs w:val="1"/>
          <w:i w:val="1"/>
          <w:iCs w:val="1"/>
          <w:color w:val="auto"/>
        </w:rPr>
        <w:t>Climate change may have an impact on our business.</w:t>
      </w:r>
    </w:p>
    <w:p>
      <w:pPr>
        <w:spacing w:after="0" w:line="22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documents listed in the Exhibit Index of this Quarterly Report on Form 10-Q are incorporated by reference or are filed with this Quarterly Report on Form 10-Q, in each case as indicated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gridSpan w:val="8"/>
          </w:tcPr>
          <w:p>
            <w:pPr>
              <w:ind w:left="1220"/>
              <w:spacing w:after="0"/>
              <w:rPr>
                <w:sz w:val="20"/>
                <w:szCs w:val="20"/>
                <w:color w:val="auto"/>
              </w:rPr>
            </w:pPr>
            <w:r>
              <w:rPr>
                <w:rFonts w:ascii="Arial" w:cs="Arial" w:eastAsia="Arial" w:hAnsi="Arial"/>
                <w:sz w:val="14"/>
                <w:szCs w:val="14"/>
                <w:b w:val="1"/>
                <w:bCs w:val="1"/>
                <w:color w:val="auto"/>
              </w:rPr>
              <w:t>EXHIBIT INDEX</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2"/>
        </w:trPr>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320" w:type="dxa"/>
            <w:vAlign w:val="bottom"/>
            <w:tcBorders>
              <w:bottom w:val="single" w:sz="8" w:color="auto"/>
            </w:tcBorders>
          </w:tcPr>
          <w:p>
            <w:pPr>
              <w:spacing w:after="0"/>
              <w:rPr>
                <w:sz w:val="19"/>
                <w:szCs w:val="19"/>
                <w:color w:val="auto"/>
              </w:rPr>
            </w:pPr>
          </w:p>
        </w:tc>
      </w:tr>
      <w:tr>
        <w:trPr>
          <w:trHeight w:val="20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177"/>
        </w:trPr>
        <w:tc>
          <w:tcPr>
            <w:tcW w:w="100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11"/>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Certification of the Chief Executive Officer pursuant to Exchange Act Rules 13a-</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22"/>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5"/>
          </w:tcPr>
          <w:p>
            <w:pPr>
              <w:spacing w:after="0" w:line="122" w:lineRule="exact"/>
              <w:rPr>
                <w:rFonts w:ascii="Arial" w:cs="Arial" w:eastAsia="Arial" w:hAnsi="Arial"/>
                <w:sz w:val="14"/>
                <w:szCs w:val="14"/>
                <w:color w:val="0000FF"/>
                <w:w w:val="91"/>
              </w:rPr>
            </w:pPr>
            <w:hyperlink w:anchor="page73">
              <w:r>
                <w:rPr>
                  <w:rFonts w:ascii="Arial" w:cs="Arial" w:eastAsia="Arial" w:hAnsi="Arial"/>
                  <w:sz w:val="14"/>
                  <w:szCs w:val="14"/>
                  <w:color w:val="0000FF"/>
                  <w:w w:val="91"/>
                </w:rPr>
                <w:t>14(a) or 15d-14(a), as adopted pursuant to Section 302 of the Sarbanes-Oxley Act</w:t>
              </w:r>
            </w:hyperlink>
          </w:p>
        </w:tc>
        <w:tc>
          <w:tcPr>
            <w:tcW w:w="520" w:type="dxa"/>
            <w:vAlign w:val="bottom"/>
            <w:gridSpan w:val="6"/>
          </w:tcPr>
          <w:p>
            <w:pPr>
              <w:ind w:left="40"/>
              <w:spacing w:after="0" w:line="122" w:lineRule="exact"/>
              <w:rPr>
                <w:rFonts w:ascii="Arial" w:cs="Arial" w:eastAsia="Arial" w:hAnsi="Arial"/>
                <w:sz w:val="14"/>
                <w:szCs w:val="14"/>
                <w:color w:val="0000FF"/>
              </w:rPr>
            </w:pPr>
            <w:hyperlink w:anchor="page73">
              <w:r>
                <w:rPr>
                  <w:rFonts w:ascii="Arial" w:cs="Arial" w:eastAsia="Arial" w:hAnsi="Arial"/>
                  <w:sz w:val="14"/>
                  <w:szCs w:val="14"/>
                  <w:color w:val="0000FF"/>
                </w:rPr>
                <w:t>of</w:t>
              </w:r>
            </w:hyperlink>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w:anchor="page73">
              <w:r>
                <w:rPr>
                  <w:rFonts w:ascii="Arial" w:cs="Arial" w:eastAsia="Arial" w:hAnsi="Arial"/>
                  <w:sz w:val="13"/>
                  <w:szCs w:val="13"/>
                  <w:color w:val="0000FF"/>
                  <w:w w:val="89"/>
                </w:rPr>
                <w:t>2002</w:t>
              </w:r>
            </w:hyperlink>
          </w:p>
        </w:tc>
        <w:tc>
          <w:tcPr>
            <w:tcW w:w="136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7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tcBorders>
              <w:bottom w:val="single" w:sz="8" w:color="0000FF"/>
            </w:tcBorders>
            <w:gridSpan w:val="7"/>
          </w:tcPr>
          <w:p>
            <w:pPr>
              <w:spacing w:after="0"/>
              <w:rPr>
                <w:rFonts w:ascii="Arial" w:cs="Arial" w:eastAsia="Arial" w:hAnsi="Arial"/>
                <w:sz w:val="14"/>
                <w:szCs w:val="14"/>
                <w:color w:val="0000FF"/>
                <w:w w:val="95"/>
              </w:rPr>
            </w:pPr>
            <w:hyperlink w:anchor="page74">
              <w:r>
                <w:rPr>
                  <w:rFonts w:ascii="Arial" w:cs="Arial" w:eastAsia="Arial" w:hAnsi="Arial"/>
                  <w:sz w:val="14"/>
                  <w:szCs w:val="14"/>
                  <w:color w:val="0000FF"/>
                  <w:w w:val="95"/>
                </w:rPr>
                <w:t>Certification of the Chief Operating Officer (Principal Financial Officer) pursuant to</w:t>
              </w:r>
            </w:hyperlink>
          </w:p>
        </w:tc>
        <w:tc>
          <w:tcPr>
            <w:tcW w:w="360" w:type="dxa"/>
            <w:vAlign w:val="bottom"/>
            <w:gridSpan w:val="4"/>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20" w:type="dxa"/>
            <w:vAlign w:val="bottom"/>
            <w:gridSpan w:val="11"/>
          </w:tcPr>
          <w:p>
            <w:pPr>
              <w:spacing w:after="0" w:line="115" w:lineRule="exact"/>
              <w:rPr>
                <w:rFonts w:ascii="Arial" w:cs="Arial" w:eastAsia="Arial" w:hAnsi="Arial"/>
                <w:sz w:val="13"/>
                <w:szCs w:val="13"/>
                <w:color w:val="0000FF"/>
              </w:rPr>
            </w:pPr>
            <w:hyperlink w:anchor="page74">
              <w:r>
                <w:rPr>
                  <w:rFonts w:ascii="Arial" w:cs="Arial" w:eastAsia="Arial" w:hAnsi="Arial"/>
                  <w:sz w:val="13"/>
                  <w:szCs w:val="13"/>
                  <w:color w:val="0000FF"/>
                </w:rPr>
                <w:t>Exchange Act Rules 13a-14(a) or 15d-14(a), as adopted pursuant to Section 302 of the</w:t>
              </w:r>
            </w:hyperlink>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w:anchor="page74">
              <w:r>
                <w:rPr>
                  <w:rFonts w:ascii="Arial" w:cs="Arial" w:eastAsia="Arial" w:hAnsi="Arial"/>
                  <w:sz w:val="13"/>
                  <w:szCs w:val="13"/>
                  <w:color w:val="0000FF"/>
                </w:rPr>
                <w:t>Sarbanes-Oxley Act of 2002</w:t>
              </w:r>
            </w:hyperlink>
          </w:p>
        </w:tc>
        <w:tc>
          <w:tcPr>
            <w:tcW w:w="24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11"/>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Certification of the Chief Executive Officer and Chief Operating Officer (Principal</w:t>
              </w:r>
            </w:hyperlink>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Furnished herewith</w:t>
            </w: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6"/>
          </w:tcPr>
          <w:p>
            <w:pPr>
              <w:spacing w:after="0" w:line="115" w:lineRule="exact"/>
              <w:rPr>
                <w:rFonts w:ascii="Arial" w:cs="Arial" w:eastAsia="Arial" w:hAnsi="Arial"/>
                <w:sz w:val="13"/>
                <w:szCs w:val="13"/>
                <w:color w:val="0000FF"/>
              </w:rPr>
            </w:pPr>
            <w:hyperlink w:anchor="page75">
              <w:r>
                <w:rPr>
                  <w:rFonts w:ascii="Arial" w:cs="Arial" w:eastAsia="Arial" w:hAnsi="Arial"/>
                  <w:sz w:val="13"/>
                  <w:szCs w:val="13"/>
                  <w:color w:val="0000FF"/>
                </w:rPr>
                <w:t>Financial Officer) pursuant to 18 U.S.C. Section 1350, as adopted pursuant to</w:t>
              </w:r>
            </w:hyperlink>
          </w:p>
        </w:tc>
        <w:tc>
          <w:tcPr>
            <w:tcW w:w="440" w:type="dxa"/>
            <w:vAlign w:val="bottom"/>
            <w:gridSpan w:val="5"/>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4"/>
          </w:tcPr>
          <w:p>
            <w:pPr>
              <w:spacing w:after="0" w:line="115" w:lineRule="exact"/>
              <w:rPr>
                <w:rFonts w:ascii="Arial" w:cs="Arial" w:eastAsia="Arial" w:hAnsi="Arial"/>
                <w:sz w:val="13"/>
                <w:szCs w:val="13"/>
                <w:color w:val="0000FF"/>
              </w:rPr>
            </w:pPr>
            <w:hyperlink w:anchor="page75">
              <w:r>
                <w:rPr>
                  <w:rFonts w:ascii="Arial" w:cs="Arial" w:eastAsia="Arial" w:hAnsi="Arial"/>
                  <w:sz w:val="13"/>
                  <w:szCs w:val="13"/>
                  <w:color w:val="0000FF"/>
                </w:rPr>
                <w:t>Section 906 of the Sarbanes-Oxley Act of 2002</w:t>
              </w:r>
            </w:hyperlink>
          </w:p>
        </w:tc>
        <w:tc>
          <w:tcPr>
            <w:tcW w:w="760" w:type="dxa"/>
            <w:vAlign w:val="bottom"/>
            <w:gridSpan w:val="7"/>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8"/>
                <w:szCs w:val="18"/>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20" w:type="dxa"/>
            <w:vAlign w:val="bottom"/>
            <w:gridSpan w:val="11"/>
          </w:tcPr>
          <w:p>
            <w:pPr>
              <w:spacing w:after="0" w:line="135"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8"/>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0"/>
                <w:szCs w:val="20"/>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XBRL Taxonomy Extension Label Linkbase Document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522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r>
    </w:tbl>
    <w:p>
      <w:pPr>
        <w:spacing w:after="0" w:line="61" w:lineRule="exact"/>
        <w:rPr>
          <w:sz w:val="20"/>
          <w:szCs w:val="20"/>
          <w:color w:val="auto"/>
        </w:rPr>
      </w:pPr>
    </w:p>
    <w:p>
      <w:pPr>
        <w:ind w:left="1120" w:right="5440" w:hanging="1094"/>
        <w:spacing w:after="0" w:line="236" w:lineRule="auto"/>
        <w:tabs>
          <w:tab w:leader="none" w:pos="11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Cover Page with Interactive Data File (formatted as Inline XBRL with applicable taxonomy extension information contained in Exhibits 101)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w:t>
      </w:r>
    </w:p>
    <w:p>
      <w:pPr>
        <w:spacing w:after="0" w:line="21" w:lineRule="exact"/>
        <w:rPr>
          <w:sz w:val="20"/>
          <w:szCs w:val="20"/>
          <w:color w:val="auto"/>
        </w:rPr>
      </w:pPr>
    </w:p>
    <w:p>
      <w:pPr>
        <w:ind w:left="660" w:right="160" w:hanging="652"/>
        <w:spacing w:after="0" w:line="255" w:lineRule="auto"/>
        <w:tabs>
          <w:tab w:leader="none" w:pos="22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Twilio Inc.</w:t>
      </w:r>
    </w:p>
    <w:p>
      <w:pPr>
        <w:spacing w:after="0" w:line="297" w:lineRule="exact"/>
        <w:rPr>
          <w:sz w:val="20"/>
          <w:szCs w:val="20"/>
          <w:color w:val="auto"/>
        </w:rPr>
      </w:pPr>
    </w:p>
    <w:p>
      <w:pPr>
        <w:ind w:left="1200"/>
        <w:spacing w:after="0"/>
        <w:tabs>
          <w:tab w:leader="none" w:pos="7860" w:val="left"/>
        </w:tabs>
        <w:rPr>
          <w:sz w:val="20"/>
          <w:szCs w:val="20"/>
          <w:color w:val="auto"/>
        </w:rPr>
      </w:pPr>
      <w:r>
        <w:rPr>
          <w:rFonts w:ascii="Arial" w:cs="Arial" w:eastAsia="Arial" w:hAnsi="Arial"/>
          <w:sz w:val="18"/>
          <w:szCs w:val="18"/>
          <w:color w:val="auto"/>
        </w:rPr>
        <w:t>May 5, 2022</w:t>
      </w:r>
      <w:r>
        <w:rPr>
          <w:sz w:val="20"/>
          <w:szCs w:val="20"/>
          <w:color w:val="auto"/>
        </w:rPr>
        <w:tab/>
      </w: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171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Jeff Lawson</w:t>
      </w:r>
    </w:p>
    <w:p>
      <w:pPr>
        <w:ind w:left="6500"/>
        <w:spacing w:after="0" w:line="203" w:lineRule="auto"/>
        <w:rPr>
          <w:sz w:val="20"/>
          <w:szCs w:val="20"/>
          <w:color w:val="auto"/>
        </w:rPr>
      </w:pPr>
      <w:r>
        <w:rPr>
          <w:rFonts w:ascii="Arial" w:cs="Arial" w:eastAsia="Arial" w:hAnsi="Arial"/>
          <w:sz w:val="18"/>
          <w:szCs w:val="18"/>
          <w:i w:val="1"/>
          <w:iCs w:val="1"/>
          <w:color w:val="auto"/>
        </w:rPr>
        <w:t>Director and Chief Executive Officer (Principal Executive</w:t>
      </w:r>
    </w:p>
    <w:p>
      <w:pPr>
        <w:ind w:left="8100"/>
        <w:spacing w:after="0"/>
        <w:rPr>
          <w:sz w:val="20"/>
          <w:szCs w:val="20"/>
          <w:color w:val="auto"/>
        </w:rPr>
      </w:pPr>
      <w:r>
        <w:rPr>
          <w:rFonts w:ascii="Arial" w:cs="Arial" w:eastAsia="Arial" w:hAnsi="Arial"/>
          <w:sz w:val="18"/>
          <w:szCs w:val="18"/>
          <w:i w:val="1"/>
          <w:iCs w:val="1"/>
          <w:color w:val="auto"/>
        </w:rPr>
        <w:t>Officer)</w:t>
      </w:r>
    </w:p>
    <w:p>
      <w:pPr>
        <w:spacing w:after="0" w:line="223" w:lineRule="exact"/>
        <w:rPr>
          <w:sz w:val="20"/>
          <w:szCs w:val="20"/>
          <w:color w:val="auto"/>
        </w:rPr>
      </w:pPr>
    </w:p>
    <w:p>
      <w:pPr>
        <w:ind w:left="1200"/>
        <w:spacing w:after="0"/>
        <w:tabs>
          <w:tab w:leader="none" w:pos="7200" w:val="left"/>
        </w:tabs>
        <w:rPr>
          <w:sz w:val="20"/>
          <w:szCs w:val="20"/>
          <w:color w:val="auto"/>
        </w:rPr>
      </w:pPr>
      <w:r>
        <w:rPr>
          <w:rFonts w:ascii="Arial" w:cs="Arial" w:eastAsia="Arial" w:hAnsi="Arial"/>
          <w:sz w:val="18"/>
          <w:szCs w:val="18"/>
          <w:color w:val="auto"/>
        </w:rPr>
        <w:t>May 5, 2022</w:t>
      </w:r>
      <w:r>
        <w:rPr>
          <w:sz w:val="20"/>
          <w:szCs w:val="20"/>
          <w:color w:val="auto"/>
        </w:rPr>
        <w:tab/>
      </w:r>
      <w:r>
        <w:rPr>
          <w:rFonts w:ascii="Arial" w:cs="Arial" w:eastAsia="Arial" w:hAnsi="Arial"/>
          <w:sz w:val="17"/>
          <w:szCs w:val="17"/>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171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Khozema Z. Shipchandler</w:t>
      </w:r>
    </w:p>
    <w:p>
      <w:pPr>
        <w:ind w:left="6360"/>
        <w:spacing w:after="0" w:line="203" w:lineRule="auto"/>
        <w:rPr>
          <w:sz w:val="20"/>
          <w:szCs w:val="20"/>
          <w:color w:val="auto"/>
        </w:rPr>
      </w:pPr>
      <w:r>
        <w:rPr>
          <w:rFonts w:ascii="Arial" w:cs="Arial" w:eastAsia="Arial" w:hAnsi="Arial"/>
          <w:sz w:val="18"/>
          <w:szCs w:val="18"/>
          <w:i w:val="1"/>
          <w:iCs w:val="1"/>
          <w:color w:val="auto"/>
        </w:rPr>
        <w:t>Chief Operating Officer (Principal Accounting and Financial</w:t>
      </w:r>
    </w:p>
    <w:p>
      <w:pPr>
        <w:ind w:left="81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1107" w:right="47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 Jeff Lawson, certify that:</w:t>
      </w:r>
    </w:p>
    <w:p>
      <w:pPr>
        <w:spacing w:after="0" w:line="18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80" w:lineRule="exact"/>
        <w:rPr>
          <w:rFonts w:ascii="Arial" w:cs="Arial" w:eastAsia="Arial" w:hAnsi="Arial"/>
          <w:sz w:val="16"/>
          <w:szCs w:val="16"/>
          <w:color w:val="auto"/>
        </w:rPr>
      </w:pPr>
    </w:p>
    <w:p>
      <w:pPr>
        <w:ind w:right="520" w:firstLine="656"/>
        <w:spacing w:after="0" w:line="349" w:lineRule="auto"/>
        <w:tabs>
          <w:tab w:leader="none" w:pos="1296"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right="480" w:firstLine="656"/>
        <w:spacing w:after="0" w:line="275"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right="20" w:firstLine="656"/>
        <w:spacing w:after="0" w:line="261"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6"/>
          <w:szCs w:val="16"/>
          <w:color w:val="auto"/>
        </w:rPr>
      </w:pPr>
    </w:p>
    <w:p>
      <w:pPr>
        <w:jc w:val="both"/>
        <w:ind w:right="80" w:firstLine="1304"/>
        <w:spacing w:after="0" w:line="261" w:lineRule="auto"/>
        <w:tabs>
          <w:tab w:leader="none" w:pos="1935"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200" w:firstLine="1304"/>
        <w:spacing w:after="0" w:line="261" w:lineRule="auto"/>
        <w:tabs>
          <w:tab w:leader="none" w:pos="19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right="560" w:firstLine="1304"/>
        <w:spacing w:after="0" w:line="310" w:lineRule="auto"/>
        <w:tabs>
          <w:tab w:leader="none" w:pos="1935"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5"/>
          <w:szCs w:val="15"/>
          <w:color w:val="auto"/>
        </w:rPr>
      </w:pPr>
    </w:p>
    <w:p>
      <w:pPr>
        <w:ind w:right="100" w:firstLine="1304"/>
        <w:spacing w:after="0" w:line="261" w:lineRule="auto"/>
        <w:tabs>
          <w:tab w:leader="none" w:pos="19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240" w:firstLine="656"/>
        <w:spacing w:after="0" w:line="275"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right="20" w:firstLine="1304"/>
        <w:spacing w:after="0" w:line="275" w:lineRule="auto"/>
        <w:tabs>
          <w:tab w:leader="none" w:pos="193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97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 Lawson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Executive Officer (Principal Executive Officer)</w:t>
      </w:r>
    </w:p>
    <w:p>
      <w:pPr>
        <w:sectPr>
          <w:pgSz w:w="11900" w:h="16838" w:orient="portrait"/>
          <w:cols w:equalWidth="0" w:num="1">
            <w:col w:w="11240"/>
          </w:cols>
          <w:pgMar w:left="320" w:top="107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Khozema Z. Shipchandler certify that:</w:t>
      </w:r>
    </w:p>
    <w:p>
      <w:pPr>
        <w:spacing w:after="0" w:line="18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94" w:lineRule="exact"/>
        <w:rPr>
          <w:rFonts w:ascii="Arial" w:cs="Arial" w:eastAsia="Arial" w:hAnsi="Arial"/>
          <w:sz w:val="16"/>
          <w:szCs w:val="16"/>
          <w:color w:val="auto"/>
        </w:rPr>
      </w:pPr>
    </w:p>
    <w:p>
      <w:pPr>
        <w:ind w:right="520" w:firstLine="656"/>
        <w:spacing w:after="0" w:line="349" w:lineRule="auto"/>
        <w:tabs>
          <w:tab w:leader="none" w:pos="12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4"/>
          <w:szCs w:val="14"/>
          <w:color w:val="auto"/>
        </w:rPr>
      </w:pPr>
    </w:p>
    <w:p>
      <w:pPr>
        <w:ind w:right="480" w:firstLine="656"/>
        <w:spacing w:after="0" w:line="275" w:lineRule="auto"/>
        <w:tabs>
          <w:tab w:leader="none" w:pos="1296"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right="20" w:firstLine="656"/>
        <w:spacing w:after="0" w:line="261" w:lineRule="auto"/>
        <w:tabs>
          <w:tab w:leader="none" w:pos="129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jc w:val="both"/>
        <w:ind w:right="80" w:firstLine="1304"/>
        <w:spacing w:after="0" w:line="261" w:lineRule="auto"/>
        <w:tabs>
          <w:tab w:leader="none" w:pos="193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6"/>
          <w:szCs w:val="16"/>
          <w:color w:val="auto"/>
        </w:rPr>
      </w:pPr>
    </w:p>
    <w:p>
      <w:pPr>
        <w:ind w:right="200" w:firstLine="1304"/>
        <w:spacing w:after="0" w:line="261"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right="560" w:firstLine="1304"/>
        <w:spacing w:after="0" w:line="310" w:lineRule="auto"/>
        <w:tabs>
          <w:tab w:leader="none" w:pos="1935"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ind w:right="100" w:firstLine="1304"/>
        <w:spacing w:after="0" w:line="261"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right="240" w:firstLine="656"/>
        <w:spacing w:after="0" w:line="275" w:lineRule="auto"/>
        <w:tabs>
          <w:tab w:leader="none" w:pos="129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right="20" w:firstLine="1304"/>
        <w:spacing w:after="0" w:line="275" w:lineRule="auto"/>
        <w:tabs>
          <w:tab w:leader="none" w:pos="1935"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0976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Khozema Z. Shipchandler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Operating Officer (Principal Accounting and Financial Officer)</w:t>
      </w:r>
    </w:p>
    <w:p>
      <w:pPr>
        <w:sectPr>
          <w:pgSz w:w="11900" w:h="16838" w:orient="portrait"/>
          <w:cols w:equalWidth="0" w:num="1">
            <w:col w:w="11240"/>
          </w:cols>
          <w:pgMar w:left="320" w:top="89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Khozema Z. Shipchandler, Chief Operating Officer of the Company, each hereby certifies that, to the best of his knowledge:</w:t>
      </w:r>
    </w:p>
    <w:p>
      <w:pPr>
        <w:spacing w:after="0" w:line="139" w:lineRule="exact"/>
        <w:rPr>
          <w:sz w:val="20"/>
          <w:szCs w:val="20"/>
          <w:color w:val="auto"/>
        </w:rPr>
      </w:pPr>
    </w:p>
    <w:p>
      <w:pPr>
        <w:ind w:right="520" w:firstLine="656"/>
        <w:spacing w:after="0" w:line="275"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March 31, 2022, to which this Certification is attached as Exhibit 32.1 (the “Periodic Report”), fully complies with the requirements of Section 13(a) or Section 15(d) of the Exchange Act; and</w:t>
      </w:r>
    </w:p>
    <w:p>
      <w:pPr>
        <w:spacing w:after="0" w:line="131" w:lineRule="exact"/>
        <w:rPr>
          <w:rFonts w:ascii="Arial" w:cs="Arial" w:eastAsia="Arial" w:hAnsi="Arial"/>
          <w:sz w:val="16"/>
          <w:szCs w:val="16"/>
          <w:color w:val="auto"/>
        </w:rPr>
      </w:pPr>
    </w:p>
    <w:p>
      <w:pPr>
        <w:ind w:left="1300" w:hanging="644"/>
        <w:spacing w:after="0"/>
        <w:tabs>
          <w:tab w:leader="none" w:pos="13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Date: May 5, 2022</w:t>
      </w:r>
    </w:p>
    <w:p>
      <w:pPr>
        <w:spacing w:after="0" w:line="16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Jeff Lawson</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Executive Officer (Principal Executive Officer)</w:t>
      </w: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Khozema Z. Shipchandler</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Operating Officer (Principal Accounting and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2"/>
    </w:lvl>
    <w:lvl w:ilvl="1">
      <w:lvlJc w:val="left"/>
      <w:lvlText w:val="(%2)"/>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lowerLetter"/>
      <w:start w:val="4"/>
    </w:lvl>
  </w:abstractNum>
  <w:abstractNum w:abstractNumId="10">
    <w:nsid w:val="2CA88611"/>
    <w:multiLevelType w:val="hybridMultilevel"/>
    <w:lvl w:ilvl="0">
      <w:lvlJc w:val="left"/>
      <w:lvlText w:val="(%1)"/>
      <w:numFmt w:val="lowerLetter"/>
      <w:start w:val="5"/>
    </w:lvl>
  </w:abstractNum>
  <w:abstractNum w:abstractNumId="11">
    <w:nsid w:val="836C40E"/>
    <w:multiLevelType w:val="hybridMultilevel"/>
    <w:lvl w:ilvl="0">
      <w:lvlJc w:val="left"/>
      <w:lvlText w:val="(%1)"/>
      <w:numFmt w:val="lowerLetter"/>
      <w:start w:val="6"/>
    </w:lvl>
  </w:abstractNum>
  <w:abstractNum w:abstractNumId="12">
    <w:nsid w:val="2901D82"/>
    <w:multiLevelType w:val="hybridMultilevel"/>
    <w:lvl w:ilvl="0">
      <w:lvlJc w:val="left"/>
      <w:lvlText w:val="(%1)"/>
      <w:numFmt w:val="lowerLetter"/>
      <w:start w:val="7"/>
    </w:lvl>
  </w:abstractNum>
  <w:abstractNum w:abstractNumId="13">
    <w:nsid w:val="3A95F874"/>
    <w:multiLevelType w:val="hybridMultilevel"/>
    <w:lvl w:ilvl="0">
      <w:lvlJc w:val="left"/>
      <w:lvlText w:val="(%1)"/>
      <w:numFmt w:val="lowerLetter"/>
      <w:start w:val="5"/>
    </w:lvl>
  </w:abstractNum>
  <w:abstractNum w:abstractNumId="14">
    <w:nsid w:val="8138641"/>
    <w:multiLevelType w:val="hybridMultilevel"/>
    <w:lvl w:ilvl="0">
      <w:lvlJc w:val="left"/>
      <w:lvlText w:val="(%1)"/>
      <w:numFmt w:val="lowerLetter"/>
      <w:start w:val="6"/>
    </w:lvl>
  </w:abstractNum>
  <w:abstractNum w:abstractNumId="15">
    <w:nsid w:val="1E7FF521"/>
    <w:multiLevelType w:val="hybridMultilevel"/>
    <w:lvl w:ilvl="0">
      <w:lvlJc w:val="left"/>
      <w:lvlText w:val="%1."/>
      <w:numFmt w:val="decimal"/>
      <w:start w:val="3"/>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lowerLetter"/>
      <w:start w:val="3"/>
    </w:lvl>
  </w:abstractNum>
  <w:abstractNum w:abstractNumId="19">
    <w:nsid w:val="22221A70"/>
    <w:multiLevelType w:val="hybridMultilevel"/>
    <w:lvl w:ilvl="0">
      <w:lvlJc w:val="left"/>
      <w:lvlText w:val="(%1)"/>
      <w:numFmt w:val="lowerLetter"/>
      <w:start w:val="4"/>
    </w:lvl>
  </w:abstractNum>
  <w:abstractNum w:abstractNumId="20">
    <w:nsid w:val="4516DDE9"/>
    <w:multiLevelType w:val="hybridMultilevel"/>
    <w:lvl w:ilvl="0">
      <w:lvlJc w:val="left"/>
      <w:lvlText w:val="%1"/>
      <w:numFmt w:val="decimal"/>
      <w:start w:val="1"/>
    </w:lvl>
    <w:lvl w:ilvl="1">
      <w:lvlJc w:val="left"/>
      <w:lvlText w:val="(%2)"/>
      <w:numFmt w:val="decimal"/>
      <w:start w:val="1"/>
    </w:lvl>
  </w:abstractNum>
  <w:abstractNum w:abstractNumId="21">
    <w:nsid w:val="3006C83E"/>
    <w:multiLevelType w:val="hybridMultilevel"/>
    <w:lvl w:ilvl="0">
      <w:lvlJc w:val="left"/>
      <w:lvlText w:val="%1."/>
      <w:numFmt w:val="decimal"/>
      <w:start w:val="14"/>
    </w:lvl>
    <w:lvl w:ilvl="1">
      <w:lvlJc w:val="left"/>
      <w:lvlText w:val="%2"/>
      <w:numFmt w:val="decimal"/>
      <w:start w:val="1"/>
    </w:lvl>
  </w:abstractNum>
  <w:abstractNum w:abstractNumId="22">
    <w:nsid w:val="614FD4A1"/>
    <w:multiLevelType w:val="hybridMultilevel"/>
    <w:lvl w:ilvl="0">
      <w:lvlJc w:val="left"/>
      <w:lvlText w:val="%1"/>
      <w:numFmt w:val="decimal"/>
      <w:start w:val="1"/>
    </w:lvl>
    <w:lvl w:ilvl="1">
      <w:lvlJc w:val="left"/>
      <w:lvlText w:val="(%2)"/>
      <w:numFmt w:val="decimal"/>
      <w:start w:val="1"/>
    </w:lvl>
  </w:abstractNum>
  <w:abstractNum w:abstractNumId="23">
    <w:nsid w:val="419AC241"/>
    <w:multiLevelType w:val="hybridMultilevel"/>
    <w:lvl w:ilvl="0">
      <w:lvlJc w:val="left"/>
      <w:lvlText w:val="(%1)"/>
      <w:numFmt w:val="decimal"/>
      <w:start w:val="3"/>
    </w:lvl>
    <w:lvl w:ilvl="1">
      <w:lvlJc w:val="left"/>
      <w:lvlText w:val="%2"/>
      <w:numFmt w:val="decimal"/>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04"/>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2022-05-06T12:18:17Z</dcterms:created>
  <dcterms:modified xsi:type="dcterms:W3CDTF">2022-05-06T12:18:17Z</dcterms:modified>
</cp:coreProperties>
</file>