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69"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307"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1934</w:t>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48" w:lineRule="exact"/>
        <w:rPr>
          <w:sz w:val="24"/>
          <w:szCs w:val="24"/>
          <w:color w:val="auto"/>
        </w:rPr>
      </w:pPr>
    </w:p>
    <w:p>
      <w:pPr>
        <w:ind w:left="700" w:hanging="640"/>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transition period from to</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001-37806</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47625</wp:posOffset>
            </wp:positionV>
            <wp:extent cx="66865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TWILIO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4"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w:t>
      </w:r>
    </w:p>
    <w:p>
      <w:pPr>
        <w:sectPr>
          <w:pgSz w:w="11900" w:h="16838" w:orient="portrait"/>
          <w:cols w:equalWidth="0" w:num="1">
            <w:col w:w="11220"/>
          </w:cols>
          <w:pgMar w:left="320" w:top="1440" w:right="359" w:bottom="1440" w:gutter="0" w:footer="0" w:header="0"/>
        </w:sectPr>
      </w:pPr>
    </w:p>
    <w:p>
      <w:pPr>
        <w:spacing w:after="0" w:line="156"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26-2574840</w:t>
      </w:r>
    </w:p>
    <w:p>
      <w:pPr>
        <w:spacing w:after="0" w:line="50" w:lineRule="exact"/>
        <w:rPr>
          <w:sz w:val="24"/>
          <w:szCs w:val="24"/>
          <w:color w:val="auto"/>
        </w:rPr>
      </w:pPr>
    </w:p>
    <w:p>
      <w:pPr>
        <w:sectPr>
          <w:pgSz w:w="11900" w:h="16838" w:orient="portrait"/>
          <w:cols w:equalWidth="0" w:num="2">
            <w:col w:w="7380" w:space="720"/>
            <w:col w:w="3120"/>
          </w:cols>
          <w:pgMar w:left="320" w:top="1440" w:right="35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200" w:lineRule="exact"/>
        <w:rPr>
          <w:sz w:val="24"/>
          <w:szCs w:val="24"/>
          <w:color w:val="auto"/>
        </w:rPr>
      </w:pPr>
    </w:p>
    <w:p>
      <w:pPr>
        <w:sectPr>
          <w:pgSz w:w="11900" w:h="16838" w:orient="portrait"/>
          <w:cols w:equalWidth="0" w:num="2">
            <w:col w:w="6600" w:space="720"/>
            <w:col w:w="3900"/>
          </w:cols>
          <w:pgMar w:left="320" w:top="1440" w:right="359" w:bottom="1440" w:gutter="0" w:footer="0" w:header="0"/>
          <w:type w:val="continuous"/>
        </w:sectPr>
      </w:pP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101 Spear Street, First Floor</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Francisco, California 94105</w:t>
      </w:r>
    </w:p>
    <w:p>
      <w:pPr>
        <w:jc w:val="center"/>
        <w:ind w:right="-19"/>
        <w:spacing w:after="0"/>
        <w:rPr>
          <w:sz w:val="20"/>
          <w:szCs w:val="20"/>
          <w:color w:val="auto"/>
        </w:rPr>
      </w:pPr>
      <w:r>
        <w:rPr>
          <w:rFonts w:ascii="Arial" w:cs="Arial" w:eastAsia="Arial" w:hAnsi="Arial"/>
          <w:sz w:val="13"/>
          <w:szCs w:val="13"/>
          <w:color w:val="auto"/>
        </w:rPr>
        <w:t>(Address of principal executive offices) (Zip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(415) 390-2337</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20"/>
          </w:cols>
          <w:pgMar w:left="320" w:top="1440" w:right="359" w:bottom="1440" w:gutter="0" w:footer="0" w:header="0"/>
          <w:type w:val="continuous"/>
        </w:sectPr>
      </w:pPr>
    </w:p>
    <w:p>
      <w:pPr>
        <w:spacing w:after="0" w:line="260"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____________________________________________</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100" w:type="dxa"/>
        <w:tblCellMar>
          <w:top w:w="0" w:type="dxa"/>
          <w:left w:w="0" w:type="dxa"/>
          <w:bottom w:w="0" w:type="dxa"/>
          <w:right w:w="0" w:type="dxa"/>
        </w:tblCellMar>
      </w:tblPr>
      <w:tr>
        <w:trPr>
          <w:trHeight w:val="213"/>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520" w:type="dxa"/>
            <w:vAlign w:val="bottom"/>
          </w:tcPr>
          <w:p>
            <w:pPr>
              <w:jc w:val="center"/>
              <w:spacing w:after="0"/>
              <w:rPr>
                <w:sz w:val="20"/>
                <w:szCs w:val="20"/>
                <w:color w:val="auto"/>
              </w:rPr>
            </w:pPr>
            <w:r>
              <w:rPr>
                <w:rFonts w:ascii="Arial" w:cs="Arial" w:eastAsia="Arial" w:hAnsi="Arial"/>
                <w:sz w:val="16"/>
                <w:szCs w:val="16"/>
                <w:color w:val="auto"/>
                <w:w w:val="90"/>
              </w:rPr>
              <w:t>Class A Common Stock, par value $0.001 per share</w:t>
            </w:r>
          </w:p>
        </w:tc>
        <w:tc>
          <w:tcPr>
            <w:tcW w:w="2380" w:type="dxa"/>
            <w:vAlign w:val="bottom"/>
          </w:tcPr>
          <w:p>
            <w:pPr>
              <w:jc w:val="center"/>
              <w:spacing w:after="0"/>
              <w:rPr>
                <w:sz w:val="20"/>
                <w:szCs w:val="20"/>
                <w:color w:val="auto"/>
              </w:rPr>
            </w:pPr>
            <w:r>
              <w:rPr>
                <w:rFonts w:ascii="Arial" w:cs="Arial" w:eastAsia="Arial" w:hAnsi="Arial"/>
                <w:sz w:val="16"/>
                <w:szCs w:val="16"/>
                <w:color w:val="auto"/>
                <w:w w:val="99"/>
              </w:rPr>
              <w:t>TWLO</w:t>
            </w:r>
          </w:p>
        </w:tc>
        <w:tc>
          <w:tcPr>
            <w:tcW w:w="4160" w:type="dxa"/>
            <w:vAlign w:val="bottom"/>
          </w:tcPr>
          <w:p>
            <w:pPr>
              <w:jc w:val="center"/>
              <w:spacing w:after="0"/>
              <w:rPr>
                <w:sz w:val="20"/>
                <w:szCs w:val="20"/>
                <w:color w:val="auto"/>
              </w:rPr>
            </w:pPr>
            <w:r>
              <w:rPr>
                <w:rFonts w:ascii="Arial" w:cs="Arial" w:eastAsia="Arial" w:hAnsi="Arial"/>
                <w:sz w:val="16"/>
                <w:szCs w:val="16"/>
                <w:color w:val="auto"/>
                <w:w w:val="92"/>
              </w:rPr>
              <w:t>The New York Stock Exchange</w:t>
            </w:r>
          </w:p>
        </w:tc>
      </w:tr>
    </w:tbl>
    <w:p>
      <w:pPr>
        <w:spacing w:after="0" w:line="190"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April 30, 2021, 162,370,009 shares of the registrant’s Class A common stock and 10,325,768 shares of registrant’s Class B common stock were outstanding.</w:t>
      </w:r>
    </w:p>
    <w:p>
      <w:pPr>
        <w:spacing w:after="0" w:line="109" w:lineRule="exact"/>
        <w:rPr>
          <w:sz w:val="24"/>
          <w:szCs w:val="24"/>
          <w:color w:val="auto"/>
        </w:rPr>
      </w:pPr>
    </w:p>
    <w:p>
      <w:pPr>
        <w:ind w:right="420" w:firstLine="648"/>
        <w:spacing w:after="0" w:line="33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9" w:lineRule="exact"/>
        <w:rPr>
          <w:sz w:val="24"/>
          <w:szCs w:val="24"/>
          <w:color w:val="auto"/>
        </w:rPr>
      </w:pPr>
    </w:p>
    <w:p>
      <w:pPr>
        <w:ind w:right="180" w:firstLine="648"/>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ind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1880" w:type="dxa"/>
        <w:tblCellMar>
          <w:top w:w="0" w:type="dxa"/>
          <w:left w:w="0" w:type="dxa"/>
          <w:bottom w:w="0" w:type="dxa"/>
          <w:right w:w="0" w:type="dxa"/>
        </w:tblCellMar>
      </w:tblPr>
      <w:tr>
        <w:trPr>
          <w:trHeight w:val="189"/>
        </w:trPr>
        <w:tc>
          <w:tcPr>
            <w:tcW w:w="2220" w:type="dxa"/>
            <w:vAlign w:val="bottom"/>
          </w:tcPr>
          <w:p>
            <w:pPr>
              <w:jc w:val="center"/>
              <w:ind w:right="868"/>
              <w:spacing w:after="0"/>
              <w:rPr>
                <w:sz w:val="20"/>
                <w:szCs w:val="20"/>
                <w:color w:val="auto"/>
              </w:rPr>
            </w:pPr>
            <w:r>
              <w:rPr>
                <w:rFonts w:ascii="Arial" w:cs="Arial" w:eastAsia="Arial" w:hAnsi="Arial"/>
                <w:sz w:val="14"/>
                <w:szCs w:val="14"/>
                <w:color w:val="auto"/>
                <w:w w:val="92"/>
              </w:rPr>
              <w:t>Large 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48"/>
              <w:spacing w:after="0"/>
              <w:rPr>
                <w:sz w:val="20"/>
                <w:szCs w:val="20"/>
                <w:color w:val="auto"/>
              </w:rPr>
            </w:pPr>
            <w:r>
              <w:rPr>
                <w:rFonts w:ascii="Arial" w:cs="Arial" w:eastAsia="Arial" w:hAnsi="Arial"/>
                <w:sz w:val="14"/>
                <w:szCs w:val="14"/>
                <w:color w:val="auto"/>
                <w:w w:val="95"/>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220" w:type="dxa"/>
            <w:vAlign w:val="bottom"/>
          </w:tcPr>
          <w:p>
            <w:pPr>
              <w:jc w:val="center"/>
              <w:ind w:right="868"/>
              <w:spacing w:after="0"/>
              <w:rPr>
                <w:sz w:val="20"/>
                <w:szCs w:val="20"/>
                <w:color w:val="auto"/>
              </w:rPr>
            </w:pPr>
            <w:r>
              <w:rPr>
                <w:rFonts w:ascii="Arial" w:cs="Arial" w:eastAsia="Arial" w:hAnsi="Arial"/>
                <w:sz w:val="14"/>
                <w:szCs w:val="14"/>
                <w:color w:val="auto"/>
                <w:w w:val="92"/>
              </w:rPr>
              <w:t>Non-accelerated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68"/>
              <w:spacing w:after="0"/>
              <w:rPr>
                <w:sz w:val="20"/>
                <w:szCs w:val="20"/>
                <w:color w:val="auto"/>
              </w:rPr>
            </w:pPr>
            <w:r>
              <w:rPr>
                <w:rFonts w:ascii="Arial" w:cs="Arial" w:eastAsia="Arial" w:hAnsi="Arial"/>
                <w:sz w:val="14"/>
                <w:szCs w:val="14"/>
                <w:color w:val="auto"/>
                <w:w w:val="94"/>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640" w:type="dxa"/>
            <w:vAlign w:val="bottom"/>
          </w:tcPr>
          <w:p>
            <w:pPr>
              <w:jc w:val="center"/>
              <w:ind w:left="268"/>
              <w:spacing w:after="0"/>
              <w:rPr>
                <w:sz w:val="20"/>
                <w:szCs w:val="20"/>
                <w:color w:val="auto"/>
              </w:rPr>
            </w:pPr>
            <w:r>
              <w:rPr>
                <w:rFonts w:ascii="Arial" w:cs="Arial" w:eastAsia="Arial" w:hAnsi="Arial"/>
                <w:sz w:val="14"/>
                <w:szCs w:val="14"/>
                <w:color w:val="auto"/>
                <w:w w:val="94"/>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5" w:lineRule="exact"/>
        <w:rPr>
          <w:sz w:val="24"/>
          <w:szCs w:val="24"/>
          <w:color w:val="auto"/>
        </w:rPr>
      </w:pPr>
    </w:p>
    <w:p>
      <w:pPr>
        <w:ind w:right="560" w:firstLine="648"/>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vMerge w:val="restart"/>
          </w:tcPr>
          <w:p>
            <w:pPr>
              <w:spacing w:after="0"/>
              <w:rPr>
                <w:sz w:val="20"/>
                <w:szCs w:val="20"/>
                <w:color w:val="auto"/>
              </w:rPr>
            </w:pPr>
          </w:p>
        </w:tc>
        <w:tc>
          <w:tcPr>
            <w:tcW w:w="3140" w:type="dxa"/>
            <w:vAlign w:val="bottom"/>
            <w:gridSpan w:val="7"/>
            <w:vMerge w:val="restart"/>
          </w:tcPr>
          <w:p>
            <w:pPr>
              <w:jc w:val="cente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 FINANCIAL INFORMATION</w:t>
              </w:r>
            </w:hyperlink>
          </w:p>
        </w:tc>
        <w:tc>
          <w:tcPr>
            <w:tcW w:w="3240" w:type="dxa"/>
            <w:vAlign w:val="bottom"/>
            <w:gridSpan w:val="4"/>
            <w:vMerge w:val="restart"/>
          </w:tcPr>
          <w:p>
            <w:pPr>
              <w:spacing w:after="0"/>
              <w:rPr>
                <w:sz w:val="20"/>
                <w:szCs w:val="20"/>
                <w:color w:val="auto"/>
              </w:rPr>
            </w:pPr>
          </w:p>
        </w:tc>
        <w:tc>
          <w:tcPr>
            <w:tcW w:w="6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140" w:type="dxa"/>
            <w:vAlign w:val="bottom"/>
            <w:tcBorders>
              <w:bottom w:val="single" w:sz="8" w:color="0000FF"/>
            </w:tcBorders>
            <w:gridSpan w:val="7"/>
            <w:vMerge w:val="continue"/>
          </w:tcPr>
          <w:p>
            <w:pPr>
              <w:spacing w:after="0"/>
              <w:rPr>
                <w:sz w:val="14"/>
                <w:szCs w:val="14"/>
                <w:color w:val="auto"/>
              </w:rPr>
            </w:pPr>
          </w:p>
        </w:tc>
        <w:tc>
          <w:tcPr>
            <w:tcW w:w="32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520" w:type="dxa"/>
            <w:vAlign w:val="bottom"/>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440" w:type="dxa"/>
            <w:vAlign w:val="bottom"/>
            <w:gridSpan w:val="2"/>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 xml:space="preserve">Condensed Consolidated Balance Sheets as of March 31, 2021 and December 31, </w:t>
              </w:r>
            </w:hyperlink>
            <w:r>
              <w:rPr>
                <w:rFonts w:ascii="Arial" w:cs="Arial" w:eastAsia="Arial" w:hAnsi="Arial"/>
                <w:sz w:val="18"/>
                <w:szCs w:val="18"/>
                <w:color w:val="0000FF"/>
                <w:w w:val="88"/>
              </w:rPr>
              <w:t>2020</w:t>
            </w:r>
          </w:p>
        </w:tc>
        <w:tc>
          <w:tcPr>
            <w:tcW w:w="3320" w:type="dxa"/>
            <w:vAlign w:val="bottom"/>
            <w:gridSpan w:val="5"/>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Operations for the Three Months Ended March 31, 2021 and </w:t>
              </w:r>
            </w:hyperlink>
            <w:r>
              <w:rPr>
                <w:rFonts w:ascii="Arial" w:cs="Arial" w:eastAsia="Arial" w:hAnsi="Arial"/>
                <w:sz w:val="18"/>
                <w:szCs w:val="18"/>
                <w:color w:val="0000FF"/>
              </w:rPr>
              <w:t>2020</w:t>
            </w:r>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Comprehensive Loss for the Three Months Ended March 31, </w:t>
              </w:r>
            </w:hyperlink>
            <w:r>
              <w:rPr>
                <w:rFonts w:ascii="Arial" w:cs="Arial" w:eastAsia="Arial" w:hAnsi="Arial"/>
                <w:sz w:val="18"/>
                <w:szCs w:val="18"/>
                <w:color w:val="0000FF"/>
              </w:rPr>
              <w:t xml:space="preserve">2021 </w:t>
            </w:r>
            <w:hyperlink w:anchor="page7">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200" w:type="dxa"/>
            <w:vAlign w:val="bottom"/>
            <w:gridSpan w:val="3"/>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gridSpan w:val="17"/>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Stockholders' Equity for the Three Months Ended March 31, 2021 and 2020</w:t>
              </w:r>
            </w:hyperlink>
          </w:p>
        </w:tc>
        <w:tc>
          <w:tcPr>
            <w:tcW w:w="124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gridSpan w:val="17"/>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Condensed Consolidated Statements of Cash Flows for the Three Months Ended March 31, 2021 and 2020</w:t>
              </w:r>
            </w:hyperlink>
          </w:p>
        </w:tc>
        <w:tc>
          <w:tcPr>
            <w:tcW w:w="124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3640" w:type="dxa"/>
            <w:vAlign w:val="bottom"/>
            <w:gridSpan w:val="7"/>
          </w:tcPr>
          <w:p>
            <w:pPr>
              <w:spacing w:after="0"/>
              <w:rPr>
                <w:sz w:val="24"/>
                <w:szCs w:val="24"/>
                <w:color w:val="auto"/>
              </w:rPr>
            </w:pPr>
          </w:p>
        </w:tc>
        <w:tc>
          <w:tcPr>
            <w:tcW w:w="1960" w:type="dxa"/>
            <w:vAlign w:val="bottom"/>
            <w:gridSpan w:val="2"/>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2.</w:t>
              </w:r>
            </w:hyperlink>
          </w:p>
        </w:tc>
        <w:tc>
          <w:tcPr>
            <w:tcW w:w="440" w:type="dxa"/>
            <w:vAlign w:val="bottom"/>
            <w:gridSpan w:val="2"/>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660" w:type="dxa"/>
            <w:vAlign w:val="bottom"/>
            <w:gridSpan w:val="4"/>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Item 3.</w:t>
              </w:r>
            </w:hyperlink>
          </w:p>
        </w:tc>
        <w:tc>
          <w:tcPr>
            <w:tcW w:w="120" w:type="dxa"/>
            <w:vAlign w:val="bottom"/>
            <w:tcBorders>
              <w:bottom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Quantitative and Qualitative Disclosures About Market Risk</w:t>
              </w:r>
            </w:hyperlink>
          </w:p>
        </w:tc>
        <w:tc>
          <w:tcPr>
            <w:tcW w:w="2060" w:type="dxa"/>
            <w:vAlign w:val="bottom"/>
            <w:gridSpan w:val="4"/>
          </w:tcPr>
          <w:p>
            <w:pPr>
              <w:spacing w:after="0"/>
              <w:rPr>
                <w:sz w:val="24"/>
                <w:szCs w:val="24"/>
                <w:color w:val="auto"/>
              </w:rPr>
            </w:pPr>
          </w:p>
        </w:tc>
        <w:tc>
          <w:tcPr>
            <w:tcW w:w="3160" w:type="dxa"/>
            <w:vAlign w:val="bottom"/>
            <w:gridSpan w:val="3"/>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372"/>
        </w:trPr>
        <w:tc>
          <w:tcPr>
            <w:tcW w:w="96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960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660" w:type="dxa"/>
            <w:vAlign w:val="bottom"/>
            <w:gridSpan w:val="4"/>
          </w:tcPr>
          <w:p>
            <w:pPr>
              <w:ind w:left="20"/>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371"/>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80" w:type="dxa"/>
            <w:vAlign w:val="bottom"/>
            <w:gridSpan w:val="11"/>
          </w:tcPr>
          <w:p>
            <w:pPr>
              <w:jc w:val="center"/>
              <w:ind w:right="324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 - OTHER INFORMATION</w:t>
              </w:r>
            </w:hyperlink>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1.</w:t>
              </w:r>
            </w:hyperlink>
          </w:p>
        </w:tc>
        <w:tc>
          <w:tcPr>
            <w:tcW w:w="44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Legal Proceedings</w:t>
              </w:r>
            </w:hyperlink>
          </w:p>
        </w:tc>
        <w:tc>
          <w:tcPr>
            <w:tcW w:w="2060" w:type="dxa"/>
            <w:vAlign w:val="bottom"/>
            <w:gridSpan w:val="4"/>
          </w:tcPr>
          <w:p>
            <w:pPr>
              <w:spacing w:after="0"/>
              <w:rPr>
                <w:sz w:val="24"/>
                <w:szCs w:val="24"/>
                <w:color w:val="auto"/>
              </w:rPr>
            </w:pPr>
          </w:p>
        </w:tc>
        <w:tc>
          <w:tcPr>
            <w:tcW w:w="2820" w:type="dxa"/>
            <w:vAlign w:val="bottom"/>
            <w:tcBorders>
              <w:top w:val="single" w:sz="8" w:color="0000FF"/>
            </w:tcBorders>
            <w:gridSpan w:val="4"/>
          </w:tcPr>
          <w:p>
            <w:pPr>
              <w:spacing w:after="0"/>
              <w:rPr>
                <w:sz w:val="24"/>
                <w:szCs w:val="24"/>
                <w:color w:val="auto"/>
              </w:rPr>
            </w:pPr>
          </w:p>
        </w:tc>
        <w:tc>
          <w:tcPr>
            <w:tcW w:w="3400" w:type="dxa"/>
            <w:vAlign w:val="bottom"/>
            <w:gridSpan w:val="6"/>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1A.</w:t>
              </w:r>
            </w:hyperlink>
          </w:p>
        </w:tc>
        <w:tc>
          <w:tcPr>
            <w:tcW w:w="96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660" w:type="dxa"/>
            <w:vAlign w:val="bottom"/>
            <w:gridSpan w:val="4"/>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Unregistered Sales of Equity Securities and Use of Proceeds</w:t>
              </w:r>
            </w:hyperlink>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Item 5.</w:t>
              </w:r>
            </w:hyperlink>
          </w:p>
        </w:tc>
        <w:tc>
          <w:tcPr>
            <w:tcW w:w="44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Other Information</w:t>
              </w:r>
            </w:hyperlink>
          </w:p>
        </w:tc>
        <w:tc>
          <w:tcPr>
            <w:tcW w:w="3040" w:type="dxa"/>
            <w:vAlign w:val="bottom"/>
            <w:gridSpan w:val="6"/>
          </w:tcPr>
          <w:p>
            <w:pPr>
              <w:spacing w:after="0"/>
              <w:rPr>
                <w:sz w:val="24"/>
                <w:szCs w:val="24"/>
                <w:color w:val="auto"/>
              </w:rPr>
            </w:pP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82">
              <w:r>
                <w:rPr>
                  <w:rFonts w:ascii="Arial" w:cs="Arial" w:eastAsia="Arial" w:hAnsi="Arial"/>
                  <w:sz w:val="18"/>
                  <w:szCs w:val="18"/>
                  <w:color w:val="0000FF"/>
                </w:rPr>
                <w:t>81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Item 6.</w:t>
              </w:r>
            </w:hyperlink>
          </w:p>
        </w:tc>
        <w:tc>
          <w:tcPr>
            <w:tcW w:w="44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Exhibits</w:t>
              </w:r>
            </w:hyperlink>
          </w:p>
        </w:tc>
        <w:tc>
          <w:tcPr>
            <w:tcW w:w="8280" w:type="dxa"/>
            <w:vAlign w:val="bottom"/>
            <w:gridSpan w:val="14"/>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82">
              <w:r>
                <w:rPr>
                  <w:rFonts w:ascii="Arial" w:cs="Arial" w:eastAsia="Arial" w:hAnsi="Arial"/>
                  <w:sz w:val="18"/>
                  <w:szCs w:val="18"/>
                  <w:color w:val="0000FF"/>
                </w:rPr>
                <w:t>81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Signatures</w:t>
              </w:r>
            </w:hyperlink>
          </w:p>
        </w:tc>
        <w:tc>
          <w:tcPr>
            <w:tcW w:w="660" w:type="dxa"/>
            <w:vAlign w:val="bottom"/>
            <w:gridSpan w:val="4"/>
          </w:tcPr>
          <w:p>
            <w:pPr>
              <w:ind w:left="20"/>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2" w:name="page3"/>
    <w:bookmarkEnd w:id="2"/>
    <w:p>
      <w:pPr>
        <w:ind w:left="38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coronavirus disease of 2019 (“COVID-19”) pandemic on the global economy, our customers, employees and business;</w:t>
      </w:r>
    </w:p>
    <w:p>
      <w:pPr>
        <w:spacing w:after="0" w:line="34" w:lineRule="exact"/>
        <w:rPr>
          <w:rFonts w:ascii="Arial" w:cs="Arial" w:eastAsia="Arial" w:hAnsi="Arial"/>
          <w:sz w:val="17"/>
          <w:szCs w:val="17"/>
          <w:color w:val="auto"/>
        </w:rPr>
      </w:pPr>
    </w:p>
    <w:p>
      <w:pPr>
        <w:ind w:left="980" w:right="320" w:hanging="324"/>
        <w:spacing w:after="0" w:line="26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gross margin and operating expenses, ability to generate positive cash flow and ability to achieve and sustain profitability;</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technology trends, such as the use of and demand for cloud communications;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global software developer community;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technology affecting our products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25" w:lineRule="exact"/>
        <w:rPr>
          <w:rFonts w:ascii="Arial" w:cs="Arial" w:eastAsia="Arial" w:hAnsi="Arial"/>
          <w:sz w:val="18"/>
          <w:szCs w:val="18"/>
          <w:color w:val="auto"/>
        </w:rPr>
      </w:pPr>
    </w:p>
    <w:p>
      <w:pPr>
        <w:ind w:left="980" w:hanging="324"/>
        <w:spacing w:after="0" w:line="27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modified or new industry standards, laws and regulations applying to our business, including the General Data Protection Regulation (“GDPR”), the Schrems II decision invalidating the EU-US Privacy Shield, the California Consumer Privacy Act of 2018 (“CCPA”) and other privacy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7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our network service provider coverage and connectivity;</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changes in network service provider fees that we pay in connection with the delivery of communications on our platform;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work closely with email inbox service providers to maintain deliverability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pass on our savings associated with our platform optimization efforts to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expected results from changes in our relationship with our larger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enterprises and international organizations as customers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and expand partnerships with technology partners and consulting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into new markets and manage our international expansion;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an intensely competitive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anticipated investments in sales and marketing, research and development and additional systems and processes to support our growth;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25"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the interest on our 3.625% senior notes due 2029 (“2029 Notes”), our 3.875% notes due 2031 (“2031 Notes,” and together with the 2029 Notes, the “Notes”), and our 0.25% convertible senior notes due 2023 (the “Convertible Notes”) and repay such notes, to the extent required;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and other platform users' violation of our policies or other misuse of our platform;</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the impact of natural disasters and public health epidemics, such as COVID-19 on our business, results of operations and financial condition and on our customers, employees, vendors and partners;</w:t>
      </w:r>
    </w:p>
    <w:p>
      <w:pPr>
        <w:spacing w:after="0" w:line="170" w:lineRule="exact"/>
        <w:rPr>
          <w:rFonts w:ascii="Arial" w:cs="Arial" w:eastAsia="Arial" w:hAnsi="Arial"/>
          <w:sz w:val="18"/>
          <w:szCs w:val="18"/>
          <w:color w:val="auto"/>
        </w:rPr>
      </w:pPr>
    </w:p>
    <w:p>
      <w:pPr>
        <w:ind w:left="980" w:right="8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the benefits of our past or future strategic acquisitions or investments, including our acquisition of Segment.io, Inc. (“Segment”); and</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the impact of our recent cross platform API service disruption on our business, results of operations and financial condition.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3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“Summary of Risk Factors and Uncertainties Associated with Our Business”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Summary of Risk Factors and Uncertainties Associated with Our Business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impact of global COVID-19 pandemic;</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new and unproven market for our products and platform;</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our rapid growth and ability to effectively manage our growth;</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fluctuations in our quarterly results and our ability to meet securities analysts’ and investors’ expectations;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our ability to maintain and enhance our brand and increase market awareness of our company and products;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 w:name="page5"/>
    <w:bookmarkEnd w:id="4"/>
    <w:p>
      <w:pPr>
        <w:ind w:left="328"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limitations on the use and adoption of our solutions due to privacy laws, data collection and transfer restrictions and related domestic or foreign regulations;</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any loss of customers or decline in their use of our products;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attract new customers in a cost-effective manner;</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develop enhancements to our products and introduce new products that achieve market acceptance;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compete effectively in the market in which we participate;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history of losses and uncertainty about our future profitability;</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increase adoption of our products by enterprises;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expand our relationships with existing technology partner customers and add new technology partner customers;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significant risks associated with expansion of our international operations;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compliance with applicable laws and regulations;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telecommunications-related regulations and future legislative or regulatory actions;</w:t>
      </w:r>
    </w:p>
    <w:p>
      <w:pPr>
        <w:spacing w:after="0" w:line="27" w:lineRule="exact"/>
        <w:rPr>
          <w:rFonts w:ascii="Arial" w:cs="Arial" w:eastAsia="Arial" w:hAnsi="Arial"/>
          <w:sz w:val="22"/>
          <w:szCs w:val="22"/>
          <w:color w:val="auto"/>
        </w:rPr>
      </w:pPr>
    </w:p>
    <w:p>
      <w:pPr>
        <w:ind w:left="328" w:right="2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obtain or retain geographical, mobile, regional, local or toll-free numbers and to effectively process requests to port such numbers in a timely manner due to industry regulations;</w:t>
      </w:r>
    </w:p>
    <w:p>
      <w:pPr>
        <w:spacing w:after="0" w:line="27" w:lineRule="exact"/>
        <w:rPr>
          <w:rFonts w:ascii="Arial" w:cs="Arial" w:eastAsia="Arial" w:hAnsi="Arial"/>
          <w:sz w:val="22"/>
          <w:szCs w:val="22"/>
          <w:color w:val="auto"/>
        </w:rPr>
      </w:pPr>
    </w:p>
    <w:p>
      <w:pPr>
        <w:ind w:left="328" w:right="26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adapt and respond effectively to rapidly changing technology, evolving industry standards, changing regulations, and changing customer needs, requirements or preferences;</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provide monthly uptime service level commitments of up to 99.95% under our agreements with customers;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any breaches of our networks or systems, or those of AWS or our service providers;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defects or errors in our products;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any loss or decline in revenue from our largest customers;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litigation by third parties for alleged infringement of their proprietary rights;</w:t>
      </w:r>
    </w:p>
    <w:p>
      <w:pPr>
        <w:spacing w:after="0" w:line="1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exposure to substantial liability for intellectual property infringement and other losses from indemnity provisions in various agreements;</w:t>
      </w:r>
    </w:p>
    <w:p>
      <w:pPr>
        <w:spacing w:after="0" w:line="10" w:lineRule="exact"/>
        <w:rPr>
          <w:rFonts w:ascii="Arial" w:cs="Arial" w:eastAsia="Arial" w:hAnsi="Arial"/>
          <w:sz w:val="21"/>
          <w:szCs w:val="21"/>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integrate acquired businesses and technologies successfully or achieve the expected benefits of such acquisitions;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the loss of our senior management and other key employees;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use of open source software;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reliance on SaaS technologies from third parties;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potentially adverse tax consequences on our global operations and structure;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excessive credit card or fraudulent activity;</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unfavorable conditions in our industry or the global economy;</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requirement of additional capital to support our business and its availability on acceptable terms, if at all;</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exposure to foreign currency exchange rate fluctuations;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use our net operating losses to offset future taxable income;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failure to maintain an effective system of disclosure controls and internal control over financial reporting;</w:t>
      </w:r>
    </w:p>
    <w:p>
      <w:pPr>
        <w:spacing w:after="0" w:line="27" w:lineRule="exact"/>
        <w:rPr>
          <w:rFonts w:ascii="Arial" w:cs="Arial" w:eastAsia="Arial" w:hAnsi="Arial"/>
          <w:sz w:val="22"/>
          <w:szCs w:val="22"/>
          <w:color w:val="auto"/>
        </w:rPr>
      </w:pPr>
    </w:p>
    <w:p>
      <w:pPr>
        <w:ind w:left="328" w:right="2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the risks of pandemics, earthquakes, fire, floods and other natural catastrophic events and to interruption by man-made problems such as power disruptions, computer viruses, data security breaches or terrorism;</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volatility of the trading price of our Class A common stock;</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potential decline in the market price of our Class A common stock due to substantial future sales of shares;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requirement of a significant amount of cash to service our future debt; and,</w:t>
      </w:r>
    </w:p>
    <w:p>
      <w:pPr>
        <w:spacing w:after="0" w:line="27" w:lineRule="exact"/>
        <w:rPr>
          <w:rFonts w:ascii="Arial" w:cs="Arial" w:eastAsia="Arial" w:hAnsi="Arial"/>
          <w:sz w:val="22"/>
          <w:szCs w:val="22"/>
          <w:color w:val="auto"/>
        </w:rPr>
      </w:pPr>
    </w:p>
    <w:p>
      <w:pPr>
        <w:ind w:left="328" w:right="4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raise the funds necessary for cash settlement upon conversion of the Convertible Notes or to repurchase the Convertible Notes, the 2029 Notes and 2031 Notes for cash.</w:t>
      </w:r>
    </w:p>
    <w:p>
      <w:pPr>
        <w:spacing w:after="0" w:line="298"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8"/>
          </w:cols>
          <w:pgMar w:left="652" w:top="935"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64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rPr>
              <w:t>PART I - FINANCIAL INFORMATION</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0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00" w:type="dxa"/>
            <w:vAlign w:val="bottom"/>
          </w:tcPr>
          <w:p>
            <w:pPr>
              <w:spacing w:after="0"/>
              <w:rPr>
                <w:sz w:val="24"/>
                <w:szCs w:val="24"/>
                <w:color w:val="auto"/>
              </w:rPr>
            </w:pPr>
          </w:p>
        </w:tc>
        <w:tc>
          <w:tcPr>
            <w:tcW w:w="364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rPr>
              <w:t>TWILIO INC.</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64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364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w w:val="91"/>
              </w:rPr>
              <w:t>(Unaudited)</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4"/>
              </w:rPr>
              <w:t>As of</w:t>
            </w:r>
          </w:p>
        </w:tc>
        <w:tc>
          <w:tcPr>
            <w:tcW w:w="500" w:type="dxa"/>
            <w:vAlign w:val="bottom"/>
          </w:tcPr>
          <w:p>
            <w:pPr>
              <w:spacing w:after="0"/>
              <w:rPr>
                <w:sz w:val="22"/>
                <w:szCs w:val="22"/>
                <w:color w:val="auto"/>
              </w:rPr>
            </w:pPr>
          </w:p>
        </w:tc>
        <w:tc>
          <w:tcPr>
            <w:tcW w:w="1680" w:type="dxa"/>
            <w:vAlign w:val="bottom"/>
          </w:tcPr>
          <w:p>
            <w:pPr>
              <w:jc w:val="center"/>
              <w:ind w:right="439"/>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4"/>
              </w:rPr>
              <w:t>March 31,</w:t>
            </w:r>
          </w:p>
        </w:tc>
        <w:tc>
          <w:tcPr>
            <w:tcW w:w="500" w:type="dxa"/>
            <w:vAlign w:val="bottom"/>
          </w:tcPr>
          <w:p>
            <w:pPr>
              <w:spacing w:after="0"/>
              <w:rPr>
                <w:sz w:val="18"/>
                <w:szCs w:val="18"/>
                <w:color w:val="auto"/>
              </w:rPr>
            </w:pPr>
          </w:p>
        </w:tc>
        <w:tc>
          <w:tcPr>
            <w:tcW w:w="1680" w:type="dxa"/>
            <w:vAlign w:val="bottom"/>
          </w:tcPr>
          <w:p>
            <w:pPr>
              <w:jc w:val="center"/>
              <w:ind w:right="41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9"/>
        </w:trPr>
        <w:tc>
          <w:tcPr>
            <w:tcW w:w="37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gridSpan w:val="3"/>
          </w:tcPr>
          <w:p>
            <w:pPr>
              <w:jc w:val="right"/>
              <w:ind w:right="19"/>
              <w:spacing w:after="0"/>
              <w:rPr>
                <w:sz w:val="20"/>
                <w:szCs w:val="20"/>
                <w:color w:val="auto"/>
              </w:rPr>
            </w:pPr>
            <w:r>
              <w:rPr>
                <w:rFonts w:ascii="Arial" w:cs="Arial" w:eastAsia="Arial" w:hAnsi="Arial"/>
                <w:sz w:val="16"/>
                <w:szCs w:val="16"/>
                <w:color w:val="auto"/>
              </w:rPr>
              <w:t>(In thousands)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6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2,331,774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933,885</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Short-term marketable securities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3,375,284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2,105,906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251,167</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129,063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81,377</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6,093,975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3,372,335</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195,885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183,239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right-of-use asset</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258,610</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951,884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966,573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4,635,177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4,595,394</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assets</w:t>
            </w:r>
          </w:p>
        </w:tc>
        <w:tc>
          <w:tcPr>
            <w:tcW w:w="30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123,932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111,282</w:t>
            </w: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36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12,242,181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9,487,433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70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66,511</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60,042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252,895</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93,516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87,031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 current</w:t>
            </w:r>
          </w:p>
        </w:tc>
        <w:tc>
          <w:tcPr>
            <w:tcW w:w="30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48,338</w:t>
            </w:r>
          </w:p>
        </w:tc>
        <w:tc>
          <w:tcPr>
            <w:tcW w:w="0" w:type="dxa"/>
            <w:vAlign w:val="bottom"/>
          </w:tcPr>
          <w:p>
            <w:pPr>
              <w:spacing w:after="0"/>
              <w:rPr>
                <w:sz w:val="1"/>
                <w:szCs w:val="1"/>
                <w:color w:val="auto"/>
              </w:rPr>
            </w:pPr>
          </w:p>
        </w:tc>
      </w:tr>
      <w:tr>
        <w:trPr>
          <w:trHeight w:val="207"/>
        </w:trPr>
        <w:tc>
          <w:tcPr>
            <w:tcW w:w="37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499,924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448,306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 noncurrent</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229,905</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Finance lease liability, noncurrent</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19,933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17,856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1,218,048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302,068</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0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36,633</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30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1,994,985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1,034,768</w:t>
            </w: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3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Preferred stock</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Class A and Class B common stock</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11,618,698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9,613,246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3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9,046</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30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(1,376,333)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(1,169,791)</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30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10,247,196</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8,452,665</w:t>
            </w:r>
          </w:p>
        </w:tc>
        <w:tc>
          <w:tcPr>
            <w:tcW w:w="0" w:type="dxa"/>
            <w:vAlign w:val="bottom"/>
          </w:tcPr>
          <w:p>
            <w:pPr>
              <w:spacing w:after="0"/>
              <w:rPr>
                <w:sz w:val="1"/>
                <w:szCs w:val="1"/>
                <w:color w:val="auto"/>
              </w:rPr>
            </w:pPr>
          </w:p>
        </w:tc>
      </w:tr>
      <w:tr>
        <w:trPr>
          <w:trHeight w:val="213"/>
        </w:trPr>
        <w:tc>
          <w:tcPr>
            <w:tcW w:w="370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3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12,242,181</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9,487,433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6740"/>
        <w:spacing w:after="0"/>
        <w:rPr>
          <w:sz w:val="20"/>
          <w:szCs w:val="20"/>
          <w:color w:val="auto"/>
        </w:rPr>
      </w:pPr>
      <w:r>
        <w:rPr>
          <w:rFonts w:ascii="Arial" w:cs="Arial" w:eastAsia="Arial" w:hAnsi="Arial"/>
          <w:sz w:val="16"/>
          <w:szCs w:val="16"/>
          <w:b w:val="1"/>
          <w:bCs w:val="1"/>
          <w:color w:val="auto"/>
        </w:rPr>
        <w:t>Three Months Ended</w:t>
      </w:r>
    </w:p>
    <w:p>
      <w:pPr>
        <w:jc w:val="center"/>
        <w:ind w:left="6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4480" w:type="dxa"/>
            <w:vAlign w:val="bottom"/>
            <w:gridSpan w:val="5"/>
          </w:tcPr>
          <w:p>
            <w:pPr>
              <w:jc w:val="right"/>
              <w:ind w:right="499"/>
              <w:spacing w:after="0"/>
              <w:rPr>
                <w:sz w:val="20"/>
                <w:szCs w:val="20"/>
                <w:color w:val="auto"/>
              </w:rPr>
            </w:pPr>
            <w:r>
              <w:rPr>
                <w:rFonts w:ascii="Arial" w:cs="Arial" w:eastAsia="Arial" w:hAnsi="Arial"/>
                <w:sz w:val="16"/>
                <w:szCs w:val="16"/>
                <w:color w:val="auto"/>
              </w:rPr>
              <w:t>(In thousands, except share and per share amounts)</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364,868</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291,684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171,333</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298,304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193,535</w:t>
            </w:r>
          </w:p>
        </w:tc>
        <w:tc>
          <w:tcPr>
            <w:tcW w:w="0" w:type="dxa"/>
            <w:vAlign w:val="bottom"/>
          </w:tcPr>
          <w:p>
            <w:pPr>
              <w:spacing w:after="0"/>
              <w:rPr>
                <w:sz w:val="1"/>
                <w:szCs w:val="1"/>
                <w:color w:val="auto"/>
              </w:rPr>
            </w:pPr>
          </w:p>
        </w:tc>
      </w:tr>
      <w:tr>
        <w:trPr>
          <w:trHeight w:val="193"/>
        </w:trPr>
        <w:tc>
          <w:tcPr>
            <w:tcW w:w="67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114,339</w:t>
            </w:r>
          </w:p>
        </w:tc>
        <w:tc>
          <w:tcPr>
            <w:tcW w:w="0" w:type="dxa"/>
            <w:vAlign w:val="bottom"/>
          </w:tcPr>
          <w:p>
            <w:pPr>
              <w:spacing w:after="0"/>
              <w:rPr>
                <w:sz w:val="1"/>
                <w:szCs w:val="1"/>
                <w:color w:val="auto"/>
              </w:rPr>
            </w:pP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1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210,590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116,722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55,170</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1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495,643</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286,231</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operations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(197,339)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provision for income taxes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(205,652)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(93,814)</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loss attributable to common stockholders</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(206,542)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(94,791)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tcPr>
          <w:p>
            <w:pPr>
              <w:ind w:left="36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28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60" w:type="dxa"/>
            <w:vAlign w:val="bottom"/>
            <w:shd w:val="clear" w:color="auto" w:fill="CCEEFF"/>
          </w:tcPr>
          <w:p>
            <w:pPr>
              <w:ind w:left="680"/>
              <w:spacing w:after="0" w:line="133" w:lineRule="exact"/>
              <w:rPr>
                <w:sz w:val="20"/>
                <w:szCs w:val="20"/>
                <w:color w:val="auto"/>
              </w:rPr>
            </w:pPr>
            <w:r>
              <w:rPr>
                <w:rFonts w:ascii="Arial" w:cs="Arial" w:eastAsia="Arial" w:hAnsi="Arial"/>
                <w:sz w:val="15"/>
                <w:szCs w:val="15"/>
                <w:color w:val="auto"/>
              </w:rPr>
              <w:t>Weighted-average shares used in computing net loss per share attributable to common</w:t>
            </w:r>
          </w:p>
        </w:tc>
        <w:tc>
          <w:tcPr>
            <w:tcW w:w="1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167,160,458</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139,231,594</w:t>
            </w:r>
          </w:p>
        </w:tc>
        <w:tc>
          <w:tcPr>
            <w:tcW w:w="0" w:type="dxa"/>
            <w:vAlign w:val="bottom"/>
          </w:tcPr>
          <w:p>
            <w:pPr>
              <w:spacing w:after="0"/>
              <w:rPr>
                <w:sz w:val="1"/>
                <w:szCs w:val="1"/>
                <w:color w:val="auto"/>
              </w:rPr>
            </w:pPr>
          </w:p>
        </w:tc>
      </w:tr>
      <w:tr>
        <w:trPr>
          <w:trHeight w:val="205"/>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stockholders, basic and diluted</w:t>
            </w:r>
          </w:p>
        </w:tc>
        <w:tc>
          <w:tcPr>
            <w:tcW w:w="1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6760"/>
        <w:spacing w:after="0"/>
        <w:rPr>
          <w:sz w:val="20"/>
          <w:szCs w:val="20"/>
          <w:color w:val="auto"/>
        </w:rPr>
      </w:pPr>
      <w:r>
        <w:rPr>
          <w:rFonts w:ascii="Arial" w:cs="Arial" w:eastAsia="Arial" w:hAnsi="Arial"/>
          <w:sz w:val="16"/>
          <w:szCs w:val="16"/>
          <w:b w:val="1"/>
          <w:bCs w:val="1"/>
          <w:color w:val="auto"/>
        </w:rPr>
        <w:t>Three Months Ended</w:t>
      </w:r>
    </w:p>
    <w:p>
      <w:pPr>
        <w:jc w:val="center"/>
        <w:ind w:left="67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09"/>
        </w:trPr>
        <w:tc>
          <w:tcPr>
            <w:tcW w:w="6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gridSpan w:val="3"/>
          </w:tcPr>
          <w:p>
            <w:pPr>
              <w:jc w:val="right"/>
              <w:ind w:right="159"/>
              <w:spacing w:after="0"/>
              <w:rPr>
                <w:sz w:val="20"/>
                <w:szCs w:val="20"/>
                <w:color w:val="auto"/>
              </w:rPr>
            </w:pPr>
            <w:r>
              <w:rPr>
                <w:rFonts w:ascii="Arial" w:cs="Arial" w:eastAsia="Arial" w:hAnsi="Arial"/>
                <w:sz w:val="16"/>
                <w:szCs w:val="16"/>
                <w:color w:val="auto"/>
              </w:rPr>
              <w:t>(In thousands)</w:t>
            </w:r>
          </w:p>
        </w:tc>
        <w:tc>
          <w:tcPr>
            <w:tcW w:w="1520" w:type="dxa"/>
            <w:vAlign w:val="bottom"/>
          </w:tcPr>
          <w:p>
            <w:pPr>
              <w:spacing w:after="0"/>
              <w:rPr>
                <w:sz w:val="18"/>
                <w:szCs w:val="18"/>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(206,542)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(94,791)</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6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 on marketable securities</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r>
      <w:tr>
        <w:trPr>
          <w:trHeight w:val="213"/>
        </w:trPr>
        <w:tc>
          <w:tcPr>
            <w:tcW w:w="6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 currency translation</w:t>
            </w:r>
          </w:p>
        </w:tc>
        <w:tc>
          <w:tcPr>
            <w:tcW w:w="1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other comprehensive loss</w:t>
            </w:r>
          </w:p>
        </w:tc>
        <w:tc>
          <w:tcPr>
            <w:tcW w:w="1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(9,375)</w:t>
            </w:r>
          </w:p>
        </w:tc>
      </w:tr>
      <w:tr>
        <w:trPr>
          <w:trHeight w:val="213"/>
        </w:trPr>
        <w:tc>
          <w:tcPr>
            <w:tcW w:w="6780" w:type="dxa"/>
            <w:vAlign w:val="bottom"/>
          </w:tcPr>
          <w:p>
            <w:pPr>
              <w:ind w:left="800"/>
              <w:spacing w:after="0"/>
              <w:rPr>
                <w:sz w:val="20"/>
                <w:szCs w:val="20"/>
                <w:color w:val="auto"/>
              </w:rPr>
            </w:pPr>
            <w:r>
              <w:rPr>
                <w:rFonts w:ascii="Arial" w:cs="Arial" w:eastAsia="Arial" w:hAnsi="Arial"/>
                <w:sz w:val="16"/>
                <w:szCs w:val="16"/>
                <w:color w:val="auto"/>
              </w:rPr>
              <w:t>Comprehensive loss attributable to common stockholders</w:t>
            </w:r>
          </w:p>
        </w:tc>
        <w:tc>
          <w:tcPr>
            <w:tcW w:w="13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(210,928)</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(104,166)</w:t>
            </w:r>
          </w:p>
        </w:tc>
      </w:tr>
      <w:tr>
        <w:trPr>
          <w:trHeight w:val="20"/>
        </w:trPr>
        <w:tc>
          <w:tcPr>
            <w:tcW w:w="6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TWILIO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center"/>
              <w:ind w:left="448"/>
              <w:spacing w:after="0"/>
              <w:rPr>
                <w:sz w:val="20"/>
                <w:szCs w:val="20"/>
                <w:color w:val="auto"/>
              </w:rPr>
            </w:pPr>
            <w:r>
              <w:rPr>
                <w:rFonts w:ascii="Arial" w:cs="Arial" w:eastAsia="Arial" w:hAnsi="Arial"/>
                <w:sz w:val="14"/>
                <w:szCs w:val="14"/>
                <w:b w:val="1"/>
                <w:bCs w:val="1"/>
                <w:color w:val="auto"/>
                <w:w w:val="89"/>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900" w:type="dxa"/>
            <w:vAlign w:val="bottom"/>
          </w:tcPr>
          <w:p>
            <w:pPr>
              <w:spacing w:after="0"/>
              <w:rPr>
                <w:sz w:val="9"/>
                <w:szCs w:val="9"/>
                <w:color w:val="auto"/>
              </w:rPr>
            </w:pPr>
          </w:p>
        </w:tc>
        <w:tc>
          <w:tcPr>
            <w:tcW w:w="132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4"/>
        </w:trPr>
        <w:tc>
          <w:tcPr>
            <w:tcW w:w="39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color w:val="auto"/>
              </w:rPr>
              <w:t>(In thousands, except share amounts)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153,496,222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151</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10,551,302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9,613,246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9,046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(1,169,791)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8,452,665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0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(206,542)</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(206,542)</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248,008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11,564</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913,966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35"/>
        </w:trPr>
        <w:tc>
          <w:tcPr>
            <w:tcW w:w="3900" w:type="dxa"/>
            <w:vAlign w:val="bottom"/>
          </w:tcPr>
          <w:p>
            <w:pPr>
              <w:ind w:left="20"/>
              <w:spacing w:after="0" w:line="135" w:lineRule="exact"/>
              <w:rPr>
                <w:sz w:val="20"/>
                <w:szCs w:val="20"/>
                <w:color w:val="auto"/>
              </w:rPr>
            </w:pPr>
            <w:r>
              <w:rPr>
                <w:rFonts w:ascii="Arial" w:cs="Arial" w:eastAsia="Arial" w:hAnsi="Arial"/>
                <w:sz w:val="14"/>
                <w:szCs w:val="14"/>
                <w:color w:val="auto"/>
              </w:rPr>
              <w:t>Conversion of shares of Class B common stock into shares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419,371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(419,371)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Equity component from partial settlement of 2023 convertible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1,158,381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80,049</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Donated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22,102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9,405</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common stock in connection with a follow-on public</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4,312,500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1,766,396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1,766,400</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net of underwriter discounts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Costs related to the follow-on public offering</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141,542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141,542</w:t>
            </w: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160,588,258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10,343,302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11,618,698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(1,376,333)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10,247,196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900" w:type="dxa"/>
            <w:vAlign w:val="bottom"/>
          </w:tcPr>
          <w:p>
            <w:pPr>
              <w:spacing w:after="0"/>
              <w:rPr>
                <w:sz w:val="24"/>
                <w:szCs w:val="24"/>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center"/>
              <w:ind w:left="448"/>
              <w:spacing w:after="0"/>
              <w:rPr>
                <w:sz w:val="20"/>
                <w:szCs w:val="20"/>
                <w:color w:val="auto"/>
              </w:rPr>
            </w:pPr>
            <w:r>
              <w:rPr>
                <w:rFonts w:ascii="Arial" w:cs="Arial" w:eastAsia="Arial" w:hAnsi="Arial"/>
                <w:sz w:val="14"/>
                <w:szCs w:val="14"/>
                <w:b w:val="1"/>
                <w:bCs w:val="1"/>
                <w:color w:val="auto"/>
                <w:w w:val="89"/>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900" w:type="dxa"/>
            <w:vAlign w:val="bottom"/>
          </w:tcPr>
          <w:p>
            <w:pPr>
              <w:spacing w:after="0"/>
              <w:rPr>
                <w:sz w:val="9"/>
                <w:szCs w:val="9"/>
                <w:color w:val="auto"/>
              </w:rPr>
            </w:pPr>
          </w:p>
        </w:tc>
        <w:tc>
          <w:tcPr>
            <w:tcW w:w="132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4"/>
        </w:trPr>
        <w:tc>
          <w:tcPr>
            <w:tcW w:w="39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color w:val="auto"/>
              </w:rPr>
              <w:t>(In thousands, except share amounts)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126,882,172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124</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11,530,627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4,952,999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(678,812)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4,279,411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0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(94,791)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(94,791)</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243,029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849,763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35"/>
        </w:trPr>
        <w:tc>
          <w:tcPr>
            <w:tcW w:w="3900" w:type="dxa"/>
            <w:vAlign w:val="bottom"/>
          </w:tcPr>
          <w:p>
            <w:pPr>
              <w:ind w:left="20"/>
              <w:spacing w:after="0" w:line="135" w:lineRule="exact"/>
              <w:rPr>
                <w:sz w:val="20"/>
                <w:szCs w:val="20"/>
                <w:color w:val="auto"/>
              </w:rPr>
            </w:pPr>
            <w:r>
              <w:rPr>
                <w:rFonts w:ascii="Arial" w:cs="Arial" w:eastAsia="Arial" w:hAnsi="Arial"/>
                <w:sz w:val="14"/>
                <w:szCs w:val="14"/>
                <w:color w:val="auto"/>
              </w:rPr>
              <w:t>Conversion of shares of Class B common stock into shares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618,103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(618,103)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Class A</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Donated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(9,375)</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72,021</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128,606,443</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126</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11,356,940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5,034,278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(4,289)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(773,603)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4,256,525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TWILIO INC</w:t>
      </w:r>
      <w:r>
        <w:rPr>
          <w:rFonts w:ascii="Arial" w:cs="Arial" w:eastAsia="Arial" w:hAnsi="Arial"/>
          <w:sz w:val="14"/>
          <w:szCs w:val="14"/>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4" w:lineRule="exact"/>
        <w:rPr>
          <w:sz w:val="20"/>
          <w:szCs w:val="20"/>
          <w:color w:val="auto"/>
        </w:rPr>
      </w:pPr>
    </w:p>
    <w:p>
      <w:pPr>
        <w:jc w:val="center"/>
        <w:ind w:left="6760"/>
        <w:spacing w:after="0"/>
        <w:rPr>
          <w:sz w:val="20"/>
          <w:szCs w:val="20"/>
          <w:color w:val="auto"/>
        </w:rPr>
      </w:pPr>
      <w:r>
        <w:rPr>
          <w:rFonts w:ascii="Arial" w:cs="Arial" w:eastAsia="Arial" w:hAnsi="Arial"/>
          <w:sz w:val="13"/>
          <w:szCs w:val="13"/>
          <w:b w:val="1"/>
          <w:bCs w:val="1"/>
          <w:color w:val="auto"/>
        </w:rPr>
        <w:t>Three Months Ended</w:t>
      </w:r>
    </w:p>
    <w:p>
      <w:pPr>
        <w:jc w:val="center"/>
        <w:ind w:left="6760"/>
        <w:spacing w:after="0"/>
        <w:rPr>
          <w:sz w:val="20"/>
          <w:szCs w:val="20"/>
          <w:color w:val="auto"/>
        </w:rPr>
      </w:pPr>
      <w:r>
        <w:rPr>
          <w:rFonts w:ascii="Arial" w:cs="Arial" w:eastAsia="Arial" w:hAnsi="Arial"/>
          <w:sz w:val="13"/>
          <w:szCs w:val="13"/>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136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(In thousands)</w:t>
            </w: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60" w:type="dxa"/>
            <w:vAlign w:val="bottom"/>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(206,542)</w:t>
            </w:r>
          </w:p>
        </w:tc>
        <w:tc>
          <w:tcPr>
            <w:tcW w:w="120" w:type="dxa"/>
            <w:vAlign w:val="bottom"/>
          </w:tcPr>
          <w:p>
            <w:pPr>
              <w:spacing w:after="0"/>
              <w:rPr>
                <w:sz w:val="15"/>
                <w:szCs w:val="15"/>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(94,791)</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59,592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32,239</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Non-cash reduction to the right-of-use asset</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8,023</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Net amortization of investment premium and discount</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4,240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debt discount and issuance costs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6,178</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Stock-based compensation</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137,155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69,025</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deferred commissions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Allowance for credit losses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4,170</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Value of donated common stock</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2,701</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Loss on extinguishment of debt</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7,602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adjustments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(23,123)</w:t>
            </w:r>
          </w:p>
        </w:tc>
        <w:tc>
          <w:tcPr>
            <w:tcW w:w="0" w:type="dxa"/>
            <w:vAlign w:val="bottom"/>
          </w:tcPr>
          <w:p>
            <w:pPr>
              <w:spacing w:after="0"/>
              <w:rPr>
                <w:sz w:val="1"/>
                <w:szCs w:val="1"/>
                <w:color w:val="auto"/>
              </w:rPr>
            </w:pPr>
          </w:p>
        </w:tc>
      </w:tr>
      <w:tr>
        <w:trPr>
          <w:trHeight w:val="182"/>
        </w:trPr>
        <w:tc>
          <w:tcPr>
            <w:tcW w:w="6780" w:type="dxa"/>
            <w:vAlign w:val="bottom"/>
          </w:tcPr>
          <w:p>
            <w:pPr>
              <w:ind w:left="360"/>
              <w:spacing w:after="0"/>
              <w:rPr>
                <w:sz w:val="20"/>
                <w:szCs w:val="20"/>
                <w:color w:val="auto"/>
              </w:rPr>
            </w:pPr>
            <w:r>
              <w:rPr>
                <w:rFonts w:ascii="Arial" w:cs="Arial" w:eastAsia="Arial" w:hAnsi="Arial"/>
                <w:sz w:val="13"/>
                <w:szCs w:val="13"/>
                <w:color w:val="auto"/>
              </w:rPr>
              <w:t>Prepaid expenses and other current assets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(29,912)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(8,130)</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long-term assets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(15,232)</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82"/>
        </w:trPr>
        <w:tc>
          <w:tcPr>
            <w:tcW w:w="6780" w:type="dxa"/>
            <w:vAlign w:val="bottom"/>
          </w:tcPr>
          <w:p>
            <w:pPr>
              <w:ind w:left="360"/>
              <w:spacing w:after="0"/>
              <w:rPr>
                <w:sz w:val="20"/>
                <w:szCs w:val="20"/>
                <w:color w:val="auto"/>
              </w:rPr>
            </w:pPr>
            <w:r>
              <w:rPr>
                <w:rFonts w:ascii="Arial" w:cs="Arial" w:eastAsia="Arial" w:hAnsi="Arial"/>
                <w:sz w:val="13"/>
                <w:szCs w:val="13"/>
                <w:color w:val="auto"/>
              </w:rPr>
              <w:t>Accounts payable</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(10,275)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(20,803)</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expenses and other current liabilities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28,307</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44,840</w:t>
            </w:r>
          </w:p>
        </w:tc>
        <w:tc>
          <w:tcPr>
            <w:tcW w:w="0" w:type="dxa"/>
            <w:vAlign w:val="bottom"/>
          </w:tcPr>
          <w:p>
            <w:pPr>
              <w:spacing w:after="0"/>
              <w:rPr>
                <w:sz w:val="1"/>
                <w:szCs w:val="1"/>
                <w:color w:val="auto"/>
              </w:rPr>
            </w:pPr>
          </w:p>
        </w:tc>
      </w:tr>
      <w:tr>
        <w:trPr>
          <w:trHeight w:val="182"/>
        </w:trPr>
        <w:tc>
          <w:tcPr>
            <w:tcW w:w="6780" w:type="dxa"/>
            <w:vAlign w:val="bottom"/>
          </w:tcPr>
          <w:p>
            <w:pPr>
              <w:ind w:left="360"/>
              <w:spacing w:after="0"/>
              <w:rPr>
                <w:sz w:val="20"/>
                <w:szCs w:val="20"/>
                <w:color w:val="auto"/>
              </w:rPr>
            </w:pPr>
            <w:r>
              <w:rPr>
                <w:rFonts w:ascii="Arial" w:cs="Arial" w:eastAsia="Arial" w:hAnsi="Arial"/>
                <w:sz w:val="13"/>
                <w:szCs w:val="13"/>
                <w:color w:val="auto"/>
              </w:rPr>
              <w:t>Deferred revenue and customer deposits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3,435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liabilities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(7,008)</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long-term liabilities</w:t>
            </w: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(2,570)</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3,194</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Net cash provided by operating activities</w:t>
            </w:r>
          </w:p>
        </w:tc>
        <w:tc>
          <w:tcPr>
            <w:tcW w:w="13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15,535</w:t>
            </w:r>
          </w:p>
        </w:tc>
        <w:tc>
          <w:tcPr>
            <w:tcW w:w="0" w:type="dxa"/>
            <w:vAlign w:val="bottom"/>
          </w:tcPr>
          <w:p>
            <w:pPr>
              <w:spacing w:after="0"/>
              <w:rPr>
                <w:sz w:val="1"/>
                <w:szCs w:val="1"/>
                <w:color w:val="auto"/>
              </w:rPr>
            </w:pPr>
          </w:p>
        </w:tc>
      </w:tr>
      <w:tr>
        <w:trPr>
          <w:trHeight w:val="162"/>
        </w:trPr>
        <w:tc>
          <w:tcPr>
            <w:tcW w:w="678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Acquisitions, net of cash acquired and other related payments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(66,926)</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Purchases of marketable securities and other investments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(1,640,499)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(228,025)</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sales and maturities of marketable securities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356,824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316,992</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(10,434)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(8,626)</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Purchases of long-lived and intangible assets</w:t>
            </w:r>
          </w:p>
        </w:tc>
        <w:tc>
          <w:tcPr>
            <w:tcW w:w="1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(4,986)</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(6,319)</w:t>
            </w:r>
          </w:p>
        </w:tc>
        <w:tc>
          <w:tcPr>
            <w:tcW w:w="0" w:type="dxa"/>
            <w:vAlign w:val="bottom"/>
          </w:tcPr>
          <w:p>
            <w:pPr>
              <w:spacing w:after="0"/>
              <w:rPr>
                <w:sz w:val="1"/>
                <w:szCs w:val="1"/>
                <w:color w:val="auto"/>
              </w:rPr>
            </w:pPr>
          </w:p>
        </w:tc>
      </w:tr>
      <w:tr>
        <w:trPr>
          <w:trHeight w:val="176"/>
        </w:trPr>
        <w:tc>
          <w:tcPr>
            <w:tcW w:w="67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cash (used in) provided by investing activities</w:t>
            </w: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(1,366,021)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71,645</w:t>
            </w:r>
          </w:p>
        </w:tc>
        <w:tc>
          <w:tcPr>
            <w:tcW w:w="0" w:type="dxa"/>
            <w:vAlign w:val="bottom"/>
          </w:tcPr>
          <w:p>
            <w:pPr>
              <w:spacing w:after="0"/>
              <w:rPr>
                <w:sz w:val="1"/>
                <w:szCs w:val="1"/>
                <w:color w:val="auto"/>
              </w:rPr>
            </w:pPr>
          </w:p>
        </w:tc>
      </w:tr>
      <w:tr>
        <w:trPr>
          <w:trHeight w:val="175"/>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1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Proceeds from a public equity offering</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1,766,400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of costs related to public offerings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Proceeds from issuance of senior notes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987,500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of debt issuance costs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6780" w:type="dxa"/>
            <w:vAlign w:val="bottom"/>
          </w:tcPr>
          <w:p>
            <w:pPr>
              <w:ind w:left="220"/>
              <w:spacing w:after="0"/>
              <w:rPr>
                <w:sz w:val="20"/>
                <w:szCs w:val="20"/>
                <w:color w:val="auto"/>
              </w:rPr>
            </w:pPr>
            <w:r>
              <w:rPr>
                <w:rFonts w:ascii="Arial" w:cs="Arial" w:eastAsia="Arial" w:hAnsi="Arial"/>
                <w:sz w:val="13"/>
                <w:szCs w:val="13"/>
                <w:color w:val="auto"/>
              </w:rPr>
              <w:t>Principal payments on debt and finance leases</w:t>
            </w:r>
          </w:p>
        </w:tc>
        <w:tc>
          <w:tcPr>
            <w:tcW w:w="1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(2,751)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(1,954)</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exercises of stock options</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8,231</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Value of equity awards withheld for tax liabilities</w:t>
            </w: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(2,774)</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(1,674)</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financing activities</w:t>
            </w:r>
          </w:p>
        </w:tc>
        <w:tc>
          <w:tcPr>
            <w:tcW w:w="13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2,759,449</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4,603</w:t>
            </w:r>
          </w:p>
        </w:tc>
        <w:tc>
          <w:tcPr>
            <w:tcW w:w="0" w:type="dxa"/>
            <w:vAlign w:val="bottom"/>
          </w:tcPr>
          <w:p>
            <w:pPr>
              <w:spacing w:after="0"/>
              <w:rPr>
                <w:sz w:val="1"/>
                <w:szCs w:val="1"/>
                <w:color w:val="auto"/>
              </w:rPr>
            </w:pPr>
          </w:p>
        </w:tc>
      </w:tr>
      <w:tr>
        <w:trPr>
          <w:trHeight w:val="17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13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1,397,889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91,783</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933,885</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253,735</w:t>
            </w:r>
          </w:p>
        </w:tc>
        <w:tc>
          <w:tcPr>
            <w:tcW w:w="0" w:type="dxa"/>
            <w:vAlign w:val="bottom"/>
          </w:tcPr>
          <w:p>
            <w:pPr>
              <w:spacing w:after="0"/>
              <w:rPr>
                <w:sz w:val="1"/>
                <w:szCs w:val="1"/>
                <w:color w:val="auto"/>
              </w:rPr>
            </w:pPr>
          </w:p>
        </w:tc>
      </w:tr>
      <w:tr>
        <w:trPr>
          <w:trHeight w:val="21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136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2,331,774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345,518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tcPr>
          <w:p>
            <w:pPr>
              <w:ind w:left="20"/>
              <w:spacing w:after="0"/>
              <w:rPr>
                <w:sz w:val="20"/>
                <w:szCs w:val="20"/>
                <w:color w:val="auto"/>
              </w:rPr>
            </w:pPr>
            <w:r>
              <w:rPr>
                <w:rFonts w:ascii="Arial" w:cs="Arial" w:eastAsia="Arial" w:hAnsi="Arial"/>
                <w:sz w:val="13"/>
                <w:szCs w:val="13"/>
                <w:color w:val="auto"/>
              </w:rPr>
              <w:t>Cash paid for income taxes, net</w:t>
            </w:r>
          </w:p>
        </w:tc>
        <w:tc>
          <w:tcPr>
            <w:tcW w:w="1360" w:type="dxa"/>
            <w:vAlign w:val="bottom"/>
            <w:tcBorders>
              <w:bottom w:val="single" w:sz="8" w:color="auto"/>
            </w:tcBorders>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136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property, equipment and intangible assets, accrued but not paid</w:t>
            </w:r>
          </w:p>
        </w:tc>
        <w:tc>
          <w:tcPr>
            <w:tcW w:w="136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3,494</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3"/>
                <w:szCs w:val="13"/>
                <w:color w:val="auto"/>
              </w:rPr>
              <w:t>Purchases of property and equipment through finance leases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80" w:type="dxa"/>
            <w:vAlign w:val="bottom"/>
            <w:vMerge w:val="continue"/>
          </w:tcPr>
          <w:p>
            <w:pPr>
              <w:spacing w:after="0"/>
              <w:rPr>
                <w:sz w:val="11"/>
                <w:szCs w:val="11"/>
                <w:color w:val="auto"/>
              </w:rPr>
            </w:pPr>
          </w:p>
        </w:tc>
        <w:tc>
          <w:tcPr>
            <w:tcW w:w="1360" w:type="dxa"/>
            <w:vAlign w:val="bottom"/>
            <w:tcBorders>
              <w:bottom w:val="single" w:sz="8" w:color="auto"/>
            </w:tcBorders>
          </w:tcPr>
          <w:p>
            <w:pPr>
              <w:jc w:val="right"/>
              <w:ind w:right="1213"/>
              <w:spacing w:after="0" w:line="136"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5,266</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493"/>
              <w:spacing w:after="0" w:line="136" w:lineRule="exact"/>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Value of common stock issued to settle convertible senior notes</w:t>
            </w:r>
          </w:p>
        </w:tc>
        <w:tc>
          <w:tcPr>
            <w:tcW w:w="136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422,716</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tcPr>
          <w:p>
            <w:pPr>
              <w:ind w:left="220"/>
              <w:spacing w:after="0"/>
              <w:rPr>
                <w:sz w:val="20"/>
                <w:szCs w:val="20"/>
                <w:color w:val="auto"/>
              </w:rPr>
            </w:pPr>
            <w:r>
              <w:rPr>
                <w:rFonts w:ascii="Arial" w:cs="Arial" w:eastAsia="Arial" w:hAnsi="Arial"/>
                <w:sz w:val="13"/>
                <w:szCs w:val="13"/>
                <w:color w:val="auto"/>
              </w:rPr>
              <w:t>Stock-based compensation capitalized in software development costs</w:t>
            </w:r>
          </w:p>
        </w:tc>
        <w:tc>
          <w:tcPr>
            <w:tcW w:w="1360" w:type="dxa"/>
            <w:vAlign w:val="bottom"/>
            <w:tcBorders>
              <w:bottom w:val="single" w:sz="8" w:color="auto"/>
            </w:tcBorders>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4,650</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3,418</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Costs related to public debt and equity offerings, accrued but not paid</w:t>
            </w:r>
          </w:p>
        </w:tc>
        <w:tc>
          <w:tcPr>
            <w:tcW w:w="136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2,681</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tcPr>
          <w:p>
            <w:pPr>
              <w:ind w:left="220"/>
              <w:spacing w:after="0"/>
              <w:rPr>
                <w:sz w:val="20"/>
                <w:szCs w:val="20"/>
                <w:color w:val="auto"/>
              </w:rPr>
            </w:pPr>
            <w:r>
              <w:rPr>
                <w:rFonts w:ascii="Arial" w:cs="Arial" w:eastAsia="Arial" w:hAnsi="Arial"/>
                <w:sz w:val="13"/>
                <w:szCs w:val="13"/>
                <w:color w:val="auto"/>
              </w:rPr>
              <w:t>Costs related to proposed investment in Syniverse, accrued but not paid</w:t>
            </w:r>
          </w:p>
        </w:tc>
        <w:tc>
          <w:tcPr>
            <w:tcW w:w="1360" w:type="dxa"/>
            <w:vAlign w:val="bottom"/>
            <w:tcBorders>
              <w:bottom w:val="single" w:sz="8" w:color="auto"/>
            </w:tcBorders>
          </w:tcPr>
          <w:p>
            <w:pPr>
              <w:jc w:val="right"/>
              <w:ind w:right="12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3,262</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Twilio Inc. (the “Company”) was incorporated in the state of Delaware on March 13, 2008. The Company is the leading cloud communications platform and enables developers to build, scale and operate real-time customer engagement within their software applications via simple-to-use Application Programming Interfaces (“API”). The power, flexibility, and reliability offered by the Company’s software building blocks empower entities of virtually every shape and size to build world-class engagement into their customer experience.</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Company’s headquarters are located in San Francisco, California, and the Company has subsidiaries in Australia, Bermuda, Brazil, Canada, Colombia, Czech Republic, Estonia, France, Germany, Hong Kong, India, Ireland, Japan, Mexico, the Netherlands, Serbia, Singapore, Spain, Sweden, the United Kingdom and the United States.</w:t>
      </w:r>
    </w:p>
    <w:p>
      <w:pPr>
        <w:spacing w:after="0" w:line="18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300" w:hanging="806"/>
        <w:spacing w:after="0"/>
        <w:tabs>
          <w:tab w:leader="none" w:pos="130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26, 2021 (“Annual Report”).</w:t>
      </w:r>
    </w:p>
    <w:p>
      <w:pPr>
        <w:spacing w:after="0" w:line="19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condensed consolidated balance sheet as of December 31, 2020, included herein, was derived from the audited financial statements as of that date, but may not include all disclosures including certain notes required by U.S. GAAP on an annual reporting basis.</w:t>
      </w:r>
    </w:p>
    <w:p>
      <w:pPr>
        <w:spacing w:after="0" w:line="14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2021 or any future period.</w:t>
      </w:r>
    </w:p>
    <w:p>
      <w:pPr>
        <w:spacing w:after="0" w:line="165" w:lineRule="exact"/>
        <w:rPr>
          <w:sz w:val="20"/>
          <w:szCs w:val="20"/>
          <w:color w:val="auto"/>
        </w:rPr>
      </w:pPr>
    </w:p>
    <w:p>
      <w:pPr>
        <w:ind w:left="1300" w:hanging="806"/>
        <w:spacing w:after="0"/>
        <w:tabs>
          <w:tab w:leader="none" w:pos="1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 owned subsidiaries. All significant intercompany balances and transactions have been eliminated.</w:t>
      </w:r>
    </w:p>
    <w:p>
      <w:pPr>
        <w:spacing w:after="0" w:line="170" w:lineRule="exact"/>
        <w:rPr>
          <w:sz w:val="20"/>
          <w:szCs w:val="20"/>
          <w:color w:val="auto"/>
        </w:rPr>
      </w:pPr>
    </w:p>
    <w:p>
      <w:pPr>
        <w:ind w:left="1300" w:hanging="806"/>
        <w:spacing w:after="0"/>
        <w:tabs>
          <w:tab w:leader="none" w:pos="13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Financial instruments that potentially expose the Company to a concentration of credit risk consist primarily of cash, cash equivalents, marketable securities and accounts receivable. The Company maintains cash, cash equivalents and marketable securities with financial institutions that management believes are financially sound and have minimal credit risk exposure although the balances will exceed insured limits.</w:t>
      </w:r>
    </w:p>
    <w:p>
      <w:pPr>
        <w:spacing w:after="0" w:line="16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The Company sells its services to a wide variety of customers. If the financial condition or results of operations of any significant customers deteriorate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three months ended March 31, 2021 and 2020, no customer organization accounted for more than 10% of the Company’s total revenue.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2021 and December 31, 2020, no customer organization represented more than 10% of the Company’s gross accounts receivable.</w:t>
      </w:r>
    </w:p>
    <w:p>
      <w:pPr>
        <w:spacing w:after="0" w:line="248" w:lineRule="exact"/>
        <w:rPr>
          <w:sz w:val="20"/>
          <w:szCs w:val="20"/>
          <w:color w:val="auto"/>
        </w:rPr>
      </w:pPr>
    </w:p>
    <w:p>
      <w:pPr>
        <w:ind w:left="1300" w:hanging="806"/>
        <w:spacing w:after="0"/>
        <w:tabs>
          <w:tab w:leader="none" w:pos="13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changes to the Company's significant accounting policies as described in its Annual Report.</w:t>
      </w:r>
    </w:p>
    <w:p>
      <w:pPr>
        <w:spacing w:after="0" w:line="225" w:lineRule="exact"/>
        <w:rPr>
          <w:sz w:val="20"/>
          <w:szCs w:val="20"/>
          <w:color w:val="auto"/>
        </w:rPr>
      </w:pPr>
    </w:p>
    <w:p>
      <w:pPr>
        <w:ind w:left="1300" w:hanging="806"/>
        <w:spacing w:after="0"/>
        <w:tabs>
          <w:tab w:leader="none" w:pos="130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Guidance, Not yet Adopted</w:t>
      </w:r>
    </w:p>
    <w:p>
      <w:pPr>
        <w:spacing w:after="0" w:line="22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w:t>
      </w:r>
      <w:r>
        <w:rPr>
          <w:rFonts w:ascii="Arial" w:cs="Arial" w:eastAsia="Arial" w:hAnsi="Arial"/>
          <w:sz w:val="17"/>
          <w:szCs w:val="17"/>
          <w:color w:val="auto"/>
        </w:rPr>
        <w:t>which removes certain separation models for convertible debt instruments and convertible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that require the separation of a convertible debt instrument into a debt component and an equity or derivative component. The ASU also expands disclosure requirements for convertible instruments and simplifies areas of the guidance for diluted earnings-per-share calculations that are impacted by the amendments. The standard is effective for interim and annual periods beginning after December 15, 2021, with early adoption permitted. The Company is evaluating the impact of the adoption of this guidance on its consolidated financial statements.</w:t>
      </w:r>
    </w:p>
    <w:p>
      <w:pPr>
        <w:spacing w:after="0" w:line="174" w:lineRule="exact"/>
        <w:rPr>
          <w:sz w:val="20"/>
          <w:szCs w:val="20"/>
          <w:color w:val="auto"/>
        </w:rPr>
      </w:pPr>
    </w:p>
    <w:p>
      <w:pPr>
        <w:ind w:left="500" w:right="9080" w:hanging="492"/>
        <w:spacing w:after="0" w:line="566" w:lineRule="auto"/>
        <w:tabs>
          <w:tab w:leader="none" w:pos="194"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Financial Assets</w:t>
      </w: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the financial assets measured at fair value on a recurring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14"/>
                <w:szCs w:val="14"/>
                <w:color w:val="auto"/>
              </w:rPr>
            </w:pPr>
          </w:p>
        </w:tc>
        <w:tc>
          <w:tcPr>
            <w:tcW w:w="2180" w:type="dxa"/>
            <w:vAlign w:val="bottom"/>
            <w:gridSpan w:val="6"/>
          </w:tcPr>
          <w:p>
            <w:pPr>
              <w:jc w:val="right"/>
              <w:ind w:right="28"/>
              <w:spacing w:after="0"/>
              <w:rPr>
                <w:sz w:val="20"/>
                <w:szCs w:val="20"/>
                <w:color w:val="auto"/>
              </w:rPr>
            </w:pPr>
            <w:r>
              <w:rPr>
                <w:rFonts w:ascii="Arial" w:cs="Arial" w:eastAsia="Arial" w:hAnsi="Arial"/>
                <w:sz w:val="13"/>
                <w:szCs w:val="13"/>
                <w:b w:val="1"/>
                <w:bCs w:val="1"/>
                <w:color w:val="auto"/>
              </w:rPr>
              <w:t>Fair Value Hierarchy 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Cost or</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March 31, 2021</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Carrying</w:t>
            </w:r>
          </w:p>
        </w:tc>
        <w:tc>
          <w:tcPr>
            <w:tcW w:w="140" w:type="dxa"/>
            <w:vAlign w:val="bottom"/>
          </w:tcPr>
          <w:p>
            <w:pPr>
              <w:spacing w:after="0"/>
              <w:rPr>
                <w:sz w:val="4"/>
                <w:szCs w:val="4"/>
                <w:color w:val="auto"/>
              </w:rPr>
            </w:pPr>
          </w:p>
        </w:tc>
        <w:tc>
          <w:tcPr>
            <w:tcW w:w="9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Unrealized</w:t>
            </w:r>
          </w:p>
        </w:tc>
        <w:tc>
          <w:tcPr>
            <w:tcW w:w="140" w:type="dxa"/>
            <w:vAlign w:val="bottom"/>
          </w:tcPr>
          <w:p>
            <w:pPr>
              <w:spacing w:after="0"/>
              <w:rPr>
                <w:sz w:val="4"/>
                <w:szCs w:val="4"/>
                <w:color w:val="auto"/>
              </w:rPr>
            </w:pPr>
          </w:p>
        </w:tc>
        <w:tc>
          <w:tcPr>
            <w:tcW w:w="9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Unrealized</w:t>
            </w: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jc w:val="right"/>
              <w:ind w:right="154"/>
              <w:spacing w:after="0" w:line="54" w:lineRule="exact"/>
              <w:rPr>
                <w:sz w:val="20"/>
                <w:szCs w:val="20"/>
                <w:color w:val="auto"/>
              </w:rPr>
            </w:pPr>
            <w:r>
              <w:rPr>
                <w:rFonts w:ascii="Arial" w:cs="Arial" w:eastAsia="Arial" w:hAnsi="Arial"/>
                <w:sz w:val="6"/>
                <w:szCs w:val="6"/>
                <w:b w:val="1"/>
                <w:bCs w:val="1"/>
                <w:color w:val="auto"/>
              </w:rPr>
              <w:t>Aggregate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Gains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5"/>
              </w:rPr>
              <w:t>Losses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0"/>
              </w:rPr>
              <w:t>Level 1</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Level 2</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(In thousands)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1,867,034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1,867,034</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1,867,034</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322,701</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included in cash and cash equivalents</w:t>
            </w: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2,189,735</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1,867,034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322,701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2,189,735</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20"/>
              <w:spacing w:after="0"/>
              <w:rPr>
                <w:sz w:val="20"/>
                <w:szCs w:val="20"/>
                <w:color w:val="auto"/>
              </w:rPr>
            </w:pPr>
            <w:r>
              <w:rPr>
                <w:rFonts w:ascii="Arial" w:cs="Arial" w:eastAsia="Arial" w:hAnsi="Arial"/>
                <w:sz w:val="14"/>
                <w:szCs w:val="14"/>
                <w:color w:val="auto"/>
              </w:rPr>
              <w:t>U.S. Treasury securities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236,651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236,843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236,843</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Corporate debt securities and commercial paper</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3,134,407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3,093,441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3,138,441</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marketable securities</w:t>
            </w: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3,371,058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281,843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3,093,441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3,375,284</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financial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5,560,793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2,148,877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3,416,142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5,565,019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Amortized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14"/>
                <w:szCs w:val="14"/>
                <w:color w:val="auto"/>
              </w:rPr>
            </w:pPr>
          </w:p>
        </w:tc>
        <w:tc>
          <w:tcPr>
            <w:tcW w:w="2160" w:type="dxa"/>
            <w:vAlign w:val="bottom"/>
            <w:gridSpan w:val="6"/>
          </w:tcPr>
          <w:p>
            <w:pPr>
              <w:jc w:val="center"/>
              <w:ind w:left="490"/>
              <w:spacing w:after="0"/>
              <w:rPr>
                <w:sz w:val="20"/>
                <w:szCs w:val="20"/>
                <w:color w:val="auto"/>
              </w:rPr>
            </w:pPr>
            <w:r>
              <w:rPr>
                <w:rFonts w:ascii="Arial" w:cs="Arial" w:eastAsia="Arial" w:hAnsi="Arial"/>
                <w:sz w:val="13"/>
                <w:szCs w:val="13"/>
                <w:b w:val="1"/>
                <w:bCs w:val="1"/>
                <w:color w:val="auto"/>
                <w:w w:val="90"/>
              </w:rPr>
              <w:t>Fair Value Hierarchy 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Cost or</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 2020</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Carrying</w:t>
            </w:r>
          </w:p>
        </w:tc>
        <w:tc>
          <w:tcPr>
            <w:tcW w:w="140" w:type="dxa"/>
            <w:vAlign w:val="bottom"/>
          </w:tcPr>
          <w:p>
            <w:pPr>
              <w:spacing w:after="0"/>
              <w:rPr>
                <w:sz w:val="4"/>
                <w:szCs w:val="4"/>
                <w:color w:val="auto"/>
              </w:rPr>
            </w:pPr>
          </w:p>
        </w:tc>
        <w:tc>
          <w:tcPr>
            <w:tcW w:w="9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Unrealized</w:t>
            </w:r>
          </w:p>
        </w:tc>
        <w:tc>
          <w:tcPr>
            <w:tcW w:w="140" w:type="dxa"/>
            <w:vAlign w:val="bottom"/>
          </w:tcPr>
          <w:p>
            <w:pPr>
              <w:spacing w:after="0"/>
              <w:rPr>
                <w:sz w:val="4"/>
                <w:szCs w:val="4"/>
                <w:color w:val="auto"/>
              </w:rPr>
            </w:pPr>
          </w:p>
        </w:tc>
        <w:tc>
          <w:tcPr>
            <w:tcW w:w="9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Unrealized</w:t>
            </w: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jc w:val="right"/>
              <w:ind w:right="154"/>
              <w:spacing w:after="0" w:line="54" w:lineRule="exact"/>
              <w:rPr>
                <w:sz w:val="20"/>
                <w:szCs w:val="20"/>
                <w:color w:val="auto"/>
              </w:rPr>
            </w:pPr>
            <w:r>
              <w:rPr>
                <w:rFonts w:ascii="Arial" w:cs="Arial" w:eastAsia="Arial" w:hAnsi="Arial"/>
                <w:sz w:val="6"/>
                <w:szCs w:val="6"/>
                <w:b w:val="1"/>
                <w:bCs w:val="1"/>
                <w:color w:val="auto"/>
              </w:rPr>
              <w:t>Aggregate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8"/>
              </w:rPr>
              <w:t>Gains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5"/>
              </w:rPr>
              <w:t>Losses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Level 2</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656,749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656,749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656,749</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included in cash and cash equivalents</w:t>
            </w: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658,749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656,749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658,749</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20"/>
              <w:spacing w:after="0"/>
              <w:rPr>
                <w:sz w:val="20"/>
                <w:szCs w:val="20"/>
                <w:color w:val="auto"/>
              </w:rPr>
            </w:pPr>
            <w:r>
              <w:rPr>
                <w:rFonts w:ascii="Arial" w:cs="Arial" w:eastAsia="Arial" w:hAnsi="Arial"/>
                <w:sz w:val="14"/>
                <w:szCs w:val="14"/>
                <w:color w:val="auto"/>
              </w:rPr>
              <w:t>U.S. Treasury securities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223,635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223,635</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Corporate debt securities and commercial paper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1,874,257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1,832,271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1,882,271</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marketable securities</w:t>
            </w: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2,097,504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8,538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273,635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1,832,271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2,105,906</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financial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2,756,253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930,384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1,834,271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2,764,655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primary objective when investing excess cash is preservation of capital, hence the Company's marketable securities primarily consist of U.S. Treasury Securities, high credit quality corporate debt securities and commercial paper. As the Company views its marketable securities as available to support current operations, it has classified all available for sale securities as short-term. As of March 31, 2021 and December 31, 2020,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March 31, 2021 and December 31, 2020, the Company anticipates that it will recover the entire amortized cost basis of such fixed income securities before maturity.</w:t>
      </w:r>
    </w:p>
    <w:p>
      <w:pPr>
        <w:spacing w:after="0" w:line="195" w:lineRule="exact"/>
        <w:rPr>
          <w:sz w:val="20"/>
          <w:szCs w:val="20"/>
          <w:color w:val="auto"/>
        </w:rPr>
      </w:pPr>
    </w:p>
    <w:p>
      <w:pPr>
        <w:ind w:right="600" w:firstLine="486"/>
        <w:spacing w:after="0" w:line="342" w:lineRule="auto"/>
        <w:rPr>
          <w:sz w:val="20"/>
          <w:szCs w:val="20"/>
          <w:color w:val="auto"/>
        </w:rPr>
      </w:pPr>
      <w:r>
        <w:rPr>
          <w:rFonts w:ascii="Arial" w:cs="Arial" w:eastAsia="Arial" w:hAnsi="Arial"/>
          <w:sz w:val="16"/>
          <w:szCs w:val="16"/>
          <w:color w:val="auto"/>
        </w:rPr>
        <w:t>The Company regularly reviews changes to the rating of its debt securities by rating agencies as well as reasonably monitors the surrounding economic conditions to assess the risk of expected credit losses. As of March 31, 2021, the risk of expected credit losses was not significant.</w:t>
      </w:r>
    </w:p>
    <w:p>
      <w:pPr>
        <w:spacing w:after="0" w:line="12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earned on marketable securities was $3.9 million and $8.8 million in the three months ended March 31, 2021 and 2020, respectively. The interest is recorded as other expenses, net, in the accompanying condensed consolidated statements of operations.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contractual maturities of marketable securities: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360"/>
              <w:spacing w:after="0"/>
              <w:rPr>
                <w:sz w:val="20"/>
                <w:szCs w:val="20"/>
                <w:color w:val="auto"/>
              </w:rPr>
            </w:pPr>
            <w:r>
              <w:rPr>
                <w:rFonts w:ascii="Arial" w:cs="Arial" w:eastAsia="Arial" w:hAnsi="Arial"/>
                <w:sz w:val="16"/>
                <w:szCs w:val="16"/>
                <w:b w:val="1"/>
                <w:bCs w:val="1"/>
                <w:color w:val="auto"/>
              </w:rPr>
              <w:t>As of March 31, 2021</w:t>
            </w:r>
          </w:p>
        </w:tc>
        <w:tc>
          <w:tcPr>
            <w:tcW w:w="160" w:type="dxa"/>
            <w:vAlign w:val="bottom"/>
          </w:tcPr>
          <w:p>
            <w:pPr>
              <w:spacing w:after="0"/>
              <w:rPr>
                <w:sz w:val="18"/>
                <w:szCs w:val="18"/>
                <w:color w:val="auto"/>
              </w:rPr>
            </w:pPr>
          </w:p>
        </w:tc>
        <w:tc>
          <w:tcPr>
            <w:tcW w:w="23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As of December 31, 2020</w:t>
            </w:r>
          </w:p>
        </w:tc>
      </w:tr>
      <w:tr>
        <w:trPr>
          <w:trHeight w:val="158"/>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4"/>
              </w:rPr>
              <w:t>Amortized</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60"/>
              <w:spacing w:after="0" w:line="158" w:lineRule="exact"/>
              <w:rPr>
                <w:sz w:val="20"/>
                <w:szCs w:val="20"/>
                <w:color w:val="auto"/>
              </w:rPr>
            </w:pPr>
            <w:r>
              <w:rPr>
                <w:rFonts w:ascii="Arial" w:cs="Arial" w:eastAsia="Arial" w:hAnsi="Arial"/>
                <w:sz w:val="16"/>
                <w:szCs w:val="16"/>
                <w:b w:val="1"/>
                <w:bCs w:val="1"/>
                <w:color w:val="auto"/>
              </w:rPr>
              <w:t>Aggregate</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4"/>
              </w:rPr>
              <w:t>Amortized</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w w:val="98"/>
              </w:rPr>
              <w:t>Aggregate</w:t>
            </w:r>
          </w:p>
        </w:tc>
      </w:tr>
      <w:tr>
        <w:trPr>
          <w:trHeight w:val="210"/>
        </w:trPr>
        <w:tc>
          <w:tcPr>
            <w:tcW w:w="4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ind w:left="6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1,128,927</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One to three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2,048,280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2,049,795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971,413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976,979</w:t>
            </w:r>
          </w:p>
        </w:tc>
      </w:tr>
      <w:tr>
        <w:trPr>
          <w:trHeight w:val="234"/>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3,371,058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3,375,284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2,097,504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2,105,906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Strategic Investments</w:t>
      </w:r>
    </w:p>
    <w:p>
      <w:pPr>
        <w:spacing w:after="0" w:line="22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As of March 31, 2021 and December 31, 2020, the Company held strategic investments with a fair value of $9.3 million in equity securities of privately held companies in which the Company does not have a controlling interest or significant influence. These securities are recorded as other long-term assets in the accompanying condensed consolidated balance sheets. There were no impairments in the three months ended March 31, 2021 and 2020.</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ind w:right="740" w:firstLine="486"/>
        <w:spacing w:after="0" w:line="342" w:lineRule="auto"/>
        <w:rPr>
          <w:sz w:val="20"/>
          <w:szCs w:val="20"/>
          <w:color w:val="auto"/>
        </w:rPr>
      </w:pPr>
      <w:r>
        <w:rPr>
          <w:rFonts w:ascii="Arial" w:cs="Arial" w:eastAsia="Arial" w:hAnsi="Arial"/>
          <w:sz w:val="16"/>
          <w:szCs w:val="16"/>
          <w:color w:val="auto"/>
        </w:rPr>
        <w:t>The Company's financial liabilities that are not measured at fair value on a recurring basis consist of its convertible senior notes due 2023 (“Convertible Notes”) and its senior notes due 2029 and 2031 (“2029 Notes” and “2031 Notes,” respectively) that are further described in Note 9.</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March 31, 2021, the fair values of the Convertible Notes, 2029 Notes and 2031 Notes were $1.3 billion, $510.5 million and $512.8 million, respectively. The fair value of the Convertible Notes as of December 31, 2020 was $1.7 billion. The Convertible Notes, 2029 Notes and 2031 Notes are classified as level 2 financial instruments within the fair value hierarchy.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w:t>
      </w:r>
    </w:p>
    <w:p>
      <w:pPr>
        <w:spacing w:after="0" w:line="266"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380" w:type="dxa"/>
            <w:vAlign w:val="bottom"/>
          </w:tcPr>
          <w:p>
            <w:pPr>
              <w:jc w:val="center"/>
              <w:ind w:left="579"/>
              <w:spacing w:after="0"/>
              <w:rPr>
                <w:sz w:val="20"/>
                <w:szCs w:val="20"/>
                <w:color w:val="auto"/>
              </w:rPr>
            </w:pPr>
            <w:r>
              <w:rPr>
                <w:rFonts w:ascii="Arial" w:cs="Arial" w:eastAsia="Arial" w:hAnsi="Arial"/>
                <w:sz w:val="16"/>
                <w:szCs w:val="16"/>
                <w:b w:val="1"/>
                <w:bCs w:val="1"/>
                <w:color w:val="auto"/>
                <w:w w:val="89"/>
              </w:rPr>
              <w:t>As of</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center"/>
              <w:ind w:right="419"/>
              <w:spacing w:after="0"/>
              <w:rPr>
                <w:sz w:val="20"/>
                <w:szCs w:val="20"/>
                <w:color w:val="auto"/>
              </w:rPr>
            </w:pPr>
            <w:r>
              <w:rPr>
                <w:rFonts w:ascii="Arial" w:cs="Arial" w:eastAsia="Arial" w:hAnsi="Arial"/>
                <w:sz w:val="16"/>
                <w:szCs w:val="16"/>
                <w:b w:val="1"/>
                <w:bCs w:val="1"/>
                <w:color w:val="auto"/>
                <w:w w:val="89"/>
              </w:rPr>
              <w:t>As of</w:t>
            </w:r>
          </w:p>
        </w:tc>
      </w:tr>
      <w:tr>
        <w:trPr>
          <w:trHeight w:val="216"/>
        </w:trPr>
        <w:tc>
          <w:tcPr>
            <w:tcW w:w="5580" w:type="dxa"/>
            <w:vAlign w:val="bottom"/>
          </w:tcPr>
          <w:p>
            <w:pPr>
              <w:spacing w:after="0"/>
              <w:rPr>
                <w:sz w:val="18"/>
                <w:szCs w:val="18"/>
                <w:color w:val="auto"/>
              </w:rPr>
            </w:pPr>
          </w:p>
        </w:tc>
        <w:tc>
          <w:tcPr>
            <w:tcW w:w="1380" w:type="dxa"/>
            <w:vAlign w:val="bottom"/>
          </w:tcPr>
          <w:p>
            <w:pPr>
              <w:jc w:val="center"/>
              <w:ind w:left="599"/>
              <w:spacing w:after="0"/>
              <w:rPr>
                <w:sz w:val="20"/>
                <w:szCs w:val="20"/>
                <w:color w:val="auto"/>
              </w:rPr>
            </w:pPr>
            <w:r>
              <w:rPr>
                <w:rFonts w:ascii="Arial" w:cs="Arial" w:eastAsia="Arial" w:hAnsi="Arial"/>
                <w:sz w:val="16"/>
                <w:szCs w:val="16"/>
                <w:b w:val="1"/>
                <w:bCs w:val="1"/>
                <w:color w:val="auto"/>
                <w:w w:val="94"/>
              </w:rPr>
              <w:t>March 31,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center"/>
              <w:ind w:right="419"/>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5580" w:type="dxa"/>
            <w:vAlign w:val="bottom"/>
          </w:tcPr>
          <w:p>
            <w:pPr>
              <w:spacing w:after="0"/>
              <w:rPr>
                <w:sz w:val="19"/>
                <w:szCs w:val="19"/>
                <w:color w:val="auto"/>
              </w:rPr>
            </w:pPr>
          </w:p>
        </w:tc>
        <w:tc>
          <w:tcPr>
            <w:tcW w:w="138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w w:val="89"/>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5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gridSpan w:val="3"/>
          </w:tcPr>
          <w:p>
            <w:pPr>
              <w:jc w:val="right"/>
              <w:ind w:right="4"/>
              <w:spacing w:after="0"/>
              <w:rPr>
                <w:sz w:val="20"/>
                <w:szCs w:val="20"/>
                <w:color w:val="auto"/>
              </w:rPr>
            </w:pPr>
            <w:r>
              <w:rPr>
                <w:rFonts w:ascii="Arial" w:cs="Arial" w:eastAsia="Arial" w:hAnsi="Arial"/>
                <w:sz w:val="16"/>
                <w:szCs w:val="16"/>
                <w:color w:val="auto"/>
              </w:rPr>
              <w:t>(In thousands)</w:t>
            </w:r>
          </w:p>
        </w:tc>
        <w:tc>
          <w:tcPr>
            <w:tcW w:w="158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 development costs</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142,489</w:t>
            </w:r>
          </w:p>
        </w:tc>
      </w:tr>
      <w:tr>
        <w:trPr>
          <w:trHeight w:val="216"/>
        </w:trPr>
        <w:tc>
          <w:tcPr>
            <w:tcW w:w="5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Data center equipment </w:t>
            </w:r>
            <w:r>
              <w:rPr>
                <w:rFonts w:ascii="Arial" w:cs="Arial" w:eastAsia="Arial" w:hAnsi="Arial"/>
                <w:sz w:val="21"/>
                <w:szCs w:val="21"/>
                <w:color w:val="auto"/>
                <w:vertAlign w:val="superscript"/>
              </w:rPr>
              <w:t>(1)</w:t>
            </w: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49,627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43,477</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69,756</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45,040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35,346</w:t>
            </w:r>
          </w:p>
        </w:tc>
      </w:tr>
      <w:tr>
        <w:trPr>
          <w:trHeight w:val="219"/>
        </w:trPr>
        <w:tc>
          <w:tcPr>
            <w:tcW w:w="5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Furniture and fixtures </w:t>
            </w:r>
            <w:r>
              <w:rPr>
                <w:rFonts w:ascii="Arial" w:cs="Arial" w:eastAsia="Arial" w:hAnsi="Arial"/>
                <w:sz w:val="21"/>
                <w:szCs w:val="21"/>
                <w:color w:val="auto"/>
                <w:vertAlign w:val="superscript"/>
              </w:rPr>
              <w:t>(1)</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w:t>
            </w: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w:t>
            </w:r>
          </w:p>
        </w:tc>
      </w:tr>
      <w:tr>
        <w:trPr>
          <w:trHeight w:val="212"/>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313,323</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(146,588)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(130,084)</w:t>
            </w:r>
          </w:p>
        </w:tc>
      </w:tr>
      <w:tr>
        <w:trPr>
          <w:trHeight w:val="238"/>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195,885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183,239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9"/>
          <w:szCs w:val="9"/>
          <w:color w:val="auto"/>
        </w:rPr>
        <w:t>(</w:t>
      </w:r>
      <w:r>
        <w:rPr>
          <w:rFonts w:ascii="Arial" w:cs="Arial" w:eastAsia="Arial" w:hAnsi="Arial"/>
          <w:sz w:val="21"/>
          <w:szCs w:val="21"/>
          <w:color w:val="auto"/>
          <w:vertAlign w:val="superscript"/>
        </w:rPr>
        <w:t>1</w:t>
      </w:r>
      <w:r>
        <w:rPr>
          <w:rFonts w:ascii="Arial" w:cs="Arial" w:eastAsia="Arial" w:hAnsi="Arial"/>
          <w:sz w:val="9"/>
          <w:szCs w:val="9"/>
          <w:color w:val="auto"/>
        </w:rPr>
        <w:t xml:space="preserve">) </w:t>
      </w:r>
      <w:r>
        <w:rPr>
          <w:rFonts w:ascii="Arial" w:cs="Arial" w:eastAsia="Arial" w:hAnsi="Arial"/>
          <w:sz w:val="16"/>
          <w:szCs w:val="16"/>
          <w:color w:val="auto"/>
        </w:rPr>
        <w:t>Data center equipment and furniture and fixtures contain assets under finance leases. See Note 5 for further detail.</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and amortization expense was $14.4 million and $11.9 million for the three months ended March 31, 2021 and 2020, respectively.</w:t>
      </w:r>
    </w:p>
    <w:p>
      <w:pPr>
        <w:spacing w:after="0" w:line="248" w:lineRule="exact"/>
        <w:rPr>
          <w:sz w:val="20"/>
          <w:szCs w:val="20"/>
          <w:color w:val="auto"/>
        </w:rPr>
      </w:pPr>
    </w:p>
    <w:p>
      <w:pPr>
        <w:ind w:firstLine="486"/>
        <w:spacing w:after="0" w:line="221" w:lineRule="exact"/>
        <w:rPr>
          <w:sz w:val="20"/>
          <w:szCs w:val="20"/>
          <w:color w:val="auto"/>
        </w:rPr>
      </w:pPr>
      <w:r>
        <w:rPr>
          <w:rFonts w:ascii="Arial" w:cs="Arial" w:eastAsia="Arial" w:hAnsi="Arial"/>
          <w:sz w:val="17"/>
          <w:szCs w:val="17"/>
          <w:color w:val="auto"/>
        </w:rPr>
        <w:t>The Company capitalized $15.1 million and $12.0 million in internal</w:t>
      </w:r>
      <w:r>
        <w:rPr>
          <w:rFonts w:ascii="MS PGothic" w:cs="MS PGothic" w:eastAsia="MS PGothic" w:hAnsi="MS PGothic"/>
          <w:sz w:val="17"/>
          <w:szCs w:val="17"/>
          <w:color w:val="auto"/>
        </w:rPr>
        <w:t>‑</w:t>
      </w:r>
      <w:r>
        <w:rPr>
          <w:rFonts w:ascii="Arial" w:cs="Arial" w:eastAsia="Arial" w:hAnsi="Arial"/>
          <w:sz w:val="17"/>
          <w:szCs w:val="17"/>
          <w:color w:val="auto"/>
        </w:rPr>
        <w:t>use software development costs in the three months ended March 31, 2021 and 2020, respectively, of which $4.7 million and $3.4 million, respectively, was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Amortization of capitalized software development costs was $4.5 million and $4.6 million in the three months ended March 31, 2021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Right-of-Use Asset and Lease Liabilities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has entered into various operating lease agreements for office space and data centers and finance lease agreements for data center and office equipment and furniture.</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of March 31, 2021, the Company had 24 leased properties with remaining lease terms of 0.1 years to 8.0 years, some of which include options to extend the leases for up to 5.0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the lease expense recorded in the accompanying condensed consolidated statements of operations were as follows:</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Arial" w:cs="Arial" w:eastAsia="Arial" w:hAnsi="Arial"/>
                <w:sz w:val="16"/>
                <w:szCs w:val="16"/>
                <w:b w:val="1"/>
                <w:bCs w:val="1"/>
                <w:color w:val="auto"/>
                <w:w w:val="98"/>
              </w:rPr>
              <w:t>Three Months Ended</w:t>
            </w:r>
          </w:p>
        </w:tc>
        <w:tc>
          <w:tcPr>
            <w:tcW w:w="960" w:type="dxa"/>
            <w:vAlign w:val="bottom"/>
          </w:tcPr>
          <w:p>
            <w:pPr>
              <w:spacing w:after="0"/>
              <w:rPr>
                <w:sz w:val="16"/>
                <w:szCs w:val="16"/>
                <w:color w:val="auto"/>
              </w:rPr>
            </w:pPr>
          </w:p>
        </w:tc>
      </w:tr>
      <w:tr>
        <w:trPr>
          <w:trHeight w:val="213"/>
        </w:trPr>
        <w:tc>
          <w:tcPr>
            <w:tcW w:w="58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9"/>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gridSpan w:val="4"/>
          </w:tcPr>
          <w:p>
            <w:pPr>
              <w:jc w:val="right"/>
              <w:ind w:right="259"/>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r>
      <w:tr>
        <w:trPr>
          <w:trHeight w:val="219"/>
        </w:trPr>
        <w:tc>
          <w:tcPr>
            <w:tcW w:w="58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Operating lease cost</w:t>
            </w:r>
          </w:p>
        </w:tc>
        <w:tc>
          <w:tcPr>
            <w:tcW w:w="14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14,873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10,424</w:t>
            </w:r>
          </w:p>
        </w:tc>
      </w:tr>
      <w:tr>
        <w:trPr>
          <w:trHeight w:val="213"/>
        </w:trPr>
        <w:tc>
          <w:tcPr>
            <w:tcW w:w="5880" w:type="dxa"/>
            <w:vAlign w:val="bottom"/>
          </w:tcPr>
          <w:p>
            <w:pPr>
              <w:ind w:left="500"/>
              <w:spacing w:after="0"/>
              <w:rPr>
                <w:sz w:val="20"/>
                <w:szCs w:val="20"/>
                <w:color w:val="auto"/>
              </w:rPr>
            </w:pPr>
            <w:r>
              <w:rPr>
                <w:rFonts w:ascii="Arial" w:cs="Arial" w:eastAsia="Arial" w:hAnsi="Arial"/>
                <w:sz w:val="16"/>
                <w:szCs w:val="16"/>
                <w:color w:val="auto"/>
              </w:rPr>
              <w:t>Finance lease cost:</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8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Amortization of assets</w:t>
            </w: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r>
      <w:tr>
        <w:trPr>
          <w:trHeight w:val="213"/>
        </w:trPr>
        <w:tc>
          <w:tcPr>
            <w:tcW w:w="5880" w:type="dxa"/>
            <w:vAlign w:val="bottom"/>
          </w:tcPr>
          <w:p>
            <w:pPr>
              <w:ind w:left="740"/>
              <w:spacing w:after="0"/>
              <w:rPr>
                <w:sz w:val="20"/>
                <w:szCs w:val="20"/>
                <w:color w:val="auto"/>
              </w:rPr>
            </w:pPr>
            <w:r>
              <w:rPr>
                <w:rFonts w:ascii="Arial" w:cs="Arial" w:eastAsia="Arial" w:hAnsi="Arial"/>
                <w:sz w:val="16"/>
                <w:szCs w:val="16"/>
                <w:color w:val="auto"/>
              </w:rPr>
              <w:t>Interest on lease liabilities</w:t>
            </w: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58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Short-term lease cost</w:t>
            </w: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r>
      <w:tr>
        <w:trPr>
          <w:trHeight w:val="213"/>
        </w:trPr>
        <w:tc>
          <w:tcPr>
            <w:tcW w:w="58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Variable lease cost</w:t>
            </w: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r>
      <w:tr>
        <w:trPr>
          <w:trHeight w:val="238"/>
        </w:trPr>
        <w:tc>
          <w:tcPr>
            <w:tcW w:w="5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net lease cost</w:t>
            </w:r>
          </w:p>
        </w:tc>
        <w:tc>
          <w:tcPr>
            <w:tcW w:w="14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22,408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539"/>
              <w:spacing w:after="0"/>
              <w:rPr>
                <w:sz w:val="20"/>
                <w:szCs w:val="20"/>
                <w:color w:val="auto"/>
              </w:rPr>
            </w:pPr>
            <w:r>
              <w:rPr>
                <w:rFonts w:ascii="Arial" w:cs="Arial" w:eastAsia="Arial" w:hAnsi="Arial"/>
                <w:sz w:val="16"/>
                <w:szCs w:val="16"/>
                <w:b w:val="1"/>
                <w:bCs w:val="1"/>
                <w:color w:val="auto"/>
                <w:w w:val="89"/>
              </w:rPr>
              <w:t>As of</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As of</w:t>
            </w: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8"/>
                <w:szCs w:val="18"/>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Leases</w:t>
            </w:r>
          </w:p>
        </w:tc>
        <w:tc>
          <w:tcPr>
            <w:tcW w:w="50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980" w:type="dxa"/>
            <w:vAlign w:val="bottom"/>
          </w:tcPr>
          <w:p>
            <w:pPr>
              <w:jc w:val="center"/>
              <w:ind w:left="539"/>
              <w:spacing w:after="0"/>
              <w:rPr>
                <w:sz w:val="20"/>
                <w:szCs w:val="20"/>
                <w:color w:val="auto"/>
              </w:rPr>
            </w:pPr>
            <w:r>
              <w:rPr>
                <w:rFonts w:ascii="Arial" w:cs="Arial" w:eastAsia="Arial" w:hAnsi="Arial"/>
                <w:sz w:val="16"/>
                <w:szCs w:val="16"/>
                <w:b w:val="1"/>
                <w:bCs w:val="1"/>
                <w:color w:val="auto"/>
                <w:w w:val="89"/>
              </w:rPr>
              <w:t>2021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2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right"/>
              <w:ind w:right="1079"/>
              <w:spacing w:after="0"/>
              <w:rPr>
                <w:sz w:val="20"/>
                <w:szCs w:val="20"/>
                <w:color w:val="auto"/>
              </w:rPr>
            </w:pPr>
            <w:r>
              <w:rPr>
                <w:rFonts w:ascii="Arial" w:cs="Arial" w:eastAsia="Arial" w:hAnsi="Arial"/>
                <w:sz w:val="16"/>
                <w:szCs w:val="16"/>
                <w:color w:val="auto"/>
              </w:rPr>
              <w:t>(In thousands)</w:t>
            </w:r>
          </w:p>
        </w:tc>
      </w:tr>
      <w:tr>
        <w:trPr>
          <w:trHeight w:val="219"/>
        </w:trPr>
        <w:tc>
          <w:tcPr>
            <w:tcW w:w="2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 assets</w:t>
            </w:r>
          </w:p>
        </w:tc>
        <w:tc>
          <w:tcPr>
            <w:tcW w:w="50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Operating right-of-use asset, net of accumulated amortization </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241,328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258,610</w:t>
            </w:r>
          </w:p>
        </w:tc>
      </w:tr>
      <w:tr>
        <w:trPr>
          <w:trHeight w:val="216"/>
        </w:trPr>
        <w:tc>
          <w:tcPr>
            <w:tcW w:w="2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Finance lease assets</w:t>
            </w:r>
          </w:p>
        </w:tc>
        <w:tc>
          <w:tcPr>
            <w:tcW w:w="506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Property and equipment, net of accumulated depreciation </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25,771</w:t>
            </w:r>
          </w:p>
        </w:tc>
      </w:tr>
      <w:tr>
        <w:trPr>
          <w:trHeight w:val="234"/>
        </w:trPr>
        <w:tc>
          <w:tcPr>
            <w:tcW w:w="24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Total leased assets</w:t>
            </w:r>
          </w:p>
        </w:tc>
        <w:tc>
          <w:tcPr>
            <w:tcW w:w="4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269,685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284,381</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420" w:type="dxa"/>
            <w:vAlign w:val="bottom"/>
            <w:gridSpan w:val="2"/>
          </w:tcPr>
          <w:p>
            <w:pPr>
              <w:spacing w:after="0"/>
              <w:rPr>
                <w:sz w:val="20"/>
                <w:szCs w:val="20"/>
                <w:color w:val="auto"/>
              </w:rPr>
            </w:pPr>
            <w:r>
              <w:rPr>
                <w:rFonts w:ascii="Arial" w:cs="Arial" w:eastAsia="Arial" w:hAnsi="Arial"/>
                <w:sz w:val="16"/>
                <w:szCs w:val="16"/>
                <w:color w:val="auto"/>
              </w:rPr>
              <w:t>Current</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2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liability, current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48,338</w:t>
            </w:r>
          </w:p>
        </w:tc>
      </w:tr>
      <w:tr>
        <w:trPr>
          <w:trHeight w:val="213"/>
        </w:trPr>
        <w:tc>
          <w:tcPr>
            <w:tcW w:w="2420" w:type="dxa"/>
            <w:vAlign w:val="bottom"/>
            <w:gridSpan w:val="2"/>
          </w:tcPr>
          <w:p>
            <w:pPr>
              <w:ind w:left="260"/>
              <w:spacing w:after="0"/>
              <w:rPr>
                <w:sz w:val="20"/>
                <w:szCs w:val="20"/>
                <w:color w:val="auto"/>
              </w:rPr>
            </w:pPr>
            <w:r>
              <w:rPr>
                <w:rFonts w:ascii="Arial" w:cs="Arial" w:eastAsia="Arial" w:hAnsi="Arial"/>
                <w:sz w:val="16"/>
                <w:szCs w:val="16"/>
                <w:color w:val="auto"/>
              </w:rPr>
              <w:t>Finance</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Finance lease liability, 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9,062</w:t>
            </w:r>
          </w:p>
        </w:tc>
      </w:tr>
      <w:tr>
        <w:trPr>
          <w:trHeight w:val="219"/>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w:t>
            </w:r>
          </w:p>
        </w:tc>
        <w:tc>
          <w:tcPr>
            <w:tcW w:w="4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2420" w:type="dxa"/>
            <w:vAlign w:val="bottom"/>
            <w:gridSpan w:val="2"/>
          </w:tcPr>
          <w:p>
            <w:pPr>
              <w:ind w:left="260"/>
              <w:spacing w:after="0"/>
              <w:rPr>
                <w:sz w:val="20"/>
                <w:szCs w:val="20"/>
                <w:color w:val="auto"/>
              </w:rPr>
            </w:pPr>
            <w:r>
              <w:rPr>
                <w:rFonts w:ascii="Arial" w:cs="Arial" w:eastAsia="Arial" w:hAnsi="Arial"/>
                <w:sz w:val="16"/>
                <w:szCs w:val="16"/>
                <w:color w:val="auto"/>
              </w:rPr>
              <w:t>Operating</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liability, noncurrent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214,456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229,905</w:t>
            </w:r>
          </w:p>
        </w:tc>
      </w:tr>
      <w:tr>
        <w:trPr>
          <w:trHeight w:val="216"/>
        </w:trPr>
        <w:tc>
          <w:tcPr>
            <w:tcW w:w="2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Finance</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liability, noncurrent</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17,856</w:t>
            </w:r>
          </w:p>
        </w:tc>
      </w:tr>
      <w:tr>
        <w:trPr>
          <w:trHeight w:val="212"/>
        </w:trPr>
        <w:tc>
          <w:tcPr>
            <w:tcW w:w="242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 lease liabilities</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290,017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305,161</w:t>
            </w:r>
          </w:p>
        </w:tc>
      </w:tr>
      <w:tr>
        <w:trPr>
          <w:trHeight w:val="21"/>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14" w:lineRule="exact"/>
        <w:rPr>
          <w:sz w:val="20"/>
          <w:szCs w:val="20"/>
          <w:color w:val="auto"/>
        </w:rPr>
      </w:pPr>
    </w:p>
    <w:p>
      <w:pPr>
        <w:ind w:left="500" w:right="700" w:hanging="6"/>
        <w:spacing w:after="0" w:line="246" w:lineRule="auto"/>
        <w:tabs>
          <w:tab w:leader="none" w:pos="65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Operating lease assets are recorded net of accumulated amortization of $65.2 million and $57.1 million as of March 31, 2021 and December 31, 2020, respectively.</w:t>
      </w:r>
    </w:p>
    <w:p>
      <w:pPr>
        <w:spacing w:after="0" w:line="31" w:lineRule="exact"/>
        <w:rPr>
          <w:rFonts w:ascii="Arial" w:cs="Arial" w:eastAsia="Arial" w:hAnsi="Arial"/>
          <w:sz w:val="19"/>
          <w:szCs w:val="19"/>
          <w:color w:val="auto"/>
          <w:vertAlign w:val="superscript"/>
        </w:rPr>
      </w:pPr>
    </w:p>
    <w:p>
      <w:pPr>
        <w:ind w:left="640" w:hanging="146"/>
        <w:spacing w:after="0"/>
        <w:tabs>
          <w:tab w:leader="none" w:pos="64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Finance lease assets are recorded net of accumulated depreciation of $17.7 million and $15.0 million as of March 31, 2021 and December 31, 2020, respectively.</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and other information related to leases was as follows:</w:t>
      </w:r>
    </w:p>
    <w:p>
      <w:pPr>
        <w:spacing w:after="0" w:line="262" w:lineRule="exact"/>
        <w:rPr>
          <w:sz w:val="20"/>
          <w:szCs w:val="20"/>
          <w:color w:val="auto"/>
        </w:rPr>
      </w:pPr>
    </w:p>
    <w:p>
      <w:pPr>
        <w:jc w:val="center"/>
        <w:ind w:left="7160"/>
        <w:spacing w:after="0"/>
        <w:rPr>
          <w:sz w:val="20"/>
          <w:szCs w:val="20"/>
          <w:color w:val="auto"/>
        </w:rPr>
      </w:pPr>
      <w:r>
        <w:rPr>
          <w:rFonts w:ascii="Arial" w:cs="Arial" w:eastAsia="Arial" w:hAnsi="Arial"/>
          <w:sz w:val="16"/>
          <w:szCs w:val="16"/>
          <w:b w:val="1"/>
          <w:bCs w:val="1"/>
          <w:color w:val="auto"/>
        </w:rPr>
        <w:t>Three Months Ended</w:t>
      </w:r>
    </w:p>
    <w:p>
      <w:pPr>
        <w:jc w:val="center"/>
        <w:ind w:left="71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00" w:type="dxa"/>
            <w:vAlign w:val="bottom"/>
          </w:tcPr>
          <w:p>
            <w:pPr>
              <w:spacing w:after="0"/>
              <w:rPr>
                <w:sz w:val="18"/>
                <w:szCs w:val="18"/>
                <w:color w:val="auto"/>
              </w:rPr>
            </w:pPr>
          </w:p>
        </w:tc>
        <w:tc>
          <w:tcPr>
            <w:tcW w:w="1300" w:type="dxa"/>
            <w:vAlign w:val="bottom"/>
            <w:gridSpan w:val="2"/>
          </w:tcPr>
          <w:p>
            <w:pPr>
              <w:jc w:val="right"/>
              <w:ind w:right="39"/>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8"/>
                <w:szCs w:val="18"/>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14,691</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9,953</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Operating cash flows from finance leases (interest)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263</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198</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cash flows from finance leases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2,748</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1,881</w:t>
            </w:r>
          </w:p>
        </w:tc>
      </w:tr>
      <w:tr>
        <w:trPr>
          <w:trHeight w:val="257"/>
        </w:trPr>
        <w:tc>
          <w:tcPr>
            <w:tcW w:w="7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6"/>
        </w:trPr>
        <w:tc>
          <w:tcPr>
            <w:tcW w:w="7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4.8 %</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bl>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lease liabilities were as follows:</w:t>
      </w:r>
    </w:p>
    <w:p>
      <w:pPr>
        <w:spacing w:after="0" w:line="266" w:lineRule="exact"/>
        <w:rPr>
          <w:sz w:val="20"/>
          <w:szCs w:val="20"/>
          <w:color w:val="auto"/>
        </w:rPr>
      </w:pPr>
    </w:p>
    <w:tbl>
      <w:tblPr>
        <w:tblLayout w:type="fixed"/>
        <w:tblInd w:w="13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As of March 31, 2021</w:t>
            </w:r>
          </w:p>
        </w:tc>
      </w:tr>
      <w:tr>
        <w:trPr>
          <w:trHeight w:val="158"/>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5"/>
              </w:rPr>
              <w:t>Operating</w:t>
            </w:r>
          </w:p>
        </w:tc>
        <w:tc>
          <w:tcPr>
            <w:tcW w:w="220" w:type="dxa"/>
            <w:vAlign w:val="bottom"/>
          </w:tcPr>
          <w:p>
            <w:pPr>
              <w:spacing w:after="0"/>
              <w:rPr>
                <w:sz w:val="13"/>
                <w:szCs w:val="13"/>
                <w:color w:val="auto"/>
              </w:rPr>
            </w:pPr>
          </w:p>
        </w:tc>
        <w:tc>
          <w:tcPr>
            <w:tcW w:w="1080" w:type="dxa"/>
            <w:vAlign w:val="bottom"/>
          </w:tcPr>
          <w:p>
            <w:pPr>
              <w:jc w:val="right"/>
              <w:ind w:right="319"/>
              <w:spacing w:after="0" w:line="158" w:lineRule="exact"/>
              <w:rPr>
                <w:sz w:val="20"/>
                <w:szCs w:val="20"/>
                <w:color w:val="auto"/>
              </w:rPr>
            </w:pPr>
            <w:r>
              <w:rPr>
                <w:rFonts w:ascii="Arial" w:cs="Arial" w:eastAsia="Arial" w:hAnsi="Arial"/>
                <w:sz w:val="16"/>
                <w:szCs w:val="16"/>
                <w:b w:val="1"/>
                <w:bCs w:val="1"/>
                <w:color w:val="auto"/>
              </w:rPr>
              <w:t>Finance</w:t>
            </w: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1"/>
              </w:rPr>
              <w:t>Leases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Leases</w:t>
            </w:r>
          </w:p>
        </w:tc>
      </w:tr>
      <w:tr>
        <w:trPr>
          <w:trHeight w:val="175"/>
        </w:trPr>
        <w:tc>
          <w:tcPr>
            <w:tcW w:w="20" w:type="dxa"/>
            <w:vAlign w:val="bottom"/>
          </w:tcPr>
          <w:p>
            <w:pPr>
              <w:spacing w:after="0"/>
              <w:rPr>
                <w:sz w:val="15"/>
                <w:szCs w:val="15"/>
                <w:color w:val="auto"/>
              </w:rPr>
            </w:pPr>
          </w:p>
        </w:tc>
        <w:tc>
          <w:tcPr>
            <w:tcW w:w="4420" w:type="dxa"/>
            <w:vAlign w:val="bottom"/>
            <w:gridSpan w:val="2"/>
          </w:tcPr>
          <w:p>
            <w:pPr>
              <w:spacing w:after="0" w:line="175" w:lineRule="exact"/>
              <w:rPr>
                <w:sz w:val="20"/>
                <w:szCs w:val="20"/>
                <w:color w:val="auto"/>
              </w:rPr>
            </w:pPr>
            <w:r>
              <w:rPr>
                <w:rFonts w:ascii="Arial" w:cs="Arial" w:eastAsia="Arial" w:hAnsi="Arial"/>
                <w:sz w:val="16"/>
                <w:szCs w:val="16"/>
                <w:color w:val="auto"/>
              </w:rPr>
              <w:t>Year Ended December 31,</w:t>
            </w:r>
          </w:p>
        </w:tc>
        <w:tc>
          <w:tcPr>
            <w:tcW w:w="180" w:type="dxa"/>
            <w:vAlign w:val="bottom"/>
          </w:tcPr>
          <w:p>
            <w:pPr>
              <w:spacing w:after="0"/>
              <w:rPr>
                <w:sz w:val="15"/>
                <w:szCs w:val="15"/>
                <w:color w:val="auto"/>
              </w:rPr>
            </w:pPr>
          </w:p>
        </w:tc>
        <w:tc>
          <w:tcPr>
            <w:tcW w:w="2520" w:type="dxa"/>
            <w:vAlign w:val="bottom"/>
            <w:gridSpan w:val="4"/>
          </w:tcPr>
          <w:p>
            <w:pPr>
              <w:jc w:val="right"/>
              <w:ind w:right="819"/>
              <w:spacing w:after="0" w:line="175" w:lineRule="exact"/>
              <w:rPr>
                <w:sz w:val="20"/>
                <w:szCs w:val="20"/>
                <w:color w:val="auto"/>
              </w:rPr>
            </w:pPr>
            <w:r>
              <w:rPr>
                <w:rFonts w:ascii="Arial" w:cs="Arial" w:eastAsia="Arial" w:hAnsi="Arial"/>
                <w:sz w:val="16"/>
                <w:szCs w:val="16"/>
                <w:color w:val="auto"/>
              </w:rPr>
              <w:t>(In thousands)</w:t>
            </w: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2021 (remaining nine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7,911</w:t>
            </w: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8,987</w:t>
            </w: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w:t>
            </w: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4,999</w:t>
            </w: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13"/>
        </w:trPr>
        <w:tc>
          <w:tcPr>
            <w:tcW w:w="2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lease payments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31,202</w:t>
            </w:r>
          </w:p>
        </w:tc>
      </w:tr>
      <w:tr>
        <w:trPr>
          <w:trHeight w:val="213"/>
        </w:trPr>
        <w:tc>
          <w:tcPr>
            <w:tcW w:w="2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w:t>
            </w:r>
          </w:p>
        </w:tc>
      </w:tr>
      <w:tr>
        <w:trPr>
          <w:trHeight w:val="212"/>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lease obligations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29,322</w:t>
            </w:r>
          </w:p>
        </w:tc>
      </w:tr>
      <w:tr>
        <w:trPr>
          <w:trHeight w:val="213"/>
        </w:trPr>
        <w:tc>
          <w:tcPr>
            <w:tcW w:w="2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current obligations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lease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As of March 31, 2021, the Company had an additional operating lease obligation totaling $11.0 million for a lease that will commence in the first quarter of 2023 with a lease term of 6.2 years. As of March 31, 2021, the Company had no additional finance leases with future commencement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ValueFirst Digital Media Private Limited</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On March 12, 2021, the Company acquired ValueFirst Digital Media Private Limited (“ValueFirst”) for a purchase price of $70.2 million paid in cash. ValueFirst is an enterprise communications platform in India.</w:t>
      </w:r>
    </w:p>
    <w:p>
      <w:pPr>
        <w:spacing w:after="0" w:line="170"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acquisition was accounted for as a business combination and the preliminary purchase price was allocated to the net tangible and intangible assets as follows:</w:t>
      </w:r>
    </w:p>
    <w:p>
      <w:pPr>
        <w:spacing w:after="0" w:line="21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10"/>
        </w:trPr>
        <w:tc>
          <w:tcPr>
            <w:tcW w:w="8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w w:val="91"/>
              </w:rPr>
              <w:t>(In thousands)</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9,756</w:t>
            </w:r>
          </w:p>
        </w:tc>
      </w:tr>
      <w:tr>
        <w:trPr>
          <w:trHeight w:val="216"/>
        </w:trPr>
        <w:tc>
          <w:tcPr>
            <w:tcW w:w="8400" w:type="dxa"/>
            <w:vAlign w:val="bottom"/>
          </w:tcPr>
          <w:p>
            <w:pPr>
              <w:ind w:left="66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color w:val="auto"/>
                <w:vertAlign w:val="superscript"/>
              </w:rPr>
              <w:t>(1)</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30,300</w:t>
            </w:r>
          </w:p>
        </w:tc>
      </w:tr>
      <w:tr>
        <w:trPr>
          <w:trHeight w:val="216"/>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tax liability</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w:t>
            </w:r>
          </w:p>
        </w:tc>
      </w:tr>
      <w:tr>
        <w:trPr>
          <w:trHeight w:val="213"/>
        </w:trPr>
        <w:tc>
          <w:tcPr>
            <w:tcW w:w="84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Goodwill</w:t>
            </w: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36,356</w:t>
            </w:r>
          </w:p>
        </w:tc>
      </w:tr>
      <w:tr>
        <w:trPr>
          <w:trHeight w:val="238"/>
        </w:trPr>
        <w:tc>
          <w:tcPr>
            <w:tcW w:w="84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preliminary purchase price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70,233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Identifiable intangible assets were comprised of the following:</w:t>
      </w:r>
    </w:p>
    <w:p>
      <w:pPr>
        <w:spacing w:after="0" w:line="169"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life</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w w:val="93"/>
              </w:rPr>
              <w:t>(In thousands)</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(In years)</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13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11,200</w:t>
            </w:r>
          </w:p>
        </w:tc>
        <w:tc>
          <w:tcPr>
            <w:tcW w:w="13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Carrier relationships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w:t>
            </w:r>
          </w:p>
        </w:tc>
        <w:tc>
          <w:tcPr>
            <w:tcW w:w="13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Trademark and trade name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w:t>
            </w:r>
          </w:p>
        </w:tc>
        <w:tc>
          <w:tcPr>
            <w:tcW w:w="13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intangible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30,300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80" w:firstLine="486"/>
        <w:spacing w:after="0" w:line="263" w:lineRule="auto"/>
        <w:rPr>
          <w:sz w:val="20"/>
          <w:szCs w:val="20"/>
          <w:color w:val="auto"/>
        </w:rPr>
      </w:pPr>
      <w:r>
        <w:rPr>
          <w:rFonts w:ascii="Arial" w:cs="Arial" w:eastAsia="Arial" w:hAnsi="Arial"/>
          <w:sz w:val="18"/>
          <w:szCs w:val="18"/>
          <w:color w:val="auto"/>
        </w:rPr>
        <w:t>The acquired entity's results of operations were included in the Company's condensed consolidated financial statements from the date of the acquisition. Pro forma results of operations for this acquisition are not presented as the financial impact to the Company's consolidated financial statements is not material.</w:t>
      </w:r>
    </w:p>
    <w:p>
      <w:pPr>
        <w:spacing w:after="0" w:line="184"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As of March 31, 2021, the areas not yet finalized due to information that may become available subsequent to the filing of this Quarterly Report on Form 10-Q and may result in changes in the values recorded at March 31, 2021, relate to the purchase price, valuation of acquired intangible assets, contingencies and income and other taxes.</w:t>
      </w:r>
    </w:p>
    <w:p>
      <w:pPr>
        <w:spacing w:after="0" w:line="184"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During the three months ended March 31, 2021, the Company incurred $1.3 million of costs related to this acquisition, which were expensed as incurred and recorded in general and administrative expenses in the accompanying condensed consolidated statement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Goodwill balance as of March 31, 2021 and December 31, 2020, was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0"/>
        </w:trPr>
        <w:tc>
          <w:tcPr>
            <w:tcW w:w="8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w w:val="97"/>
              </w:rPr>
              <w:t>(In thousands)</w:t>
            </w:r>
          </w:p>
        </w:tc>
      </w:tr>
      <w:tr>
        <w:trPr>
          <w:trHeight w:val="219"/>
        </w:trPr>
        <w:tc>
          <w:tcPr>
            <w:tcW w:w="8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as of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4,595,394</w:t>
            </w:r>
          </w:p>
        </w:tc>
      </w:tr>
      <w:tr>
        <w:trPr>
          <w:trHeight w:val="213"/>
        </w:trPr>
        <w:tc>
          <w:tcPr>
            <w:tcW w:w="820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Goodwill additions and adjustments</w:t>
            </w: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39,783</w:t>
            </w:r>
          </w:p>
        </w:tc>
      </w:tr>
      <w:tr>
        <w:trPr>
          <w:trHeight w:val="234"/>
        </w:trPr>
        <w:tc>
          <w:tcPr>
            <w:tcW w:w="8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Balance as of March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4,635,177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 the following:</w:t>
      </w: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As of</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March 31, 2021</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800" w:type="dxa"/>
            <w:vAlign w:val="bottom"/>
          </w:tcPr>
          <w:p>
            <w:pPr>
              <w:spacing w:after="0"/>
              <w:rPr>
                <w:sz w:val="14"/>
                <w:szCs w:val="14"/>
                <w:color w:val="auto"/>
              </w:rPr>
            </w:pPr>
          </w:p>
        </w:tc>
        <w:tc>
          <w:tcPr>
            <w:tcW w:w="136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Accumulated</w:t>
            </w:r>
          </w:p>
        </w:tc>
        <w:tc>
          <w:tcPr>
            <w:tcW w:w="980" w:type="dxa"/>
            <w:vAlign w:val="bottom"/>
          </w:tcPr>
          <w:p>
            <w:pPr>
              <w:spacing w:after="0"/>
              <w:rPr>
                <w:sz w:val="14"/>
                <w:szCs w:val="14"/>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1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Amortization</w:t>
            </w: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660"/>
              <w:spacing w:after="0"/>
              <w:rPr>
                <w:sz w:val="20"/>
                <w:szCs w:val="20"/>
                <w:color w:val="auto"/>
              </w:rPr>
            </w:pPr>
            <w:r>
              <w:rPr>
                <w:rFonts w:ascii="Arial" w:cs="Arial" w:eastAsia="Arial" w:hAnsi="Arial"/>
                <w:sz w:val="16"/>
                <w:szCs w:val="16"/>
                <w:color w:val="auto"/>
              </w:rPr>
              <w:t>Amortizable intangible assets:</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color w:val="auto"/>
              </w:rPr>
              <w:t>(In thousands)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Developed technology</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592,018</w:t>
            </w:r>
          </w:p>
        </w:tc>
        <w:tc>
          <w:tcPr>
            <w:tcW w:w="0" w:type="dxa"/>
            <w:vAlign w:val="bottom"/>
          </w:tcPr>
          <w:p>
            <w:pPr>
              <w:spacing w:after="0"/>
              <w:rPr>
                <w:sz w:val="1"/>
                <w:szCs w:val="1"/>
                <w:color w:val="auto"/>
              </w:rPr>
            </w:pPr>
          </w:p>
        </w:tc>
      </w:tr>
      <w:tr>
        <w:trPr>
          <w:trHeight w:val="213"/>
        </w:trPr>
        <w:tc>
          <w:tcPr>
            <w:tcW w:w="4280" w:type="dxa"/>
            <w:vAlign w:val="bottom"/>
          </w:tcPr>
          <w:p>
            <w:pPr>
              <w:ind w:left="860"/>
              <w:spacing w:after="0"/>
              <w:rPr>
                <w:sz w:val="20"/>
                <w:szCs w:val="20"/>
                <w:color w:val="auto"/>
              </w:rPr>
            </w:pPr>
            <w:r>
              <w:rPr>
                <w:rFonts w:ascii="Arial" w:cs="Arial" w:eastAsia="Arial" w:hAnsi="Arial"/>
                <w:sz w:val="16"/>
                <w:szCs w:val="16"/>
                <w:color w:val="auto"/>
              </w:rPr>
              <w:t>Customer relationships</w:t>
            </w:r>
          </w:p>
        </w:tc>
        <w:tc>
          <w:tcPr>
            <w:tcW w:w="9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390,564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(74,466)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316,098</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Supplier relationships</w:t>
            </w: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8,610</w:t>
            </w:r>
          </w:p>
        </w:tc>
        <w:tc>
          <w:tcPr>
            <w:tcW w:w="0" w:type="dxa"/>
            <w:vAlign w:val="bottom"/>
          </w:tcPr>
          <w:p>
            <w:pPr>
              <w:spacing w:after="0"/>
              <w:rPr>
                <w:sz w:val="1"/>
                <w:szCs w:val="1"/>
                <w:color w:val="auto"/>
              </w:rPr>
            </w:pPr>
          </w:p>
        </w:tc>
      </w:tr>
      <w:tr>
        <w:trPr>
          <w:trHeight w:val="213"/>
        </w:trPr>
        <w:tc>
          <w:tcPr>
            <w:tcW w:w="4280" w:type="dxa"/>
            <w:vAlign w:val="bottom"/>
          </w:tcPr>
          <w:p>
            <w:pPr>
              <w:ind w:left="860"/>
              <w:spacing w:after="0"/>
              <w:rPr>
                <w:sz w:val="20"/>
                <w:szCs w:val="20"/>
                <w:color w:val="auto"/>
              </w:rPr>
            </w:pPr>
            <w:r>
              <w:rPr>
                <w:rFonts w:ascii="Arial" w:cs="Arial" w:eastAsia="Arial" w:hAnsi="Arial"/>
                <w:sz w:val="16"/>
                <w:szCs w:val="16"/>
                <w:color w:val="auto"/>
              </w:rPr>
              <w:t>Trade names</w:t>
            </w:r>
          </w:p>
        </w:tc>
        <w:tc>
          <w:tcPr>
            <w:tcW w:w="9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30,268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(9,252)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21,016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Order backlog</w:t>
            </w: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Patent</w:t>
            </w: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amortizable intangible assets</w:t>
            </w:r>
          </w:p>
        </w:tc>
        <w:tc>
          <w:tcPr>
            <w:tcW w:w="9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1,177,717</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(231,048)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946,669</w:t>
            </w:r>
          </w:p>
        </w:tc>
        <w:tc>
          <w:tcPr>
            <w:tcW w:w="0" w:type="dxa"/>
            <w:vAlign w:val="bottom"/>
          </w:tcPr>
          <w:p>
            <w:pPr>
              <w:spacing w:after="0"/>
              <w:rPr>
                <w:sz w:val="1"/>
                <w:szCs w:val="1"/>
                <w:color w:val="auto"/>
              </w:rPr>
            </w:pPr>
          </w:p>
        </w:tc>
      </w:tr>
      <w:tr>
        <w:trPr>
          <w:trHeight w:val="193"/>
        </w:trPr>
        <w:tc>
          <w:tcPr>
            <w:tcW w:w="4280" w:type="dxa"/>
            <w:vAlign w:val="bottom"/>
          </w:tcPr>
          <w:p>
            <w:pPr>
              <w:ind w:left="660"/>
              <w:spacing w:after="0"/>
              <w:rPr>
                <w:sz w:val="20"/>
                <w:szCs w:val="20"/>
                <w:color w:val="auto"/>
              </w:rPr>
            </w:pPr>
            <w:r>
              <w:rPr>
                <w:rFonts w:ascii="Arial" w:cs="Arial" w:eastAsia="Arial" w:hAnsi="Arial"/>
                <w:sz w:val="16"/>
                <w:szCs w:val="16"/>
                <w:color w:val="auto"/>
              </w:rPr>
              <w:t>Non-amortizable intangible assets:</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Telecommunication licenses</w:t>
            </w: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3"/>
        </w:trPr>
        <w:tc>
          <w:tcPr>
            <w:tcW w:w="4280" w:type="dxa"/>
            <w:vAlign w:val="bottom"/>
          </w:tcPr>
          <w:p>
            <w:pPr>
              <w:ind w:left="860"/>
              <w:spacing w:after="0"/>
              <w:rPr>
                <w:sz w:val="20"/>
                <w:szCs w:val="20"/>
                <w:color w:val="auto"/>
              </w:rPr>
            </w:pPr>
            <w:r>
              <w:rPr>
                <w:rFonts w:ascii="Arial" w:cs="Arial" w:eastAsia="Arial" w:hAnsi="Arial"/>
                <w:sz w:val="16"/>
                <w:szCs w:val="16"/>
                <w:color w:val="auto"/>
              </w:rPr>
              <w:t>Trademarks and other</w:t>
            </w:r>
          </w:p>
        </w:tc>
        <w:tc>
          <w:tcPr>
            <w:tcW w:w="9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8"/>
        </w:trPr>
        <w:tc>
          <w:tcPr>
            <w:tcW w:w="4280" w:type="dxa"/>
            <w:vAlign w:val="bottom"/>
            <w:tcBorders>
              <w:top w:val="single" w:sz="8" w:color="CCEEFF"/>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951,884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As of</w:t>
      </w:r>
    </w:p>
    <w:p>
      <w:pPr>
        <w:spacing w:after="0" w:line="23"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December 31, 2020</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6"/>
                <w:szCs w:val="16"/>
                <w:b w:val="1"/>
                <w:bCs w:val="1"/>
                <w:color w:val="auto"/>
              </w:rPr>
              <w:t>Gross</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80"/>
              <w:spacing w:after="0" w:line="175" w:lineRule="exact"/>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Developed technology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611,317</w:t>
            </w:r>
          </w:p>
        </w:tc>
        <w:tc>
          <w:tcPr>
            <w:tcW w:w="0" w:type="dxa"/>
            <w:vAlign w:val="bottom"/>
          </w:tcPr>
          <w:p>
            <w:pPr>
              <w:spacing w:after="0"/>
              <w:rPr>
                <w:sz w:val="1"/>
                <w:szCs w:val="1"/>
                <w:color w:val="auto"/>
              </w:rPr>
            </w:pP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Customer relationships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(59,574)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319,770</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Supplier relationships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17,639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Order backlog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8,333</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Patent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amortizable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1,147,219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(185,861)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961,358</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Arial" w:cs="Arial" w:eastAsia="Arial" w:hAnsi="Arial"/>
                <w:sz w:val="16"/>
                <w:szCs w:val="16"/>
                <w:color w:val="auto"/>
              </w:rPr>
              <w:t>Non-amortizable intangible assets: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Telecommunication licenses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Trademarks and other</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8"/>
        </w:trPr>
        <w:tc>
          <w:tcPr>
            <w:tcW w:w="63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966,573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was $45.2 million and $20.3 million for the three months ended March 31, 2021 and 2020,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estimated future amortization expense is as follows:</w:t>
      </w:r>
    </w:p>
    <w:p>
      <w:pPr>
        <w:spacing w:after="0" w:line="280" w:lineRule="exact"/>
        <w:rPr>
          <w:sz w:val="20"/>
          <w:szCs w:val="20"/>
          <w:color w:val="auto"/>
        </w:rPr>
      </w:pPr>
    </w:p>
    <w:tbl>
      <w:tblPr>
        <w:tblLayout w:type="fixed"/>
        <w:tblInd w:w="21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79"/>
              <w:spacing w:after="0"/>
              <w:rPr>
                <w:sz w:val="20"/>
                <w:szCs w:val="20"/>
                <w:color w:val="auto"/>
              </w:rPr>
            </w:pPr>
            <w:r>
              <w:rPr>
                <w:rFonts w:ascii="Arial" w:cs="Arial" w:eastAsia="Arial" w:hAnsi="Arial"/>
                <w:sz w:val="16"/>
                <w:szCs w:val="16"/>
                <w:b w:val="1"/>
                <w:bCs w:val="1"/>
                <w:color w:val="auto"/>
                <w:w w:val="84"/>
              </w:rPr>
              <w:t>As of</w:t>
            </w: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2021</w:t>
            </w:r>
          </w:p>
        </w:tc>
      </w:tr>
      <w:tr>
        <w:trPr>
          <w:trHeight w:val="176"/>
        </w:trPr>
        <w:tc>
          <w:tcPr>
            <w:tcW w:w="20" w:type="dxa"/>
            <w:vAlign w:val="bottom"/>
          </w:tcPr>
          <w:p>
            <w:pPr>
              <w:spacing w:after="0"/>
              <w:rPr>
                <w:sz w:val="15"/>
                <w:szCs w:val="15"/>
                <w:color w:val="auto"/>
              </w:rPr>
            </w:pPr>
          </w:p>
        </w:tc>
        <w:tc>
          <w:tcPr>
            <w:tcW w:w="5320" w:type="dxa"/>
            <w:vAlign w:val="bottom"/>
            <w:gridSpan w:val="2"/>
          </w:tcPr>
          <w:p>
            <w:pPr>
              <w:spacing w:after="0" w:line="175" w:lineRule="exact"/>
              <w:rPr>
                <w:sz w:val="20"/>
                <w:szCs w:val="20"/>
                <w:color w:val="auto"/>
              </w:rPr>
            </w:pPr>
            <w:r>
              <w:rPr>
                <w:rFonts w:ascii="Arial" w:cs="Arial" w:eastAsia="Arial" w:hAnsi="Arial"/>
                <w:sz w:val="16"/>
                <w:szCs w:val="16"/>
                <w:color w:val="auto"/>
              </w:rPr>
              <w:t>Year Ended December 31,</w:t>
            </w:r>
          </w:p>
        </w:tc>
        <w:tc>
          <w:tcPr>
            <w:tcW w:w="220" w:type="dxa"/>
            <w:vAlign w:val="bottom"/>
          </w:tcPr>
          <w:p>
            <w:pPr>
              <w:spacing w:after="0"/>
              <w:rPr>
                <w:sz w:val="15"/>
                <w:szCs w:val="15"/>
                <w:color w:val="auto"/>
              </w:rPr>
            </w:pPr>
          </w:p>
        </w:tc>
        <w:tc>
          <w:tcPr>
            <w:tcW w:w="1360" w:type="dxa"/>
            <w:vAlign w:val="bottom"/>
          </w:tcPr>
          <w:p>
            <w:pPr>
              <w:jc w:val="center"/>
              <w:ind w:right="139"/>
              <w:spacing w:after="0" w:line="175" w:lineRule="exact"/>
              <w:rPr>
                <w:sz w:val="20"/>
                <w:szCs w:val="20"/>
                <w:color w:val="auto"/>
              </w:rPr>
            </w:pPr>
            <w:r>
              <w:rPr>
                <w:rFonts w:ascii="Arial" w:cs="Arial" w:eastAsia="Arial" w:hAnsi="Arial"/>
                <w:sz w:val="16"/>
                <w:szCs w:val="16"/>
                <w:color w:val="auto"/>
                <w:w w:val="91"/>
              </w:rPr>
              <w:t>(In thousands)</w:t>
            </w: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2021 (remaining nine months)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136,983</w:t>
            </w: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172,264</w:t>
            </w: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168,954</w:t>
            </w: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163,380</w:t>
            </w: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161,067</w:t>
            </w:r>
          </w:p>
        </w:tc>
      </w:tr>
      <w:tr>
        <w:trPr>
          <w:trHeight w:val="213"/>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144,021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946,669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66" w:lineRule="exact"/>
        <w:rPr>
          <w:sz w:val="20"/>
          <w:szCs w:val="20"/>
          <w:color w:val="auto"/>
        </w:rPr>
      </w:pPr>
    </w:p>
    <w:tbl>
      <w:tblPr>
        <w:tblLayout w:type="fixed"/>
        <w:tblInd w:w="160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82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As of</w:t>
            </w:r>
          </w:p>
        </w:tc>
      </w:tr>
      <w:tr>
        <w:trPr>
          <w:trHeight w:val="243"/>
        </w:trPr>
        <w:tc>
          <w:tcPr>
            <w:tcW w:w="4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March 31,</w:t>
            </w:r>
          </w:p>
        </w:tc>
        <w:tc>
          <w:tcPr>
            <w:tcW w:w="820" w:type="dxa"/>
            <w:vAlign w:val="bottom"/>
          </w:tcPr>
          <w:p>
            <w:pPr>
              <w:spacing w:after="0"/>
              <w:rPr>
                <w:sz w:val="21"/>
                <w:szCs w:val="21"/>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4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4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260" w:type="dxa"/>
            <w:vAlign w:val="bottom"/>
          </w:tcPr>
          <w:p>
            <w:pPr>
              <w:spacing w:after="0"/>
              <w:rPr>
                <w:sz w:val="18"/>
                <w:szCs w:val="18"/>
                <w:color w:val="auto"/>
              </w:rPr>
            </w:pPr>
          </w:p>
        </w:tc>
      </w:tr>
      <w:tr>
        <w:trPr>
          <w:trHeight w:val="219"/>
        </w:trPr>
        <w:tc>
          <w:tcPr>
            <w:tcW w:w="4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payroll and related</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54,683</w:t>
            </w:r>
          </w:p>
        </w:tc>
      </w:tr>
      <w:tr>
        <w:trPr>
          <w:trHeight w:val="213"/>
        </w:trPr>
        <w:tc>
          <w:tcPr>
            <w:tcW w:w="4440" w:type="dxa"/>
            <w:vAlign w:val="bottom"/>
          </w:tcPr>
          <w:p>
            <w:pPr>
              <w:ind w:left="660"/>
              <w:spacing w:after="0"/>
              <w:rPr>
                <w:sz w:val="20"/>
                <w:szCs w:val="20"/>
                <w:color w:val="auto"/>
              </w:rPr>
            </w:pPr>
            <w:r>
              <w:rPr>
                <w:rFonts w:ascii="Arial" w:cs="Arial" w:eastAsia="Arial" w:hAnsi="Arial"/>
                <w:sz w:val="16"/>
                <w:szCs w:val="16"/>
                <w:color w:val="auto"/>
              </w:rPr>
              <w:t>Accrued bonus and commission</w:t>
            </w:r>
          </w:p>
        </w:tc>
        <w:tc>
          <w:tcPr>
            <w:tcW w:w="8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18,582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25,341</w:t>
            </w:r>
          </w:p>
        </w:tc>
      </w:tr>
      <w:tr>
        <w:trPr>
          <w:trHeight w:val="219"/>
        </w:trPr>
        <w:tc>
          <w:tcPr>
            <w:tcW w:w="4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cost of revenue</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80,620</w:t>
            </w:r>
          </w:p>
        </w:tc>
      </w:tr>
      <w:tr>
        <w:trPr>
          <w:trHeight w:val="213"/>
        </w:trPr>
        <w:tc>
          <w:tcPr>
            <w:tcW w:w="4440" w:type="dxa"/>
            <w:vAlign w:val="bottom"/>
          </w:tcPr>
          <w:p>
            <w:pPr>
              <w:ind w:left="660"/>
              <w:spacing w:after="0"/>
              <w:rPr>
                <w:sz w:val="20"/>
                <w:szCs w:val="20"/>
                <w:color w:val="auto"/>
              </w:rPr>
            </w:pPr>
            <w:r>
              <w:rPr>
                <w:rFonts w:ascii="Arial" w:cs="Arial" w:eastAsia="Arial" w:hAnsi="Arial"/>
                <w:sz w:val="16"/>
                <w:szCs w:val="16"/>
                <w:color w:val="auto"/>
              </w:rPr>
              <w:t>Sales and other taxes payable</w:t>
            </w:r>
          </w:p>
        </w:tc>
        <w:tc>
          <w:tcPr>
            <w:tcW w:w="8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51,069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48,390</w:t>
            </w:r>
          </w:p>
        </w:tc>
      </w:tr>
      <w:tr>
        <w:trPr>
          <w:trHeight w:val="219"/>
        </w:trPr>
        <w:tc>
          <w:tcPr>
            <w:tcW w:w="4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ESPP contributions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w:t>
            </w:r>
          </w:p>
        </w:tc>
      </w:tr>
      <w:tr>
        <w:trPr>
          <w:trHeight w:val="213"/>
        </w:trPr>
        <w:tc>
          <w:tcPr>
            <w:tcW w:w="4440" w:type="dxa"/>
            <w:vAlign w:val="bottom"/>
          </w:tcPr>
          <w:p>
            <w:pPr>
              <w:ind w:left="660"/>
              <w:spacing w:after="0"/>
              <w:rPr>
                <w:sz w:val="20"/>
                <w:szCs w:val="20"/>
                <w:color w:val="auto"/>
              </w:rPr>
            </w:pPr>
            <w:r>
              <w:rPr>
                <w:rFonts w:ascii="Arial" w:cs="Arial" w:eastAsia="Arial" w:hAnsi="Arial"/>
                <w:sz w:val="16"/>
                <w:szCs w:val="16"/>
                <w:color w:val="auto"/>
              </w:rPr>
              <w:t>Finance lease liability, current</w:t>
            </w:r>
          </w:p>
        </w:tc>
        <w:tc>
          <w:tcPr>
            <w:tcW w:w="8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9,389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9,062</w:t>
            </w:r>
          </w:p>
        </w:tc>
      </w:tr>
      <w:tr>
        <w:trPr>
          <w:trHeight w:val="216"/>
        </w:trPr>
        <w:tc>
          <w:tcPr>
            <w:tcW w:w="4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other expense</w:t>
            </w:r>
          </w:p>
        </w:tc>
        <w:tc>
          <w:tcPr>
            <w:tcW w:w="8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53,821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28,527</w:t>
            </w:r>
          </w:p>
        </w:tc>
      </w:tr>
      <w:tr>
        <w:trPr>
          <w:trHeight w:val="213"/>
        </w:trPr>
        <w:tc>
          <w:tcPr>
            <w:tcW w:w="4440" w:type="dxa"/>
            <w:vAlign w:val="bottom"/>
          </w:tcPr>
          <w:p>
            <w:pPr>
              <w:ind w:left="860"/>
              <w:spacing w:after="0"/>
              <w:rPr>
                <w:sz w:val="20"/>
                <w:szCs w:val="20"/>
                <w:color w:val="auto"/>
              </w:rPr>
            </w:pPr>
            <w:r>
              <w:rPr>
                <w:rFonts w:ascii="Arial" w:cs="Arial" w:eastAsia="Arial" w:hAnsi="Arial"/>
                <w:sz w:val="16"/>
                <w:szCs w:val="16"/>
                <w:color w:val="auto"/>
                <w:w w:val="98"/>
              </w:rPr>
              <w:t>Total accrued expenses and other current liabilities</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293,658</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252,895</w:t>
            </w:r>
          </w:p>
        </w:tc>
      </w:tr>
      <w:tr>
        <w:trPr>
          <w:trHeight w:val="21"/>
        </w:trPr>
        <w:tc>
          <w:tcPr>
            <w:tcW w:w="4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consisted of the following:</w:t>
      </w:r>
    </w:p>
    <w:p>
      <w:pPr>
        <w:spacing w:after="0" w:line="266" w:lineRule="exact"/>
        <w:rPr>
          <w:sz w:val="20"/>
          <w:szCs w:val="20"/>
          <w:color w:val="auto"/>
        </w:rPr>
      </w:pPr>
    </w:p>
    <w:tbl>
      <w:tblPr>
        <w:tblLayout w:type="fixed"/>
        <w:tblInd w:w="160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80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As of</w:t>
            </w:r>
          </w:p>
        </w:tc>
      </w:tr>
      <w:tr>
        <w:trPr>
          <w:trHeight w:val="243"/>
        </w:trPr>
        <w:tc>
          <w:tcPr>
            <w:tcW w:w="4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March 31,</w:t>
            </w:r>
          </w:p>
        </w:tc>
        <w:tc>
          <w:tcPr>
            <w:tcW w:w="800" w:type="dxa"/>
            <w:vAlign w:val="bottom"/>
          </w:tcPr>
          <w:p>
            <w:pPr>
              <w:spacing w:after="0"/>
              <w:rPr>
                <w:sz w:val="21"/>
                <w:szCs w:val="21"/>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45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4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240" w:type="dxa"/>
            <w:vAlign w:val="bottom"/>
          </w:tcPr>
          <w:p>
            <w:pPr>
              <w:spacing w:after="0"/>
              <w:rPr>
                <w:sz w:val="18"/>
                <w:szCs w:val="18"/>
                <w:color w:val="auto"/>
              </w:rPr>
            </w:pPr>
          </w:p>
        </w:tc>
      </w:tr>
      <w:tr>
        <w:trPr>
          <w:trHeight w:val="219"/>
        </w:trPr>
        <w:tc>
          <w:tcPr>
            <w:tcW w:w="4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tax liability</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13,684</w:t>
            </w:r>
          </w:p>
        </w:tc>
      </w:tr>
      <w:tr>
        <w:trPr>
          <w:trHeight w:val="213"/>
        </w:trPr>
        <w:tc>
          <w:tcPr>
            <w:tcW w:w="4500" w:type="dxa"/>
            <w:vAlign w:val="bottom"/>
          </w:tcPr>
          <w:p>
            <w:pPr>
              <w:ind w:left="660"/>
              <w:spacing w:after="0"/>
              <w:rPr>
                <w:sz w:val="20"/>
                <w:szCs w:val="20"/>
                <w:color w:val="auto"/>
              </w:rPr>
            </w:pPr>
            <w:r>
              <w:rPr>
                <w:rFonts w:ascii="Arial" w:cs="Arial" w:eastAsia="Arial" w:hAnsi="Arial"/>
                <w:sz w:val="16"/>
                <w:szCs w:val="16"/>
                <w:color w:val="auto"/>
              </w:rPr>
              <w:t>Acquisition holdback</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8,751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8,800</w:t>
            </w:r>
          </w:p>
        </w:tc>
      </w:tr>
      <w:tr>
        <w:trPr>
          <w:trHeight w:val="216"/>
        </w:trPr>
        <w:tc>
          <w:tcPr>
            <w:tcW w:w="4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other expenses</w:t>
            </w:r>
          </w:p>
        </w:tc>
        <w:tc>
          <w:tcPr>
            <w:tcW w:w="8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14,842</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14,149</w:t>
            </w:r>
          </w:p>
        </w:tc>
      </w:tr>
      <w:tr>
        <w:trPr>
          <w:trHeight w:val="212"/>
        </w:trPr>
        <w:tc>
          <w:tcPr>
            <w:tcW w:w="4500" w:type="dxa"/>
            <w:vAlign w:val="bottom"/>
          </w:tcPr>
          <w:p>
            <w:pPr>
              <w:ind w:left="860"/>
              <w:spacing w:after="0"/>
              <w:rPr>
                <w:sz w:val="20"/>
                <w:szCs w:val="20"/>
                <w:color w:val="auto"/>
              </w:rPr>
            </w:pPr>
            <w:r>
              <w:rPr>
                <w:rFonts w:ascii="Arial" w:cs="Arial" w:eastAsia="Arial" w:hAnsi="Arial"/>
                <w:sz w:val="16"/>
                <w:szCs w:val="16"/>
                <w:color w:val="auto"/>
              </w:rPr>
              <w:t>Total other long-term liabilities</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42,624</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36,633</w:t>
            </w:r>
          </w:p>
        </w:tc>
      </w:tr>
      <w:tr>
        <w:trPr>
          <w:trHeight w:val="21"/>
        </w:trPr>
        <w:tc>
          <w:tcPr>
            <w:tcW w:w="4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224"/>
        </w:trPr>
        <w:tc>
          <w:tcPr>
            <w:tcW w:w="4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800" w:type="dxa"/>
            <w:vAlign w:val="bottom"/>
          </w:tcPr>
          <w:p>
            <w:pPr>
              <w:spacing w:after="0"/>
              <w:rPr>
                <w:sz w:val="19"/>
                <w:szCs w:val="19"/>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4"/>
              </w:rPr>
              <w:t>As of</w:t>
            </w:r>
          </w:p>
        </w:tc>
      </w:tr>
      <w:tr>
        <w:trPr>
          <w:trHeight w:val="243"/>
        </w:trPr>
        <w:tc>
          <w:tcPr>
            <w:tcW w:w="4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March 31,</w:t>
            </w:r>
          </w:p>
        </w:tc>
        <w:tc>
          <w:tcPr>
            <w:tcW w:w="800" w:type="dxa"/>
            <w:vAlign w:val="bottom"/>
          </w:tcPr>
          <w:p>
            <w:pPr>
              <w:spacing w:after="0"/>
              <w:rPr>
                <w:sz w:val="21"/>
                <w:szCs w:val="21"/>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4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4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40" w:type="dxa"/>
            <w:vAlign w:val="bottom"/>
            <w:gridSpan w:val="3"/>
          </w:tcPr>
          <w:p>
            <w:pPr>
              <w:jc w:val="right"/>
              <w:ind w:right="39"/>
              <w:spacing w:after="0"/>
              <w:rPr>
                <w:sz w:val="20"/>
                <w:szCs w:val="20"/>
                <w:color w:val="auto"/>
              </w:rPr>
            </w:pPr>
            <w:r>
              <w:rPr>
                <w:rFonts w:ascii="Arial" w:cs="Arial" w:eastAsia="Arial" w:hAnsi="Arial"/>
                <w:sz w:val="16"/>
                <w:szCs w:val="16"/>
                <w:color w:val="auto"/>
              </w:rPr>
              <w:t>(In thousands)</w:t>
            </w:r>
          </w:p>
        </w:tc>
        <w:tc>
          <w:tcPr>
            <w:tcW w:w="1200" w:type="dxa"/>
            <w:vAlign w:val="bottom"/>
          </w:tcPr>
          <w:p>
            <w:pPr>
              <w:spacing w:after="0"/>
              <w:rPr>
                <w:sz w:val="18"/>
                <w:szCs w:val="18"/>
                <w:color w:val="auto"/>
              </w:rPr>
            </w:pPr>
          </w:p>
        </w:tc>
      </w:tr>
      <w:tr>
        <w:trPr>
          <w:trHeight w:val="219"/>
        </w:trPr>
        <w:tc>
          <w:tcPr>
            <w:tcW w:w="4260" w:type="dxa"/>
            <w:vAlign w:val="bottom"/>
            <w:shd w:val="clear" w:color="auto" w:fill="CCEEFF"/>
          </w:tcPr>
          <w:p>
            <w:pPr>
              <w:ind w:left="680"/>
              <w:spacing w:after="0" w:line="219" w:lineRule="exact"/>
              <w:rPr>
                <w:sz w:val="20"/>
                <w:szCs w:val="20"/>
                <w:color w:val="auto"/>
              </w:rPr>
            </w:pPr>
            <w:r>
              <w:rPr>
                <w:rFonts w:ascii="Arial" w:cs="Arial" w:eastAsia="Arial" w:hAnsi="Arial"/>
                <w:sz w:val="16"/>
                <w:szCs w:val="16"/>
                <w:b w:val="1"/>
                <w:bCs w:val="1"/>
                <w:color w:val="auto"/>
              </w:rPr>
              <w:t xml:space="preserve">2029 Senior Notes </w:t>
            </w:r>
            <w:r>
              <w:rPr>
                <w:rFonts w:ascii="Arial" w:cs="Arial" w:eastAsia="Arial" w:hAnsi="Arial"/>
                <w:sz w:val="21"/>
                <w:szCs w:val="21"/>
                <w:b w:val="1"/>
                <w:bCs w:val="1"/>
                <w:color w:val="auto"/>
                <w:vertAlign w:val="superscript"/>
              </w:rPr>
              <w:t>(1)</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4260" w:type="dxa"/>
            <w:vAlign w:val="bottom"/>
          </w:tcPr>
          <w:p>
            <w:pPr>
              <w:ind w:left="780"/>
              <w:spacing w:after="0"/>
              <w:rPr>
                <w:sz w:val="20"/>
                <w:szCs w:val="20"/>
                <w:color w:val="auto"/>
              </w:rPr>
            </w:pPr>
            <w:r>
              <w:rPr>
                <w:rFonts w:ascii="Arial" w:cs="Arial" w:eastAsia="Arial" w:hAnsi="Arial"/>
                <w:sz w:val="16"/>
                <w:szCs w:val="16"/>
                <w:color w:val="auto"/>
              </w:rPr>
              <w:t>Principal</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Unamortized discount</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Unamortized issuance costs</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carrying amount</w:t>
            </w:r>
          </w:p>
        </w:tc>
        <w:tc>
          <w:tcPr>
            <w:tcW w:w="8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492,578</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260" w:type="dxa"/>
            <w:vAlign w:val="bottom"/>
          </w:tcPr>
          <w:p>
            <w:pPr>
              <w:ind w:left="680"/>
              <w:spacing w:after="0" w:line="196" w:lineRule="exact"/>
              <w:rPr>
                <w:sz w:val="20"/>
                <w:szCs w:val="20"/>
                <w:color w:val="auto"/>
              </w:rPr>
            </w:pPr>
            <w:r>
              <w:rPr>
                <w:rFonts w:ascii="Arial" w:cs="Arial" w:eastAsia="Arial" w:hAnsi="Arial"/>
                <w:sz w:val="16"/>
                <w:szCs w:val="16"/>
                <w:b w:val="1"/>
                <w:bCs w:val="1"/>
                <w:color w:val="auto"/>
              </w:rPr>
              <w:t xml:space="preserve">2031 Senior Notes </w:t>
            </w:r>
            <w:r>
              <w:rPr>
                <w:rFonts w:ascii="Arial" w:cs="Arial" w:eastAsia="Arial" w:hAnsi="Arial"/>
                <w:sz w:val="21"/>
                <w:szCs w:val="21"/>
                <w:b w:val="1"/>
                <w:bCs w:val="1"/>
                <w:color w:val="auto"/>
                <w:vertAlign w:val="superscript"/>
              </w:rPr>
              <w:t>(1)</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Principal</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780"/>
              <w:spacing w:after="0"/>
              <w:rPr>
                <w:sz w:val="20"/>
                <w:szCs w:val="20"/>
                <w:color w:val="auto"/>
              </w:rPr>
            </w:pPr>
            <w:r>
              <w:rPr>
                <w:rFonts w:ascii="Arial" w:cs="Arial" w:eastAsia="Arial" w:hAnsi="Arial"/>
                <w:sz w:val="16"/>
                <w:szCs w:val="16"/>
                <w:color w:val="auto"/>
              </w:rPr>
              <w:t>Unamortized discount</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Unamortized issuance costs</w:t>
            </w:r>
          </w:p>
        </w:tc>
        <w:tc>
          <w:tcPr>
            <w:tcW w:w="8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26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carrying amount</w:t>
            </w: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492,565</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260" w:type="dxa"/>
            <w:vAlign w:val="bottom"/>
            <w:shd w:val="clear" w:color="auto" w:fill="CCEEFF"/>
          </w:tcPr>
          <w:p>
            <w:pPr>
              <w:ind w:left="680"/>
              <w:spacing w:after="0" w:line="199" w:lineRule="exact"/>
              <w:rPr>
                <w:sz w:val="20"/>
                <w:szCs w:val="20"/>
                <w:color w:val="auto"/>
              </w:rPr>
            </w:pPr>
            <w:r>
              <w:rPr>
                <w:rFonts w:ascii="Arial" w:cs="Arial" w:eastAsia="Arial" w:hAnsi="Arial"/>
                <w:sz w:val="16"/>
                <w:szCs w:val="16"/>
                <w:b w:val="1"/>
                <w:bCs w:val="1"/>
                <w:color w:val="auto"/>
              </w:rPr>
              <w:t xml:space="preserve">Convertible Senior Notes </w:t>
            </w:r>
            <w:r>
              <w:rPr>
                <w:rFonts w:ascii="Arial" w:cs="Arial" w:eastAsia="Arial" w:hAnsi="Arial"/>
                <w:sz w:val="21"/>
                <w:szCs w:val="21"/>
                <w:b w:val="1"/>
                <w:bCs w:val="1"/>
                <w:color w:val="auto"/>
                <w:vertAlign w:val="superscript"/>
              </w:rPr>
              <w:t>(2)</w:t>
            </w: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4260" w:type="dxa"/>
            <w:vAlign w:val="bottom"/>
          </w:tcPr>
          <w:p>
            <w:pPr>
              <w:ind w:left="780"/>
              <w:spacing w:after="0"/>
              <w:rPr>
                <w:sz w:val="20"/>
                <w:szCs w:val="20"/>
                <w:color w:val="auto"/>
              </w:rPr>
            </w:pPr>
            <w:r>
              <w:rPr>
                <w:rFonts w:ascii="Arial" w:cs="Arial" w:eastAsia="Arial" w:hAnsi="Arial"/>
                <w:sz w:val="16"/>
                <w:szCs w:val="16"/>
                <w:color w:val="auto"/>
              </w:rPr>
              <w:t>Principal</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261,570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343,702</w:t>
            </w:r>
          </w:p>
        </w:tc>
      </w:tr>
      <w:tr>
        <w:trPr>
          <w:trHeight w:val="219"/>
        </w:trPr>
        <w:tc>
          <w:tcPr>
            <w:tcW w:w="4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Unamortized discount</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(38,406)</w:t>
            </w:r>
          </w:p>
        </w:tc>
      </w:tr>
      <w:tr>
        <w:trPr>
          <w:trHeight w:val="213"/>
        </w:trPr>
        <w:tc>
          <w:tcPr>
            <w:tcW w:w="42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Unamortized issuance costs</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w:t>
            </w:r>
          </w:p>
        </w:tc>
      </w:tr>
      <w:tr>
        <w:trPr>
          <w:trHeight w:val="210"/>
        </w:trPr>
        <w:tc>
          <w:tcPr>
            <w:tcW w:w="42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carrying amount</w:t>
            </w:r>
          </w:p>
        </w:tc>
        <w:tc>
          <w:tcPr>
            <w:tcW w:w="8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232,905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302,068</w:t>
            </w:r>
          </w:p>
        </w:tc>
      </w:tr>
      <w:tr>
        <w:trPr>
          <w:trHeight w:val="213"/>
        </w:trPr>
        <w:tc>
          <w:tcPr>
            <w:tcW w:w="4260" w:type="dxa"/>
            <w:vAlign w:val="bottom"/>
          </w:tcPr>
          <w:p>
            <w:pPr>
              <w:ind w:left="1000"/>
              <w:spacing w:after="0"/>
              <w:rPr>
                <w:sz w:val="20"/>
                <w:szCs w:val="20"/>
                <w:color w:val="auto"/>
              </w:rPr>
            </w:pPr>
            <w:r>
              <w:rPr>
                <w:rFonts w:ascii="Arial" w:cs="Arial" w:eastAsia="Arial" w:hAnsi="Arial"/>
                <w:sz w:val="16"/>
                <w:szCs w:val="16"/>
                <w:color w:val="auto"/>
              </w:rPr>
              <w:t>Total long-term debt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1,218,048</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302,068</w:t>
            </w:r>
          </w:p>
        </w:tc>
      </w:tr>
      <w:tr>
        <w:trPr>
          <w:trHeight w:val="20"/>
        </w:trPr>
        <w:tc>
          <w:tcPr>
            <w:tcW w:w="4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680" w:hanging="186"/>
        <w:spacing w:after="0"/>
        <w:tabs>
          <w:tab w:leader="none" w:pos="680"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7"/>
          <w:szCs w:val="17"/>
          <w:b w:val="1"/>
          <w:bCs w:val="1"/>
          <w:color w:val="auto"/>
        </w:rPr>
        <w:t>2029 and 2031 Senior Notes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March 2021, the Company issued $1.0 billion aggregate principal amount of senior notes, consisting of $500.0 million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3.625% notes due 2029 (the “2029 Notes”) and $500.0 million principal amount of 3.875% notes due 2031 (the “2031 Notes,” and together with the 2029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the “Notes”). Initially, none of the Company's subsidiaries guaranteed the Notes. However, under certain circumstances in the future the Notes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guaranteed by each of the Company's material domestic subsidiaries. The 2029 Notes and 2031 Notes will mature on March 15, 2029, and March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2031, respectively. Interest payments are payable semi-annually in arrears on March 15 and September 15 of each year, commencing on September 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aggregate net proceeds from offering of the Notes were approximately $985.1 million, after deducting underwriting discounts and issuance costs, paid and payable by the Company. The issuance costs of $2.4 million will be amortized into interest expense using the effective interest method over the term of the Notes.</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may voluntarily redeem the 2029 Notes, in whole or in part, under the following circumstances:</w:t>
      </w:r>
    </w:p>
    <w:p>
      <w:pPr>
        <w:spacing w:after="0" w:line="225" w:lineRule="exact"/>
        <w:rPr>
          <w:sz w:val="20"/>
          <w:szCs w:val="20"/>
          <w:color w:val="auto"/>
        </w:rPr>
      </w:pPr>
    </w:p>
    <w:p>
      <w:pPr>
        <w:ind w:left="1300" w:right="60" w:hanging="482"/>
        <w:spacing w:after="0" w:line="257"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prior to March 15, 2024 with the net cash proceeds received by the Company from an equity offering at a redemption price equal to 103.625% of the principal amount, provided the aggregate principal amount of all such redemptions does not exceed 40% of the original aggregate principal amount of the 2029 Notes. Such redemption shall occur within 180 days after the closing of an equity offering and at least 50% of the then-outstanding aggregate principal amount of the 2029 Notes shall remain outstanding, unless all 2029 Notes are redeemed concurrently;</w:t>
      </w:r>
    </w:p>
    <w:p>
      <w:pPr>
        <w:spacing w:after="0" w:line="18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prior to March 15, 2024 at 100% of the principal amount, plus a “make-whole” premium;</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on or after March 15, 2024 at a prepayment price equal to 101.813% of the principal amount;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on or after March 15, 2025 at a prepayment price equal to 100.906% of the principal amount; and</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on or after March 15, 2026 at a prepayment price equal to 100.000% of the principal amount;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each case, the redemption will include the accrued and unpaid interest, as applicable.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may voluntarily redeem the 2031 Notes, in whole or in part, under the following circumstances:</w:t>
      </w:r>
    </w:p>
    <w:p>
      <w:pPr>
        <w:spacing w:after="0" w:line="225" w:lineRule="exact"/>
        <w:rPr>
          <w:sz w:val="20"/>
          <w:szCs w:val="20"/>
          <w:color w:val="auto"/>
        </w:rPr>
      </w:pPr>
    </w:p>
    <w:p>
      <w:pPr>
        <w:ind w:left="1300" w:right="80" w:hanging="482"/>
        <w:spacing w:after="0" w:line="257" w:lineRule="auto"/>
        <w:tabs>
          <w:tab w:leader="none" w:pos="12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prior to March 15, 2024 with the net cash proceeds received by the Company from an equity offering at a redemption price equal to 103.875% of the principal amount, provided the aggregate principal amount of all such redemptions does not to exceed 40% of the original aggregate principal amount of the 2031 Notes. Such redemption shall occur within 180 days after the closing of an equity offering and at least 50% of the then-outstanding aggregate principal amount of the 2031 Notes shall remain outstanding, unless all 2031 Notes are redeemed concurrently;</w:t>
      </w:r>
    </w:p>
    <w:p>
      <w:pPr>
        <w:spacing w:after="0" w:line="18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prior to March 15, 2026 at 100% of the principal amount, plus a “make-whole” premium;</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on or after March 15, 2026 at a prepayment price equal to 101.938% of the principal amount;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on or after March 15, 2027 at a prepayment price equal to 101.292% of the principal amount;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on or after March 15, 2028 at a prepayment price equal to 100.646% of the principal amount; and</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on or after March 15, 2029 at a prepayment price equal to 100.000% of the principal amount;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each case, the redemption will include accrued and unpaid interest, as applicable.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Notes are unsecured obligations and will rank senior in right of payment to any of the Company’s indebtedness that is expressly subordinated in right of payment to the Notes that the Company may incur in the future and equal in right of payment with the Company’s existing and future liabilities that are not subordinated.</w:t>
      </w:r>
    </w:p>
    <w:p>
      <w:pPr>
        <w:spacing w:after="0" w:line="184"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In certain circumstances involving a change of control event, the Company will be required to make an offer to repurchase all, or, at the holder's option, any part, of each holder's notes of that series at 101% of the aggregate principal amount, plus accrued and unpaid interest, as applicable.</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indenture governing the Notes (the “Indenture”) contains covenants limiting the Company's ability and the ability of its subsidiaries to: (i) 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the three months ended March 31, 2021, the interest expense recognized related to the 2029 Notes and 2031 Notes was as follows:</w:t>
      </w:r>
    </w:p>
    <w:p>
      <w:pPr>
        <w:spacing w:after="0" w:line="278"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2029 Notes</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2031 Notes</w:t>
            </w:r>
          </w:p>
        </w:tc>
      </w:tr>
      <w:tr>
        <w:trPr>
          <w:trHeight w:val="210"/>
        </w:trPr>
        <w:tc>
          <w:tcPr>
            <w:tcW w:w="4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8"/>
                <w:szCs w:val="18"/>
                <w:color w:val="auto"/>
              </w:rPr>
            </w:pPr>
          </w:p>
        </w:tc>
      </w:tr>
      <w:tr>
        <w:trPr>
          <w:trHeight w:val="219"/>
        </w:trPr>
        <w:tc>
          <w:tcPr>
            <w:tcW w:w="4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Contractual interest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r>
      <w:tr>
        <w:trPr>
          <w:trHeight w:val="213"/>
        </w:trPr>
        <w:tc>
          <w:tcPr>
            <w:tcW w:w="48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Amortization of debt discount and issuance costs</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4"/>
        </w:trPr>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interest expense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the Company was in compliance with all of its financial covenants under the Indenture.</w:t>
      </w:r>
    </w:p>
    <w:p>
      <w:pPr>
        <w:spacing w:after="0" w:line="221"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Convertible Senior Notes and Capped Call Transactions</w:t>
      </w:r>
    </w:p>
    <w:p>
      <w:pPr>
        <w:spacing w:after="0" w:line="20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May 2018, the Company issued $550.0 million aggregate principal amount of 0.25% convertible senior notes due 2023 in a private placement, including $75.0 million aggregate principal amount of such Notes pursuant to the exercise in full of the over-allotment options of the initial purchasers (collectively, the “Convertible Notes”). The interest on the Convertible Notes is payable semi-annually in arrears on June 1 and December 1 of each year, beginning on December 1, 2018.</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Convertible Notes may bear special interest under specified circumstances relating to the Company’s failure to comply with its reporting obligations under the indenture relating to the issuance of Convertible Notes (the “Convertible Notes Indenture”) or if the Convertible Notes are not freely tradeable as required by the Convertible Notes Indenture. The Convertible Notes will mature on June 1, 2023, unless earlier repurchased or redeemed by the Company or converted pursuant to their terms. The total net proceeds from the debt offering, after deducting initial purchaser discounts and debt issuance costs paid by us were approximately $537.0 million.</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Each $1,000 principal amount of the Convertible Notes is initially convertible into 14.104 shares of the Company’s Class A common stock par value $0.001, which is equivalent to an initial conversion price of approximately $70.90 per share. The conversion rate is subject to adjustment upon the occurrence of certain specified events but will not be adjusted for any accrued and unpaid special interest. In addition, upon the occurrence of a make-whole fundamental change, as defined in the Convertible Notes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9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 2023, the Convertible Notes may be convertible at the option of the holders only under the following circumstances:</w:t>
      </w:r>
    </w:p>
    <w:p>
      <w:pPr>
        <w:spacing w:after="0" w:line="170" w:lineRule="exact"/>
        <w:rPr>
          <w:sz w:val="20"/>
          <w:szCs w:val="20"/>
          <w:color w:val="auto"/>
        </w:rPr>
      </w:pPr>
    </w:p>
    <w:p>
      <w:pPr>
        <w:ind w:left="980" w:right="80" w:hanging="324"/>
        <w:spacing w:after="0" w:line="259" w:lineRule="auto"/>
        <w:tabs>
          <w:tab w:leader="none" w:pos="10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any calendar quarter commencing after September 30, 2018, and only during such calendar quarter, if the last reported sale price of the Class A common stock for at least 20 trading days (whether or not consecutive) in a period of 30 consecutive trading days ending on, and including, the last trading day of the immediately preceding calendar quarter is more than or equal to 130% of the conversion price on each applicable trading day;</w:t>
      </w:r>
    </w:p>
    <w:p>
      <w:pPr>
        <w:spacing w:after="0" w:line="186" w:lineRule="exact"/>
        <w:rPr>
          <w:rFonts w:ascii="Arial" w:cs="Arial" w:eastAsia="Arial" w:hAnsi="Arial"/>
          <w:sz w:val="18"/>
          <w:szCs w:val="18"/>
          <w:color w:val="auto"/>
        </w:rPr>
      </w:pPr>
    </w:p>
    <w:p>
      <w:pPr>
        <w:ind w:left="980" w:hanging="324"/>
        <w:spacing w:after="0" w:line="263" w:lineRule="auto"/>
        <w:tabs>
          <w:tab w:leader="none" w:pos="10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five business days period after any five consecutive trading day period in which, for each trading day of that period, the trading price per $1,000 principal amount of Convertible Notes for such trading day was less than 98% of the product of the last reported sale price of the Class A common stock and the conversion rate on each such trading day;</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Company’s notice that it is redeeming any or all of the Convertible Notes;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On or after March 1, 2023, until the close of business on the second scheduled trading day immediately preceding the maturity date, holders of the Convertible Notes may, at their option, convert all or a portion of their Convertible Notes regardless of the foregoing conditions.</w:t>
      </w:r>
    </w:p>
    <w:p>
      <w:pPr>
        <w:spacing w:after="0" w:line="146"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Upon conversion, the Company may pay or deliver, as the case may be, cash, shares of Class A common stock, or a combination of cash and shares of Class A common stock, at the Company’s election. It is the Company’s current intent to settle the principal amount of the Convertible Notes in shares of Class A common stock if a conversion were to occur.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During the three months ended March 31, 2021, the conditional conversion feature of the Convertible Notes was triggered as the last reported sale price of the Company's Class A common stock was more than or equal to 130% of the conversion price for at least 20 trading days (whether or not consecutive) in the period of 30 consecutive trading days ending on March 31, 2021 (the last trading day of the calendar quarter), and therefore the Convertible Notes are currently convertible, in whole or in part, at the option of the holders between April 1, 2021 through June 30, 2021. Whether the Convertible Notes will be convertible following such period will depend on the continued satisfaction of this condition or another conversion condition in the future. The Company continues to classify the Convertible Notes as a long-term liability in its condensed consolidated balance sheet as of March 31, 2021, based on contractual settlement provisions. The Company may redeem the Convertible Notes, in whole or in part, at its option, on or after June 1, 2021 but before the 35th scheduled trading day before the maturity date, at a cash redemption price equal to 100% of the principal amount of the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17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No sinking fund is provided for the Convertible Notes. Upon the occurrence of a fundamental change (as defined in the Convertible Notes Indenture) prior to the maturity date, holders may require the Company to repurchase all or a portion of the Convertible Notes for cash at a price equal to 100% of the principal amount of the Convertible Notes to be repurchased, plus any accrued and unpaid interest to, but excluding, the fundamental change repurchase date.</w:t>
      </w:r>
    </w:p>
    <w:p>
      <w:pPr>
        <w:spacing w:after="0" w:line="187"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The Convertible Notes are senior unsecured obligations and will rank senior in right of payment to any of the Company’s indebtedness that is expressly subordinated in right of payment to the Convertible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5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foregoing description is qualified in its entirety by reference to the text of the Convertible Notes Indenture and the form of 0.25% convertible senior notes due 2023, which were filed as exhibits to the Company's Quarterly Report on Form 10-Q for the quarter ended June 30, 2018 and are incorporated herein by reference.</w:t>
      </w:r>
    </w:p>
    <w:p>
      <w:pPr>
        <w:spacing w:after="0" w:line="184"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accounting for the issuance of the Convertible Notes, the Company separated the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$119.4 million and was determined by deducting the fair value of the liability component from the par value of the Convertible Notes.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5.7% over the contractual terms of the Convertible Notes.</w:t>
      </w:r>
    </w:p>
    <w:p>
      <w:pPr>
        <w:spacing w:after="0" w:line="16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accounting for the transaction costs related to the Convertible Notes, the Company allocated the total amount incurred to the liability and equity components of the Convertible Notes based on the proportion of the proceeds allocated to the debt and equity components. Issuance costs attributable to the liability component were approximately $10.2 million, were recorded as an additional debt discount and are amortized to interest expense using the effective interest method over the contractual terms of the Convertible Notes. Issuance costs attributable to the equity component were netted with the equity component in stockholders’ equity.</w:t>
      </w:r>
    </w:p>
    <w:p>
      <w:pPr>
        <w:spacing w:after="0" w:line="188"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In the three months ended March 31, 2021, the Company converted $82.1 million aggregate principal amount of the Convertible Notes by issuing 1,158,381 shares of its Class A common stock. Of the $422.7 million total value of these transactions, $342.7 million and $80.1 million were allocated to the equity and liability components, respectively, utilizing an effective interest rate to determine the fair value of the liability component. The selected interest rate reflects the Company's incremental borrowing rate, adjusted for the Company's credit standing on nonconvertible debt with similar maturity. The extinguishment of these Convertible Notes resulted in a $7.6 million loss that is included in other expenses, net, in the accompanying condensed consolidated statement of operations.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equity component of the Convertible Notes was as follows:</w:t>
      </w:r>
    </w:p>
    <w:p>
      <w:pPr>
        <w:spacing w:after="0" w:line="280" w:lineRule="exact"/>
        <w:rPr>
          <w:sz w:val="20"/>
          <w:szCs w:val="20"/>
          <w:color w:val="auto"/>
        </w:rPr>
      </w:pPr>
    </w:p>
    <w:tbl>
      <w:tblPr>
        <w:tblLayout w:type="fixed"/>
        <w:tblInd w:w="176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78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March 31,</w:t>
            </w:r>
          </w:p>
        </w:tc>
        <w:tc>
          <w:tcPr>
            <w:tcW w:w="780" w:type="dxa"/>
            <w:vAlign w:val="bottom"/>
          </w:tcPr>
          <w:p>
            <w:pPr>
              <w:spacing w:after="0"/>
              <w:rPr>
                <w:sz w:val="22"/>
                <w:szCs w:val="22"/>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gridSpan w:val="3"/>
          </w:tcPr>
          <w:p>
            <w:pPr>
              <w:ind w:left="1020"/>
              <w:spacing w:after="0"/>
              <w:rPr>
                <w:sz w:val="20"/>
                <w:szCs w:val="20"/>
                <w:color w:val="auto"/>
              </w:rPr>
            </w:pPr>
            <w:r>
              <w:rPr>
                <w:rFonts w:ascii="Arial" w:cs="Arial" w:eastAsia="Arial" w:hAnsi="Arial"/>
                <w:sz w:val="16"/>
                <w:szCs w:val="16"/>
                <w:color w:val="auto"/>
                <w:w w:val="93"/>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40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rPr>
              <w:t>Proceeds allocated to the conversion options (debt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56,801</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74,636</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w:t>
            </w:r>
          </w:p>
        </w:tc>
        <w:tc>
          <w:tcPr>
            <w:tcW w:w="8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Issuance costs</w:t>
            </w: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8"/>
              </w:rPr>
              <w:t>(2,819)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4"/>
              </w:rPr>
              <w:t>(2,819)</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Net carrying amount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53,982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71,817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interest expense recognized related to the Convertible Notes: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6"/>
                <w:szCs w:val="16"/>
                <w:b w:val="1"/>
                <w:bCs w:val="1"/>
                <w:color w:val="auto"/>
                <w:w w:val="97"/>
              </w:rPr>
              <w:t>Three Months Ended</w:t>
            </w:r>
          </w:p>
        </w:tc>
        <w:tc>
          <w:tcPr>
            <w:tcW w:w="860" w:type="dxa"/>
            <w:vAlign w:val="bottom"/>
          </w:tcPr>
          <w:p>
            <w:pPr>
              <w:spacing w:after="0"/>
              <w:rPr>
                <w:sz w:val="16"/>
                <w:szCs w:val="16"/>
                <w:color w:val="auto"/>
              </w:rPr>
            </w:pPr>
          </w:p>
        </w:tc>
      </w:tr>
      <w:tr>
        <w:trPr>
          <w:trHeight w:val="213"/>
        </w:trPr>
        <w:tc>
          <w:tcPr>
            <w:tcW w:w="44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March 31,</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9"/>
        </w:trPr>
        <w:tc>
          <w:tcPr>
            <w:tcW w:w="44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09"/>
        </w:trPr>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gridSpan w:val="4"/>
          </w:tcPr>
          <w:p>
            <w:pPr>
              <w:jc w:val="right"/>
              <w:ind w:right="239"/>
              <w:spacing w:after="0"/>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8"/>
                <w:szCs w:val="18"/>
                <w:color w:val="auto"/>
              </w:rPr>
            </w:pPr>
          </w:p>
        </w:tc>
      </w:tr>
      <w:tr>
        <w:trPr>
          <w:trHeight w:val="219"/>
        </w:trPr>
        <w:tc>
          <w:tcPr>
            <w:tcW w:w="4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Contractual interest expense</w:t>
            </w:r>
          </w:p>
        </w:tc>
        <w:tc>
          <w:tcPr>
            <w:tcW w:w="14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13"/>
        </w:trPr>
        <w:tc>
          <w:tcPr>
            <w:tcW w:w="4440" w:type="dxa"/>
            <w:vAlign w:val="bottom"/>
          </w:tcPr>
          <w:p>
            <w:pPr>
              <w:ind w:left="660"/>
              <w:spacing w:after="0"/>
              <w:rPr>
                <w:sz w:val="20"/>
                <w:szCs w:val="20"/>
                <w:color w:val="auto"/>
              </w:rPr>
            </w:pPr>
            <w:r>
              <w:rPr>
                <w:rFonts w:ascii="Arial" w:cs="Arial" w:eastAsia="Arial" w:hAnsi="Arial"/>
                <w:sz w:val="16"/>
                <w:szCs w:val="16"/>
                <w:color w:val="auto"/>
              </w:rPr>
              <w:t>Amortization of debt issuance costs</w:t>
            </w:r>
          </w:p>
        </w:tc>
        <w:tc>
          <w:tcPr>
            <w:tcW w:w="1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9"/>
        </w:trPr>
        <w:tc>
          <w:tcPr>
            <w:tcW w:w="4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debt discount</w:t>
            </w:r>
          </w:p>
        </w:tc>
        <w:tc>
          <w:tcPr>
            <w:tcW w:w="1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3,028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5,694</w:t>
            </w:r>
          </w:p>
        </w:tc>
      </w:tr>
      <w:tr>
        <w:trPr>
          <w:trHeight w:val="207"/>
        </w:trPr>
        <w:tc>
          <w:tcPr>
            <w:tcW w:w="4440" w:type="dxa"/>
            <w:vAlign w:val="bottom"/>
          </w:tcPr>
          <w:p>
            <w:pPr>
              <w:ind w:left="860"/>
              <w:spacing w:after="0"/>
              <w:rPr>
                <w:sz w:val="20"/>
                <w:szCs w:val="20"/>
                <w:color w:val="auto"/>
              </w:rPr>
            </w:pPr>
            <w:r>
              <w:rPr>
                <w:rFonts w:ascii="Arial" w:cs="Arial" w:eastAsia="Arial" w:hAnsi="Arial"/>
                <w:sz w:val="16"/>
                <w:szCs w:val="16"/>
                <w:color w:val="auto"/>
              </w:rPr>
              <w:t>Total interest expense</w:t>
            </w: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3,457</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6,522</w:t>
            </w:r>
          </w:p>
        </w:tc>
      </w:tr>
      <w:tr>
        <w:trPr>
          <w:trHeight w:val="23"/>
        </w:trPr>
        <w:tc>
          <w:tcPr>
            <w:tcW w:w="44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connection with the offering of the Convertible Notes, the Company entered into privately negotiated capped call transactions with certain counterparties (the “capped calls”). The capped calls each have an initial strike price of approximately $70.90 per share, subject to certain adjustments, which corresponds to the initial conversion price of the Convertible Notes. The capped calls have initial cap prices of $105.04 per share, subject to certain adjustments. The capped calls cover, subject to anti-dilution adjustments, approximately 7,757,200 shares of Class A common stock. The capped calls are generally intended to reduce or offset the potential dilution to the Class A common stock upon any conversion of the Convertible Notes with such reduction or offset, as the case may be, subject to a cap based on the cap price. The capped calls expire on the earlier of (i) the last day on which any convertible securities remain outstanding and (ii) June 1, 2023,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$58.5 million incurred to purchase the capped call transactions was recorded as a reduction to additional paid-in capital in the accompanying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Balance Sheet Information</w:t>
      </w:r>
    </w:p>
    <w:p>
      <w:pPr>
        <w:spacing w:after="0" w:line="229"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A roll</w:t>
      </w:r>
      <w:r>
        <w:rPr>
          <w:rFonts w:ascii="MS PGothic" w:cs="MS PGothic" w:eastAsia="MS PGothic" w:hAnsi="MS PGothic"/>
          <w:sz w:val="18"/>
          <w:szCs w:val="18"/>
          <w:color w:val="auto"/>
        </w:rPr>
        <w:t>‑</w:t>
      </w:r>
      <w:r>
        <w:rPr>
          <w:rFonts w:ascii="Arial" w:cs="Arial" w:eastAsia="Arial" w:hAnsi="Arial"/>
          <w:sz w:val="18"/>
          <w:szCs w:val="18"/>
          <w:color w:val="auto"/>
        </w:rPr>
        <w:t>forward of the Company’s reserves is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(a)</w:t>
            </w:r>
          </w:p>
        </w:tc>
        <w:tc>
          <w:tcPr>
            <w:tcW w:w="492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Pr>
          <w:p>
            <w:pPr>
              <w:spacing w:after="0"/>
              <w:rPr>
                <w:sz w:val="24"/>
                <w:szCs w:val="24"/>
                <w:color w:val="auto"/>
              </w:rPr>
            </w:pPr>
          </w:p>
        </w:tc>
      </w:tr>
      <w:tr>
        <w:trPr>
          <w:trHeight w:val="213"/>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2020</w:t>
            </w:r>
          </w:p>
        </w:tc>
      </w:tr>
      <w:tr>
        <w:trPr>
          <w:trHeight w:val="209"/>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4"/>
          </w:tcPr>
          <w:p>
            <w:pPr>
              <w:jc w:val="right"/>
              <w:ind w:right="279"/>
              <w:spacing w:after="0"/>
              <w:rPr>
                <w:sz w:val="20"/>
                <w:szCs w:val="20"/>
                <w:color w:val="auto"/>
              </w:rPr>
            </w:pPr>
            <w:r>
              <w:rPr>
                <w:rFonts w:ascii="Arial" w:cs="Arial" w:eastAsia="Arial" w:hAnsi="Arial"/>
                <w:sz w:val="16"/>
                <w:szCs w:val="16"/>
                <w:color w:val="auto"/>
              </w:rPr>
              <w:t>(In thousands)</w:t>
            </w:r>
          </w:p>
        </w:tc>
        <w:tc>
          <w:tcPr>
            <w:tcW w:w="82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beginning of period</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6,287</w:t>
            </w:r>
          </w:p>
        </w:tc>
      </w:tr>
      <w:tr>
        <w:trPr>
          <w:trHeight w:val="213"/>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ind w:left="660"/>
              <w:spacing w:after="0"/>
              <w:rPr>
                <w:sz w:val="20"/>
                <w:szCs w:val="20"/>
                <w:color w:val="auto"/>
              </w:rPr>
            </w:pPr>
            <w:r>
              <w:rPr>
                <w:rFonts w:ascii="Arial" w:cs="Arial" w:eastAsia="Arial" w:hAnsi="Arial"/>
                <w:sz w:val="16"/>
                <w:szCs w:val="16"/>
                <w:color w:val="auto"/>
              </w:rPr>
              <w:t>Additions</w:t>
            </w: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ind w:left="219"/>
              <w:spacing w:after="0"/>
              <w:rPr>
                <w:sz w:val="20"/>
                <w:szCs w:val="20"/>
                <w:color w:val="auto"/>
              </w:rPr>
            </w:pPr>
            <w:r>
              <w:rPr>
                <w:rFonts w:ascii="Arial" w:cs="Arial" w:eastAsia="Arial" w:hAnsi="Arial"/>
                <w:sz w:val="16"/>
                <w:szCs w:val="16"/>
                <w:color w:val="auto"/>
                <w:w w:val="89"/>
              </w:rPr>
              <w:t>4,261</w:t>
            </w: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Write-offs</w:t>
            </w:r>
          </w:p>
        </w:tc>
        <w:tc>
          <w:tcPr>
            <w:tcW w:w="1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0"/>
              </w:rPr>
              <w:t>(1,463)</w:t>
            </w:r>
          </w:p>
        </w:tc>
      </w:tr>
      <w:tr>
        <w:trPr>
          <w:trHeight w:val="213"/>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ind w:left="660"/>
              <w:spacing w:after="0"/>
              <w:rPr>
                <w:sz w:val="20"/>
                <w:szCs w:val="20"/>
                <w:color w:val="auto"/>
              </w:rPr>
            </w:pPr>
            <w:r>
              <w:rPr>
                <w:rFonts w:ascii="Arial" w:cs="Arial" w:eastAsia="Arial" w:hAnsi="Arial"/>
                <w:sz w:val="16"/>
                <w:szCs w:val="16"/>
                <w:color w:val="auto"/>
              </w:rPr>
              <w:t>Balance, end of period</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89"/>
              </w:rPr>
              <w:t>9,085</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5"/>
        </w:trPr>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Percentage of revenue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(b)</w:t>
            </w:r>
          </w:p>
        </w:tc>
        <w:tc>
          <w:tcPr>
            <w:tcW w:w="492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Customer credit reserve:</w:t>
            </w: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Pr>
          <w:p>
            <w:pPr>
              <w:spacing w:after="0"/>
              <w:rPr>
                <w:sz w:val="24"/>
                <w:szCs w:val="24"/>
                <w:color w:val="auto"/>
              </w:rPr>
            </w:pPr>
          </w:p>
        </w:tc>
      </w:tr>
      <w:tr>
        <w:trPr>
          <w:trHeight w:val="213"/>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2020</w:t>
            </w:r>
          </w:p>
        </w:tc>
      </w:tr>
      <w:tr>
        <w:trPr>
          <w:trHeight w:val="209"/>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4"/>
          </w:tcPr>
          <w:p>
            <w:pPr>
              <w:jc w:val="right"/>
              <w:ind w:right="279"/>
              <w:spacing w:after="0"/>
              <w:rPr>
                <w:sz w:val="20"/>
                <w:szCs w:val="20"/>
                <w:color w:val="auto"/>
              </w:rPr>
            </w:pPr>
            <w:r>
              <w:rPr>
                <w:rFonts w:ascii="Arial" w:cs="Arial" w:eastAsia="Arial" w:hAnsi="Arial"/>
                <w:sz w:val="16"/>
                <w:szCs w:val="16"/>
                <w:color w:val="auto"/>
              </w:rPr>
              <w:t>(In thousands)</w:t>
            </w:r>
          </w:p>
        </w:tc>
        <w:tc>
          <w:tcPr>
            <w:tcW w:w="82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beginning of period</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16,783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6,784</w:t>
            </w:r>
          </w:p>
        </w:tc>
      </w:tr>
      <w:tr>
        <w:trPr>
          <w:trHeight w:val="213"/>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ind w:left="660"/>
              <w:spacing w:after="0"/>
              <w:rPr>
                <w:sz w:val="20"/>
                <w:szCs w:val="20"/>
                <w:color w:val="auto"/>
              </w:rPr>
            </w:pPr>
            <w:r>
              <w:rPr>
                <w:rFonts w:ascii="Arial" w:cs="Arial" w:eastAsia="Arial" w:hAnsi="Arial"/>
                <w:sz w:val="16"/>
                <w:szCs w:val="16"/>
                <w:color w:val="auto"/>
              </w:rPr>
              <w:t>Additions</w:t>
            </w:r>
          </w:p>
        </w:tc>
        <w:tc>
          <w:tcPr>
            <w:tcW w:w="1100" w:type="dxa"/>
            <w:vAlign w:val="bottom"/>
          </w:tcPr>
          <w:p>
            <w:pPr>
              <w:spacing w:after="0"/>
              <w:rPr>
                <w:sz w:val="18"/>
                <w:szCs w:val="18"/>
                <w:color w:val="auto"/>
              </w:rPr>
            </w:pP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89"/>
              </w:rPr>
              <w:t>15,466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ind w:left="219"/>
              <w:spacing w:after="0"/>
              <w:rPr>
                <w:sz w:val="20"/>
                <w:szCs w:val="20"/>
                <w:color w:val="auto"/>
              </w:rPr>
            </w:pPr>
            <w:r>
              <w:rPr>
                <w:rFonts w:ascii="Arial" w:cs="Arial" w:eastAsia="Arial" w:hAnsi="Arial"/>
                <w:sz w:val="16"/>
                <w:szCs w:val="16"/>
                <w:color w:val="auto"/>
                <w:w w:val="89"/>
              </w:rPr>
              <w:t>8,174</w:t>
            </w: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Deductions against reserve</w:t>
            </w:r>
          </w:p>
        </w:tc>
        <w:tc>
          <w:tcPr>
            <w:tcW w:w="1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6"/>
                <w:szCs w:val="16"/>
                <w:color w:val="auto"/>
                <w:w w:val="90"/>
              </w:rPr>
              <w:t>(14,998)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0"/>
              </w:rPr>
              <w:t>(5,271)</w:t>
            </w:r>
          </w:p>
        </w:tc>
      </w:tr>
      <w:tr>
        <w:trPr>
          <w:trHeight w:val="213"/>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ind w:left="860"/>
              <w:spacing w:after="0"/>
              <w:rPr>
                <w:sz w:val="20"/>
                <w:szCs w:val="20"/>
                <w:color w:val="auto"/>
              </w:rPr>
            </w:pPr>
            <w:r>
              <w:rPr>
                <w:rFonts w:ascii="Arial" w:cs="Arial" w:eastAsia="Arial" w:hAnsi="Arial"/>
                <w:sz w:val="16"/>
                <w:szCs w:val="16"/>
                <w:color w:val="auto"/>
              </w:rPr>
              <w:t>Balance, end of period</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89"/>
              </w:rPr>
              <w:t>17,251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89"/>
              </w:rPr>
              <w:t>9,687</w:t>
            </w:r>
          </w:p>
        </w:tc>
      </w:tr>
      <w:tr>
        <w:trPr>
          <w:trHeight w:val="21"/>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5"/>
        </w:trPr>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Percentage of revenue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by Geographic Area</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Revenue by geographic area is based on the IP address or the mailing address at the time of registration. The following table sets forth revenue by geographic area:</w:t>
      </w:r>
    </w:p>
    <w:p>
      <w:pPr>
        <w:spacing w:after="0" w:line="190" w:lineRule="exact"/>
        <w:rPr>
          <w:sz w:val="20"/>
          <w:szCs w:val="20"/>
          <w:color w:val="auto"/>
        </w:rPr>
      </w:pPr>
    </w:p>
    <w:tbl>
      <w:tblPr>
        <w:tblLayout w:type="fixed"/>
        <w:tblInd w:w="208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16"/>
                <w:szCs w:val="16"/>
                <w:color w:val="auto"/>
              </w:rPr>
            </w:pPr>
          </w:p>
        </w:tc>
      </w:tr>
      <w:tr>
        <w:trPr>
          <w:trHeight w:val="213"/>
        </w:trPr>
        <w:tc>
          <w:tcPr>
            <w:tcW w:w="36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7"/>
        </w:trPr>
        <w:tc>
          <w:tcPr>
            <w:tcW w:w="36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3660" w:type="dxa"/>
            <w:vAlign w:val="bottom"/>
          </w:tcPr>
          <w:p>
            <w:pPr>
              <w:ind w:left="660"/>
              <w:spacing w:after="0"/>
              <w:rPr>
                <w:sz w:val="20"/>
                <w:szCs w:val="20"/>
                <w:color w:val="auto"/>
              </w:rPr>
            </w:pPr>
            <w:r>
              <w:rPr>
                <w:rFonts w:ascii="Arial" w:cs="Arial" w:eastAsia="Arial" w:hAnsi="Arial"/>
                <w:sz w:val="16"/>
                <w:szCs w:val="16"/>
                <w:color w:val="auto"/>
              </w:rPr>
              <w:t>Revenue by geographic area:</w:t>
            </w:r>
          </w:p>
        </w:tc>
        <w:tc>
          <w:tcPr>
            <w:tcW w:w="940" w:type="dxa"/>
            <w:vAlign w:val="bottom"/>
          </w:tcPr>
          <w:p>
            <w:pPr>
              <w:spacing w:after="0"/>
              <w:rPr>
                <w:sz w:val="18"/>
                <w:szCs w:val="18"/>
                <w:color w:val="auto"/>
              </w:rPr>
            </w:pPr>
          </w:p>
        </w:tc>
        <w:tc>
          <w:tcPr>
            <w:tcW w:w="2240" w:type="dxa"/>
            <w:vAlign w:val="bottom"/>
            <w:gridSpan w:val="4"/>
          </w:tcPr>
          <w:p>
            <w:pPr>
              <w:jc w:val="right"/>
              <w:ind w:right="279"/>
              <w:spacing w:after="0"/>
              <w:rPr>
                <w:sz w:val="20"/>
                <w:szCs w:val="20"/>
                <w:color w:val="auto"/>
              </w:rPr>
            </w:pPr>
            <w:r>
              <w:rPr>
                <w:rFonts w:ascii="Arial" w:cs="Arial" w:eastAsia="Arial" w:hAnsi="Arial"/>
                <w:sz w:val="16"/>
                <w:szCs w:val="16"/>
                <w:color w:val="auto"/>
              </w:rPr>
              <w:t>(In thousands)</w:t>
            </w:r>
          </w:p>
        </w:tc>
        <w:tc>
          <w:tcPr>
            <w:tcW w:w="920" w:type="dxa"/>
            <w:vAlign w:val="bottom"/>
          </w:tcPr>
          <w:p>
            <w:pPr>
              <w:spacing w:after="0"/>
              <w:rPr>
                <w:sz w:val="18"/>
                <w:szCs w:val="18"/>
                <w:color w:val="auto"/>
              </w:rPr>
            </w:pPr>
          </w:p>
        </w:tc>
      </w:tr>
      <w:tr>
        <w:trPr>
          <w:trHeight w:val="219"/>
        </w:trPr>
        <w:tc>
          <w:tcPr>
            <w:tcW w:w="36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United States</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261,813</w:t>
            </w:r>
          </w:p>
        </w:tc>
      </w:tr>
      <w:tr>
        <w:trPr>
          <w:trHeight w:val="213"/>
        </w:trPr>
        <w:tc>
          <w:tcPr>
            <w:tcW w:w="366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International</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168,457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103,055</w:t>
            </w:r>
          </w:p>
        </w:tc>
      </w:tr>
      <w:tr>
        <w:trPr>
          <w:trHeight w:val="235"/>
        </w:trPr>
        <w:tc>
          <w:tcPr>
            <w:tcW w:w="3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589,988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364,868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2080" w:type="dxa"/>
        <w:tblCellMar>
          <w:top w:w="0" w:type="dxa"/>
          <w:left w:w="0" w:type="dxa"/>
          <w:bottom w:w="0" w:type="dxa"/>
          <w:right w:w="0" w:type="dxa"/>
        </w:tblCellMar>
      </w:tblPr>
      <w:tr>
        <w:trPr>
          <w:trHeight w:val="209"/>
        </w:trPr>
        <w:tc>
          <w:tcPr>
            <w:tcW w:w="4120" w:type="dxa"/>
            <w:vAlign w:val="bottom"/>
          </w:tcPr>
          <w:p>
            <w:pPr>
              <w:ind w:left="660"/>
              <w:spacing w:after="0"/>
              <w:rPr>
                <w:sz w:val="20"/>
                <w:szCs w:val="20"/>
                <w:color w:val="auto"/>
              </w:rPr>
            </w:pPr>
            <w:r>
              <w:rPr>
                <w:rFonts w:ascii="Arial" w:cs="Arial" w:eastAsia="Arial" w:hAnsi="Arial"/>
                <w:sz w:val="16"/>
                <w:szCs w:val="16"/>
                <w:color w:val="auto"/>
              </w:rPr>
              <w:t>Percentage of revenue by geographic area:</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4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United States</w:t>
            </w: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71</w:t>
            </w:r>
          </w:p>
        </w:tc>
        <w:tc>
          <w:tcPr>
            <w:tcW w:w="9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120" w:type="dxa"/>
            <w:vAlign w:val="bottom"/>
          </w:tcPr>
          <w:p>
            <w:pPr>
              <w:ind w:left="860"/>
              <w:spacing w:after="0"/>
              <w:rPr>
                <w:sz w:val="20"/>
                <w:szCs w:val="20"/>
                <w:color w:val="auto"/>
              </w:rPr>
            </w:pPr>
            <w:r>
              <w:rPr>
                <w:rFonts w:ascii="Arial" w:cs="Arial" w:eastAsia="Arial" w:hAnsi="Arial"/>
                <w:sz w:val="16"/>
                <w:szCs w:val="16"/>
                <w:color w:val="auto"/>
              </w:rPr>
              <w:t>International</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29</w:t>
            </w:r>
          </w:p>
        </w:tc>
        <w:tc>
          <w:tcPr>
            <w:tcW w:w="9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28</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Long-lived assets outside of the United States were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56" w:lineRule="exact"/>
        <w:rPr>
          <w:sz w:val="20"/>
          <w:szCs w:val="20"/>
          <w:color w:val="auto"/>
        </w:rPr>
      </w:pPr>
    </w:p>
    <w:p>
      <w:pPr>
        <w:ind w:left="1300" w:hanging="806"/>
        <w:spacing w:after="0"/>
        <w:tabs>
          <w:tab w:leader="none" w:pos="13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and Other Commitments</w:t>
      </w:r>
    </w:p>
    <w:p>
      <w:pPr>
        <w:spacing w:after="0" w:line="22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entered into various non-cancelable operating lease agreements for its facilities with remaining lease terms from less than one year to eight years. See Note 5 to these condensed consolidated financial statements for additional detail on the Company's operating and finance lease commitments.</w:t>
      </w:r>
    </w:p>
    <w:p>
      <w:pPr>
        <w:spacing w:after="0" w:line="1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Additionally, the Company has noncancellable contractual commitments with its cloud infrastructure provider, network service providers and other vendors. In the three months ended March 31, 2021, the Company entered into several such agreements with terms up to three years for a total purchase commitment of $426.9 million.</w:t>
      </w:r>
    </w:p>
    <w:p>
      <w:pPr>
        <w:spacing w:after="0" w:line="18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February 2021, the Company entered into a Framework Agreement with Syniverse Corporation (“Syniverse”) and Carlyle Partners V Holdings, L.P. (“Carlyle”) (the “Framework Agreement”), pursuant to which Syniverse will issue to the Company shares of Syniverse common stock in consideration for an investment by the Company of up to $750.0 million. In connection with the closing of the investment, the Company and Syniverse will enter into a wholesale agreement, in which Syniverse will process, route and deliver application-to-person messages originating and/or terminating between the Company's customers and mobile network operators. The investment is expected to result in the Company holding a significant minority equity ownership position in Syniverse, subject to certain adjustments based on the terms of the final agreement. This proposed transaction closing is subject to consummation of certain other transactions by Syniverse, as defined in the Framework Agreement, and other customary closing conditions, including regulatory approvals. The closing is expected to occur before the end of 2021. As of March 31, 2021, the Company has deferred $3.3 million of costs related to this proposed transaction that are recorded in prepaid expenses and other current assets in the accompanying condensed consolidated balance sheet.</w:t>
      </w:r>
    </w:p>
    <w:p>
      <w:pPr>
        <w:sectPr>
          <w:pgSz w:w="11900" w:h="16838" w:orient="portrait"/>
          <w:cols w:equalWidth="0" w:num="1">
            <w:col w:w="11200"/>
          </w:cols>
          <w:pgMar w:left="320" w:top="125" w:right="379" w:bottom="1440" w:gutter="0" w:footer="0" w:header="0"/>
        </w:sect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60" w:firstLine="486"/>
        <w:spacing w:after="0" w:line="219" w:lineRule="exact"/>
        <w:rPr>
          <w:sz w:val="20"/>
          <w:szCs w:val="20"/>
          <w:color w:val="auto"/>
        </w:rPr>
      </w:pPr>
      <w:r>
        <w:rPr>
          <w:rFonts w:ascii="Arial" w:cs="Arial" w:eastAsia="Arial" w:hAnsi="Arial"/>
          <w:sz w:val="16"/>
          <w:szCs w:val="16"/>
          <w:color w:val="auto"/>
        </w:rPr>
        <w:t>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6"/>
          <w:szCs w:val="16"/>
          <w:color w:val="auto"/>
        </w:rPr>
        <w:t>‑</w:t>
      </w:r>
      <w:r>
        <w:rPr>
          <w:rFonts w:ascii="Arial" w:cs="Arial" w:eastAsia="Arial" w:hAnsi="Arial"/>
          <w:sz w:val="16"/>
          <w:szCs w:val="16"/>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20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70" w:lineRule="exact"/>
        <w:rPr>
          <w:sz w:val="20"/>
          <w:szCs w:val="20"/>
          <w:color w:val="auto"/>
        </w:rPr>
      </w:pPr>
    </w:p>
    <w:p>
      <w:pPr>
        <w:ind w:left="1300" w:hanging="806"/>
        <w:spacing w:after="0"/>
        <w:tabs>
          <w:tab w:leader="none" w:pos="13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5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and December 31, 2020, no amounts were accrued related to any outstanding indemnification agreements.</w:t>
      </w:r>
    </w:p>
    <w:p>
      <w:pPr>
        <w:spacing w:after="0" w:line="225" w:lineRule="exact"/>
        <w:rPr>
          <w:sz w:val="20"/>
          <w:szCs w:val="20"/>
          <w:color w:val="auto"/>
        </w:rPr>
      </w:pPr>
    </w:p>
    <w:p>
      <w:pPr>
        <w:ind w:left="1300" w:hanging="806"/>
        <w:spacing w:after="0"/>
        <w:tabs>
          <w:tab w:leader="none" w:pos="13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Taxes</w:t>
      </w:r>
    </w:p>
    <w:p>
      <w:pPr>
        <w:spacing w:after="0" w:line="225"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 Company conducts operations in many tax jurisdictions within and outside the United States. In many of these jurisdictions, non-income-based taxes, such as sales, use, telecommunications, and other local taxes are assessed on the Company’s operations. Prior to March 2017, the Company had not billed nor collected these taxes from its customers and, in accordance with U.S. GAAP, recorded a provision for its tax exposure in these jurisdictions when it was both probable that a liability had been incurred and the amount of the exposure could be reasonably estimated. These estimates included several key assumptions including, but not limited to, the taxability of the Company’s services, the jurisdictions in which its management believes it had nexus, and the sourcing of revenues to those jurisdictions. Starting in March 2017, the Company began collecting these taxes from customers in certain jurisdictions and since then has expanded to collect taxes in most jurisdictions where the Company operates. The Company is also in discussions with certain jurisdictions regarding its prior sales and other taxes, if any, that it may owe. In the event any of these jurisdictions disagrees with management’s assumptions and analysis, the assessment of the Company's tax exposure could differ materially from management's current estimates. For example, one jurisdiction has assessed the Company for $38.8 million in taxes, including interest and penalties, which exceeded the $11.5 million the Company had accrued for the period covered by this assessment. The Company believes that this assessment is incorrect and has disputed it, paid the full amount as required by law, and is seeking a refund or settlement. The payment made in excess of the accrued amount is reflected as a deposit in the Company's accompanying condensed consolidated balance sheets. If a reasonable settlement cannot be reached in the near future, the Company will challenge the jurisdiction’s assessment in court. However, litigation is uncertain and a ruling against the Company may adversely affect its financial position and results of operation.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and December 31, 2020, the liability recorded for these taxes was $26.6 million and $25.6 million,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right="9320" w:hanging="492"/>
        <w:spacing w:after="0" w:line="566" w:lineRule="auto"/>
        <w:tabs>
          <w:tab w:leader="none" w:pos="28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ind w:right="200" w:firstLine="486"/>
        <w:spacing w:after="0" w:line="277" w:lineRule="auto"/>
        <w:rPr>
          <w:sz w:val="20"/>
          <w:szCs w:val="20"/>
          <w:color w:val="auto"/>
        </w:rPr>
      </w:pPr>
      <w:r>
        <w:rPr>
          <w:rFonts w:ascii="Arial" w:cs="Arial" w:eastAsia="Arial" w:hAnsi="Arial"/>
          <w:sz w:val="18"/>
          <w:szCs w:val="18"/>
          <w:color w:val="auto"/>
        </w:rPr>
        <w:t>As of March 31, 2021 and December 31, 2020, the Company had authorized 100,000,000 shares of preferred stock, par value $0.001, of which no shares were issued and outstanding.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As of March 31, 2021 and December 31, 2020, the Company had authorized 1,000,000,000 shares of Class A common stock and 100,000,000 shares of Class B common stock, each par value $0.001 per share. As of March 31, 2021, 160,588,258 shares of Class A common stock and 10,343,302 shares of Class B common stock were issued and outstanding. As of December 31, 2020, 153,496,222 shares of Class A common stock and 10,551,302 shares of Class B common stock were issued and outstanding. Holders of Class A and Class B common stock are entitled to one vote per share and 10 votes per share, respectively, and the shares of Class A common stock and Class B common stock are identical, except for voting and conversion rights.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66"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540" w:type="dxa"/>
            <w:vAlign w:val="bottom"/>
            <w:gridSpan w:val="2"/>
          </w:tcPr>
          <w:p>
            <w:pPr>
              <w:jc w:val="center"/>
              <w:ind w:left="279"/>
              <w:spacing w:after="0"/>
              <w:rPr>
                <w:sz w:val="20"/>
                <w:szCs w:val="20"/>
                <w:color w:val="auto"/>
              </w:rPr>
            </w:pPr>
            <w:r>
              <w:rPr>
                <w:rFonts w:ascii="Arial" w:cs="Arial" w:eastAsia="Arial" w:hAnsi="Arial"/>
                <w:sz w:val="16"/>
                <w:szCs w:val="16"/>
                <w:b w:val="1"/>
                <w:bCs w:val="1"/>
                <w:color w:val="auto"/>
                <w:w w:val="84"/>
              </w:rPr>
              <w:t>As of</w:t>
            </w:r>
          </w:p>
        </w:tc>
        <w:tc>
          <w:tcPr>
            <w:tcW w:w="1420" w:type="dxa"/>
            <w:vAlign w:val="bottom"/>
          </w:tcPr>
          <w:p>
            <w:pPr>
              <w:jc w:val="center"/>
              <w:ind w:left="399"/>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540" w:type="dxa"/>
            <w:vAlign w:val="bottom"/>
            <w:gridSpan w:val="2"/>
            <w:vMerge w:val="restart"/>
          </w:tcPr>
          <w:p>
            <w:pPr>
              <w:jc w:val="center"/>
              <w:ind w:left="279"/>
              <w:spacing w:after="0"/>
              <w:rPr>
                <w:sz w:val="20"/>
                <w:szCs w:val="20"/>
                <w:color w:val="auto"/>
              </w:rPr>
            </w:pPr>
            <w:r>
              <w:rPr>
                <w:rFonts w:ascii="Arial" w:cs="Arial" w:eastAsia="Arial" w:hAnsi="Arial"/>
                <w:sz w:val="16"/>
                <w:szCs w:val="16"/>
                <w:b w:val="1"/>
                <w:bCs w:val="1"/>
                <w:color w:val="auto"/>
                <w:w w:val="94"/>
              </w:rPr>
              <w:t>March 31,</w:t>
            </w:r>
          </w:p>
        </w:tc>
        <w:tc>
          <w:tcPr>
            <w:tcW w:w="1420" w:type="dxa"/>
            <w:vAlign w:val="bottom"/>
          </w:tcPr>
          <w:p>
            <w:pPr>
              <w:jc w:val="center"/>
              <w:ind w:left="399"/>
              <w:spacing w:after="0" w:line="168" w:lineRule="exact"/>
              <w:rPr>
                <w:sz w:val="20"/>
                <w:szCs w:val="20"/>
                <w:color w:val="auto"/>
              </w:rPr>
            </w:pPr>
            <w:r>
              <w:rPr>
                <w:rFonts w:ascii="Arial" w:cs="Arial" w:eastAsia="Arial" w:hAnsi="Arial"/>
                <w:sz w:val="16"/>
                <w:szCs w:val="16"/>
                <w:b w:val="1"/>
                <w:bCs w:val="1"/>
                <w:color w:val="auto"/>
                <w:w w:val="90"/>
              </w:rPr>
              <w:t>December</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19"/>
        </w:trPr>
        <w:tc>
          <w:tcPr>
            <w:tcW w:w="57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5,216,385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5,625,735</w:t>
            </w: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Unvested restricted stock units issued and outstanding</w:t>
            </w:r>
          </w:p>
        </w:tc>
        <w:tc>
          <w:tcPr>
            <w:tcW w:w="1420" w:type="dxa"/>
            <w:vAlign w:val="bottom"/>
          </w:tcPr>
          <w:p>
            <w:pPr>
              <w:jc w:val="right"/>
              <w:spacing w:after="0"/>
              <w:rPr>
                <w:sz w:val="20"/>
                <w:szCs w:val="20"/>
                <w:color w:val="auto"/>
              </w:rPr>
            </w:pPr>
            <w:r>
              <w:rPr>
                <w:rFonts w:ascii="Arial" w:cs="Arial" w:eastAsia="Arial" w:hAnsi="Arial"/>
                <w:sz w:val="16"/>
                <w:szCs w:val="16"/>
                <w:color w:val="auto"/>
              </w:rPr>
              <w:t>6,758,222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7,523,882</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A common stock reserved for Twilio.org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685,163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707,265</w:t>
            </w: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Stock-based awards available for grant under 2016 Plan</w:t>
            </w:r>
          </w:p>
        </w:tc>
        <w:tc>
          <w:tcPr>
            <w:tcW w:w="1420" w:type="dxa"/>
            <w:vAlign w:val="bottom"/>
          </w:tcPr>
          <w:p>
            <w:pPr>
              <w:jc w:val="right"/>
              <w:spacing w:after="0"/>
              <w:rPr>
                <w:sz w:val="20"/>
                <w:szCs w:val="20"/>
                <w:color w:val="auto"/>
              </w:rPr>
            </w:pPr>
            <w:r>
              <w:rPr>
                <w:rFonts w:ascii="Arial" w:cs="Arial" w:eastAsia="Arial" w:hAnsi="Arial"/>
                <w:sz w:val="16"/>
                <w:szCs w:val="16"/>
                <w:color w:val="auto"/>
              </w:rPr>
              <w:t>26,871,942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18,942,205</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Stock-based awards available for grant under 2016 ESPP</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6,581,756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4,941,281</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Class A common stock reserved for the convertible senior notes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6,411,350</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7,569,731</w:t>
            </w:r>
          </w:p>
        </w:tc>
        <w:tc>
          <w:tcPr>
            <w:tcW w:w="0" w:type="dxa"/>
            <w:vAlign w:val="bottom"/>
          </w:tcPr>
          <w:p>
            <w:pPr>
              <w:spacing w:after="0"/>
              <w:rPr>
                <w:sz w:val="1"/>
                <w:szCs w:val="1"/>
                <w:color w:val="auto"/>
              </w:rPr>
            </w:pPr>
          </w:p>
        </w:tc>
      </w:tr>
      <w:tr>
        <w:trPr>
          <w:trHeight w:val="238"/>
        </w:trPr>
        <w:tc>
          <w:tcPr>
            <w:tcW w:w="5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52,524,818</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45,310,099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February 2021, the Company completed public equity offerings in which it sold 4,312,500 shares of its Class A common stock at a public offering price of $409.60 per share. The Company received total proceeds of $1.8 billion, net of offering expenses paid and payable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Company's 2016 Stock Option and Incentive Plan (the “2016 Plan”) provides for granting stock options, restricted stock units ("RSU"), restricted stock awards (“RSA”),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7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 also offers an Employee Stock Purchase Plan ("ESPP") to eligible employees. The ESPP provides for separate six-month offering periods beginning in May and November of each year.</w:t>
      </w:r>
    </w:p>
    <w:p>
      <w:pPr>
        <w:spacing w:after="0" w:line="17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On January 1, 2021, the shares available for grant under the 2016 Plan and ESPP were automatically increased by 8,202,376 shares and 1,640,475 shares, respectively.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Stock-options and restricted stock units and awards activity under the Company's equity incentive plans was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0" w:lineRule="exact"/>
        <w:rPr>
          <w:sz w:val="20"/>
          <w:szCs w:val="20"/>
          <w:color w:val="auto"/>
        </w:rPr>
      </w:pPr>
    </w:p>
    <w:tbl>
      <w:tblPr>
        <w:tblLayout w:type="fixed"/>
        <w:tblInd w:w="452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6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Weighted-</w:t>
            </w:r>
          </w:p>
        </w:tc>
        <w:tc>
          <w:tcPr>
            <w:tcW w:w="1700" w:type="dxa"/>
            <w:vAlign w:val="bottom"/>
          </w:tcPr>
          <w:p>
            <w:pPr>
              <w:ind w:left="700"/>
              <w:spacing w:after="0"/>
              <w:rPr>
                <w:sz w:val="20"/>
                <w:szCs w:val="20"/>
                <w:color w:val="auto"/>
              </w:rPr>
            </w:pPr>
            <w:r>
              <w:rPr>
                <w:rFonts w:ascii="Arial" w:cs="Arial" w:eastAsia="Arial" w:hAnsi="Arial"/>
                <w:sz w:val="14"/>
                <w:szCs w:val="14"/>
                <w:b w:val="1"/>
                <w:bCs w:val="1"/>
                <w:color w:val="auto"/>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700" w:type="dxa"/>
            <w:vAlign w:val="bottom"/>
          </w:tcPr>
          <w:p>
            <w:pPr>
              <w:jc w:val="center"/>
              <w:ind w:right="228"/>
              <w:spacing w:after="0" w:line="135"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ind w:left="8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13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 of</w:t>
            </w:r>
          </w:p>
        </w:tc>
        <w:tc>
          <w:tcPr>
            <w:tcW w:w="168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tcPr>
          <w:p>
            <w:pPr>
              <w:jc w:val="center"/>
              <w:ind w:right="228"/>
              <w:spacing w:after="0" w:line="135" w:lineRule="exact"/>
              <w:rPr>
                <w:sz w:val="20"/>
                <w:szCs w:val="20"/>
                <w:color w:val="auto"/>
              </w:rPr>
            </w:pPr>
            <w:r>
              <w:rPr>
                <w:rFonts w:ascii="Arial" w:cs="Arial" w:eastAsia="Arial" w:hAnsi="Arial"/>
                <w:sz w:val="14"/>
                <w:szCs w:val="14"/>
                <w:b w:val="1"/>
                <w:bCs w:val="1"/>
                <w:color w:val="auto"/>
                <w:w w:val="95"/>
              </w:rPr>
              <w:t>remaining</w:t>
            </w: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vMerge w:val="continue"/>
          </w:tcPr>
          <w:p>
            <w:pPr>
              <w:spacing w:after="0"/>
              <w:rPr>
                <w:sz w:val="11"/>
                <w:szCs w:val="11"/>
                <w:color w:val="auto"/>
              </w:rPr>
            </w:pPr>
          </w:p>
        </w:tc>
        <w:tc>
          <w:tcPr>
            <w:tcW w:w="168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85"/>
              </w:rPr>
              <w:t>exercise</w:t>
            </w:r>
          </w:p>
        </w:tc>
        <w:tc>
          <w:tcPr>
            <w:tcW w:w="1700" w:type="dxa"/>
            <w:vAlign w:val="bottom"/>
          </w:tcPr>
          <w:p>
            <w:pPr>
              <w:jc w:val="center"/>
              <w:ind w:right="248"/>
              <w:spacing w:after="0" w:line="135" w:lineRule="exact"/>
              <w:rPr>
                <w:sz w:val="20"/>
                <w:szCs w:val="20"/>
                <w:color w:val="auto"/>
              </w:rPr>
            </w:pPr>
            <w:r>
              <w:rPr>
                <w:rFonts w:ascii="Arial" w:cs="Arial" w:eastAsia="Arial" w:hAnsi="Arial"/>
                <w:sz w:val="14"/>
                <w:szCs w:val="14"/>
                <w:b w:val="1"/>
                <w:bCs w:val="1"/>
                <w:color w:val="auto"/>
                <w:w w:val="92"/>
              </w:rPr>
              <w:t>contractual</w:t>
            </w:r>
          </w:p>
        </w:tc>
        <w:tc>
          <w:tcPr>
            <w:tcW w:w="1460" w:type="dxa"/>
            <w:vAlign w:val="bottom"/>
          </w:tcPr>
          <w:p>
            <w:pPr>
              <w:jc w:val="center"/>
              <w:ind w:left="88"/>
              <w:spacing w:after="0" w:line="13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35"/>
        </w:trPr>
        <w:tc>
          <w:tcPr>
            <w:tcW w:w="13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0"/>
              </w:rPr>
              <w:t>options</w:t>
            </w:r>
          </w:p>
        </w:tc>
        <w:tc>
          <w:tcPr>
            <w:tcW w:w="168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5"/>
              </w:rPr>
              <w:t>price</w:t>
            </w:r>
          </w:p>
        </w:tc>
        <w:tc>
          <w:tcPr>
            <w:tcW w:w="1700" w:type="dxa"/>
            <w:vAlign w:val="bottom"/>
          </w:tcPr>
          <w:p>
            <w:pPr>
              <w:jc w:val="center"/>
              <w:ind w:right="248"/>
              <w:spacing w:after="0" w:line="135" w:lineRule="exact"/>
              <w:rPr>
                <w:sz w:val="20"/>
                <w:szCs w:val="20"/>
                <w:color w:val="auto"/>
              </w:rPr>
            </w:pPr>
            <w:r>
              <w:rPr>
                <w:rFonts w:ascii="Arial" w:cs="Arial" w:eastAsia="Arial" w:hAnsi="Arial"/>
                <w:sz w:val="14"/>
                <w:szCs w:val="14"/>
                <w:b w:val="1"/>
                <w:bCs w:val="1"/>
                <w:color w:val="auto"/>
                <w:w w:val="98"/>
              </w:rPr>
              <w:t>term</w:t>
            </w:r>
          </w:p>
        </w:tc>
        <w:tc>
          <w:tcPr>
            <w:tcW w:w="1460" w:type="dxa"/>
            <w:vAlign w:val="bottom"/>
          </w:tcPr>
          <w:p>
            <w:pPr>
              <w:jc w:val="center"/>
              <w:ind w:left="88"/>
              <w:spacing w:after="0" w:line="135"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86"/>
        </w:trPr>
        <w:tc>
          <w:tcPr>
            <w:tcW w:w="1380" w:type="dxa"/>
            <w:vAlign w:val="bottom"/>
          </w:tcPr>
          <w:p>
            <w:pPr>
              <w:jc w:val="center"/>
              <w:ind w:right="568"/>
              <w:spacing w:after="0"/>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(Per share)</w:t>
            </w:r>
          </w:p>
        </w:tc>
        <w:tc>
          <w:tcPr>
            <w:tcW w:w="1700" w:type="dxa"/>
            <w:vAlign w:val="bottom"/>
          </w:tcPr>
          <w:p>
            <w:pPr>
              <w:jc w:val="center"/>
              <w:ind w:right="228"/>
              <w:spacing w:after="0"/>
              <w:rPr>
                <w:sz w:val="20"/>
                <w:szCs w:val="20"/>
                <w:color w:val="auto"/>
              </w:rPr>
            </w:pPr>
            <w:r>
              <w:rPr>
                <w:rFonts w:ascii="Arial" w:cs="Arial" w:eastAsia="Arial" w:hAnsi="Arial"/>
                <w:sz w:val="14"/>
                <w:szCs w:val="14"/>
                <w:b w:val="1"/>
                <w:bCs w:val="1"/>
                <w:color w:val="auto"/>
                <w:w w:val="96"/>
              </w:rPr>
              <w:t>(In years)</w:t>
            </w:r>
          </w:p>
        </w:tc>
        <w:tc>
          <w:tcPr>
            <w:tcW w:w="146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wp:posOffset>
            </wp:positionV>
            <wp:extent cx="526351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63515"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jc w:val="right"/>
        <w:spacing w:after="0" w:line="237" w:lineRule="auto"/>
        <w:rPr>
          <w:sz w:val="20"/>
          <w:szCs w:val="20"/>
          <w:color w:val="auto"/>
        </w:rPr>
      </w:pPr>
      <w:r>
        <w:rPr>
          <w:rFonts w:ascii="Arial" w:cs="Arial" w:eastAsia="Arial" w:hAnsi="Arial"/>
          <w:sz w:val="16"/>
          <w:szCs w:val="16"/>
          <w:color w:val="auto"/>
        </w:rPr>
        <w:t>Outstanding options as of December 31,</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2020</w:t>
      </w:r>
    </w:p>
    <w:p>
      <w:pPr>
        <w:spacing w:after="0" w:line="1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Granted</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Exercised</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Forfeited and canceled</w:t>
      </w:r>
    </w:p>
    <w:p>
      <w:pPr>
        <w:spacing w:after="0" w:line="2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Outstanding options as of March 31,</w:t>
      </w:r>
    </w:p>
    <w:p>
      <w:pPr>
        <w:ind w:left="760"/>
        <w:spacing w:after="0"/>
        <w:rPr>
          <w:sz w:val="20"/>
          <w:szCs w:val="20"/>
          <w:color w:val="auto"/>
        </w:rPr>
      </w:pPr>
      <w:r>
        <w:rPr>
          <w:rFonts w:ascii="Arial" w:cs="Arial" w:eastAsia="Arial" w:hAnsi="Arial"/>
          <w:sz w:val="16"/>
          <w:szCs w:val="16"/>
          <w:color w:val="auto"/>
        </w:rPr>
        <w:t>2021</w:t>
      </w:r>
    </w:p>
    <w:p>
      <w:pPr>
        <w:spacing w:after="0" w:line="18" w:lineRule="exact"/>
        <w:rPr>
          <w:sz w:val="20"/>
          <w:szCs w:val="20"/>
          <w:color w:val="auto"/>
        </w:rPr>
      </w:pPr>
    </w:p>
    <w:p>
      <w:pPr>
        <w:ind w:left="760" w:right="240" w:firstLine="648"/>
        <w:spacing w:after="0"/>
        <w:rPr>
          <w:sz w:val="20"/>
          <w:szCs w:val="20"/>
          <w:color w:val="auto"/>
        </w:rPr>
      </w:pPr>
      <w:r>
        <w:rPr>
          <w:rFonts w:ascii="Arial" w:cs="Arial" w:eastAsia="Arial" w:hAnsi="Arial"/>
          <w:sz w:val="16"/>
          <w:szCs w:val="16"/>
          <w:color w:val="auto"/>
        </w:rPr>
        <w:t>Options vested and exercisable as of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1"/>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5,070,735</w:t>
            </w:r>
          </w:p>
        </w:tc>
        <w:tc>
          <w:tcPr>
            <w:tcW w:w="100" w:type="dxa"/>
            <w:vAlign w:val="bottom"/>
          </w:tcPr>
          <w:p>
            <w:pPr>
              <w:spacing w:after="0"/>
              <w:rPr>
                <w:sz w:val="24"/>
                <w:szCs w:val="24"/>
                <w:color w:val="auto"/>
              </w:rPr>
            </w:pPr>
          </w:p>
        </w:tc>
        <w:tc>
          <w:tcPr>
            <w:tcW w:w="10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51.71</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left="139"/>
              <w:spacing w:after="0"/>
              <w:rPr>
                <w:sz w:val="20"/>
                <w:szCs w:val="20"/>
                <w:color w:val="auto"/>
              </w:rPr>
            </w:pPr>
            <w:r>
              <w:rPr>
                <w:rFonts w:ascii="Arial" w:cs="Arial" w:eastAsia="Arial" w:hAnsi="Arial"/>
                <w:sz w:val="16"/>
                <w:szCs w:val="16"/>
                <w:color w:val="auto"/>
                <w:w w:val="89"/>
              </w:rPr>
              <w:t>6.85</w:t>
            </w:r>
          </w:p>
        </w:tc>
        <w:tc>
          <w:tcPr>
            <w:tcW w:w="100" w:type="dxa"/>
            <w:vAlign w:val="bottom"/>
          </w:tcPr>
          <w:p>
            <w:pPr>
              <w:spacing w:after="0"/>
              <w:rPr>
                <w:sz w:val="24"/>
                <w:szCs w:val="24"/>
                <w:color w:val="auto"/>
              </w:rPr>
            </w:pPr>
          </w:p>
        </w:tc>
        <w:tc>
          <w:tcPr>
            <w:tcW w:w="640" w:type="dxa"/>
            <w:vAlign w:val="bottom"/>
            <w:tcBorders>
              <w:top w:val="single" w:sz="8" w:color="auto"/>
            </w:tcBorders>
            <w:shd w:val="clear" w:color="auto" w:fill="BFE4FF"/>
          </w:tcPr>
          <w:p>
            <w:pPr>
              <w:spacing w:after="0"/>
              <w:rPr>
                <w:sz w:val="24"/>
                <w:szCs w:val="24"/>
                <w:color w:val="auto"/>
              </w:rPr>
            </w:pPr>
          </w:p>
        </w:tc>
        <w:tc>
          <w:tcPr>
            <w:tcW w:w="700" w:type="dxa"/>
            <w:vAlign w:val="bottom"/>
            <w:tcBorders>
              <w:top w:val="single" w:sz="8" w:color="auto"/>
            </w:tcBorders>
            <w:shd w:val="clear" w:color="auto" w:fill="BFE4FF"/>
          </w:tcPr>
          <w:p>
            <w:pPr>
              <w:jc w:val="right"/>
              <w:ind w:right="5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gridSpan w:val="2"/>
            <w:shd w:val="clear" w:color="auto" w:fill="BFE4FF"/>
          </w:tcPr>
          <w:p>
            <w:pPr>
              <w:jc w:val="right"/>
              <w:ind w:right="80"/>
              <w:spacing w:after="0"/>
              <w:rPr>
                <w:sz w:val="20"/>
                <w:szCs w:val="20"/>
                <w:color w:val="auto"/>
              </w:rPr>
            </w:pPr>
            <w:r>
              <w:rPr>
                <w:rFonts w:ascii="Arial" w:cs="Arial" w:eastAsia="Arial" w:hAnsi="Arial"/>
                <w:sz w:val="16"/>
                <w:szCs w:val="16"/>
                <w:color w:val="auto"/>
                <w:w w:val="95"/>
              </w:rPr>
              <w:t>1,454,222</w:t>
            </w:r>
          </w:p>
        </w:tc>
        <w:tc>
          <w:tcPr>
            <w:tcW w:w="0" w:type="dxa"/>
            <w:vAlign w:val="bottom"/>
          </w:tcPr>
          <w:p>
            <w:pPr>
              <w:spacing w:after="0"/>
              <w:rPr>
                <w:sz w:val="1"/>
                <w:szCs w:val="1"/>
                <w:color w:val="auto"/>
              </w:rPr>
            </w:pPr>
          </w:p>
        </w:tc>
      </w:tr>
      <w:tr>
        <w:trPr>
          <w:trHeight w:val="210"/>
        </w:trPr>
        <w:tc>
          <w:tcPr>
            <w:tcW w:w="1380" w:type="dxa"/>
            <w:vAlign w:val="bottom"/>
          </w:tcPr>
          <w:p>
            <w:pPr>
              <w:jc w:val="right"/>
              <w:spacing w:after="0"/>
              <w:rPr>
                <w:sz w:val="20"/>
                <w:szCs w:val="20"/>
                <w:color w:val="auto"/>
              </w:rPr>
            </w:pPr>
            <w:r>
              <w:rPr>
                <w:rFonts w:ascii="Arial" w:cs="Arial" w:eastAsia="Arial" w:hAnsi="Arial"/>
                <w:sz w:val="16"/>
                <w:szCs w:val="16"/>
                <w:color w:val="auto"/>
              </w:rPr>
              <w:t>108,429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spacing w:after="0"/>
              <w:rPr>
                <w:sz w:val="20"/>
                <w:szCs w:val="20"/>
                <w:color w:val="auto"/>
              </w:rPr>
            </w:pPr>
            <w:r>
              <w:rPr>
                <w:rFonts w:ascii="Arial" w:cs="Arial" w:eastAsia="Arial" w:hAnsi="Arial"/>
                <w:sz w:val="16"/>
                <w:szCs w:val="16"/>
                <w:color w:val="auto"/>
              </w:rPr>
              <w:t>(459,379)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4,661,385</w:t>
            </w: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61.78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center"/>
              <w:ind w:left="139"/>
              <w:spacing w:after="0"/>
              <w:rPr>
                <w:sz w:val="20"/>
                <w:szCs w:val="20"/>
                <w:color w:val="auto"/>
              </w:rPr>
            </w:pPr>
            <w:r>
              <w:rPr>
                <w:rFonts w:ascii="Arial" w:cs="Arial" w:eastAsia="Arial" w:hAnsi="Arial"/>
                <w:sz w:val="16"/>
                <w:szCs w:val="16"/>
                <w:color w:val="auto"/>
                <w:w w:val="89"/>
              </w:rPr>
              <w:t>6.67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1,304,466</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2,609,089</w:t>
            </w: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center"/>
              <w:ind w:left="139"/>
              <w:spacing w:after="0"/>
              <w:rPr>
                <w:sz w:val="20"/>
                <w:szCs w:val="20"/>
                <w:color w:val="auto"/>
              </w:rPr>
            </w:pPr>
            <w:r>
              <w:rPr>
                <w:rFonts w:ascii="Arial" w:cs="Arial" w:eastAsia="Arial" w:hAnsi="Arial"/>
                <w:sz w:val="16"/>
                <w:szCs w:val="16"/>
                <w:color w:val="auto"/>
                <w:w w:val="89"/>
              </w:rPr>
              <w:t>5.35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818,926</w:t>
            </w:r>
          </w:p>
        </w:tc>
        <w:tc>
          <w:tcPr>
            <w:tcW w:w="0" w:type="dxa"/>
            <w:vAlign w:val="bottom"/>
          </w:tcPr>
          <w:p>
            <w:pPr>
              <w:spacing w:after="0"/>
              <w:rPr>
                <w:sz w:val="1"/>
                <w:szCs w:val="1"/>
                <w:color w:val="auto"/>
              </w:rPr>
            </w:pP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3"/>
            <w:vMerge w:val="restart"/>
          </w:tcPr>
          <w:p>
            <w:pPr>
              <w:jc w:val="center"/>
              <w:ind w:left="59"/>
              <w:spacing w:after="0"/>
              <w:rPr>
                <w:sz w:val="20"/>
                <w:szCs w:val="20"/>
                <w:color w:val="auto"/>
              </w:rPr>
            </w:pPr>
            <w:r>
              <w:rPr>
                <w:rFonts w:ascii="Arial" w:cs="Arial" w:eastAsia="Arial" w:hAnsi="Arial"/>
                <w:sz w:val="16"/>
                <w:szCs w:val="16"/>
                <w:b w:val="1"/>
                <w:bCs w:val="1"/>
                <w:color w:val="auto"/>
                <w:w w:val="92"/>
              </w:rPr>
              <w:t>Three Months Ended</w:t>
            </w: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4"/>
              </w:rPr>
              <w:t>March 31,</w:t>
            </w: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60" w:type="dxa"/>
            <w:vAlign w:val="bottom"/>
            <w:gridSpan w:val="6"/>
          </w:tcPr>
          <w:p>
            <w:pPr>
              <w:jc w:val="center"/>
              <w:spacing w:after="0"/>
              <w:rPr>
                <w:sz w:val="20"/>
                <w:szCs w:val="20"/>
                <w:color w:val="auto"/>
              </w:rPr>
            </w:pPr>
            <w:r>
              <w:rPr>
                <w:rFonts w:ascii="Arial" w:cs="Arial" w:eastAsia="Arial" w:hAnsi="Arial"/>
                <w:sz w:val="16"/>
                <w:szCs w:val="16"/>
                <w:color w:val="auto"/>
                <w:w w:val="89"/>
              </w:rPr>
              <w:t>(In thousands, except per share amounts)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-1512570</wp:posOffset>
            </wp:positionV>
            <wp:extent cx="660908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9080" cy="13716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-1238885</wp:posOffset>
            </wp:positionV>
            <wp:extent cx="660908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9080" cy="2400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20" w:space="180"/>
            <w:col w:w="7040"/>
          </w:cols>
          <w:pgMar w:left="320" w:top="125" w:right="339" w:bottom="1440" w:gutter="0" w:footer="0" w:header="0"/>
          <w:type w:val="continuous"/>
        </w:sectPr>
      </w:pPr>
    </w:p>
    <w:tbl>
      <w:tblPr>
        <w:tblLayout w:type="fixed"/>
        <w:tblInd w:w="920" w:type="dxa"/>
        <w:tblCellMar>
          <w:top w:w="0" w:type="dxa"/>
          <w:left w:w="0" w:type="dxa"/>
          <w:bottom w:w="0" w:type="dxa"/>
          <w:right w:w="0" w:type="dxa"/>
        </w:tblCellMar>
      </w:tblPr>
      <w:tr>
        <w:trPr>
          <w:trHeight w:val="222"/>
        </w:trPr>
        <w:tc>
          <w:tcPr>
            <w:tcW w:w="5500" w:type="dxa"/>
            <w:vAlign w:val="bottom"/>
            <w:shd w:val="clear" w:color="auto" w:fill="CCEEFF"/>
          </w:tcPr>
          <w:p>
            <w:pPr>
              <w:ind w:left="660"/>
              <w:spacing w:after="0" w:line="222" w:lineRule="exact"/>
              <w:rPr>
                <w:sz w:val="20"/>
                <w:szCs w:val="20"/>
                <w:color w:val="auto"/>
              </w:rPr>
            </w:pPr>
            <w:r>
              <w:rPr>
                <w:rFonts w:ascii="Arial" w:cs="Arial" w:eastAsia="Arial" w:hAnsi="Arial"/>
                <w:sz w:val="16"/>
                <w:szCs w:val="16"/>
                <w:color w:val="auto"/>
              </w:rPr>
              <w:t xml:space="preserve">Aggregate intrinsic value of stock options exercised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165,559</w:t>
            </w:r>
          </w:p>
        </w:tc>
        <w:tc>
          <w:tcPr>
            <w:tcW w:w="10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68,359</w:t>
            </w:r>
          </w:p>
        </w:tc>
      </w:tr>
      <w:tr>
        <w:trPr>
          <w:trHeight w:val="213"/>
        </w:trPr>
        <w:tc>
          <w:tcPr>
            <w:tcW w:w="5500" w:type="dxa"/>
            <w:vAlign w:val="bottom"/>
          </w:tcPr>
          <w:p>
            <w:pPr>
              <w:ind w:left="660"/>
              <w:spacing w:after="0"/>
              <w:rPr>
                <w:sz w:val="20"/>
                <w:szCs w:val="20"/>
                <w:color w:val="auto"/>
              </w:rPr>
            </w:pPr>
            <w:r>
              <w:rPr>
                <w:rFonts w:ascii="Arial" w:cs="Arial" w:eastAsia="Arial" w:hAnsi="Arial"/>
                <w:sz w:val="16"/>
                <w:szCs w:val="16"/>
                <w:color w:val="auto"/>
              </w:rPr>
              <w:t>Total estimated grant date fair value of options vested</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31,979</w:t>
            </w: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23,335</w:t>
            </w:r>
          </w:p>
        </w:tc>
      </w:tr>
      <w:tr>
        <w:trPr>
          <w:trHeight w:val="219"/>
        </w:trPr>
        <w:tc>
          <w:tcPr>
            <w:tcW w:w="5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Weighted-average grant date fair value per share of options granted</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205.36</w:t>
            </w:r>
          </w:p>
        </w:tc>
        <w:tc>
          <w:tcPr>
            <w:tcW w:w="10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60.47</w:t>
            </w: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right="120"/>
        <w:spacing w:after="0" w:line="220"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9"/>
          <w:szCs w:val="9"/>
          <w:color w:val="auto"/>
        </w:rPr>
        <w:t>1</w:t>
      </w:r>
      <w:r>
        <w:rPr>
          <w:rFonts w:ascii="Arial" w:cs="Arial" w:eastAsia="Arial" w:hAnsi="Arial"/>
          <w:sz w:val="23"/>
          <w:szCs w:val="23"/>
          <w:color w:val="auto"/>
          <w:vertAlign w:val="superscript"/>
        </w:rPr>
        <w:t>)</w:t>
      </w:r>
      <w:r>
        <w:rPr>
          <w:rFonts w:ascii="Arial" w:cs="Arial" w:eastAsia="Arial" w:hAnsi="Arial"/>
          <w:sz w:val="9"/>
          <w:szCs w:val="9"/>
          <w:color w:val="auto"/>
        </w:rPr>
        <w:t xml:space="preserve"> </w:t>
      </w:r>
      <w:r>
        <w:rPr>
          <w:rFonts w:ascii="Arial" w:cs="Arial" w:eastAsia="Arial" w:hAnsi="Arial"/>
          <w:sz w:val="16"/>
          <w:szCs w:val="16"/>
          <w:color w:val="auto"/>
        </w:rPr>
        <w:t>Aggregate intrinsic value represents the difference between the fair value of the Company’s Class A common stock as reported on the New York Stock Exchange</w:t>
      </w:r>
      <w:r>
        <w:rPr>
          <w:rFonts w:ascii="Arial" w:cs="Arial" w:eastAsia="Arial" w:hAnsi="Arial"/>
          <w:sz w:val="9"/>
          <w:szCs w:val="9"/>
          <w:color w:val="auto"/>
        </w:rPr>
        <w:t xml:space="preserve"> </w:t>
      </w:r>
      <w:r>
        <w:rPr>
          <w:rFonts w:ascii="Arial" w:cs="Arial" w:eastAsia="Arial" w:hAnsi="Arial"/>
          <w:sz w:val="16"/>
          <w:szCs w:val="16"/>
          <w:color w:val="auto"/>
        </w:rPr>
        <w:t>and the exercise price of outstanding “in-the-money” options.</w:t>
      </w:r>
    </w:p>
    <w:p>
      <w:pPr>
        <w:spacing w:after="0" w:line="19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Additionally, as of March 31, 2021, the Company had outstanding 555,000 shares of performance-based stock options with a weighted average exercise price of $31.72, of which 543,437 were vested and exercisable. All performance conditions have been met.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240"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ind w:left="760"/>
              <w:spacing w:after="0"/>
              <w:rPr>
                <w:sz w:val="20"/>
                <w:szCs w:val="20"/>
                <w:color w:val="auto"/>
              </w:rPr>
            </w:pPr>
            <w:r>
              <w:rPr>
                <w:rFonts w:ascii="Arial" w:cs="Arial" w:eastAsia="Arial" w:hAnsi="Arial"/>
                <w:sz w:val="14"/>
                <w:szCs w:val="14"/>
                <w:b w:val="1"/>
                <w:bCs w:val="1"/>
                <w:color w:val="auto"/>
              </w:rPr>
              <w:t>Weighted-</w:t>
            </w:r>
          </w:p>
        </w:tc>
        <w:tc>
          <w:tcPr>
            <w:tcW w:w="620" w:type="dxa"/>
            <w:vAlign w:val="bottom"/>
          </w:tcPr>
          <w:p>
            <w:pPr>
              <w:spacing w:after="0"/>
              <w:rPr>
                <w:sz w:val="14"/>
                <w:szCs w:val="14"/>
                <w:color w:val="auto"/>
              </w:rPr>
            </w:pPr>
          </w:p>
        </w:tc>
        <w:tc>
          <w:tcPr>
            <w:tcW w:w="11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160" w:type="dxa"/>
            <w:vAlign w:val="bottom"/>
          </w:tcPr>
          <w:p>
            <w:pPr>
              <w:jc w:val="center"/>
              <w:ind w:left="448"/>
              <w:spacing w:after="0" w:line="13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448"/>
              <w:spacing w:after="0" w:line="135" w:lineRule="exact"/>
              <w:rPr>
                <w:sz w:val="20"/>
                <w:szCs w:val="20"/>
                <w:color w:val="auto"/>
              </w:rPr>
            </w:pPr>
            <w:r>
              <w:rPr>
                <w:rFonts w:ascii="Arial" w:cs="Arial" w:eastAsia="Arial" w:hAnsi="Arial"/>
                <w:sz w:val="14"/>
                <w:szCs w:val="14"/>
                <w:b w:val="1"/>
                <w:bCs w:val="1"/>
                <w:color w:val="auto"/>
                <w:w w:val="94"/>
              </w:rPr>
              <w:t>grant date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jc w:val="center"/>
              <w:ind w:right="544"/>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20" w:type="dxa"/>
            <w:vAlign w:val="bottom"/>
          </w:tcPr>
          <w:p>
            <w:pPr>
              <w:jc w:val="right"/>
              <w:ind w:right="322"/>
              <w:spacing w:after="0" w:line="135"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1"/>
                <w:szCs w:val="11"/>
                <w:color w:val="auto"/>
              </w:rPr>
            </w:pPr>
          </w:p>
        </w:tc>
        <w:tc>
          <w:tcPr>
            <w:tcW w:w="1160" w:type="dxa"/>
            <w:vAlign w:val="bottom"/>
          </w:tcPr>
          <w:p>
            <w:pPr>
              <w:jc w:val="center"/>
              <w:ind w:left="428"/>
              <w:spacing w:after="0" w:line="135" w:lineRule="exact"/>
              <w:rPr>
                <w:sz w:val="20"/>
                <w:szCs w:val="20"/>
                <w:color w:val="auto"/>
              </w:rPr>
            </w:pPr>
            <w:r>
              <w:rPr>
                <w:rFonts w:ascii="Arial" w:cs="Arial" w:eastAsia="Arial" w:hAnsi="Arial"/>
                <w:sz w:val="14"/>
                <w:szCs w:val="14"/>
                <w:b w:val="1"/>
                <w:bCs w:val="1"/>
                <w:color w:val="auto"/>
                <w:w w:val="94"/>
              </w:rPr>
              <w:t>fair value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jc w:val="center"/>
              <w:ind w:right="544"/>
              <w:spacing w:after="0" w:line="135"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Unvested RSUs as of December 31, 2020</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7,523,882</w:t>
            </w:r>
          </w:p>
        </w:tc>
        <w:tc>
          <w:tcPr>
            <w:tcW w:w="1260" w:type="dxa"/>
            <w:vAlign w:val="bottom"/>
            <w:gridSpan w:val="2"/>
            <w:shd w:val="clear" w:color="auto" w:fill="CCEEFF"/>
          </w:tcPr>
          <w:p>
            <w:pPr>
              <w:jc w:val="right"/>
              <w:ind w:right="50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131.76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2,542,858</w:t>
            </w:r>
          </w:p>
        </w:tc>
        <w:tc>
          <w:tcPr>
            <w:tcW w:w="0" w:type="dxa"/>
            <w:vAlign w:val="bottom"/>
          </w:tcPr>
          <w:p>
            <w:pPr>
              <w:spacing w:after="0"/>
              <w:rPr>
                <w:sz w:val="1"/>
                <w:szCs w:val="1"/>
                <w:color w:val="auto"/>
              </w:rPr>
            </w:pPr>
          </w:p>
        </w:tc>
      </w:tr>
      <w:tr>
        <w:trPr>
          <w:trHeight w:val="213"/>
        </w:trPr>
        <w:tc>
          <w:tcPr>
            <w:tcW w:w="5160" w:type="dxa"/>
            <w:vAlign w:val="bottom"/>
          </w:tcPr>
          <w:p>
            <w:pPr>
              <w:ind w:left="700"/>
              <w:spacing w:after="0"/>
              <w:rPr>
                <w:sz w:val="20"/>
                <w:szCs w:val="20"/>
                <w:color w:val="auto"/>
              </w:rPr>
            </w:pPr>
            <w:r>
              <w:rPr>
                <w:rFonts w:ascii="Arial" w:cs="Arial" w:eastAsia="Arial" w:hAnsi="Arial"/>
                <w:sz w:val="16"/>
                <w:szCs w:val="16"/>
                <w:color w:val="auto"/>
              </w:rPr>
              <w:t>Granted</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314,291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5"/>
              </w:rPr>
              <w:t>389.26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(919,022)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Forfeited and canceled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(160,929)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5"/>
              </w:rPr>
              <w:t>124.66</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Unvested RSUs as of March 31, 2021</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6,758,222</w:t>
            </w:r>
          </w:p>
        </w:tc>
        <w:tc>
          <w:tcPr>
            <w:tcW w:w="126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150.39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2,302,932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Additionally, as of March 31, 2021, the Company granted 24,697 shares of RSAs with a weighted average grant date fair value of $359.80 per share and aggregate intrinsic value of $8.9 million.</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March 31, 2021, the Company had 258,554 shares of its Class A common stock in escrow that are subject to future vesting over a period of 2.5 years with a weighted average grant date fair value of $273.38 per share and aggregate intrinsic value of $88.1 million.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total unrecognized compensation cost was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Unrecognized</w:t>
            </w:r>
          </w:p>
        </w:tc>
        <w:tc>
          <w:tcPr>
            <w:tcW w:w="100" w:type="dxa"/>
            <w:vAlign w:val="bottom"/>
          </w:tcPr>
          <w:p>
            <w:pPr>
              <w:spacing w:after="0"/>
              <w:rPr>
                <w:sz w:val="16"/>
                <w:szCs w:val="16"/>
                <w:color w:val="auto"/>
              </w:rPr>
            </w:pPr>
          </w:p>
        </w:tc>
        <w:tc>
          <w:tcPr>
            <w:tcW w:w="1700" w:type="dxa"/>
            <w:vAlign w:val="bottom"/>
          </w:tcPr>
          <w:p>
            <w:pPr>
              <w:jc w:val="center"/>
              <w:ind w:left="3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average remaining</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18"/>
                <w:szCs w:val="18"/>
                <w:color w:val="auto"/>
              </w:rPr>
            </w:pPr>
          </w:p>
        </w:tc>
        <w:tc>
          <w:tcPr>
            <w:tcW w:w="22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Compensation Cost</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700" w:type="dxa"/>
            <w:vAlign w:val="bottom"/>
          </w:tcPr>
          <w:p>
            <w:pPr>
              <w:jc w:val="center"/>
              <w:ind w:left="399"/>
              <w:spacing w:after="0"/>
              <w:rPr>
                <w:sz w:val="20"/>
                <w:szCs w:val="20"/>
                <w:color w:val="auto"/>
              </w:rPr>
            </w:pPr>
            <w:r>
              <w:rPr>
                <w:rFonts w:ascii="Arial" w:cs="Arial" w:eastAsia="Arial" w:hAnsi="Arial"/>
                <w:sz w:val="16"/>
                <w:szCs w:val="16"/>
                <w:color w:val="auto"/>
                <w:w w:val="91"/>
              </w:rPr>
              <w:t>(In years)</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Unvested stock options</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225,119</w:t>
            </w:r>
          </w:p>
        </w:tc>
        <w:tc>
          <w:tcPr>
            <w:tcW w:w="1800" w:type="dxa"/>
            <w:vAlign w:val="bottom"/>
            <w:gridSpan w:val="2"/>
            <w:shd w:val="clear" w:color="auto" w:fill="CCEEFF"/>
          </w:tcPr>
          <w:p>
            <w:pPr>
              <w:jc w:val="center"/>
              <w:ind w:left="479"/>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13"/>
        </w:trPr>
        <w:tc>
          <w:tcPr>
            <w:tcW w:w="4260" w:type="dxa"/>
            <w:vAlign w:val="bottom"/>
          </w:tcPr>
          <w:p>
            <w:pPr>
              <w:ind w:left="500"/>
              <w:spacing w:after="0"/>
              <w:rPr>
                <w:sz w:val="20"/>
                <w:szCs w:val="20"/>
                <w:color w:val="auto"/>
              </w:rPr>
            </w:pPr>
            <w:r>
              <w:rPr>
                <w:rFonts w:ascii="Arial" w:cs="Arial" w:eastAsia="Arial" w:hAnsi="Arial"/>
                <w:sz w:val="16"/>
                <w:szCs w:val="16"/>
                <w:color w:val="auto"/>
              </w:rPr>
              <w:t>Unvested restricted stock units and awards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923,508</w:t>
            </w:r>
          </w:p>
        </w:tc>
        <w:tc>
          <w:tcPr>
            <w:tcW w:w="1800" w:type="dxa"/>
            <w:vAlign w:val="bottom"/>
            <w:gridSpan w:val="2"/>
          </w:tcPr>
          <w:p>
            <w:pPr>
              <w:jc w:val="center"/>
              <w:ind w:left="479"/>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A shares in escrow subject to future vesting</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58,889</w:t>
            </w:r>
          </w:p>
        </w:tc>
        <w:tc>
          <w:tcPr>
            <w:tcW w:w="1800" w:type="dxa"/>
            <w:vAlign w:val="bottom"/>
            <w:gridSpan w:val="2"/>
            <w:shd w:val="clear" w:color="auto" w:fill="CCEEFF"/>
          </w:tcPr>
          <w:p>
            <w:pPr>
              <w:jc w:val="center"/>
              <w:ind w:left="4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ESPP</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w:t>
            </w:r>
          </w:p>
        </w:tc>
        <w:tc>
          <w:tcPr>
            <w:tcW w:w="1800" w:type="dxa"/>
            <w:vAlign w:val="bottom"/>
            <w:tcBorders>
              <w:bottom w:val="single" w:sz="8" w:color="CCEEFF"/>
            </w:tcBorders>
            <w:gridSpan w:val="2"/>
          </w:tcPr>
          <w:p>
            <w:pPr>
              <w:jc w:val="center"/>
              <w:ind w:left="479"/>
              <w:spacing w:after="0"/>
              <w:rPr>
                <w:sz w:val="20"/>
                <w:szCs w:val="20"/>
                <w:color w:val="auto"/>
              </w:rPr>
            </w:pPr>
            <w:r>
              <w:rPr>
                <w:rFonts w:ascii="Arial" w:cs="Arial" w:eastAsia="Arial" w:hAnsi="Arial"/>
                <w:sz w:val="16"/>
                <w:szCs w:val="16"/>
                <w:color w:val="auto"/>
                <w:w w:val="89"/>
              </w:rPr>
              <w:t>0.1</w:t>
            </w:r>
          </w:p>
        </w:tc>
        <w:tc>
          <w:tcPr>
            <w:tcW w:w="0" w:type="dxa"/>
            <w:vAlign w:val="bottom"/>
          </w:tcPr>
          <w:p>
            <w:pPr>
              <w:spacing w:after="0"/>
              <w:rPr>
                <w:sz w:val="1"/>
                <w:szCs w:val="1"/>
                <w:color w:val="auto"/>
              </w:rPr>
            </w:pPr>
          </w:p>
        </w:tc>
      </w:tr>
      <w:tr>
        <w:trPr>
          <w:trHeight w:val="234"/>
        </w:trPr>
        <w:tc>
          <w:tcPr>
            <w:tcW w:w="4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1,209,635</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fair value of employee stock options was estimated on the date of grant using the following assumptions in the Black-Scholes option pricing model:</w:t>
      </w:r>
    </w:p>
    <w:p>
      <w:pPr>
        <w:spacing w:after="0" w:line="207"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w:t>
      </w:r>
    </w:p>
    <w:tbl>
      <w:tblPr>
        <w:tblLayout w:type="fixed"/>
        <w:tblInd w:w="1960" w:type="dxa"/>
        <w:tblCellMar>
          <w:top w:w="0" w:type="dxa"/>
          <w:left w:w="0" w:type="dxa"/>
          <w:bottom w:w="0" w:type="dxa"/>
          <w:right w:w="0" w:type="dxa"/>
        </w:tblCellMar>
      </w:tblPr>
      <w:tr>
        <w:trPr>
          <w:trHeight w:val="198"/>
        </w:trPr>
        <w:tc>
          <w:tcPr>
            <w:tcW w:w="4680" w:type="dxa"/>
            <w:vAlign w:val="bottom"/>
          </w:tcPr>
          <w:p>
            <w:pPr>
              <w:spacing w:after="0"/>
              <w:rPr>
                <w:sz w:val="17"/>
                <w:szCs w:val="17"/>
                <w:color w:val="auto"/>
              </w:rPr>
            </w:pPr>
          </w:p>
        </w:tc>
        <w:tc>
          <w:tcPr>
            <w:tcW w:w="2340" w:type="dxa"/>
            <w:vAlign w:val="bottom"/>
            <w:tcBorders>
              <w:bottom w:val="single" w:sz="8" w:color="auto"/>
            </w:tcBorders>
            <w:gridSpan w:val="3"/>
          </w:tcPr>
          <w:p>
            <w:pPr>
              <w:ind w:left="1460"/>
              <w:spacing w:after="0"/>
              <w:rPr>
                <w:sz w:val="20"/>
                <w:szCs w:val="20"/>
                <w:color w:val="auto"/>
              </w:rPr>
            </w:pPr>
            <w:r>
              <w:rPr>
                <w:rFonts w:ascii="Arial" w:cs="Arial" w:eastAsia="Arial" w:hAnsi="Arial"/>
                <w:sz w:val="16"/>
                <w:szCs w:val="16"/>
                <w:b w:val="1"/>
                <w:bCs w:val="1"/>
                <w:color w:val="auto"/>
              </w:rPr>
              <w:t>March 31,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980"/>
              <w:spacing w:after="0"/>
              <w:rPr>
                <w:sz w:val="20"/>
                <w:szCs w:val="20"/>
                <w:color w:val="auto"/>
              </w:rPr>
            </w:pPr>
            <w:r>
              <w:rPr>
                <w:rFonts w:ascii="Arial" w:cs="Arial" w:eastAsia="Arial" w:hAnsi="Arial"/>
                <w:sz w:val="16"/>
                <w:szCs w:val="16"/>
                <w:b w:val="1"/>
                <w:bCs w:val="1"/>
                <w:color w:val="auto"/>
              </w:rPr>
              <w:t>Employee Stock Options:</w:t>
            </w:r>
          </w:p>
        </w:tc>
        <w:tc>
          <w:tcPr>
            <w:tcW w:w="176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62"/>
        </w:trPr>
        <w:tc>
          <w:tcPr>
            <w:tcW w:w="468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rPr>
              <w:t>Fair value of common stock</w:t>
            </w:r>
          </w:p>
        </w:tc>
        <w:tc>
          <w:tcPr>
            <w:tcW w:w="1760" w:type="dxa"/>
            <w:vAlign w:val="bottom"/>
            <w:shd w:val="clear" w:color="auto" w:fill="CCEEFF"/>
          </w:tcPr>
          <w:p>
            <w:pPr>
              <w:jc w:val="center"/>
              <w:ind w:left="899"/>
              <w:spacing w:after="0" w:line="162" w:lineRule="exact"/>
              <w:rPr>
                <w:sz w:val="20"/>
                <w:szCs w:val="20"/>
                <w:color w:val="auto"/>
              </w:rPr>
            </w:pPr>
            <w:r>
              <w:rPr>
                <w:rFonts w:ascii="Arial" w:cs="Arial" w:eastAsia="Arial" w:hAnsi="Arial"/>
                <w:sz w:val="16"/>
                <w:szCs w:val="16"/>
                <w:color w:val="auto"/>
                <w:w w:val="91"/>
              </w:rPr>
              <w:t>$377.6 -</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left="399"/>
              <w:spacing w:after="0" w:line="162" w:lineRule="exact"/>
              <w:rPr>
                <w:sz w:val="20"/>
                <w:szCs w:val="20"/>
                <w:color w:val="auto"/>
              </w:rPr>
            </w:pPr>
            <w:r>
              <w:rPr>
                <w:rFonts w:ascii="Arial" w:cs="Arial" w:eastAsia="Arial" w:hAnsi="Arial"/>
                <w:sz w:val="16"/>
                <w:szCs w:val="16"/>
                <w:color w:val="auto"/>
                <w:w w:val="91"/>
              </w:rPr>
              <w:t>$117.9 -</w:t>
            </w:r>
          </w:p>
        </w:tc>
        <w:tc>
          <w:tcPr>
            <w:tcW w:w="0" w:type="dxa"/>
            <w:vAlign w:val="bottom"/>
          </w:tcPr>
          <w:p>
            <w:pPr>
              <w:spacing w:after="0"/>
              <w:rPr>
                <w:sz w:val="1"/>
                <w:szCs w:val="1"/>
                <w:color w:val="auto"/>
              </w:rPr>
            </w:pPr>
          </w:p>
        </w:tc>
      </w:tr>
      <w:tr>
        <w:trPr>
          <w:trHeight w:val="212"/>
        </w:trPr>
        <w:tc>
          <w:tcPr>
            <w:tcW w:w="468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$409.2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3"/>
        </w:trPr>
        <w:tc>
          <w:tcPr>
            <w:tcW w:w="4680" w:type="dxa"/>
            <w:vAlign w:val="bottom"/>
          </w:tcPr>
          <w:p>
            <w:pPr>
              <w:ind w:left="980"/>
              <w:spacing w:after="0"/>
              <w:rPr>
                <w:sz w:val="20"/>
                <w:szCs w:val="20"/>
                <w:color w:val="auto"/>
              </w:rPr>
            </w:pPr>
            <w:r>
              <w:rPr>
                <w:rFonts w:ascii="Arial" w:cs="Arial" w:eastAsia="Arial" w:hAnsi="Arial"/>
                <w:sz w:val="16"/>
                <w:szCs w:val="16"/>
                <w:color w:val="auto"/>
              </w:rPr>
              <w:t>Expected term (in years)</w:t>
            </w:r>
          </w:p>
        </w:tc>
        <w:tc>
          <w:tcPr>
            <w:tcW w:w="1760" w:type="dxa"/>
            <w:vAlign w:val="bottom"/>
          </w:tcPr>
          <w:p>
            <w:pPr>
              <w:jc w:val="center"/>
              <w:ind w:left="879"/>
              <w:spacing w:after="0"/>
              <w:rPr>
                <w:sz w:val="20"/>
                <w:szCs w:val="20"/>
                <w:color w:val="auto"/>
              </w:rPr>
            </w:pPr>
            <w:r>
              <w:rPr>
                <w:rFonts w:ascii="Arial" w:cs="Arial" w:eastAsia="Arial" w:hAnsi="Arial"/>
                <w:sz w:val="16"/>
                <w:szCs w:val="16"/>
                <w:color w:val="auto"/>
                <w:w w:val="89"/>
              </w:rPr>
              <w:t>6.08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center"/>
              <w:ind w:left="419"/>
              <w:spacing w:after="0"/>
              <w:rPr>
                <w:sz w:val="20"/>
                <w:szCs w:val="20"/>
                <w:color w:val="auto"/>
              </w:rPr>
            </w:pPr>
            <w:r>
              <w:rPr>
                <w:rFonts w:ascii="Arial" w:cs="Arial" w:eastAsia="Arial" w:hAnsi="Arial"/>
                <w:sz w:val="16"/>
                <w:szCs w:val="16"/>
                <w:color w:val="auto"/>
                <w:w w:val="89"/>
              </w:rPr>
              <w:t>6.08</w:t>
            </w:r>
          </w:p>
        </w:tc>
        <w:tc>
          <w:tcPr>
            <w:tcW w:w="0" w:type="dxa"/>
            <w:vAlign w:val="bottom"/>
          </w:tcPr>
          <w:p>
            <w:pPr>
              <w:spacing w:after="0"/>
              <w:rPr>
                <w:sz w:val="1"/>
                <w:szCs w:val="1"/>
                <w:color w:val="auto"/>
              </w:rPr>
            </w:pPr>
          </w:p>
        </w:tc>
      </w:tr>
      <w:tr>
        <w:trPr>
          <w:trHeight w:val="169"/>
        </w:trPr>
        <w:tc>
          <w:tcPr>
            <w:tcW w:w="468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rPr>
              <w:t>Expected volatility</w:t>
            </w:r>
          </w:p>
        </w:tc>
        <w:tc>
          <w:tcPr>
            <w:tcW w:w="1760" w:type="dxa"/>
            <w:vAlign w:val="bottom"/>
            <w:shd w:val="clear" w:color="auto" w:fill="CCEEFF"/>
          </w:tcPr>
          <w:p>
            <w:pPr>
              <w:jc w:val="center"/>
              <w:ind w:left="879"/>
              <w:spacing w:after="0" w:line="169" w:lineRule="exact"/>
              <w:rPr>
                <w:sz w:val="20"/>
                <w:szCs w:val="20"/>
                <w:color w:val="auto"/>
              </w:rPr>
            </w:pPr>
            <w:r>
              <w:rPr>
                <w:rFonts w:ascii="Arial" w:cs="Arial" w:eastAsia="Arial" w:hAnsi="Arial"/>
                <w:sz w:val="16"/>
                <w:szCs w:val="16"/>
                <w:color w:val="auto"/>
                <w:w w:val="94"/>
              </w:rPr>
              <w:t>58.3% -</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399"/>
              <w:spacing w:after="0"/>
              <w:rPr>
                <w:sz w:val="20"/>
                <w:szCs w:val="20"/>
                <w:color w:val="auto"/>
              </w:rPr>
            </w:pPr>
            <w:r>
              <w:rPr>
                <w:rFonts w:ascii="Arial" w:cs="Arial" w:eastAsia="Arial" w:hAnsi="Arial"/>
                <w:sz w:val="16"/>
                <w:szCs w:val="16"/>
                <w:color w:val="auto"/>
                <w:w w:val="92"/>
              </w:rPr>
              <w:t>51.9%</w:t>
            </w:r>
          </w:p>
        </w:tc>
        <w:tc>
          <w:tcPr>
            <w:tcW w:w="0" w:type="dxa"/>
            <w:vAlign w:val="bottom"/>
          </w:tcPr>
          <w:p>
            <w:pPr>
              <w:spacing w:after="0"/>
              <w:rPr>
                <w:sz w:val="1"/>
                <w:szCs w:val="1"/>
                <w:color w:val="auto"/>
              </w:rPr>
            </w:pPr>
          </w:p>
        </w:tc>
      </w:tr>
      <w:tr>
        <w:trPr>
          <w:trHeight w:val="212"/>
        </w:trPr>
        <w:tc>
          <w:tcPr>
            <w:tcW w:w="468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80" w:type="dxa"/>
            <w:vAlign w:val="bottom"/>
            <w:vMerge w:val="restart"/>
          </w:tcPr>
          <w:p>
            <w:pPr>
              <w:ind w:left="980"/>
              <w:spacing w:after="0"/>
              <w:rPr>
                <w:sz w:val="20"/>
                <w:szCs w:val="20"/>
                <w:color w:val="auto"/>
              </w:rPr>
            </w:pPr>
            <w:r>
              <w:rPr>
                <w:rFonts w:ascii="Arial" w:cs="Arial" w:eastAsia="Arial" w:hAnsi="Arial"/>
                <w:sz w:val="16"/>
                <w:szCs w:val="16"/>
                <w:color w:val="auto"/>
              </w:rPr>
              <w:t>Risk-free interest rate</w:t>
            </w:r>
          </w:p>
        </w:tc>
        <w:tc>
          <w:tcPr>
            <w:tcW w:w="1760" w:type="dxa"/>
            <w:vAlign w:val="bottom"/>
          </w:tcPr>
          <w:p>
            <w:pPr>
              <w:jc w:val="center"/>
              <w:ind w:left="879"/>
              <w:spacing w:after="0" w:line="166" w:lineRule="exact"/>
              <w:rPr>
                <w:sz w:val="20"/>
                <w:szCs w:val="20"/>
                <w:color w:val="auto"/>
              </w:rPr>
            </w:pPr>
            <w:r>
              <w:rPr>
                <w:rFonts w:ascii="Arial" w:cs="Arial" w:eastAsia="Arial" w:hAnsi="Arial"/>
                <w:sz w:val="16"/>
                <w:szCs w:val="16"/>
                <w:color w:val="auto"/>
                <w:w w:val="95"/>
              </w:rPr>
              <w:t>0.8% -</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center"/>
              <w:ind w:left="419"/>
              <w:spacing w:after="0" w:line="166" w:lineRule="exact"/>
              <w:rPr>
                <w:sz w:val="20"/>
                <w:szCs w:val="20"/>
                <w:color w:val="auto"/>
              </w:rPr>
            </w:pPr>
            <w:r>
              <w:rPr>
                <w:rFonts w:ascii="Arial" w:cs="Arial" w:eastAsia="Arial" w:hAnsi="Arial"/>
                <w:sz w:val="16"/>
                <w:szCs w:val="16"/>
                <w:color w:val="auto"/>
                <w:w w:val="95"/>
              </w:rPr>
              <w:t>1.3% -</w:t>
            </w: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6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Dividend rate</w:t>
            </w:r>
          </w:p>
        </w:tc>
        <w:tc>
          <w:tcPr>
            <w:tcW w:w="2340" w:type="dxa"/>
            <w:vAlign w:val="bottom"/>
            <w:gridSpan w:val="3"/>
            <w:shd w:val="clear" w:color="auto" w:fill="CCEEFF"/>
          </w:tcPr>
          <w:p>
            <w:pPr>
              <w:jc w:val="center"/>
              <w:ind w:left="299"/>
              <w:spacing w:after="0"/>
              <w:rPr>
                <w:sz w:val="20"/>
                <w:szCs w:val="20"/>
                <w:color w:val="auto"/>
              </w:rPr>
            </w:pPr>
            <w:r>
              <w:rPr>
                <w:rFonts w:ascii="Arial" w:cs="Arial" w:eastAsia="Arial" w:hAnsi="Arial"/>
                <w:sz w:val="16"/>
                <w:szCs w:val="16"/>
                <w:color w:val="auto"/>
                <w:w w:val="92"/>
              </w:rPr>
              <w:t>—%</w:t>
            </w:r>
          </w:p>
        </w:tc>
        <w:tc>
          <w:tcPr>
            <w:tcW w:w="130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total stock-based compensation expense as follows:</w:t>
      </w:r>
    </w:p>
    <w:p>
      <w:pPr>
        <w:spacing w:after="0" w:line="244" w:lineRule="exact"/>
        <w:rPr>
          <w:sz w:val="20"/>
          <w:szCs w:val="20"/>
          <w:color w:val="auto"/>
        </w:rPr>
      </w:pPr>
    </w:p>
    <w:tbl>
      <w:tblPr>
        <w:tblLayout w:type="fixed"/>
        <w:tblInd w:w="20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gridSpan w:val="4"/>
          </w:tcPr>
          <w:p>
            <w:pPr>
              <w:jc w:val="center"/>
              <w:ind w:left="119"/>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(In thousands)</w:t>
            </w: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Cost of revenue</w:t>
            </w:r>
          </w:p>
        </w:tc>
        <w:tc>
          <w:tcPr>
            <w:tcW w:w="22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166"/>
        </w:trPr>
        <w:tc>
          <w:tcPr>
            <w:tcW w:w="2360" w:type="dxa"/>
            <w:vAlign w:val="bottom"/>
          </w:tcPr>
          <w:p>
            <w:pPr>
              <w:ind w:left="1140"/>
              <w:spacing w:after="0" w:line="166" w:lineRule="exact"/>
              <w:rPr>
                <w:sz w:val="20"/>
                <w:szCs w:val="20"/>
                <w:color w:val="auto"/>
              </w:rPr>
            </w:pPr>
            <w:r>
              <w:rPr>
                <w:rFonts w:ascii="Arial" w:cs="Arial" w:eastAsia="Arial" w:hAnsi="Arial"/>
                <w:sz w:val="16"/>
                <w:szCs w:val="16"/>
                <w:color w:val="auto"/>
              </w:rPr>
              <w:t>Research and</w:t>
            </w:r>
          </w:p>
        </w:tc>
        <w:tc>
          <w:tcPr>
            <w:tcW w:w="2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56,959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33,209</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6"/>
                <w:szCs w:val="16"/>
                <w:color w:val="auto"/>
              </w:rPr>
              <w:t>development</w:t>
            </w:r>
          </w:p>
        </w:tc>
        <w:tc>
          <w:tcPr>
            <w:tcW w:w="22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ind w:left="1140"/>
              <w:spacing w:after="0" w:line="169" w:lineRule="exact"/>
              <w:rPr>
                <w:sz w:val="20"/>
                <w:szCs w:val="20"/>
                <w:color w:val="auto"/>
              </w:rPr>
            </w:pPr>
            <w:r>
              <w:rPr>
                <w:rFonts w:ascii="Arial" w:cs="Arial" w:eastAsia="Arial" w:hAnsi="Arial"/>
                <w:sz w:val="16"/>
                <w:szCs w:val="16"/>
                <w:color w:val="auto"/>
              </w:rPr>
              <w:t>Sales and</w:t>
            </w:r>
          </w:p>
        </w:tc>
        <w:tc>
          <w:tcPr>
            <w:tcW w:w="22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41,636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marketing</w:t>
            </w:r>
          </w:p>
        </w:tc>
        <w:tc>
          <w:tcPr>
            <w:tcW w:w="22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1140"/>
              <w:spacing w:after="0" w:line="166" w:lineRule="exact"/>
              <w:rPr>
                <w:sz w:val="20"/>
                <w:szCs w:val="20"/>
                <w:color w:val="auto"/>
              </w:rPr>
            </w:pPr>
            <w:r>
              <w:rPr>
                <w:rFonts w:ascii="Arial" w:cs="Arial" w:eastAsia="Arial" w:hAnsi="Arial"/>
                <w:sz w:val="16"/>
                <w:szCs w:val="16"/>
                <w:color w:val="auto"/>
              </w:rPr>
              <w:t>General and</w:t>
            </w:r>
          </w:p>
        </w:tc>
        <w:tc>
          <w:tcPr>
            <w:tcW w:w="2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35,843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14,036</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administrative</w:t>
            </w:r>
          </w:p>
        </w:tc>
        <w:tc>
          <w:tcPr>
            <w:tcW w:w="2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137,155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69,025</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 Attributable to Common Stockholders</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Basic and diluted net loss per common share is presented in conformity with the two-class method required for participating securities and is described in detail in the Company's Annual Report.</w:t>
      </w: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4"/>
          </w:tcPr>
          <w:p>
            <w:pPr>
              <w:ind w:left="700"/>
              <w:spacing w:after="0"/>
              <w:rPr>
                <w:sz w:val="20"/>
                <w:szCs w:val="20"/>
                <w:color w:val="auto"/>
              </w:rPr>
            </w:pPr>
            <w:r>
              <w:rPr>
                <w:rFonts w:ascii="Arial" w:cs="Arial" w:eastAsia="Arial" w:hAnsi="Arial"/>
                <w:sz w:val="16"/>
                <w:szCs w:val="16"/>
                <w:b w:val="1"/>
                <w:bCs w:val="1"/>
                <w:color w:val="auto"/>
                <w:w w:val="96"/>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2"/>
        </w:trPr>
        <w:tc>
          <w:tcPr>
            <w:tcW w:w="4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loss attributable to common stockholders (in thousands)</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(94,791)</w:t>
            </w:r>
          </w:p>
        </w:tc>
        <w:tc>
          <w:tcPr>
            <w:tcW w:w="0" w:type="dxa"/>
            <w:vAlign w:val="bottom"/>
          </w:tcPr>
          <w:p>
            <w:pPr>
              <w:spacing w:after="0"/>
              <w:rPr>
                <w:sz w:val="1"/>
                <w:szCs w:val="1"/>
                <w:color w:val="auto"/>
              </w:rPr>
            </w:pPr>
          </w:p>
        </w:tc>
      </w:tr>
      <w:tr>
        <w:trPr>
          <w:trHeight w:val="139"/>
        </w:trPr>
        <w:tc>
          <w:tcPr>
            <w:tcW w:w="4980" w:type="dxa"/>
            <w:vAlign w:val="bottom"/>
          </w:tcPr>
          <w:p>
            <w:pPr>
              <w:ind w:left="660"/>
              <w:spacing w:after="0" w:line="139" w:lineRule="exact"/>
              <w:rPr>
                <w:sz w:val="20"/>
                <w:szCs w:val="20"/>
                <w:color w:val="auto"/>
              </w:rPr>
            </w:pPr>
            <w:r>
              <w:rPr>
                <w:rFonts w:ascii="Arial" w:cs="Arial" w:eastAsia="Arial" w:hAnsi="Arial"/>
                <w:sz w:val="16"/>
                <w:szCs w:val="16"/>
                <w:color w:val="auto"/>
                <w:w w:val="98"/>
              </w:rPr>
              <w:t>Weighted-average shares used to compute net loss per share</w:t>
            </w: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line="162" w:lineRule="exact"/>
              <w:rPr>
                <w:sz w:val="20"/>
                <w:szCs w:val="20"/>
                <w:color w:val="auto"/>
              </w:rPr>
            </w:pPr>
            <w:r>
              <w:rPr>
                <w:rFonts w:ascii="Arial" w:cs="Arial" w:eastAsia="Arial" w:hAnsi="Arial"/>
                <w:sz w:val="16"/>
                <w:szCs w:val="16"/>
                <w:color w:val="auto"/>
              </w:rPr>
              <w:t>attributable to</w:t>
            </w:r>
          </w:p>
        </w:tc>
        <w:tc>
          <w:tcPr>
            <w:tcW w:w="960" w:type="dxa"/>
            <w:vAlign w:val="bottom"/>
          </w:tcPr>
          <w:p>
            <w:pPr>
              <w:spacing w:after="0"/>
              <w:rPr>
                <w:sz w:val="14"/>
                <w:szCs w:val="14"/>
                <w:color w:val="auto"/>
              </w:rPr>
            </w:pPr>
          </w:p>
        </w:tc>
        <w:tc>
          <w:tcPr>
            <w:tcW w:w="1120" w:type="dxa"/>
            <w:vAlign w:val="bottom"/>
            <w:vMerge w:val="restart"/>
          </w:tcPr>
          <w:p>
            <w:pPr>
              <w:ind w:left="220"/>
              <w:spacing w:after="0"/>
              <w:rPr>
                <w:sz w:val="20"/>
                <w:szCs w:val="20"/>
                <w:color w:val="auto"/>
              </w:rPr>
            </w:pPr>
            <w:r>
              <w:rPr>
                <w:rFonts w:ascii="Arial" w:cs="Arial" w:eastAsia="Arial" w:hAnsi="Arial"/>
                <w:sz w:val="16"/>
                <w:szCs w:val="16"/>
                <w:color w:val="auto"/>
                <w:w w:val="98"/>
              </w:rPr>
              <w:t>167,160,458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w w:val="98"/>
              </w:rPr>
              <w:t>139,231,594</w:t>
            </w:r>
          </w:p>
        </w:tc>
        <w:tc>
          <w:tcPr>
            <w:tcW w:w="0" w:type="dxa"/>
            <w:vAlign w:val="bottom"/>
          </w:tcPr>
          <w:p>
            <w:pPr>
              <w:spacing w:after="0"/>
              <w:rPr>
                <w:sz w:val="1"/>
                <w:szCs w:val="1"/>
                <w:color w:val="auto"/>
              </w:rPr>
            </w:pPr>
          </w:p>
        </w:tc>
      </w:tr>
      <w:tr>
        <w:trPr>
          <w:trHeight w:val="206"/>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stockholders, basic and diluted</w:t>
            </w: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980" w:type="dxa"/>
            <w:vAlign w:val="bottom"/>
            <w:shd w:val="clear" w:color="auto" w:fill="CCEEFF"/>
          </w:tcPr>
          <w:p>
            <w:pPr>
              <w:ind w:left="660"/>
              <w:spacing w:after="0" w:line="152" w:lineRule="exact"/>
              <w:rPr>
                <w:sz w:val="20"/>
                <w:szCs w:val="20"/>
                <w:color w:val="auto"/>
              </w:rPr>
            </w:pPr>
            <w:r>
              <w:rPr>
                <w:rFonts w:ascii="Arial" w:cs="Arial" w:eastAsia="Arial" w:hAnsi="Arial"/>
                <w:sz w:val="16"/>
                <w:szCs w:val="16"/>
                <w:color w:val="auto"/>
                <w:w w:val="98"/>
              </w:rPr>
              <w:t>Net loss per share attributable to common stockholders, basic</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30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As of March 31,</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Stock options issued and outstanding</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5,216,385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7,492,970</w:t>
            </w:r>
          </w:p>
        </w:tc>
        <w:tc>
          <w:tcPr>
            <w:tcW w:w="0" w:type="dxa"/>
            <w:vAlign w:val="bottom"/>
          </w:tcPr>
          <w:p>
            <w:pPr>
              <w:spacing w:after="0"/>
              <w:rPr>
                <w:sz w:val="1"/>
                <w:szCs w:val="1"/>
                <w:color w:val="auto"/>
              </w:rPr>
            </w:pPr>
          </w:p>
        </w:tc>
      </w:tr>
      <w:tr>
        <w:trPr>
          <w:trHeight w:val="213"/>
        </w:trPr>
        <w:tc>
          <w:tcPr>
            <w:tcW w:w="6120" w:type="dxa"/>
            <w:vAlign w:val="bottom"/>
          </w:tcPr>
          <w:p>
            <w:pPr>
              <w:ind w:left="660"/>
              <w:spacing w:after="0"/>
              <w:rPr>
                <w:sz w:val="20"/>
                <w:szCs w:val="20"/>
                <w:color w:val="auto"/>
              </w:rPr>
            </w:pPr>
            <w:r>
              <w:rPr>
                <w:rFonts w:ascii="Arial" w:cs="Arial" w:eastAsia="Arial" w:hAnsi="Arial"/>
                <w:sz w:val="16"/>
                <w:szCs w:val="16"/>
                <w:color w:val="auto"/>
              </w:rPr>
              <w:t>Restricted stock units issued and outstanding</w:t>
            </w:r>
          </w:p>
        </w:tc>
        <w:tc>
          <w:tcPr>
            <w:tcW w:w="1460" w:type="dxa"/>
            <w:vAlign w:val="bottom"/>
          </w:tcPr>
          <w:p>
            <w:pPr>
              <w:jc w:val="right"/>
              <w:spacing w:after="0"/>
              <w:rPr>
                <w:sz w:val="20"/>
                <w:szCs w:val="20"/>
                <w:color w:val="auto"/>
              </w:rPr>
            </w:pPr>
            <w:r>
              <w:rPr>
                <w:rFonts w:ascii="Arial" w:cs="Arial" w:eastAsia="Arial" w:hAnsi="Arial"/>
                <w:sz w:val="16"/>
                <w:szCs w:val="16"/>
                <w:color w:val="auto"/>
              </w:rPr>
              <w:t>6,758,222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8,039,823</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Class A common stock reserved for Twilio.org</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685,163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773,571</w:t>
            </w:r>
          </w:p>
        </w:tc>
        <w:tc>
          <w:tcPr>
            <w:tcW w:w="0" w:type="dxa"/>
            <w:vAlign w:val="bottom"/>
          </w:tcPr>
          <w:p>
            <w:pPr>
              <w:spacing w:after="0"/>
              <w:rPr>
                <w:sz w:val="1"/>
                <w:szCs w:val="1"/>
                <w:color w:val="auto"/>
              </w:rPr>
            </w:pPr>
          </w:p>
        </w:tc>
      </w:tr>
      <w:tr>
        <w:trPr>
          <w:trHeight w:val="213"/>
        </w:trPr>
        <w:tc>
          <w:tcPr>
            <w:tcW w:w="6120" w:type="dxa"/>
            <w:vAlign w:val="bottom"/>
          </w:tcPr>
          <w:p>
            <w:pPr>
              <w:ind w:left="660"/>
              <w:spacing w:after="0"/>
              <w:rPr>
                <w:sz w:val="20"/>
                <w:szCs w:val="20"/>
                <w:color w:val="auto"/>
              </w:rPr>
            </w:pPr>
            <w:r>
              <w:rPr>
                <w:rFonts w:ascii="Arial" w:cs="Arial" w:eastAsia="Arial" w:hAnsi="Arial"/>
                <w:sz w:val="16"/>
                <w:szCs w:val="16"/>
                <w:color w:val="auto"/>
              </w:rPr>
              <w:t>Class A common stock committed under 2016 ESPP</w:t>
            </w:r>
          </w:p>
        </w:tc>
        <w:tc>
          <w:tcPr>
            <w:tcW w:w="1460" w:type="dxa"/>
            <w:vAlign w:val="bottom"/>
          </w:tcPr>
          <w:p>
            <w:pPr>
              <w:jc w:val="right"/>
              <w:spacing w:after="0"/>
              <w:rPr>
                <w:sz w:val="20"/>
                <w:szCs w:val="20"/>
                <w:color w:val="auto"/>
              </w:rPr>
            </w:pPr>
            <w:r>
              <w:rPr>
                <w:rFonts w:ascii="Arial" w:cs="Arial" w:eastAsia="Arial" w:hAnsi="Arial"/>
                <w:sz w:val="16"/>
                <w:szCs w:val="16"/>
                <w:color w:val="auto"/>
              </w:rPr>
              <w:t>101,030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212,028</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660"/>
              <w:spacing w:after="0" w:line="219"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3,689,177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2,747,996</w:t>
            </w:r>
          </w:p>
        </w:tc>
        <w:tc>
          <w:tcPr>
            <w:tcW w:w="0" w:type="dxa"/>
            <w:vAlign w:val="bottom"/>
          </w:tcPr>
          <w:p>
            <w:pPr>
              <w:spacing w:after="0"/>
              <w:rPr>
                <w:sz w:val="1"/>
                <w:szCs w:val="1"/>
                <w:color w:val="auto"/>
              </w:rPr>
            </w:pPr>
          </w:p>
        </w:tc>
      </w:tr>
      <w:tr>
        <w:trPr>
          <w:trHeight w:val="213"/>
        </w:trPr>
        <w:tc>
          <w:tcPr>
            <w:tcW w:w="6120" w:type="dxa"/>
            <w:vAlign w:val="bottom"/>
          </w:tcPr>
          <w:p>
            <w:pPr>
              <w:ind w:left="660"/>
              <w:spacing w:after="0"/>
              <w:rPr>
                <w:sz w:val="20"/>
                <w:szCs w:val="20"/>
                <w:color w:val="auto"/>
              </w:rPr>
            </w:pPr>
            <w:r>
              <w:rPr>
                <w:rFonts w:ascii="Arial" w:cs="Arial" w:eastAsia="Arial" w:hAnsi="Arial"/>
                <w:sz w:val="16"/>
                <w:szCs w:val="16"/>
                <w:color w:val="auto"/>
              </w:rPr>
              <w:t>Class A common stock in escrow</w:t>
            </w:r>
          </w:p>
        </w:tc>
        <w:tc>
          <w:tcPr>
            <w:tcW w:w="1460" w:type="dxa"/>
            <w:vAlign w:val="bottom"/>
          </w:tcPr>
          <w:p>
            <w:pPr>
              <w:jc w:val="right"/>
              <w:spacing w:after="0"/>
              <w:rPr>
                <w:sz w:val="20"/>
                <w:szCs w:val="20"/>
                <w:color w:val="auto"/>
              </w:rPr>
            </w:pPr>
            <w:r>
              <w:rPr>
                <w:rFonts w:ascii="Arial" w:cs="Arial" w:eastAsia="Arial" w:hAnsi="Arial"/>
                <w:sz w:val="16"/>
                <w:szCs w:val="16"/>
                <w:color w:val="auto"/>
              </w:rPr>
              <w:t>75,612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12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w w:val="98"/>
              </w:rPr>
              <w:t>Class A common stock in escrow and restricted stock awards subject to future</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289,618</w:t>
            </w:r>
          </w:p>
        </w:tc>
        <w:tc>
          <w:tcPr>
            <w:tcW w:w="1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w:t>
            </w: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86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16,815,207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19,266,388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right="80" w:hanging="6"/>
        <w:spacing w:after="0" w:line="255" w:lineRule="auto"/>
        <w:tabs>
          <w:tab w:leader="none" w:pos="663" w:val="left"/>
        </w:tabs>
        <w:numPr>
          <w:ilvl w:val="1"/>
          <w:numId w:val="25"/>
        </w:numPr>
        <w:rPr>
          <w:rFonts w:ascii="Arial" w:cs="Arial" w:eastAsia="Arial" w:hAnsi="Arial"/>
          <w:sz w:val="20"/>
          <w:szCs w:val="20"/>
          <w:color w:val="auto"/>
          <w:vertAlign w:val="superscript"/>
        </w:rPr>
      </w:pPr>
      <w:r>
        <w:rPr>
          <w:rFonts w:ascii="Arial" w:cs="Arial" w:eastAsia="Arial" w:hAnsi="Arial"/>
          <w:sz w:val="15"/>
          <w:szCs w:val="15"/>
          <w:color w:val="auto"/>
        </w:rPr>
        <w:t>Since, effective with the fourth quarter 2020, the Company expects to settle the principal amount of its outstanding convertible senior notes in shares of the Company's Class A common stock, as of March 31, 2021, the Company used the if-converted method for calculating any potential dilutive effect of the debt settlement on diluted net income per share, if applicable. Prior to the fourth quarter 2020, the Company expected to settle the principal amount of its outstanding convertible senior notes in cash and any excess in shares of the Company's Class A common stock. Hence, as of March 31, 2020, the Company used the treasury stock method for calculating any potential dilutive effect of the conversion spread on diluted net income per share, if applicable. The conversion spread has a dilutive impact on diluted net income per share of Class A common stock when the average market price of the Company's Class A common stock for a given period exceeds the conversion price of $70.90 per share for the Convertible Notes. The conversion spread is calculated using the average market price of Class A common stock during the period, consistent with the treasury stock method.</w:t>
      </w:r>
    </w:p>
    <w:p>
      <w:pPr>
        <w:spacing w:after="0" w:line="182" w:lineRule="exact"/>
        <w:rPr>
          <w:rFonts w:ascii="Arial" w:cs="Arial" w:eastAsia="Arial" w:hAnsi="Arial"/>
          <w:sz w:val="20"/>
          <w:szCs w:val="20"/>
          <w:color w:val="auto"/>
          <w:vertAlign w:val="superscript"/>
        </w:rPr>
      </w:pPr>
    </w:p>
    <w:p>
      <w:pPr>
        <w:ind w:left="280" w:hanging="272"/>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computes its provision for interim periods by applying an estimated annual effective tax rate to anticipated annual pretax income or loss. The estimated annual effective tax rate is applied to the Company's year to date income or loss, and is adjusted for discrete items recorded in the period. The Company recorded an income tax provision of $0.9 million and $1.0 million for the three months ended March 31, 2021 and 2020, respectively.</w:t>
      </w:r>
    </w:p>
    <w:p>
      <w:pPr>
        <w:spacing w:after="0" w:line="18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The provision for income taxes recorded in the three months ended March 31, 2021 and 2020 consists primarily of income taxes and withholding taxes in foreign jurisdictions in which the Company conducts business, partially offset by an income tax benefit from the reversal of U.S. deferred tax liabilities related to acquired intangibles from prior year business combinations. The primary difference between the effective tax rate and the federal statutory rate is the full valuation allowance the Company established on the federal, state, and certain foreign net operating losses and credits. The Company continues to maintain a full valuation allowance against its U.S. federal and state net deferred tax assets.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72"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86"/>
        <w:spacing w:after="0" w:line="223" w:lineRule="exact"/>
        <w:rPr>
          <w:sz w:val="20"/>
          <w:szCs w:val="20"/>
          <w:color w:val="auto"/>
        </w:rPr>
      </w:pPr>
      <w:r>
        <w:rPr>
          <w:rFonts w:ascii="Arial" w:cs="Arial" w:eastAsia="Arial" w:hAnsi="Arial"/>
          <w:sz w:val="18"/>
          <w:szCs w:val="18"/>
          <w:color w:val="auto"/>
        </w:rPr>
        <w:t>We are the leader in the cloud communications platform category. We enable developers to build, scale and operate real</w:t>
      </w:r>
      <w:r>
        <w:rPr>
          <w:rFonts w:ascii="MS PGothic" w:cs="MS PGothic" w:eastAsia="MS PGothic" w:hAnsi="MS PGothic"/>
          <w:sz w:val="18"/>
          <w:szCs w:val="18"/>
          <w:color w:val="auto"/>
        </w:rPr>
        <w:t>‑</w:t>
      </w:r>
      <w:r>
        <w:rPr>
          <w:rFonts w:ascii="Arial" w:cs="Arial" w:eastAsia="Arial" w:hAnsi="Arial"/>
          <w:sz w:val="18"/>
          <w:szCs w:val="18"/>
          <w:color w:val="auto"/>
        </w:rPr>
        <w:t>time customer engagement within their software applications.</w:t>
      </w:r>
    </w:p>
    <w:p>
      <w:pPr>
        <w:spacing w:after="0" w:line="20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offer a customer engagement platform with software designed to address specific use cases like account security and contact centers, and a set of Application Programming Interfaces (“APIs”) that handles the higher level communication logic needed for nearly every type of customer engagement. These APIs are focused on the business challenges that a developer is looking to address, allowing our customers to more quickly and easily build better ways to engage with their customers throughout their journey. We also offer a set of APIs that enable developers to embed voice, messaging, video and email capabilities into their applications, and are designed to support almost all the fundamental ways humans communicate, unlocking innovators to address just about any communication market. The Super Network is our software layer that allows our customers’ software to communicate with connected devices globally. It interconnects with communications networks and inbox service providers around the world and continually analyzes data to optimize the quality and cost of communications that flow through our platform. The Super Network also contains a set of APIs giving our customers access to more foundational components of our platform, like phone numbers.</w:t>
      </w:r>
    </w:p>
    <w:p>
      <w:pPr>
        <w:spacing w:after="0" w:line="181" w:lineRule="exact"/>
        <w:rPr>
          <w:sz w:val="20"/>
          <w:szCs w:val="20"/>
          <w:color w:val="auto"/>
        </w:rPr>
      </w:pPr>
    </w:p>
    <w:p>
      <w:pPr>
        <w:ind w:right="460" w:firstLine="486"/>
        <w:spacing w:after="0" w:line="263" w:lineRule="auto"/>
        <w:rPr>
          <w:sz w:val="20"/>
          <w:szCs w:val="20"/>
          <w:color w:val="auto"/>
        </w:rPr>
      </w:pPr>
      <w:r>
        <w:rPr>
          <w:rFonts w:ascii="Arial" w:cs="Arial" w:eastAsia="Arial" w:hAnsi="Arial"/>
          <w:sz w:val="18"/>
          <w:szCs w:val="18"/>
          <w:color w:val="auto"/>
        </w:rPr>
        <w:t>Our customers’ applications are able to reach users via voice, messaging, video and email in nearly every country in the world by utilizing our platform. We support our global business through over 25 cloud data centers across more than seven regions around the world and have developed contractual relationships with network service providers globally.</w:t>
      </w:r>
    </w:p>
    <w:p>
      <w:pPr>
        <w:spacing w:after="0" w:line="18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Our business model is primarily focused on reaching and serving the needs of software developers, who we believe are becoming increasingly influential in technology decisions in a wide variety of companies. We call this approach our Business Model for Innovators, which empowers developers by reducing friction and upfront costs, encouraging experimentation, and enabling developers to grow as customers as their ideas succeed. We established and maintain our leadership position by engaging directly with, and cultivating, our developer community, which has led to the rapid adoption of our platform. We reach developers through community events and conferences, including our SIGNAL customer and developer conference, to demonstrate how every developer can create differentiated applications incorporating communications using our products.</w:t>
      </w:r>
    </w:p>
    <w:p>
      <w:pPr>
        <w:spacing w:after="0" w:line="178" w:lineRule="exact"/>
        <w:rPr>
          <w:sz w:val="20"/>
          <w:szCs w:val="20"/>
          <w:color w:val="auto"/>
        </w:rPr>
      </w:pPr>
    </w:p>
    <w:p>
      <w:pPr>
        <w:ind w:right="20" w:firstLine="486"/>
        <w:spacing w:after="0" w:line="218" w:lineRule="exact"/>
        <w:rPr>
          <w:sz w:val="20"/>
          <w:szCs w:val="20"/>
          <w:color w:val="auto"/>
        </w:rPr>
      </w:pPr>
      <w:r>
        <w:rPr>
          <w:rFonts w:ascii="Arial" w:cs="Arial" w:eastAsia="Arial" w:hAnsi="Arial"/>
          <w:sz w:val="16"/>
          <w:szCs w:val="16"/>
          <w:color w:val="auto"/>
        </w:rPr>
        <w:t>Once developers are introduced to our platform, we provide them with a low friction trial experience. By accessing our easy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adopt APIs, extensive self</w:t>
      </w:r>
      <w:r>
        <w:rPr>
          <w:rFonts w:ascii="MS PGothic" w:cs="MS PGothic" w:eastAsia="MS PGothic" w:hAnsi="MS PGothic"/>
          <w:sz w:val="16"/>
          <w:szCs w:val="16"/>
          <w:color w:val="auto"/>
        </w:rPr>
        <w:t>‑</w:t>
      </w:r>
      <w:r>
        <w:rPr>
          <w:rFonts w:ascii="Arial" w:cs="Arial" w:eastAsia="Arial" w:hAnsi="Arial"/>
          <w:sz w:val="16"/>
          <w:szCs w:val="16"/>
          <w:color w:val="auto"/>
        </w:rPr>
        <w:t>service documentation and customer support team, developers build our products into their applications and then test such applications through free trial periods that we provide. Once they have decided to use our products beyond the initial free trial period, customers provide their credit card information and only pay for the actual usage of our products. As customers' use of our products grows larger, some enter into negotiated contracts with terms that dictate pricing, and typically include some level of minimum revenue commitments. Historically, we have acquired the substantial majority of our customers through this self</w:t>
      </w:r>
      <w:r>
        <w:rPr>
          <w:rFonts w:ascii="MS PGothic" w:cs="MS PGothic" w:eastAsia="MS PGothic" w:hAnsi="MS PGothic"/>
          <w:sz w:val="16"/>
          <w:szCs w:val="16"/>
          <w:color w:val="auto"/>
        </w:rPr>
        <w:t>‑</w:t>
      </w:r>
      <w:r>
        <w:rPr>
          <w:rFonts w:ascii="Arial" w:cs="Arial" w:eastAsia="Arial" w:hAnsi="Arial"/>
          <w:sz w:val="16"/>
          <w:szCs w:val="16"/>
          <w:color w:val="auto"/>
        </w:rPr>
        <w:t>service model. As customers expand their usage of our platform, our relationships with them often evolve to include business leaders within their organizations. Once our customers reach a certain spending level with us, we support them with account executives or customer success advocates within our sales organization to ensure their satisfaction and expand their usage of our products.</w:t>
      </w:r>
    </w:p>
    <w:p>
      <w:pPr>
        <w:spacing w:after="0" w:line="202" w:lineRule="exact"/>
        <w:rPr>
          <w:sz w:val="20"/>
          <w:szCs w:val="20"/>
          <w:color w:val="auto"/>
        </w:rPr>
      </w:pPr>
    </w:p>
    <w:p>
      <w:pPr>
        <w:ind w:right="80" w:firstLine="486"/>
        <w:spacing w:after="0" w:line="218" w:lineRule="exact"/>
        <w:rPr>
          <w:sz w:val="20"/>
          <w:szCs w:val="20"/>
          <w:color w:val="auto"/>
        </w:rPr>
      </w:pPr>
      <w:r>
        <w:rPr>
          <w:rFonts w:ascii="Arial" w:cs="Arial" w:eastAsia="Arial" w:hAnsi="Arial"/>
          <w:sz w:val="16"/>
          <w:szCs w:val="16"/>
          <w:color w:val="auto"/>
        </w:rPr>
        <w:t>We also supplement our self</w:t>
      </w:r>
      <w:r>
        <w:rPr>
          <w:rFonts w:ascii="MS PGothic" w:cs="MS PGothic" w:eastAsia="MS PGothic" w:hAnsi="MS PGothic"/>
          <w:sz w:val="16"/>
          <w:szCs w:val="16"/>
          <w:color w:val="auto"/>
        </w:rPr>
        <w:t>‑</w:t>
      </w:r>
      <w:r>
        <w:rPr>
          <w:rFonts w:ascii="Arial" w:cs="Arial" w:eastAsia="Arial" w:hAnsi="Arial"/>
          <w:sz w:val="16"/>
          <w:szCs w:val="16"/>
          <w:color w:val="auto"/>
        </w:rPr>
        <w:t>service model with a sales effort aimed at engaging larger potential customers and existing customers through a direct sales approach. To help increase our awareness in the enterprise, we have expanded our marketing efforts through programs like our Twilio Engage roadshow, where we seek to bring business leaders and developers together to discuss the future of customer engagement. We have developed products to support this effort as well, like the Twilio Enterprise Plan, which provides capabilities for advanced security, access management and granular administration. Our sales organization targets technical leaders and business leaders who are seeking to leverage software to drive competitive differentiation. As we educate these leaders on the benefits of developing applications incorporating our products to differentiate their business, they often consult with their developers regarding implementation. We believe that developers are often advocates for our products as a result of our developer</w:t>
      </w:r>
      <w:r>
        <w:rPr>
          <w:rFonts w:ascii="MS PGothic" w:cs="MS PGothic" w:eastAsia="MS PGothic" w:hAnsi="MS PGothic"/>
          <w:sz w:val="16"/>
          <w:szCs w:val="16"/>
          <w:color w:val="auto"/>
        </w:rPr>
        <w:t>‑</w:t>
      </w:r>
      <w:r>
        <w:rPr>
          <w:rFonts w:ascii="Arial" w:cs="Arial" w:eastAsia="Arial" w:hAnsi="Arial"/>
          <w:sz w:val="16"/>
          <w:szCs w:val="16"/>
          <w:color w:val="auto"/>
        </w:rPr>
        <w:t>focused approach. Our sales organization includes sales development, inside sales, field sales and sales engineering personnel.</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When potential customers do not have the available developer resources to build their own applications, we refer them to either our technology partners who embed our products in the solutions that they sell to other businesses (such as contact centers and sales force and marketing automation), or our consulting partners who provide consulting and development services for organizations that have limited software development expertise to build our platform into their software applications.</w:t>
      </w:r>
    </w:p>
    <w:p>
      <w:pPr>
        <w:spacing w:after="0" w:line="187"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We generate the substantial majority of our revenue from customers based on their usage of our software products that they have incorporated into their applications. Our Flex contact center platform is generally offered on a per user, per month basis or on a usage basis per agent hour. In addition, our email API is offered on a monthly subscription basis and our Marketing Campaigns product is priced based on the number of email contacts stored on our platform and the number of monthly emails sent to those contacts through our Email API. Also, customers using our Programmable Messaging or Programmable Voice APIs typically purchase one or more telephone numbers from us, for which we charge a monthly flat fee per number. Some customers also choose to purchase various levels of premium customer support for a monthly fee. Customers that register in our self</w:t>
      </w:r>
      <w:r>
        <w:rPr>
          <w:rFonts w:ascii="MS PGothic" w:cs="MS PGothic" w:eastAsia="MS PGothic" w:hAnsi="MS PGothic"/>
          <w:sz w:val="16"/>
          <w:szCs w:val="16"/>
          <w:color w:val="auto"/>
        </w:rPr>
        <w:t>‑</w:t>
      </w:r>
      <w:r>
        <w:rPr>
          <w:rFonts w:ascii="Arial" w:cs="Arial" w:eastAsia="Arial" w:hAnsi="Arial"/>
          <w:sz w:val="16"/>
          <w:szCs w:val="16"/>
          <w:color w:val="auto"/>
        </w:rPr>
        <w:t>service model typically pay upfront via credit card and draw down their balance as they purchase or use our products. Most of our customers draw down their balance in the same month they pay up front or are charged on a monthly subscription basis for our email-related products. As a result, our deferred revenue and customer deposits liability at any particular time is not a meaningful indicator of future revenue. As our customers’ usage grows, some of our customers enter into contracts and are invoiced monthly in arrears. Most of these customer contracts have terms of approximately 12 months and typically include some level of minimum revenue commitment. Most customers with minimum revenue commitment contracts generate a significant amount of revenue in excess of their minimum revenue commitment in any period. Historically, the aggregate minimum commitment revenue from customers with whom we have contracts has constituted a minority of our revenue in any period, and we expect this to continue in the future.</w:t>
      </w:r>
    </w:p>
    <w:p>
      <w:pPr>
        <w:spacing w:after="0" w:line="204" w:lineRule="exact"/>
        <w:rPr>
          <w:sz w:val="20"/>
          <w:szCs w:val="20"/>
          <w:color w:val="auto"/>
        </w:rPr>
      </w:pPr>
    </w:p>
    <w:p>
      <w:pPr>
        <w:ind w:right="60" w:firstLine="486"/>
        <w:spacing w:after="0" w:line="218" w:lineRule="exact"/>
        <w:rPr>
          <w:sz w:val="20"/>
          <w:szCs w:val="20"/>
          <w:color w:val="auto"/>
        </w:rPr>
      </w:pPr>
      <w:r>
        <w:rPr>
          <w:rFonts w:ascii="Arial" w:cs="Arial" w:eastAsia="Arial" w:hAnsi="Arial"/>
          <w:sz w:val="17"/>
          <w:szCs w:val="17"/>
          <w:color w:val="auto"/>
        </w:rPr>
        <w:t>Our developer</w:t>
      </w:r>
      <w:r>
        <w:rPr>
          <w:rFonts w:ascii="MS PGothic" w:cs="MS PGothic" w:eastAsia="MS PGothic" w:hAnsi="MS PGothic"/>
          <w:sz w:val="17"/>
          <w:szCs w:val="17"/>
          <w:color w:val="auto"/>
        </w:rPr>
        <w:t>‑</w:t>
      </w:r>
      <w:r>
        <w:rPr>
          <w:rFonts w:ascii="Arial" w:cs="Arial" w:eastAsia="Arial" w:hAnsi="Arial"/>
          <w:sz w:val="17"/>
          <w:szCs w:val="17"/>
          <w:color w:val="auto"/>
        </w:rPr>
        <w:t>focused products are delivered to customers and users through our Super Network, which uses software to optimize communications on our platform. We interconnect with communications networks and inbox service providers globally to deliver our products, and therefore we have arrangements with network service providers in many regions in the world. Historically, a substantial majority of our cost of revenue has been network service provider fees. We continue to optimize our network service provider coverage and connectivity through continuous improvements in routing and sourcing in order to lower the usage expenses we incur for network service provider fees. As we benefit from our platform optimization efforts, we sometimes pass these savings on to customers in the form of lower usage prices on our products in an effort to drive increased usage and expand the reach and scale of our platform. In the near term, we intend to operate our business to expand the reach and scale of our platform and to grow our revenue, rather than to maximize our gross margins.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achieved significant growth in recent periods. In the three months ended March 31, 2021 and 2020, our revenue was $590.0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$364.9 million, respectively, and our net loss was $206.5 million and $94.8 million, respectively. In the three months ended March 31, 2021 and 2020,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largest Active Customer Accounts generated an aggregate of 12% and 15% of our total revenue,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 in Syniverse Corporation</w:t>
      </w:r>
    </w:p>
    <w:p>
      <w:pPr>
        <w:spacing w:after="0" w:line="22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February 2021, we entered into a Framework Agreement with Syniverse Corporation (“Syniverse”) and Carlyle Partners V Holdings, L.P. (“Carlyle”) (the “Framework Agreement”), pursuant to which Syniverse will issue to us shares of Syniverse common stock in consideration for an investment by us of up to $750.0 million. In connection with the closing of the investment, we and Syniverse will enter into a wholesale agreement, in which Syniverse will process, route and deliver application-to-person messages originating and/or terminating between our customers and mobile network operators. The investment is expected to result in us holding a significant minority equity ownership position in Syniverse, subject to certain adjustments based on the terms of the final agreement. This proposed transaction closing is subject to consummation of certain other transactions by Syniverse, as defined in the Framework Agreement, and other customary closing conditions, including regulatory approvals. The closing is expected to occur before the end of 2021.</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Acquisition of ValueFirst Digital Media Private Limited</w:t>
      </w:r>
    </w:p>
    <w:p>
      <w:pPr>
        <w:spacing w:after="0" w:line="225"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On March 12, 2021, we acquired ValueFirst Digital Media Private Limited, an enterprise communications platform in India, for a purchase price of $70.2 million paid in cash. Refer to Note 6 of our condensed consolidated financial statements included elsewhere in this Quarterly Report on Form 10-Q for further details related to this acquisition.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In February 2021, we completed a public equity offering in which we sold 4,312,500 shares of our Class A common stock at a public offering price of $409.60 per share. We received aggregate proceeds of $1.8 billion after deducting offering expenses paid and payable by us.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Issuance of 2029 and 2031 Senior Notes</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 net proceeds from the debt offering of the Notes were approximately $985.1 million, after deducting underwriting discounts and issuance costs paid and payable by us. Refer to Note 9 of our condensed consolidated financial statements included elsewhere in this Quarterly Report on Form 10-Q for further details related to these transactions.</w:t>
      </w:r>
    </w:p>
    <w:p>
      <w:pPr>
        <w:spacing w:after="0" w:line="184"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A novel coronavirus disease (“COVID-19”) was declared a global pandemic during the first quarter of 2020 and has resulted in the imposition of numerous, unprecedented, national and international measures to try to contain the virus, including travel bans and restrictions, shutdowns, quarantines, shelter-in-place and social distancing orders. To prioritize the health and safety of our employees, customers and our community at large, we have either cancelled or shifted other planned events to virtual-only experiences and may determine to alter, postpone or cancel additional customer, employee or industry events in the future. Since mid-March 2020, we have also taken several precautionary measures to protect our employees and contingent workers and help minimize the spread of the virus, including temporarily closing our worldwide offices, requiring all employees and contingent workers to work from home and suspending all business travel worldwide for our employees for the time being.</w:t>
      </w:r>
    </w:p>
    <w:p>
      <w:pPr>
        <w:spacing w:after="0" w:line="16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broader implications of COVID-19 on our results of operations and overall financial performance remain uncertain. The COVID-19 pandemic and its adverse effects have been prevalent in the locations where we, our customers, suppliers or third-party business partners conduct business. In the three months ended March 31, 2021, we experienced stable or increased usage in industries most impacted by COVID-19, including travel, hospitality, and ridesharing, among others. We acknowledge that there may be additional impacts to the economy and our business as a result of COVID-19. We expect that there may be some volatility in customer demand and buying habits as the pandemic continues, and we may experience constrained supply or curtailed customer demand that could materially and adversely impact our business, results of operations and financial performance in future periods. Specifically, we may experience impact from delayed sales cycles, including customers and prospective customers delaying contract signing or contract renewals, or reducing budgets or minimum commitments related to the products and services that we offer and changes to consumer behavior that may affect customers who use our products and service for confirmations, notifications, and other use cases. While we are continuing our recruiting efforts, it is possible that the pace of our hiring may slow during the COVID-19 pandemic. See the risk factor titled “The global COVID-19 pandemic may adversely impact our business, results of operations and financial performance” in Part II, Item 1A, “Risk Factors” of this Quarterly Report on Form 10-Q for further discussion of the possible impact of the COVID-19 pandemic on our business, financial condition and results of operations.</w:t>
      </w:r>
    </w:p>
    <w:p>
      <w:pPr>
        <w:spacing w:after="0" w:line="164"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Key Business Metrics</w:t>
      </w:r>
    </w:p>
    <w:p>
      <w:pPr>
        <w:spacing w:after="0" w:line="248"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9"/>
              </w:rPr>
              <w:t>Three Months Ended</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500"/>
              <w:spacing w:after="0" w:line="148" w:lineRule="exact"/>
              <w:rPr>
                <w:sz w:val="20"/>
                <w:szCs w:val="20"/>
                <w:color w:val="auto"/>
              </w:rPr>
            </w:pPr>
            <w:r>
              <w:rPr>
                <w:rFonts w:ascii="Arial" w:cs="Arial" w:eastAsia="Arial" w:hAnsi="Arial"/>
                <w:sz w:val="16"/>
                <w:szCs w:val="16"/>
                <w:color w:val="auto"/>
                <w:w w:val="95"/>
              </w:rPr>
              <w:t>Number of Active Customer Accounts (as of end date of</w:t>
            </w:r>
          </w:p>
        </w:tc>
        <w:tc>
          <w:tcPr>
            <w:tcW w:w="9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235,000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190,000</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period)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500"/>
              <w:spacing w:after="0" w:line="216" w:lineRule="exact"/>
              <w:rPr>
                <w:sz w:val="20"/>
                <w:szCs w:val="20"/>
                <w:color w:val="auto"/>
              </w:rPr>
            </w:pPr>
            <w:r>
              <w:rPr>
                <w:rFonts w:ascii="Arial" w:cs="Arial" w:eastAsia="Arial" w:hAnsi="Arial"/>
                <w:sz w:val="16"/>
                <w:szCs w:val="16"/>
                <w:color w:val="auto"/>
              </w:rPr>
              <w:t xml:space="preserve">Total Revenue (in thousands) </w:t>
            </w:r>
            <w:r>
              <w:rPr>
                <w:rFonts w:ascii="Arial" w:cs="Arial" w:eastAsia="Arial" w:hAnsi="Arial"/>
                <w:sz w:val="21"/>
                <w:szCs w:val="21"/>
                <w:color w:val="auto"/>
                <w:vertAlign w:val="superscript"/>
              </w:rPr>
              <w:t>(1)</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589,988</w:t>
            </w:r>
          </w:p>
        </w:tc>
        <w:tc>
          <w:tcPr>
            <w:tcW w:w="17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364,868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20"/>
              <w:spacing w:after="0" w:line="216" w:lineRule="exact"/>
              <w:rPr>
                <w:sz w:val="20"/>
                <w:szCs w:val="20"/>
                <w:color w:val="auto"/>
              </w:rPr>
            </w:pPr>
            <w:r>
              <w:rPr>
                <w:rFonts w:ascii="Arial" w:cs="Arial" w:eastAsia="Arial" w:hAnsi="Arial"/>
                <w:sz w:val="16"/>
                <w:szCs w:val="16"/>
                <w:i w:val="1"/>
                <w:iCs w:val="1"/>
                <w:color w:val="auto"/>
              </w:rPr>
              <w:t xml:space="preserve">Total Revenue Growth Rate </w:t>
            </w:r>
            <w:r>
              <w:rPr>
                <w:rFonts w:ascii="Arial" w:cs="Arial" w:eastAsia="Arial" w:hAnsi="Arial"/>
                <w:sz w:val="21"/>
                <w:szCs w:val="21"/>
                <w:i w:val="1"/>
                <w:iCs w:val="1"/>
                <w:color w:val="auto"/>
                <w:vertAlign w:val="superscript"/>
              </w:rPr>
              <w:t>(1)</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300" w:type="dxa"/>
            <w:vAlign w:val="bottom"/>
          </w:tcPr>
          <w:p>
            <w:pPr>
              <w:ind w:left="500"/>
              <w:spacing w:after="0" w:line="220" w:lineRule="exact"/>
              <w:rPr>
                <w:sz w:val="20"/>
                <w:szCs w:val="20"/>
                <w:color w:val="auto"/>
              </w:rPr>
            </w:pPr>
            <w:r>
              <w:rPr>
                <w:rFonts w:ascii="Arial" w:cs="Arial" w:eastAsia="Arial" w:hAnsi="Arial"/>
                <w:sz w:val="16"/>
                <w:szCs w:val="16"/>
                <w:color w:val="auto"/>
              </w:rPr>
              <w:t xml:space="preserve">Dollar-Based Net Expansion Rate </w:t>
            </w:r>
            <w:r>
              <w:rPr>
                <w:rFonts w:ascii="Arial" w:cs="Arial" w:eastAsia="Arial" w:hAnsi="Arial"/>
                <w:sz w:val="21"/>
                <w:szCs w:val="21"/>
                <w:color w:val="auto"/>
                <w:vertAlign w:val="superscript"/>
              </w:rPr>
              <w:t>(2)</w:t>
            </w:r>
          </w:p>
        </w:tc>
        <w:tc>
          <w:tcPr>
            <w:tcW w:w="9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4300" w:type="dxa"/>
            <w:vAlign w:val="bottom"/>
          </w:tcPr>
          <w:p>
            <w:pPr>
              <w:ind w:left="500"/>
              <w:spacing w:after="0"/>
              <w:rPr>
                <w:sz w:val="20"/>
                <w:szCs w:val="20"/>
                <w:color w:val="auto"/>
              </w:rPr>
            </w:pPr>
            <w:r>
              <w:rPr>
                <w:rFonts w:ascii="Arial" w:cs="Arial" w:eastAsia="Arial" w:hAnsi="Arial"/>
                <w:sz w:val="11"/>
                <w:szCs w:val="11"/>
                <w:color w:val="auto"/>
              </w:rPr>
              <w:t>____________________</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80" w:hanging="153"/>
        <w:spacing w:after="0" w:line="230" w:lineRule="auto"/>
        <w:tabs>
          <w:tab w:leader="none" w:pos="188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the contributions from our ValueFirst business, acquired March 12, 2021, and Twilio Segment business, acquired November 2, 2020.</w:t>
      </w:r>
    </w:p>
    <w:p>
      <w:pPr>
        <w:spacing w:after="0" w:line="57" w:lineRule="exact"/>
        <w:rPr>
          <w:rFonts w:ascii="Arial" w:cs="Arial" w:eastAsia="Arial" w:hAnsi="Arial"/>
          <w:sz w:val="18"/>
          <w:szCs w:val="18"/>
          <w:color w:val="auto"/>
          <w:vertAlign w:val="superscript"/>
        </w:rPr>
      </w:pPr>
    </w:p>
    <w:p>
      <w:pPr>
        <w:ind w:left="1880" w:hanging="153"/>
        <w:spacing w:after="0" w:line="215" w:lineRule="auto"/>
        <w:tabs>
          <w:tab w:leader="none" w:pos="188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Revenue from ValueFirst and Twilio Segment will not impact this calculation until the one-year anniversary of the acquisition.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Number of Active Customer Accounts. </w:t>
      </w:r>
      <w:r>
        <w:rPr>
          <w:rFonts w:ascii="Arial" w:cs="Arial" w:eastAsia="Arial" w:hAnsi="Arial"/>
          <w:sz w:val="17"/>
          <w:szCs w:val="17"/>
          <w:color w:val="auto"/>
        </w:rPr>
        <w:t>We believe that the number of Active Customer Accounts is an important indicator of the growth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the market acceptance of our platform and future revenue trends. We 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three months ended March 31, 2021 and 2020,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77" w:lineRule="exact"/>
        <w:rPr>
          <w:sz w:val="20"/>
          <w:szCs w:val="20"/>
          <w:color w:val="auto"/>
        </w:rPr>
      </w:pPr>
    </w:p>
    <w:p>
      <w:pPr>
        <w:ind w:right="40" w:firstLine="486"/>
        <w:spacing w:after="0" w:line="217" w:lineRule="exact"/>
        <w:rPr>
          <w:sz w:val="20"/>
          <w:szCs w:val="20"/>
          <w:color w:val="auto"/>
        </w:rPr>
      </w:pPr>
      <w:r>
        <w:rPr>
          <w:rFonts w:ascii="Arial" w:cs="Arial" w:eastAsia="Arial" w:hAnsi="Arial"/>
          <w:sz w:val="17"/>
          <w:szCs w:val="17"/>
          <w:b w:val="1"/>
          <w:bCs w:val="1"/>
          <w:i w:val="1"/>
          <w:iCs w:val="1"/>
          <w:color w:val="auto"/>
        </w:rPr>
        <w:t>Dollar</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Based Net Expansion Rate. </w:t>
      </w:r>
      <w:r>
        <w:rPr>
          <w:rFonts w:ascii="Arial" w:cs="Arial" w:eastAsia="Arial" w:hAnsi="Arial"/>
          <w:sz w:val="17"/>
          <w:szCs w:val="17"/>
          <w:color w:val="auto"/>
        </w:rPr>
        <w:t>Our ability to drive growth and generate incremental revenue depends, in part, on our ability to maintain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more meaningful indication of the performance of our efforts to increase revenue from existing customers.</w:t>
      </w:r>
    </w:p>
    <w:p>
      <w:pPr>
        <w:spacing w:after="0" w:line="20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w:t>
      </w:r>
    </w:p>
    <w:p>
      <w:pPr>
        <w:spacing w:after="0" w:line="184"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229" w:lineRule="exact"/>
        <w:rPr>
          <w:sz w:val="20"/>
          <w:szCs w:val="20"/>
          <w:color w:val="auto"/>
        </w:rPr>
      </w:pPr>
    </w:p>
    <w:p>
      <w:pPr>
        <w:ind w:right="20" w:firstLine="486"/>
        <w:spacing w:after="0" w:line="218" w:lineRule="exact"/>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derive our revenue primarily from usage</w:t>
      </w:r>
      <w:r>
        <w:rPr>
          <w:rFonts w:ascii="MS PGothic" w:cs="MS PGothic" w:eastAsia="MS PGothic" w:hAnsi="MS PGothic"/>
          <w:sz w:val="16"/>
          <w:szCs w:val="16"/>
          <w:color w:val="auto"/>
        </w:rPr>
        <w:t>‑</w:t>
      </w:r>
      <w:r>
        <w:rPr>
          <w:rFonts w:ascii="Arial" w:cs="Arial" w:eastAsia="Arial" w:hAnsi="Arial"/>
          <w:sz w:val="16"/>
          <w:szCs w:val="16"/>
          <w:color w:val="auto"/>
        </w:rPr>
        <w:t>based fees earned from customers using the software products within our Solutions APIs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Channel APIs. These usage</w:t>
      </w:r>
      <w:r>
        <w:rPr>
          <w:rFonts w:ascii="MS PGothic" w:cs="MS PGothic" w:eastAsia="MS PGothic" w:hAnsi="MS PGothic"/>
          <w:sz w:val="16"/>
          <w:szCs w:val="16"/>
          <w:color w:val="auto"/>
        </w:rPr>
        <w:t>‑</w:t>
      </w:r>
      <w:r>
        <w:rPr>
          <w:rFonts w:ascii="Arial" w:cs="Arial" w:eastAsia="Arial" w:hAnsi="Arial"/>
          <w:sz w:val="16"/>
          <w:szCs w:val="16"/>
          <w:color w:val="auto"/>
        </w:rPr>
        <w:t>based software products include offerings, such as Programmable Voice, Programmable Messaging and Programmable Video. Some examples of the usage</w:t>
      </w:r>
      <w:r>
        <w:rPr>
          <w:rFonts w:ascii="MS PGothic" w:cs="MS PGothic" w:eastAsia="MS PGothic" w:hAnsi="MS PGothic"/>
          <w:sz w:val="16"/>
          <w:szCs w:val="16"/>
          <w:color w:val="auto"/>
        </w:rPr>
        <w:t>‑</w:t>
      </w:r>
      <w:r>
        <w:rPr>
          <w:rFonts w:ascii="Arial" w:cs="Arial" w:eastAsia="Arial" w:hAnsi="Arial"/>
          <w:sz w:val="16"/>
          <w:szCs w:val="16"/>
          <w:color w:val="auto"/>
        </w:rPr>
        <w:t>based fees for which we charge include minutes of call duration activity for our Programmable Voice products, number of text messages sent or received using our Programmable Messaging products and number of authentications for our Account Security products. In the three months ended March 31, 2021 and 2020, we generated 71% and 74% of our revenue, respectively, from usage</w:t>
      </w:r>
      <w:r>
        <w:rPr>
          <w:rFonts w:ascii="MS PGothic" w:cs="MS PGothic" w:eastAsia="MS PGothic" w:hAnsi="MS PGothic"/>
          <w:sz w:val="16"/>
          <w:szCs w:val="16"/>
          <w:color w:val="auto"/>
        </w:rPr>
        <w:t>‑</w:t>
      </w:r>
      <w:r>
        <w:rPr>
          <w:rFonts w:ascii="Arial" w:cs="Arial" w:eastAsia="Arial" w:hAnsi="Arial"/>
          <w:sz w:val="16"/>
          <w:szCs w:val="16"/>
          <w:color w:val="auto"/>
        </w:rPr>
        <w:t>based fees. We also earn monthly flat fees from certain fee</w:t>
      </w:r>
      <w:r>
        <w:rPr>
          <w:rFonts w:ascii="MS PGothic" w:cs="MS PGothic" w:eastAsia="MS PGothic" w:hAnsi="MS PGothic"/>
          <w:sz w:val="16"/>
          <w:szCs w:val="16"/>
          <w:color w:val="auto"/>
        </w:rPr>
        <w:t>‑</w:t>
      </w:r>
      <w:r>
        <w:rPr>
          <w:rFonts w:ascii="Arial" w:cs="Arial" w:eastAsia="Arial" w:hAnsi="Arial"/>
          <w:sz w:val="16"/>
          <w:szCs w:val="16"/>
          <w:color w:val="auto"/>
        </w:rPr>
        <w:t>based products, such as our Email API, Marketing Campaigns, Flex seats, telephone numbers, short codes and customer support.</w:t>
      </w:r>
    </w:p>
    <w:p>
      <w:pPr>
        <w:spacing w:after="0" w:line="206"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14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87"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19" w:lineRule="exact"/>
        <w:rPr>
          <w:sz w:val="20"/>
          <w:szCs w:val="20"/>
          <w:color w:val="auto"/>
        </w:rPr>
      </w:pPr>
      <w:r>
        <w:rPr>
          <w:rFonts w:ascii="Arial" w:cs="Arial" w:eastAsia="Arial" w:hAnsi="Arial"/>
          <w:sz w:val="17"/>
          <w:szCs w:val="17"/>
          <w:b w:val="1"/>
          <w:bCs w:val="1"/>
          <w:i w:val="1"/>
          <w:iCs w:val="1"/>
          <w:color w:val="auto"/>
        </w:rPr>
        <w:t xml:space="preserve">Cost of Revenue and Gross Margin. </w:t>
      </w:r>
      <w:r>
        <w:rPr>
          <w:rFonts w:ascii="Arial" w:cs="Arial" w:eastAsia="Arial" w:hAnsi="Arial"/>
          <w:sz w:val="17"/>
          <w:szCs w:val="17"/>
          <w:color w:val="auto"/>
        </w:rPr>
        <w:t>Cost of revenue consists primarily of fees paid to network service providers. Cost of revenue also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infrastructure fees, direct costs of personnel, such as salaries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our customer support employees, and non</w:t>
      </w:r>
      <w:r>
        <w:rPr>
          <w:rFonts w:ascii="MS PGothic" w:cs="MS PGothic" w:eastAsia="MS PGothic" w:hAnsi="MS PGothic"/>
          <w:sz w:val="17"/>
          <w:szCs w:val="17"/>
          <w:color w:val="auto"/>
        </w:rPr>
        <w:t>‑</w:t>
      </w:r>
      <w:r>
        <w:rPr>
          <w:rFonts w:ascii="Arial" w:cs="Arial" w:eastAsia="Arial" w:hAnsi="Arial"/>
          <w:sz w:val="17"/>
          <w:szCs w:val="17"/>
          <w:color w:val="auto"/>
        </w:rPr>
        <w:t>personnel costs, such as depreciation and amortization expense related to data centers and hosting equipment, amortization of capitalized internal 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202" w:lineRule="exact"/>
        <w:rPr>
          <w:sz w:val="20"/>
          <w:szCs w:val="20"/>
          <w:color w:val="auto"/>
        </w:rPr>
      </w:pPr>
    </w:p>
    <w:p>
      <w:pPr>
        <w:ind w:right="20" w:firstLine="486"/>
        <w:spacing w:after="0" w:line="219" w:lineRule="exact"/>
        <w:rPr>
          <w:sz w:val="20"/>
          <w:szCs w:val="20"/>
          <w:color w:val="auto"/>
        </w:rPr>
      </w:pPr>
      <w:r>
        <w:rPr>
          <w:rFonts w:ascii="Arial" w:cs="Arial" w:eastAsia="Arial" w:hAnsi="Arial"/>
          <w:sz w:val="18"/>
          <w:szCs w:val="18"/>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8"/>
          <w:szCs w:val="18"/>
          <w:color w:val="auto"/>
        </w:rPr>
        <w:t>‑</w:t>
      </w:r>
      <w:r>
        <w:rPr>
          <w:rFonts w:ascii="Arial" w:cs="Arial" w:eastAsia="Arial" w:hAnsi="Arial"/>
          <w:sz w:val="18"/>
          <w:szCs w:val="18"/>
          <w:color w:val="auto"/>
        </w:rPr>
        <w:t>related fees, including Application to Person SMS fees, the mix of U.S. revenue compared to international revenue, changes in foreign exchange rates and the timing of amortization of capitalized software development costs and acquired intangibles and the extent to which we periodically choose to pass on our cost savings from platform optimization efforts to our customers in the form of lower usage prices.</w:t>
      </w:r>
    </w:p>
    <w:p>
      <w:pPr>
        <w:spacing w:after="0" w:line="205" w:lineRule="exact"/>
        <w:rPr>
          <w:sz w:val="20"/>
          <w:szCs w:val="20"/>
          <w:color w:val="auto"/>
        </w:rPr>
      </w:pPr>
    </w:p>
    <w:p>
      <w:pPr>
        <w:ind w:firstLine="486"/>
        <w:spacing w:after="0" w:line="221" w:lineRule="exact"/>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The most significant components of operating expenses are personnel costs, which consist of salaries, benefits,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and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We also incur other non</w:t>
      </w:r>
      <w:r>
        <w:rPr>
          <w:rFonts w:ascii="MS PGothic" w:cs="MS PGothic" w:eastAsia="MS PGothic" w:hAnsi="MS PGothic"/>
          <w:sz w:val="17"/>
          <w:szCs w:val="17"/>
          <w:color w:val="auto"/>
        </w:rPr>
        <w:t>‑</w:t>
      </w:r>
      <w:r>
        <w:rPr>
          <w:rFonts w:ascii="Arial" w:cs="Arial" w:eastAsia="Arial" w:hAnsi="Arial"/>
          <w:sz w:val="17"/>
          <w:szCs w:val="17"/>
          <w:color w:val="auto"/>
        </w:rPr>
        <w:t>personnel costs related to our general overhead expenses. We expect that our operating costs will increase in absolute dollars as we add additional employees and invest in our infrastructure to grow our business.</w:t>
      </w:r>
    </w:p>
    <w:p>
      <w:pPr>
        <w:spacing w:after="0" w:line="202"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consist primarily of personnel costs, outsourced engineering services, cloud</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fees for staging and development, amortization of capitalized internal use software development costs, depreciation and an allocation of our general overhead expenses. We capitalize the portion of our software development costs that meets the criteria for capitalization.</w:t>
      </w:r>
    </w:p>
    <w:p>
      <w:pPr>
        <w:spacing w:after="0" w:line="16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continue to focus our research and development efforts on adding new features and products, including new use cases, improving our platform and increasing the functionality of our existing products.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costs, including commissions for our sales employees.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also include expenditures related to advertising, marketing, 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187" w:lineRule="exact"/>
        <w:rPr>
          <w:sz w:val="20"/>
          <w:szCs w:val="20"/>
          <w:color w:val="auto"/>
        </w:rPr>
      </w:pPr>
    </w:p>
    <w:p>
      <w:pPr>
        <w:ind w:firstLine="486"/>
        <w:spacing w:after="0" w:line="220" w:lineRule="exact"/>
        <w:rPr>
          <w:sz w:val="20"/>
          <w:szCs w:val="20"/>
          <w:color w:val="auto"/>
        </w:rPr>
      </w:pPr>
      <w:r>
        <w:rPr>
          <w:rFonts w:ascii="Arial" w:cs="Arial" w:eastAsia="Arial" w:hAnsi="Arial"/>
          <w:sz w:val="16"/>
          <w:szCs w:val="16"/>
          <w:color w:val="auto"/>
        </w:rPr>
        <w:t>We focus our sales and marketing efforts on generating awareness of our company, platform and products through our developer evangelist team and self</w:t>
      </w:r>
      <w:r>
        <w:rPr>
          <w:rFonts w:ascii="MS PGothic" w:cs="MS PGothic" w:eastAsia="MS PGothic" w:hAnsi="MS PGothic"/>
          <w:sz w:val="16"/>
          <w:szCs w:val="16"/>
          <w:color w:val="auto"/>
        </w:rPr>
        <w:t>‑</w:t>
      </w:r>
      <w:r>
        <w:rPr>
          <w:rFonts w:ascii="Arial" w:cs="Arial" w:eastAsia="Arial" w:hAnsi="Arial"/>
          <w:sz w:val="16"/>
          <w:szCs w:val="16"/>
          <w:color w:val="auto"/>
        </w:rPr>
        <w:t>service model, creating sales leads and establishing and promoting our brand, both domestically and internationally. We plan to continue investing in sales and marketing by increasing our sales and marketing headcount, supplementing our self</w:t>
      </w:r>
      <w:r>
        <w:rPr>
          <w:rFonts w:ascii="MS PGothic" w:cs="MS PGothic" w:eastAsia="MS PGothic" w:hAnsi="MS PGothic"/>
          <w:sz w:val="16"/>
          <w:szCs w:val="16"/>
          <w:color w:val="auto"/>
        </w:rPr>
        <w:t>‑</w:t>
      </w:r>
      <w:r>
        <w:rPr>
          <w:rFonts w:ascii="Arial" w:cs="Arial" w:eastAsia="Arial" w:hAnsi="Arial"/>
          <w:sz w:val="16"/>
          <w:szCs w:val="16"/>
          <w:color w:val="auto"/>
        </w:rPr>
        <w:t>service model with an enterprise sales approach, expanding our sales channels, driving our go</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strategies, building our brand awareness and sponsoring additional marketing events.</w:t>
      </w:r>
    </w:p>
    <w:p>
      <w:pPr>
        <w:spacing w:after="0" w:line="203"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personnel costs for our accounting, finance, legal,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administrative support personnel and executives. General and administrative expenses also include costs related to business acquisitions, legal and other professional services fees, certain taxes, depreciation and amortization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uncertainly in the COVID-19 environment.</w:t>
      </w:r>
    </w:p>
    <w:p>
      <w:pPr>
        <w:spacing w:after="0" w:line="192"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Our general and administrative expenses include a certain amount of sales and other taxes to which we are subject in the United States and internationally based on the manner we sell and deliver our products.</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Our income tax provision or benefit for interim periods is determined using an estimate of our annual effective tax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for discrete items occurring in the quarter. The primary difference between our effective tax rate and the federal statutory rate relates to the full valuation allowance the Company established on the federal, state, and certain foreign net operating losses and credits.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firstLine="486"/>
        <w:spacing w:after="0" w:line="218" w:lineRule="exact"/>
        <w:rPr>
          <w:sz w:val="20"/>
          <w:szCs w:val="20"/>
          <w:color w:val="auto"/>
        </w:rPr>
      </w:pPr>
      <w:r>
        <w:rPr>
          <w:rFonts w:ascii="Arial" w:cs="Arial" w:eastAsia="Arial" w:hAnsi="Arial"/>
          <w:sz w:val="17"/>
          <w:szCs w:val="17"/>
          <w:color w:val="auto"/>
        </w:rPr>
        <w:t>We use the following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collectively, to evaluate our ongoing operations and for internal planning and forecasting purposes. We believe that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results of operations, and assists in comparisons with other companies, many of which use similar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to supplement their GAAP results.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7"/>
          <w:szCs w:val="17"/>
          <w:color w:val="auto"/>
        </w:rPr>
        <w:t>‑</w:t>
      </w:r>
      <w:r>
        <w:rPr>
          <w:rFonts w:ascii="Arial" w:cs="Arial" w:eastAsia="Arial" w:hAnsi="Arial"/>
          <w:sz w:val="17"/>
          <w:szCs w:val="17"/>
          <w:color w:val="auto"/>
        </w:rPr>
        <w:t>titled non</w:t>
      </w:r>
      <w:r>
        <w:rPr>
          <w:rFonts w:ascii="MS PGothic" w:cs="MS PGothic" w:eastAsia="MS PGothic" w:hAnsi="MS PGothic"/>
          <w:sz w:val="17"/>
          <w:szCs w:val="17"/>
          <w:color w:val="auto"/>
        </w:rPr>
        <w:t>‑</w:t>
      </w:r>
      <w:r>
        <w:rPr>
          <w:rFonts w:ascii="Arial" w:cs="Arial" w:eastAsia="Arial" w:hAnsi="Arial"/>
          <w:sz w:val="17"/>
          <w:szCs w:val="17"/>
          <w:color w:val="auto"/>
        </w:rPr>
        <w:t>GAAP measures used by other companies. Whenever we use a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their most directly comparable GAAP financial measures.</w:t>
      </w:r>
    </w:p>
    <w:p>
      <w:pPr>
        <w:spacing w:after="0" w:line="199" w:lineRule="exact"/>
        <w:rPr>
          <w:sz w:val="20"/>
          <w:szCs w:val="20"/>
          <w:color w:val="auto"/>
        </w:rPr>
      </w:pPr>
    </w:p>
    <w:p>
      <w:pPr>
        <w:ind w:right="240" w:firstLine="486"/>
        <w:spacing w:after="0" w:line="225"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 Gross Profit and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GAAP Gross Margin. </w:t>
      </w:r>
      <w:r>
        <w:rPr>
          <w:rFonts w:ascii="Arial" w:cs="Arial" w:eastAsia="Arial" w:hAnsi="Arial"/>
          <w:sz w:val="16"/>
          <w:szCs w:val="16"/>
          <w:color w:val="auto"/>
        </w:rPr>
        <w:t>For the periods presented, we define non</w:t>
      </w:r>
      <w:r>
        <w:rPr>
          <w:rFonts w:ascii="MS PGothic" w:cs="MS PGothic" w:eastAsia="MS PGothic" w:hAnsi="MS PGothic"/>
          <w:sz w:val="16"/>
          <w:szCs w:val="16"/>
          <w:color w:val="auto"/>
        </w:rPr>
        <w:t>‑</w:t>
      </w:r>
      <w:r>
        <w:rPr>
          <w:rFonts w:ascii="Arial" w:cs="Arial" w:eastAsia="Arial" w:hAnsi="Arial"/>
          <w:sz w:val="16"/>
          <w:szCs w:val="16"/>
          <w:color w:val="auto"/>
        </w:rPr>
        <w:t>GAAP gross profit and non</w:t>
      </w:r>
      <w:r>
        <w:rPr>
          <w:rFonts w:ascii="MS PGothic" w:cs="MS PGothic" w:eastAsia="MS PGothic" w:hAnsi="MS PGothic"/>
          <w:sz w:val="16"/>
          <w:szCs w:val="16"/>
          <w:color w:val="auto"/>
        </w:rPr>
        <w:t>‑</w:t>
      </w:r>
      <w:r>
        <w:rPr>
          <w:rFonts w:ascii="Arial" w:cs="Arial" w:eastAsia="Arial" w:hAnsi="Arial"/>
          <w:sz w:val="16"/>
          <w:szCs w:val="16"/>
          <w:color w:val="auto"/>
        </w:rPr>
        <w:t>GAAP gross</w:t>
      </w:r>
      <w:r>
        <w:rPr>
          <w:rFonts w:ascii="Arial" w:cs="Arial" w:eastAsia="Arial" w:hAnsi="Arial"/>
          <w:sz w:val="16"/>
          <w:szCs w:val="16"/>
          <w:b w:val="1"/>
          <w:bCs w:val="1"/>
          <w:color w:val="auto"/>
        </w:rPr>
        <w:t xml:space="preserve"> </w:t>
      </w:r>
      <w:r>
        <w:rPr>
          <w:rFonts w:ascii="Arial" w:cs="Arial" w:eastAsia="Arial" w:hAnsi="Arial"/>
          <w:sz w:val="16"/>
          <w:szCs w:val="16"/>
          <w:color w:val="auto"/>
        </w:rPr>
        <w:t>margin as GAAP gross profit and GAAP gross margin, respectively, adjusted to exclude, as applicable, certain expenses as presented in the table below:</w:t>
      </w:r>
    </w:p>
    <w:p>
      <w:pPr>
        <w:spacing w:after="0" w:line="317"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8"/>
              </w:rPr>
              <w:t>Three Months Ended</w:t>
            </w: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00" w:type="dxa"/>
            <w:vAlign w:val="bottom"/>
          </w:tcPr>
          <w:p>
            <w:pPr>
              <w:ind w:left="500"/>
              <w:spacing w:after="0"/>
              <w:rPr>
                <w:sz w:val="20"/>
                <w:szCs w:val="20"/>
                <w:color w:val="auto"/>
              </w:rPr>
            </w:pPr>
            <w:r>
              <w:rPr>
                <w:rFonts w:ascii="Arial" w:cs="Arial" w:eastAsia="Arial" w:hAnsi="Arial"/>
                <w:sz w:val="16"/>
                <w:szCs w:val="16"/>
                <w:b w:val="1"/>
                <w:bCs w:val="1"/>
                <w:color w:val="auto"/>
              </w:rPr>
              <w:t>Reconciliation:</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3"/>
          </w:tcPr>
          <w:p>
            <w:pPr>
              <w:ind w:left="380"/>
              <w:spacing w:after="0"/>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298,304</w:t>
            </w:r>
          </w:p>
        </w:tc>
        <w:tc>
          <w:tcPr>
            <w:tcW w:w="184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193,535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500"/>
              <w:spacing w:after="0"/>
              <w:rPr>
                <w:sz w:val="20"/>
                <w:szCs w:val="20"/>
                <w:color w:val="auto"/>
              </w:rPr>
            </w:pPr>
            <w:r>
              <w:rPr>
                <w:rFonts w:ascii="Arial" w:cs="Arial" w:eastAsia="Arial" w:hAnsi="Arial"/>
                <w:sz w:val="16"/>
                <w:szCs w:val="16"/>
                <w:color w:val="auto"/>
              </w:rPr>
              <w:t>Non-GAAP adjustments:</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2,717</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1,837</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Amortization of acquired intangibles</w:t>
            </w: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26,342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12,381</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Non-GAAP gross profit</w:t>
            </w:r>
          </w:p>
        </w:tc>
        <w:tc>
          <w:tcPr>
            <w:tcW w:w="1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327,363</w:t>
            </w:r>
          </w:p>
        </w:tc>
        <w:tc>
          <w:tcPr>
            <w:tcW w:w="184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207,753</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6"/>
                <w:szCs w:val="16"/>
                <w:color w:val="auto"/>
              </w:rPr>
              <w:t>Non-GAAP gross margin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560" w:type="dxa"/>
            <w:vAlign w:val="bottom"/>
          </w:tcPr>
          <w:p>
            <w:pPr>
              <w:ind w:left="40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57</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500"/>
        <w:spacing w:after="0" w:line="184"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 Operating Expenses</w:t>
      </w:r>
      <w:r>
        <w:rPr>
          <w:rFonts w:ascii="Arial" w:cs="Arial" w:eastAsia="Arial" w:hAnsi="Arial"/>
          <w:sz w:val="16"/>
          <w:szCs w:val="16"/>
          <w:color w:val="auto"/>
        </w:rPr>
        <w:t>. For the periods presented, we define non</w:t>
      </w:r>
      <w:r>
        <w:rPr>
          <w:rFonts w:ascii="MS PGothic" w:cs="MS PGothic" w:eastAsia="MS PGothic" w:hAnsi="MS PGothic"/>
          <w:sz w:val="16"/>
          <w:szCs w:val="16"/>
          <w:color w:val="auto"/>
        </w:rPr>
        <w:t>‑</w:t>
      </w:r>
      <w:r>
        <w:rPr>
          <w:rFonts w:ascii="Arial" w:cs="Arial" w:eastAsia="Arial" w:hAnsi="Arial"/>
          <w:sz w:val="16"/>
          <w:szCs w:val="16"/>
          <w:color w:val="auto"/>
        </w:rPr>
        <w:t>GAAP operating expenses (including categories of operating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GAAP operating expenses (and categories of operating expenses) adjusted to exclude, as applicable, certain expenses as presented in the table below:</w:t>
      </w:r>
    </w:p>
    <w:p>
      <w:pPr>
        <w:spacing w:after="0" w:line="348"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7"/>
        </w:trPr>
        <w:tc>
          <w:tcPr>
            <w:tcW w:w="56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5600" w:type="dxa"/>
            <w:vAlign w:val="bottom"/>
          </w:tcPr>
          <w:p>
            <w:pPr>
              <w:ind w:left="500"/>
              <w:spacing w:after="0"/>
              <w:rPr>
                <w:sz w:val="20"/>
                <w:szCs w:val="20"/>
                <w:color w:val="auto"/>
              </w:rPr>
            </w:pPr>
            <w:r>
              <w:rPr>
                <w:rFonts w:ascii="Arial" w:cs="Arial" w:eastAsia="Arial" w:hAnsi="Arial"/>
                <w:sz w:val="16"/>
                <w:szCs w:val="16"/>
                <w:b w:val="1"/>
                <w:bCs w:val="1"/>
                <w:color w:val="auto"/>
              </w:rPr>
              <w:t>Reconciliation:</w:t>
            </w:r>
          </w:p>
        </w:tc>
        <w:tc>
          <w:tcPr>
            <w:tcW w:w="1480" w:type="dxa"/>
            <w:vAlign w:val="bottom"/>
          </w:tcPr>
          <w:p>
            <w:pPr>
              <w:spacing w:after="0"/>
              <w:rPr>
                <w:sz w:val="18"/>
                <w:szCs w:val="18"/>
                <w:color w:val="auto"/>
              </w:rPr>
            </w:pPr>
          </w:p>
        </w:tc>
        <w:tc>
          <w:tcPr>
            <w:tcW w:w="1820" w:type="dxa"/>
            <w:vAlign w:val="bottom"/>
            <w:gridSpan w:val="4"/>
          </w:tcPr>
          <w:p>
            <w:pPr>
              <w:jc w:val="right"/>
              <w:ind w:right="299"/>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8"/>
                <w:szCs w:val="18"/>
                <w:color w:val="auto"/>
              </w:rPr>
            </w:pPr>
          </w:p>
        </w:tc>
      </w:tr>
      <w:tr>
        <w:trPr>
          <w:trHeight w:val="219"/>
        </w:trPr>
        <w:tc>
          <w:tcPr>
            <w:tcW w:w="5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148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286,231</w:t>
            </w:r>
          </w:p>
        </w:tc>
      </w:tr>
      <w:tr>
        <w:trPr>
          <w:trHeight w:val="213"/>
        </w:trPr>
        <w:tc>
          <w:tcPr>
            <w:tcW w:w="5600" w:type="dxa"/>
            <w:vAlign w:val="bottom"/>
          </w:tcPr>
          <w:p>
            <w:pPr>
              <w:ind w:left="500"/>
              <w:spacing w:after="0"/>
              <w:rPr>
                <w:sz w:val="20"/>
                <w:szCs w:val="20"/>
                <w:color w:val="auto"/>
              </w:rPr>
            </w:pPr>
            <w:r>
              <w:rPr>
                <w:rFonts w:ascii="Arial" w:cs="Arial" w:eastAsia="Arial" w:hAnsi="Arial"/>
                <w:sz w:val="16"/>
                <w:szCs w:val="16"/>
                <w:color w:val="auto"/>
              </w:rPr>
              <w:t>Non-GAAP adjustments:</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6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(134,438)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(67,188)</w:t>
            </w:r>
          </w:p>
        </w:tc>
      </w:tr>
      <w:tr>
        <w:trPr>
          <w:trHeight w:val="213"/>
        </w:trPr>
        <w:tc>
          <w:tcPr>
            <w:tcW w:w="5600" w:type="dxa"/>
            <w:vAlign w:val="bottom"/>
          </w:tcPr>
          <w:p>
            <w:pPr>
              <w:ind w:left="700"/>
              <w:spacing w:after="0"/>
              <w:rPr>
                <w:sz w:val="20"/>
                <w:szCs w:val="20"/>
                <w:color w:val="auto"/>
              </w:rPr>
            </w:pPr>
            <w:r>
              <w:rPr>
                <w:rFonts w:ascii="Arial" w:cs="Arial" w:eastAsia="Arial" w:hAnsi="Arial"/>
                <w:sz w:val="16"/>
                <w:szCs w:val="16"/>
                <w:color w:val="auto"/>
              </w:rPr>
              <w:t>Amortization of acquired intangibles</w:t>
            </w:r>
          </w:p>
        </w:tc>
        <w:tc>
          <w:tcPr>
            <w:tcW w:w="1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(7,911)</w:t>
            </w:r>
          </w:p>
        </w:tc>
      </w:tr>
      <w:tr>
        <w:trPr>
          <w:trHeight w:val="219"/>
        </w:trPr>
        <w:tc>
          <w:tcPr>
            <w:tcW w:w="56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Acquisition-related expenses</w:t>
            </w: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3"/>
        </w:trPr>
        <w:tc>
          <w:tcPr>
            <w:tcW w:w="5600" w:type="dxa"/>
            <w:vAlign w:val="bottom"/>
          </w:tcPr>
          <w:p>
            <w:pPr>
              <w:ind w:left="700"/>
              <w:spacing w:after="0"/>
              <w:rPr>
                <w:sz w:val="20"/>
                <w:szCs w:val="20"/>
                <w:color w:val="auto"/>
              </w:rPr>
            </w:pPr>
            <w:r>
              <w:rPr>
                <w:rFonts w:ascii="Arial" w:cs="Arial" w:eastAsia="Arial" w:hAnsi="Arial"/>
                <w:sz w:val="16"/>
                <w:szCs w:val="16"/>
                <w:color w:val="auto"/>
              </w:rPr>
              <w:t>Charitable contributions</w:t>
            </w:r>
          </w:p>
        </w:tc>
        <w:tc>
          <w:tcPr>
            <w:tcW w:w="1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(2,701)</w:t>
            </w:r>
          </w:p>
        </w:tc>
      </w:tr>
      <w:tr>
        <w:trPr>
          <w:trHeight w:val="216"/>
        </w:trPr>
        <w:tc>
          <w:tcPr>
            <w:tcW w:w="56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Payroll taxes related to stock-based compensation</w:t>
            </w:r>
          </w:p>
        </w:tc>
        <w:tc>
          <w:tcPr>
            <w:tcW w:w="1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r>
      <w:tr>
        <w:trPr>
          <w:trHeight w:val="213"/>
        </w:trPr>
        <w:tc>
          <w:tcPr>
            <w:tcW w:w="5600" w:type="dxa"/>
            <w:vAlign w:val="bottom"/>
          </w:tcPr>
          <w:p>
            <w:pPr>
              <w:ind w:left="820"/>
              <w:spacing w:after="0"/>
              <w:rPr>
                <w:sz w:val="20"/>
                <w:szCs w:val="20"/>
                <w:color w:val="auto"/>
              </w:rPr>
            </w:pPr>
            <w:r>
              <w:rPr>
                <w:rFonts w:ascii="Arial" w:cs="Arial" w:eastAsia="Arial" w:hAnsi="Arial"/>
                <w:sz w:val="16"/>
                <w:szCs w:val="16"/>
                <w:color w:val="auto"/>
              </w:rPr>
              <w:t>Non-GAAP operating expenses</w:t>
            </w:r>
          </w:p>
        </w:tc>
        <w:tc>
          <w:tcPr>
            <w:tcW w:w="14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310,056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201,676</w:t>
            </w:r>
          </w:p>
        </w:tc>
      </w:tr>
      <w:tr>
        <w:trPr>
          <w:trHeight w:val="20"/>
        </w:trPr>
        <w:tc>
          <w:tcPr>
            <w:tcW w:w="5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86"/>
        <w:spacing w:after="0" w:line="222"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GAAP Income from Operations and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GAAP Operating Margin</w:t>
      </w:r>
      <w:r>
        <w:rPr>
          <w:rFonts w:ascii="Arial" w:cs="Arial" w:eastAsia="Arial" w:hAnsi="Arial"/>
          <w:sz w:val="18"/>
          <w:szCs w:val="18"/>
          <w:color w:val="auto"/>
        </w:rPr>
        <w:t>. For the periods presented, we define non</w:t>
      </w:r>
      <w:r>
        <w:rPr>
          <w:rFonts w:ascii="MS PGothic" w:cs="MS PGothic" w:eastAsia="MS PGothic" w:hAnsi="MS PGothic"/>
          <w:sz w:val="18"/>
          <w:szCs w:val="18"/>
          <w:color w:val="auto"/>
        </w:rPr>
        <w:t>‑</w:t>
      </w:r>
      <w:r>
        <w:rPr>
          <w:rFonts w:ascii="Arial" w:cs="Arial" w:eastAsia="Arial" w:hAnsi="Arial"/>
          <w:sz w:val="18"/>
          <w:szCs w:val="18"/>
          <w:color w:val="auto"/>
        </w:rPr>
        <w:t>GAAP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non</w:t>
      </w:r>
      <w:r>
        <w:rPr>
          <w:rFonts w:ascii="MS PGothic" w:cs="MS PGothic" w:eastAsia="MS PGothic" w:hAnsi="MS PGothic"/>
          <w:sz w:val="18"/>
          <w:szCs w:val="18"/>
          <w:color w:val="auto"/>
        </w:rPr>
        <w:t>‑</w:t>
      </w:r>
      <w:r>
        <w:rPr>
          <w:rFonts w:ascii="Arial" w:cs="Arial" w:eastAsia="Arial" w:hAnsi="Arial"/>
          <w:sz w:val="18"/>
          <w:szCs w:val="18"/>
          <w:color w:val="auto"/>
        </w:rPr>
        <w:t>GAAP operating margin as GAAP loss from operations and GAAP operating margin, respectively, adjusted to exclude, as applicable, certain expenses as presented in the table below:</w:t>
      </w:r>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3"/>
        </w:trPr>
        <w:tc>
          <w:tcPr>
            <w:tcW w:w="57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07"/>
        </w:trPr>
        <w:tc>
          <w:tcPr>
            <w:tcW w:w="57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r>
      <w:tr>
        <w:trPr>
          <w:trHeight w:val="212"/>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Reconciliation:</w:t>
            </w:r>
          </w:p>
        </w:tc>
        <w:tc>
          <w:tcPr>
            <w:tcW w:w="620" w:type="dxa"/>
            <w:vAlign w:val="bottom"/>
          </w:tcPr>
          <w:p>
            <w:pPr>
              <w:spacing w:after="0"/>
              <w:rPr>
                <w:sz w:val="18"/>
                <w:szCs w:val="18"/>
                <w:color w:val="auto"/>
              </w:rPr>
            </w:pPr>
          </w:p>
        </w:tc>
        <w:tc>
          <w:tcPr>
            <w:tcW w:w="2460" w:type="dxa"/>
            <w:vAlign w:val="bottom"/>
            <w:gridSpan w:val="4"/>
          </w:tcPr>
          <w:p>
            <w:pPr>
              <w:jc w:val="right"/>
              <w:ind w:right="380"/>
              <w:spacing w:after="0"/>
              <w:rPr>
                <w:sz w:val="20"/>
                <w:szCs w:val="20"/>
                <w:color w:val="auto"/>
              </w:rPr>
            </w:pPr>
            <w:r>
              <w:rPr>
                <w:rFonts w:ascii="Arial" w:cs="Arial" w:eastAsia="Arial" w:hAnsi="Arial"/>
                <w:sz w:val="16"/>
                <w:szCs w:val="16"/>
                <w:color w:val="auto"/>
              </w:rPr>
              <w:t>(In thousands)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9"/>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from operations</w:t>
            </w: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(197,339)</w:t>
            </w: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(92,696)</w:t>
            </w:r>
          </w:p>
        </w:tc>
        <w:tc>
          <w:tcPr>
            <w:tcW w:w="240" w:type="dxa"/>
            <w:vAlign w:val="bottom"/>
            <w:shd w:val="clear" w:color="auto" w:fill="CCEEFF"/>
          </w:tcPr>
          <w:p>
            <w:pPr>
              <w:spacing w:after="0"/>
              <w:rPr>
                <w:sz w:val="19"/>
                <w:szCs w:val="19"/>
                <w:color w:val="auto"/>
              </w:rPr>
            </w:pPr>
          </w:p>
        </w:tc>
      </w:tr>
      <w:tr>
        <w:trPr>
          <w:trHeight w:val="213"/>
        </w:trPr>
        <w:tc>
          <w:tcPr>
            <w:tcW w:w="5700" w:type="dxa"/>
            <w:vAlign w:val="bottom"/>
          </w:tcPr>
          <w:p>
            <w:pPr>
              <w:ind w:left="160"/>
              <w:spacing w:after="0"/>
              <w:rPr>
                <w:sz w:val="20"/>
                <w:szCs w:val="20"/>
                <w:color w:val="auto"/>
              </w:rPr>
            </w:pPr>
            <w:r>
              <w:rPr>
                <w:rFonts w:ascii="Arial" w:cs="Arial" w:eastAsia="Arial" w:hAnsi="Arial"/>
                <w:sz w:val="16"/>
                <w:szCs w:val="16"/>
                <w:color w:val="auto"/>
              </w:rPr>
              <w:t>Non-GAAP adjustments:</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9"/>
        </w:trPr>
        <w:tc>
          <w:tcPr>
            <w:tcW w:w="5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137,155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69,025</w:t>
            </w:r>
          </w:p>
        </w:tc>
        <w:tc>
          <w:tcPr>
            <w:tcW w:w="240" w:type="dxa"/>
            <w:vAlign w:val="bottom"/>
            <w:shd w:val="clear" w:color="auto" w:fill="CCEEFF"/>
          </w:tcPr>
          <w:p>
            <w:pPr>
              <w:spacing w:after="0"/>
              <w:rPr>
                <w:sz w:val="19"/>
                <w:szCs w:val="19"/>
                <w:color w:val="auto"/>
              </w:rPr>
            </w:pPr>
          </w:p>
        </w:tc>
      </w:tr>
      <w:tr>
        <w:trPr>
          <w:trHeight w:val="213"/>
        </w:trPr>
        <w:tc>
          <w:tcPr>
            <w:tcW w:w="5700" w:type="dxa"/>
            <w:vAlign w:val="bottom"/>
          </w:tcPr>
          <w:p>
            <w:pPr>
              <w:ind w:left="380"/>
              <w:spacing w:after="0"/>
              <w:rPr>
                <w:sz w:val="20"/>
                <w:szCs w:val="20"/>
                <w:color w:val="auto"/>
              </w:rPr>
            </w:pPr>
            <w:r>
              <w:rPr>
                <w:rFonts w:ascii="Arial" w:cs="Arial" w:eastAsia="Arial" w:hAnsi="Arial"/>
                <w:sz w:val="16"/>
                <w:szCs w:val="16"/>
                <w:color w:val="auto"/>
              </w:rPr>
              <w:t>Amortization of acquired intangibles</w:t>
            </w: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20,292</w:t>
            </w:r>
          </w:p>
        </w:tc>
        <w:tc>
          <w:tcPr>
            <w:tcW w:w="240" w:type="dxa"/>
            <w:vAlign w:val="bottom"/>
          </w:tcPr>
          <w:p>
            <w:pPr>
              <w:spacing w:after="0"/>
              <w:rPr>
                <w:sz w:val="18"/>
                <w:szCs w:val="18"/>
                <w:color w:val="auto"/>
              </w:rPr>
            </w:pPr>
          </w:p>
        </w:tc>
      </w:tr>
      <w:tr>
        <w:trPr>
          <w:trHeight w:val="219"/>
        </w:trPr>
        <w:tc>
          <w:tcPr>
            <w:tcW w:w="5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Acquisition-related expenses</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240" w:type="dxa"/>
            <w:vAlign w:val="bottom"/>
            <w:shd w:val="clear" w:color="auto" w:fill="CCEEFF"/>
          </w:tcPr>
          <w:p>
            <w:pPr>
              <w:spacing w:after="0"/>
              <w:rPr>
                <w:sz w:val="19"/>
                <w:szCs w:val="19"/>
                <w:color w:val="auto"/>
              </w:rPr>
            </w:pPr>
          </w:p>
        </w:tc>
      </w:tr>
      <w:tr>
        <w:trPr>
          <w:trHeight w:val="213"/>
        </w:trPr>
        <w:tc>
          <w:tcPr>
            <w:tcW w:w="5700" w:type="dxa"/>
            <w:vAlign w:val="bottom"/>
          </w:tcPr>
          <w:p>
            <w:pPr>
              <w:ind w:left="380"/>
              <w:spacing w:after="0"/>
              <w:rPr>
                <w:sz w:val="20"/>
                <w:szCs w:val="20"/>
                <w:color w:val="auto"/>
              </w:rPr>
            </w:pPr>
            <w:r>
              <w:rPr>
                <w:rFonts w:ascii="Arial" w:cs="Arial" w:eastAsia="Arial" w:hAnsi="Arial"/>
                <w:sz w:val="16"/>
                <w:szCs w:val="16"/>
                <w:color w:val="auto"/>
              </w:rPr>
              <w:t>Charitable contributions</w:t>
            </w: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2,701</w:t>
            </w:r>
          </w:p>
        </w:tc>
        <w:tc>
          <w:tcPr>
            <w:tcW w:w="240" w:type="dxa"/>
            <w:vAlign w:val="bottom"/>
          </w:tcPr>
          <w:p>
            <w:pPr>
              <w:spacing w:after="0"/>
              <w:rPr>
                <w:sz w:val="18"/>
                <w:szCs w:val="18"/>
                <w:color w:val="auto"/>
              </w:rPr>
            </w:pPr>
          </w:p>
        </w:tc>
      </w:tr>
      <w:tr>
        <w:trPr>
          <w:trHeight w:val="216"/>
        </w:trPr>
        <w:tc>
          <w:tcPr>
            <w:tcW w:w="5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Payroll taxes related to stock-based compensation</w:t>
            </w: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20,171</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6,453</w:t>
            </w:r>
          </w:p>
        </w:tc>
        <w:tc>
          <w:tcPr>
            <w:tcW w:w="240" w:type="dxa"/>
            <w:vAlign w:val="bottom"/>
            <w:tcBorders>
              <w:bottom w:val="single" w:sz="8" w:color="auto"/>
            </w:tcBorders>
            <w:shd w:val="clear" w:color="auto" w:fill="CCEEFF"/>
          </w:tcPr>
          <w:p>
            <w:pPr>
              <w:spacing w:after="0"/>
              <w:rPr>
                <w:sz w:val="18"/>
                <w:szCs w:val="18"/>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Non-GAAP income from operations</w:t>
            </w: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17,307</w:t>
            </w:r>
          </w:p>
        </w:tc>
        <w:tc>
          <w:tcPr>
            <w:tcW w:w="12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6,077</w:t>
            </w:r>
          </w:p>
        </w:tc>
        <w:tc>
          <w:tcPr>
            <w:tcW w:w="240" w:type="dxa"/>
            <w:vAlign w:val="bottom"/>
          </w:tcPr>
          <w:p>
            <w:pPr>
              <w:spacing w:after="0"/>
              <w:rPr>
                <w:sz w:val="18"/>
                <w:szCs w:val="18"/>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Non-GAAP operating margin</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total revenue for those periods. The period-to-period comparison of our historical results are not necessarily indicative of the results that may be expected in the future.</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6"/>
                <w:szCs w:val="16"/>
                <w:color w:val="auto"/>
              </w:rPr>
            </w:pPr>
          </w:p>
        </w:tc>
      </w:tr>
      <w:tr>
        <w:trPr>
          <w:trHeight w:val="213"/>
        </w:trPr>
        <w:tc>
          <w:tcPr>
            <w:tcW w:w="558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7"/>
        </w:trPr>
        <w:tc>
          <w:tcPr>
            <w:tcW w:w="55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5580" w:type="dxa"/>
            <w:vAlign w:val="bottom"/>
          </w:tcPr>
          <w:p>
            <w:pPr>
              <w:ind w:left="50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1500" w:type="dxa"/>
            <w:vAlign w:val="bottom"/>
          </w:tcPr>
          <w:p>
            <w:pPr>
              <w:spacing w:after="0"/>
              <w:rPr>
                <w:sz w:val="18"/>
                <w:szCs w:val="18"/>
                <w:color w:val="auto"/>
              </w:rPr>
            </w:pPr>
          </w:p>
        </w:tc>
        <w:tc>
          <w:tcPr>
            <w:tcW w:w="1820" w:type="dxa"/>
            <w:vAlign w:val="bottom"/>
            <w:gridSpan w:val="4"/>
          </w:tcPr>
          <w:p>
            <w:pPr>
              <w:jc w:val="right"/>
              <w:ind w:right="299"/>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8"/>
                <w:szCs w:val="18"/>
                <w:color w:val="auto"/>
              </w:rPr>
            </w:pPr>
          </w:p>
        </w:tc>
      </w:tr>
      <w:tr>
        <w:trPr>
          <w:trHeight w:val="219"/>
        </w:trPr>
        <w:tc>
          <w:tcPr>
            <w:tcW w:w="5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Revenue</w:t>
            </w:r>
          </w:p>
        </w:tc>
        <w:tc>
          <w:tcPr>
            <w:tcW w:w="15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364,868</w:t>
            </w:r>
          </w:p>
        </w:tc>
      </w:tr>
      <w:tr>
        <w:trPr>
          <w:trHeight w:val="216"/>
        </w:trPr>
        <w:tc>
          <w:tcPr>
            <w:tcW w:w="5580" w:type="dxa"/>
            <w:vAlign w:val="bottom"/>
            <w:tcBorders>
              <w:bottom w:val="single" w:sz="8" w:color="CCEEFF"/>
            </w:tcBorders>
          </w:tcPr>
          <w:p>
            <w:pPr>
              <w:ind w:left="50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(1) (2)</w:t>
            </w: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291,684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171,333</w:t>
            </w:r>
          </w:p>
        </w:tc>
      </w:tr>
      <w:tr>
        <w:trPr>
          <w:trHeight w:val="209"/>
        </w:trPr>
        <w:tc>
          <w:tcPr>
            <w:tcW w:w="55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Gross profit</w:t>
            </w:r>
          </w:p>
        </w:tc>
        <w:tc>
          <w:tcPr>
            <w:tcW w:w="1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193,535</w:t>
            </w:r>
          </w:p>
        </w:tc>
      </w:tr>
      <w:tr>
        <w:trPr>
          <w:trHeight w:val="193"/>
        </w:trPr>
        <w:tc>
          <w:tcPr>
            <w:tcW w:w="5580" w:type="dxa"/>
            <w:vAlign w:val="bottom"/>
          </w:tcPr>
          <w:p>
            <w:pPr>
              <w:ind w:left="500"/>
              <w:spacing w:after="0"/>
              <w:rPr>
                <w:sz w:val="20"/>
                <w:szCs w:val="20"/>
                <w:color w:val="auto"/>
              </w:rPr>
            </w:pPr>
            <w:r>
              <w:rPr>
                <w:rFonts w:ascii="Arial" w:cs="Arial" w:eastAsia="Arial" w:hAnsi="Arial"/>
                <w:sz w:val="16"/>
                <w:szCs w:val="16"/>
                <w:color w:val="auto"/>
              </w:rPr>
              <w:t>Operating expenses:</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5580" w:type="dxa"/>
            <w:vAlign w:val="bottom"/>
            <w:shd w:val="clear" w:color="auto" w:fill="CCEEFF"/>
          </w:tcPr>
          <w:p>
            <w:pPr>
              <w:ind w:left="700"/>
              <w:spacing w:after="0" w:line="219"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1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114,339</w:t>
            </w:r>
          </w:p>
        </w:tc>
      </w:tr>
      <w:tr>
        <w:trPr>
          <w:trHeight w:val="216"/>
        </w:trPr>
        <w:tc>
          <w:tcPr>
            <w:tcW w:w="5580" w:type="dxa"/>
            <w:vAlign w:val="bottom"/>
          </w:tcPr>
          <w:p>
            <w:pPr>
              <w:ind w:left="700"/>
              <w:spacing w:after="0" w:line="216"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210,590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116,722</w:t>
            </w:r>
          </w:p>
        </w:tc>
      </w:tr>
      <w:tr>
        <w:trPr>
          <w:trHeight w:val="216"/>
        </w:trPr>
        <w:tc>
          <w:tcPr>
            <w:tcW w:w="5580" w:type="dxa"/>
            <w:vAlign w:val="bottom"/>
            <w:shd w:val="clear" w:color="auto" w:fill="CCEEFF"/>
          </w:tcPr>
          <w:p>
            <w:pPr>
              <w:ind w:left="70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(2)</w:t>
            </w:r>
          </w:p>
        </w:tc>
        <w:tc>
          <w:tcPr>
            <w:tcW w:w="1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55,170</w:t>
            </w:r>
          </w:p>
        </w:tc>
      </w:tr>
      <w:tr>
        <w:trPr>
          <w:trHeight w:val="207"/>
        </w:trPr>
        <w:tc>
          <w:tcPr>
            <w:tcW w:w="558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Total operating expenses</w:t>
            </w:r>
          </w:p>
        </w:tc>
        <w:tc>
          <w:tcPr>
            <w:tcW w:w="1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495,643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286,231</w:t>
            </w:r>
          </w:p>
        </w:tc>
      </w:tr>
      <w:tr>
        <w:trPr>
          <w:trHeight w:val="213"/>
        </w:trPr>
        <w:tc>
          <w:tcPr>
            <w:tcW w:w="55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Loss from operations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(197,339)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(92,696)</w:t>
            </w:r>
          </w:p>
        </w:tc>
      </w:tr>
      <w:tr>
        <w:trPr>
          <w:trHeight w:val="213"/>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expenses, net</w:t>
            </w: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r>
      <w:tr>
        <w:trPr>
          <w:trHeight w:val="212"/>
        </w:trPr>
        <w:tc>
          <w:tcPr>
            <w:tcW w:w="55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Loss before provision for income taxes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(205,652)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(93,814)</w:t>
            </w:r>
          </w:p>
        </w:tc>
      </w:tr>
      <w:tr>
        <w:trPr>
          <w:trHeight w:val="213"/>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Provision for income taxes</w:t>
            </w: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r>
      <w:tr>
        <w:trPr>
          <w:trHeight w:val="238"/>
        </w:trPr>
        <w:tc>
          <w:tcPr>
            <w:tcW w:w="5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loss attributable to common stockholders</w:t>
            </w:r>
          </w:p>
        </w:tc>
        <w:tc>
          <w:tcPr>
            <w:tcW w:w="15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(206,542)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(94,791)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stock-based compensation expense as follows: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09"/>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gridSpan w:val="4"/>
          </w:tcPr>
          <w:p>
            <w:pPr>
              <w:jc w:val="right"/>
              <w:ind w:right="299"/>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8"/>
                <w:szCs w:val="18"/>
                <w:color w:val="auto"/>
              </w:rPr>
            </w:pPr>
          </w:p>
        </w:tc>
      </w:tr>
      <w:tr>
        <w:trPr>
          <w:trHeight w:val="219"/>
        </w:trPr>
        <w:tc>
          <w:tcPr>
            <w:tcW w:w="5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Cost of revenue</w:t>
            </w:r>
          </w:p>
        </w:tc>
        <w:tc>
          <w:tcPr>
            <w:tcW w:w="152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r>
      <w:tr>
        <w:trPr>
          <w:trHeight w:val="213"/>
        </w:trPr>
        <w:tc>
          <w:tcPr>
            <w:tcW w:w="5600" w:type="dxa"/>
            <w:vAlign w:val="bottom"/>
          </w:tcPr>
          <w:p>
            <w:pPr>
              <w:ind w:left="500"/>
              <w:spacing w:after="0"/>
              <w:rPr>
                <w:sz w:val="20"/>
                <w:szCs w:val="20"/>
                <w:color w:val="auto"/>
              </w:rPr>
            </w:pPr>
            <w:r>
              <w:rPr>
                <w:rFonts w:ascii="Arial" w:cs="Arial" w:eastAsia="Arial" w:hAnsi="Arial"/>
                <w:sz w:val="16"/>
                <w:szCs w:val="16"/>
                <w:color w:val="auto"/>
              </w:rPr>
              <w:t>Research and development</w:t>
            </w:r>
          </w:p>
        </w:tc>
        <w:tc>
          <w:tcPr>
            <w:tcW w:w="1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56,959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33,209</w:t>
            </w:r>
          </w:p>
        </w:tc>
      </w:tr>
      <w:tr>
        <w:trPr>
          <w:trHeight w:val="219"/>
        </w:trPr>
        <w:tc>
          <w:tcPr>
            <w:tcW w:w="5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Sales and marketing</w:t>
            </w:r>
          </w:p>
        </w:tc>
        <w:tc>
          <w:tcPr>
            <w:tcW w:w="1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19,943</w:t>
            </w:r>
          </w:p>
        </w:tc>
      </w:tr>
      <w:tr>
        <w:trPr>
          <w:trHeight w:val="213"/>
        </w:trPr>
        <w:tc>
          <w:tcPr>
            <w:tcW w:w="56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General and administrative</w:t>
            </w:r>
          </w:p>
        </w:tc>
        <w:tc>
          <w:tcPr>
            <w:tcW w:w="1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14,036</w:t>
            </w:r>
          </w:p>
        </w:tc>
      </w:tr>
      <w:tr>
        <w:trPr>
          <w:trHeight w:val="238"/>
        </w:trPr>
        <w:tc>
          <w:tcPr>
            <w:tcW w:w="5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137,155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ind w:left="660" w:hanging="166"/>
        <w:spacing w:after="0" w:line="229" w:lineRule="auto"/>
        <w:tabs>
          <w:tab w:leader="none" w:pos="660"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Includes amortization of acquired intangibles as follows:</w:t>
      </w:r>
    </w:p>
    <w:p>
      <w:pPr>
        <w:spacing w:after="0" w:line="232" w:lineRule="exact"/>
        <w:rPr>
          <w:sz w:val="20"/>
          <w:szCs w:val="20"/>
          <w:color w:val="auto"/>
        </w:rPr>
      </w:pPr>
    </w:p>
    <w:p>
      <w:pPr>
        <w:jc w:val="center"/>
        <w:ind w:left="6380"/>
        <w:spacing w:after="0"/>
        <w:rPr>
          <w:sz w:val="20"/>
          <w:szCs w:val="20"/>
          <w:color w:val="auto"/>
        </w:rPr>
      </w:pPr>
      <w:r>
        <w:rPr>
          <w:rFonts w:ascii="Arial" w:cs="Arial" w:eastAsia="Arial" w:hAnsi="Arial"/>
          <w:sz w:val="16"/>
          <w:szCs w:val="16"/>
          <w:b w:val="1"/>
          <w:bCs w:val="1"/>
          <w:color w:val="auto"/>
        </w:rPr>
        <w:t>Three Months Ended</w:t>
      </w:r>
    </w:p>
    <w:p>
      <w:pPr>
        <w:jc w:val="center"/>
        <w:ind w:left="63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r>
      <w:tr>
        <w:trPr>
          <w:trHeight w:val="209"/>
        </w:trPr>
        <w:tc>
          <w:tcPr>
            <w:tcW w:w="6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3"/>
          </w:tcPr>
          <w:p>
            <w:pPr>
              <w:jc w:val="right"/>
              <w:ind w:right="84"/>
              <w:spacing w:after="0"/>
              <w:rPr>
                <w:sz w:val="20"/>
                <w:szCs w:val="20"/>
                <w:color w:val="auto"/>
              </w:rPr>
            </w:pPr>
            <w:r>
              <w:rPr>
                <w:rFonts w:ascii="Arial" w:cs="Arial" w:eastAsia="Arial" w:hAnsi="Arial"/>
                <w:sz w:val="16"/>
                <w:szCs w:val="16"/>
                <w:color w:val="auto"/>
              </w:rPr>
              <w:t>(In thousands)</w:t>
            </w:r>
          </w:p>
        </w:tc>
        <w:tc>
          <w:tcPr>
            <w:tcW w:w="1200" w:type="dxa"/>
            <w:vAlign w:val="bottom"/>
          </w:tcPr>
          <w:p>
            <w:pPr>
              <w:spacing w:after="0"/>
              <w:rPr>
                <w:sz w:val="18"/>
                <w:szCs w:val="18"/>
                <w:color w:val="auto"/>
              </w:rPr>
            </w:pPr>
          </w:p>
        </w:tc>
      </w:tr>
      <w:tr>
        <w:trPr>
          <w:trHeight w:val="219"/>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120" w:type="dxa"/>
            <w:vAlign w:val="bottom"/>
            <w:shd w:val="clear" w:color="auto" w:fill="CCEEFF"/>
          </w:tcPr>
          <w:p>
            <w:pPr>
              <w:jc w:val="right"/>
              <w:ind w:right="96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w:t>
            </w: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18,694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7,864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6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45,151</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20,292</w:t>
            </w:r>
          </w:p>
        </w:tc>
      </w:tr>
      <w:tr>
        <w:trPr>
          <w:trHeight w:val="21"/>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80" w:type="dxa"/>
            <w:vAlign w:val="bottom"/>
            <w:gridSpan w:val="3"/>
          </w:tcPr>
          <w:p>
            <w:pPr>
              <w:ind w:left="180"/>
              <w:spacing w:after="0"/>
              <w:rPr>
                <w:sz w:val="20"/>
                <w:szCs w:val="20"/>
                <w:color w:val="auto"/>
              </w:rPr>
            </w:pPr>
            <w:r>
              <w:rPr>
                <w:rFonts w:ascii="Arial" w:cs="Arial" w:eastAsia="Arial" w:hAnsi="Arial"/>
                <w:sz w:val="16"/>
                <w:szCs w:val="16"/>
                <w:b w:val="1"/>
                <w:bCs w:val="1"/>
                <w:color w:val="auto"/>
                <w:w w:val="99"/>
              </w:rPr>
              <w:t>Three Months Ended</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3"/>
        </w:trPr>
        <w:tc>
          <w:tcPr>
            <w:tcW w:w="512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207"/>
        </w:trPr>
        <w:tc>
          <w:tcPr>
            <w:tcW w:w="5120" w:type="dxa"/>
            <w:vAlign w:val="bottom"/>
          </w:tcPr>
          <w:p>
            <w:pPr>
              <w:spacing w:after="0"/>
              <w:rPr>
                <w:sz w:val="17"/>
                <w:szCs w:val="17"/>
                <w:color w:val="auto"/>
              </w:rPr>
            </w:pPr>
          </w:p>
        </w:tc>
        <w:tc>
          <w:tcPr>
            <w:tcW w:w="1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r>
      <w:tr>
        <w:trPr>
          <w:trHeight w:val="148"/>
        </w:trPr>
        <w:tc>
          <w:tcPr>
            <w:tcW w:w="5120" w:type="dxa"/>
            <w:vAlign w:val="bottom"/>
          </w:tcPr>
          <w:p>
            <w:pPr>
              <w:ind w:left="660"/>
              <w:spacing w:after="0" w:line="148" w:lineRule="exact"/>
              <w:rPr>
                <w:sz w:val="20"/>
                <w:szCs w:val="20"/>
                <w:color w:val="auto"/>
              </w:rPr>
            </w:pPr>
            <w:r>
              <w:rPr>
                <w:rFonts w:ascii="Arial" w:cs="Arial" w:eastAsia="Arial" w:hAnsi="Arial"/>
                <w:sz w:val="16"/>
                <w:szCs w:val="16"/>
                <w:b w:val="1"/>
                <w:bCs w:val="1"/>
                <w:color w:val="auto"/>
              </w:rPr>
              <w:t>Condensed Consolidated Statements of Operations, as a</w:t>
            </w:r>
          </w:p>
        </w:tc>
        <w:tc>
          <w:tcPr>
            <w:tcW w:w="1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percentage of revenue: **</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5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Revenue</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100</w:t>
            </w:r>
          </w:p>
        </w:tc>
        <w:tc>
          <w:tcPr>
            <w:tcW w:w="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100</w:t>
            </w:r>
          </w:p>
        </w:tc>
        <w:tc>
          <w:tcPr>
            <w:tcW w:w="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r>
      <w:tr>
        <w:trPr>
          <w:trHeight w:val="213"/>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Cost of revenue</w:t>
            </w:r>
          </w:p>
        </w:tc>
        <w:tc>
          <w:tcPr>
            <w:tcW w:w="1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47</w:t>
            </w:r>
          </w:p>
        </w:tc>
        <w:tc>
          <w:tcPr>
            <w:tcW w:w="460" w:type="dxa"/>
            <w:vAlign w:val="bottom"/>
            <w:tcBorders>
              <w:bottom w:val="single" w:sz="8" w:color="auto"/>
            </w:tcBorders>
          </w:tcPr>
          <w:p>
            <w:pPr>
              <w:spacing w:after="0"/>
              <w:rPr>
                <w:sz w:val="18"/>
                <w:szCs w:val="18"/>
                <w:color w:val="auto"/>
              </w:rPr>
            </w:pPr>
          </w:p>
        </w:tc>
      </w:tr>
      <w:tr>
        <w:trPr>
          <w:trHeight w:val="213"/>
        </w:trPr>
        <w:tc>
          <w:tcPr>
            <w:tcW w:w="5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Gross profit</w:t>
            </w:r>
          </w:p>
        </w:tc>
        <w:tc>
          <w:tcPr>
            <w:tcW w:w="18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51</w:t>
            </w: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w:t>
            </w:r>
          </w:p>
        </w:tc>
        <w:tc>
          <w:tcPr>
            <w:tcW w:w="460" w:type="dxa"/>
            <w:vAlign w:val="bottom"/>
            <w:tcBorders>
              <w:bottom w:val="single" w:sz="8" w:color="auto"/>
            </w:tcBorders>
            <w:shd w:val="clear" w:color="auto" w:fill="CCEEFF"/>
          </w:tcPr>
          <w:p>
            <w:pPr>
              <w:spacing w:after="0"/>
              <w:rPr>
                <w:sz w:val="18"/>
                <w:szCs w:val="18"/>
                <w:color w:val="auto"/>
              </w:rPr>
            </w:pPr>
          </w:p>
        </w:tc>
      </w:tr>
      <w:tr>
        <w:trPr>
          <w:trHeight w:val="193"/>
        </w:trPr>
        <w:tc>
          <w:tcPr>
            <w:tcW w:w="5120" w:type="dxa"/>
            <w:vAlign w:val="bottom"/>
          </w:tcPr>
          <w:p>
            <w:pPr>
              <w:ind w:left="660"/>
              <w:spacing w:after="0"/>
              <w:rPr>
                <w:sz w:val="20"/>
                <w:szCs w:val="20"/>
                <w:color w:val="auto"/>
              </w:rPr>
            </w:pPr>
            <w:r>
              <w:rPr>
                <w:rFonts w:ascii="Arial" w:cs="Arial" w:eastAsia="Arial" w:hAnsi="Arial"/>
                <w:sz w:val="16"/>
                <w:szCs w:val="16"/>
                <w:color w:val="auto"/>
              </w:rPr>
              <w:t>Operating expenses:</w:t>
            </w: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9"/>
        </w:trPr>
        <w:tc>
          <w:tcPr>
            <w:tcW w:w="5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Research and development</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w:t>
            </w:r>
          </w:p>
        </w:tc>
        <w:tc>
          <w:tcPr>
            <w:tcW w:w="460" w:type="dxa"/>
            <w:vAlign w:val="bottom"/>
            <w:shd w:val="clear" w:color="auto" w:fill="CCEEFF"/>
          </w:tcPr>
          <w:p>
            <w:pPr>
              <w:spacing w:after="0"/>
              <w:rPr>
                <w:sz w:val="19"/>
                <w:szCs w:val="19"/>
                <w:color w:val="auto"/>
              </w:rPr>
            </w:pPr>
          </w:p>
        </w:tc>
      </w:tr>
      <w:tr>
        <w:trPr>
          <w:trHeight w:val="213"/>
        </w:trPr>
        <w:tc>
          <w:tcPr>
            <w:tcW w:w="5120" w:type="dxa"/>
            <w:vAlign w:val="bottom"/>
          </w:tcPr>
          <w:p>
            <w:pPr>
              <w:ind w:left="860"/>
              <w:spacing w:after="0"/>
              <w:rPr>
                <w:sz w:val="20"/>
                <w:szCs w:val="20"/>
                <w:color w:val="auto"/>
              </w:rPr>
            </w:pPr>
            <w:r>
              <w:rPr>
                <w:rFonts w:ascii="Arial" w:cs="Arial" w:eastAsia="Arial" w:hAnsi="Arial"/>
                <w:sz w:val="16"/>
                <w:szCs w:val="16"/>
                <w:color w:val="auto"/>
              </w:rPr>
              <w:t>Sales and marketing</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36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18"/>
                <w:szCs w:val="18"/>
                <w:color w:val="auto"/>
              </w:rPr>
            </w:pPr>
          </w:p>
        </w:tc>
      </w:tr>
      <w:tr>
        <w:trPr>
          <w:trHeight w:val="219"/>
        </w:trPr>
        <w:tc>
          <w:tcPr>
            <w:tcW w:w="5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General and administrative</w:t>
            </w:r>
          </w:p>
        </w:tc>
        <w:tc>
          <w:tcPr>
            <w:tcW w:w="18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auto"/>
            </w:tcBorders>
            <w:shd w:val="clear" w:color="auto" w:fill="CCEEFF"/>
          </w:tcPr>
          <w:p>
            <w:pPr>
              <w:spacing w:after="0"/>
              <w:rPr>
                <w:sz w:val="19"/>
                <w:szCs w:val="19"/>
                <w:color w:val="auto"/>
              </w:rPr>
            </w:pPr>
          </w:p>
        </w:tc>
      </w:tr>
      <w:tr>
        <w:trPr>
          <w:trHeight w:val="207"/>
        </w:trPr>
        <w:tc>
          <w:tcPr>
            <w:tcW w:w="51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operating expenses</w:t>
            </w:r>
          </w:p>
        </w:tc>
        <w:tc>
          <w:tcPr>
            <w:tcW w:w="1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78</w:t>
            </w:r>
          </w:p>
        </w:tc>
        <w:tc>
          <w:tcPr>
            <w:tcW w:w="460" w:type="dxa"/>
            <w:vAlign w:val="bottom"/>
            <w:tcBorders>
              <w:bottom w:val="single" w:sz="8" w:color="auto"/>
            </w:tcBorders>
          </w:tcPr>
          <w:p>
            <w:pPr>
              <w:spacing w:after="0"/>
              <w:rPr>
                <w:sz w:val="17"/>
                <w:szCs w:val="17"/>
                <w:color w:val="auto"/>
              </w:rPr>
            </w:pPr>
          </w:p>
        </w:tc>
      </w:tr>
      <w:tr>
        <w:trPr>
          <w:trHeight w:val="213"/>
        </w:trPr>
        <w:tc>
          <w:tcPr>
            <w:tcW w:w="51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Loss from operations</w:t>
            </w:r>
          </w:p>
        </w:tc>
        <w:tc>
          <w:tcPr>
            <w:tcW w:w="18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(25)</w:t>
            </w:r>
          </w:p>
        </w:tc>
        <w:tc>
          <w:tcPr>
            <w:tcW w:w="460" w:type="dxa"/>
            <w:vAlign w:val="bottom"/>
            <w:shd w:val="clear" w:color="auto" w:fill="CCEEFF"/>
          </w:tcPr>
          <w:p>
            <w:pPr>
              <w:spacing w:after="0"/>
              <w:rPr>
                <w:sz w:val="18"/>
                <w:szCs w:val="18"/>
                <w:color w:val="auto"/>
              </w:rPr>
            </w:pPr>
          </w:p>
        </w:tc>
      </w:tr>
      <w:tr>
        <w:trPr>
          <w:trHeight w:val="213"/>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expenses, net</w:t>
            </w:r>
          </w:p>
        </w:tc>
        <w:tc>
          <w:tcPr>
            <w:tcW w:w="1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1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Loss before provision for income taxes</w:t>
            </w:r>
          </w:p>
        </w:tc>
        <w:tc>
          <w:tcPr>
            <w:tcW w:w="18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(26)</w:t>
            </w:r>
          </w:p>
        </w:tc>
        <w:tc>
          <w:tcPr>
            <w:tcW w:w="460" w:type="dxa"/>
            <w:vAlign w:val="bottom"/>
            <w:shd w:val="clear" w:color="auto" w:fill="CCEEFF"/>
          </w:tcPr>
          <w:p>
            <w:pPr>
              <w:spacing w:after="0"/>
              <w:rPr>
                <w:sz w:val="18"/>
                <w:szCs w:val="18"/>
                <w:color w:val="auto"/>
              </w:rPr>
            </w:pPr>
          </w:p>
        </w:tc>
      </w:tr>
      <w:tr>
        <w:trPr>
          <w:trHeight w:val="213"/>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Provision for income taxes</w:t>
            </w:r>
          </w:p>
        </w:tc>
        <w:tc>
          <w:tcPr>
            <w:tcW w:w="1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1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Net loss attributable to common stockholders</w:t>
            </w:r>
          </w:p>
        </w:tc>
        <w:tc>
          <w:tcPr>
            <w:tcW w:w="18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(35</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Less than 0.5% of revenue.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Columns may not add up to 100% due to rounding.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343"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Three Months Ended</w:t>
      </w:r>
    </w:p>
    <w:tbl>
      <w:tblPr>
        <w:tblLayout w:type="fixed"/>
        <w:tblInd w:w="1000" w:type="dxa"/>
        <w:tblCellMar>
          <w:top w:w="0" w:type="dxa"/>
          <w:left w:w="0" w:type="dxa"/>
          <w:bottom w:w="0" w:type="dxa"/>
          <w:right w:w="0" w:type="dxa"/>
        </w:tblCellMar>
      </w:tblPr>
      <w:tr>
        <w:trPr>
          <w:trHeight w:val="198"/>
        </w:trPr>
        <w:tc>
          <w:tcPr>
            <w:tcW w:w="19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19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8"/>
              </w:rPr>
              <w:t>Change</w:t>
            </w:r>
          </w:p>
        </w:tc>
        <w:tc>
          <w:tcPr>
            <w:tcW w:w="520" w:type="dxa"/>
            <w:vAlign w:val="bottom"/>
            <w:tcBorders>
              <w:bottom w:val="single" w:sz="8" w:color="auto"/>
            </w:tcBorders>
          </w:tcPr>
          <w:p>
            <w:pPr>
              <w:spacing w:after="0"/>
              <w:rPr>
                <w:sz w:val="17"/>
                <w:szCs w:val="17"/>
                <w:color w:val="auto"/>
              </w:rPr>
            </w:pPr>
          </w:p>
        </w:tc>
      </w:tr>
      <w:tr>
        <w:trPr>
          <w:trHeight w:val="209"/>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2"/>
          </w:tcPr>
          <w:p>
            <w:pPr>
              <w:jc w:val="right"/>
              <w:ind w:right="199"/>
              <w:spacing w:after="0"/>
              <w:rPr>
                <w:sz w:val="20"/>
                <w:szCs w:val="20"/>
                <w:color w:val="auto"/>
              </w:rPr>
            </w:pPr>
            <w:r>
              <w:rPr>
                <w:rFonts w:ascii="Arial" w:cs="Arial" w:eastAsia="Arial" w:hAnsi="Arial"/>
                <w:sz w:val="16"/>
                <w:szCs w:val="16"/>
                <w:color w:val="auto"/>
              </w:rPr>
              <w:t>(Dollars in thousands)</w:t>
            </w: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1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Revenue</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589,988</w:t>
            </w:r>
          </w:p>
        </w:tc>
        <w:tc>
          <w:tcPr>
            <w:tcW w:w="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364,868</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225,120</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96"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In the three months ended March 31, 2021, total revenue increased by $225.1 million, or 62%, compared to the same period last year. This increase was primarily attributable to an increase in the usage of our products, particularly our Programmable Messaging products and Programmable Voice products, the adoption of additional products by our existing customers, and revenue contribution from the acquisition of our Twilio Segment business. The change in usage was reflected in our Dollar</w:t>
      </w:r>
      <w:r>
        <w:rPr>
          <w:rFonts w:ascii="MS PGothic" w:cs="MS PGothic" w:eastAsia="MS PGothic" w:hAnsi="MS PGothic"/>
          <w:sz w:val="16"/>
          <w:szCs w:val="16"/>
          <w:color w:val="auto"/>
        </w:rPr>
        <w:t>‑</w:t>
      </w:r>
      <w:r>
        <w:rPr>
          <w:rFonts w:ascii="Arial" w:cs="Arial" w:eastAsia="Arial" w:hAnsi="Arial"/>
          <w:sz w:val="16"/>
          <w:szCs w:val="16"/>
          <w:color w:val="auto"/>
        </w:rPr>
        <w:t>Based Net Expansion Rate of 133% for the three months ended March 31, 2021. The increase in usage was also attributable to a 24% increase in the number of Active Customer Accounts, from 190,000 as of March 31, 2020, to over 235,000 as of March 31, 2021, which was also positively impacted by the customer accounts added through our acquisition of the Twilio Segment businesses.</w:t>
      </w:r>
    </w:p>
    <w:p>
      <w:pPr>
        <w:spacing w:after="0" w:line="206"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In the three months ended March 31, 2021, U.S. revenue and international revenue represented $421.5 million or 71%, and $168.5 million, or 29%, respectively, of total revenue. In the three months ended March 31, 2020, U.S. revenue and international revenue represented $261.8 million, or 72%, and $103.1 million, or 28%, respectively, of total revenue. The increase in international revenue was attributable to the growth in usage of our products, particularly our Programmable Messaging products and Programmable Voice products, by our existing international Active Customer Accounts; a 23% increase in the number of international Active Customer Accounts driven in part by our focus on expanding our sales to customers outside of the United States; and revenue contribution from the acquisition of our Twilio Segment business.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Three Months Ended</w:t>
      </w:r>
    </w:p>
    <w:tbl>
      <w:tblPr>
        <w:tblLayout w:type="fixed"/>
        <w:tblInd w:w="660" w:type="dxa"/>
        <w:tblCellMar>
          <w:top w:w="0" w:type="dxa"/>
          <w:left w:w="0" w:type="dxa"/>
          <w:bottom w:w="0" w:type="dxa"/>
          <w:right w:w="0" w:type="dxa"/>
        </w:tblCellMar>
      </w:tblPr>
      <w:tr>
        <w:trPr>
          <w:trHeight w:val="198"/>
        </w:trPr>
        <w:tc>
          <w:tcPr>
            <w:tcW w:w="11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March 31,</w:t>
            </w:r>
          </w:p>
        </w:tc>
        <w:tc>
          <w:tcPr>
            <w:tcW w:w="1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8"/>
              </w:rPr>
              <w:t>Change</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60" w:type="dxa"/>
            <w:vAlign w:val="bottom"/>
            <w:gridSpan w:val="3"/>
          </w:tcPr>
          <w:p>
            <w:pPr>
              <w:jc w:val="right"/>
              <w:ind w:right="1000"/>
              <w:spacing w:after="0"/>
              <w:rPr>
                <w:sz w:val="20"/>
                <w:szCs w:val="20"/>
                <w:color w:val="auto"/>
              </w:rPr>
            </w:pPr>
            <w:r>
              <w:rPr>
                <w:rFonts w:ascii="Arial" w:cs="Arial" w:eastAsia="Arial" w:hAnsi="Arial"/>
                <w:sz w:val="16"/>
                <w:szCs w:val="16"/>
                <w:color w:val="auto"/>
              </w:rPr>
              <w:t>(Dollars in thousands)</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8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rPr>
              <w:t>Cost</w:t>
            </w:r>
          </w:p>
        </w:tc>
        <w:tc>
          <w:tcPr>
            <w:tcW w:w="106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291,684</w:t>
            </w:r>
          </w:p>
        </w:tc>
        <w:tc>
          <w:tcPr>
            <w:tcW w:w="17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171,333</w:t>
            </w:r>
          </w:p>
        </w:tc>
        <w:tc>
          <w:tcPr>
            <w:tcW w:w="16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120,351</w:t>
            </w:r>
          </w:p>
        </w:tc>
        <w:tc>
          <w:tcPr>
            <w:tcW w:w="132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70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revenue</w:t>
            </w:r>
          </w:p>
        </w:tc>
        <w:tc>
          <w:tcPr>
            <w:tcW w:w="10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660"/>
              <w:spacing w:after="0" w:line="166" w:lineRule="exact"/>
              <w:rPr>
                <w:sz w:val="20"/>
                <w:szCs w:val="20"/>
                <w:color w:val="auto"/>
              </w:rPr>
            </w:pPr>
            <w:r>
              <w:rPr>
                <w:rFonts w:ascii="Arial" w:cs="Arial" w:eastAsia="Arial" w:hAnsi="Arial"/>
                <w:sz w:val="16"/>
                <w:szCs w:val="16"/>
                <w:color w:val="auto"/>
              </w:rPr>
              <w:t>Gross</w:t>
            </w:r>
          </w:p>
        </w:tc>
        <w:tc>
          <w:tcPr>
            <w:tcW w:w="1060" w:type="dxa"/>
            <w:vAlign w:val="bottom"/>
          </w:tcPr>
          <w:p>
            <w:pPr>
              <w:spacing w:after="0"/>
              <w:rPr>
                <w:sz w:val="14"/>
                <w:szCs w:val="14"/>
                <w:color w:val="auto"/>
              </w:rPr>
            </w:pPr>
          </w:p>
        </w:tc>
        <w:tc>
          <w:tcPr>
            <w:tcW w:w="1120" w:type="dxa"/>
            <w:vAlign w:val="bottom"/>
            <w:vMerge w:val="restart"/>
          </w:tcPr>
          <w:p>
            <w:pPr>
              <w:jc w:val="right"/>
              <w:ind w:right="179"/>
              <w:spacing w:after="0"/>
              <w:rPr>
                <w:sz w:val="20"/>
                <w:szCs w:val="20"/>
                <w:color w:val="auto"/>
              </w:rPr>
            </w:pPr>
            <w:r>
              <w:rPr>
                <w:rFonts w:ascii="Arial" w:cs="Arial" w:eastAsia="Arial" w:hAnsi="Arial"/>
                <w:sz w:val="16"/>
                <w:szCs w:val="16"/>
                <w:color w:val="auto"/>
              </w:rPr>
              <w:t>51</w:t>
            </w:r>
          </w:p>
        </w:tc>
        <w:tc>
          <w:tcPr>
            <w:tcW w:w="1740" w:type="dxa"/>
            <w:vAlign w:val="bottom"/>
            <w:vMerge w:val="restart"/>
          </w:tcPr>
          <w:p>
            <w:pPr>
              <w:jc w:val="right"/>
              <w:ind w:right="107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279"/>
              <w:spacing w:after="0"/>
              <w:rPr>
                <w:sz w:val="20"/>
                <w:szCs w:val="20"/>
                <w:color w:val="auto"/>
              </w:rPr>
            </w:pPr>
            <w:r>
              <w:rPr>
                <w:rFonts w:ascii="Arial" w:cs="Arial" w:eastAsia="Arial" w:hAnsi="Arial"/>
                <w:sz w:val="16"/>
                <w:szCs w:val="16"/>
                <w:color w:val="auto"/>
              </w:rPr>
              <w:t>53</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80" w:type="dxa"/>
            <w:vAlign w:val="bottom"/>
          </w:tcPr>
          <w:p>
            <w:pPr>
              <w:ind w:left="20"/>
              <w:spacing w:after="0"/>
              <w:rPr>
                <w:sz w:val="20"/>
                <w:szCs w:val="20"/>
                <w:color w:val="auto"/>
              </w:rPr>
            </w:pPr>
            <w:r>
              <w:rPr>
                <w:rFonts w:ascii="Arial" w:cs="Arial" w:eastAsia="Arial" w:hAnsi="Arial"/>
                <w:sz w:val="16"/>
                <w:szCs w:val="16"/>
                <w:color w:val="auto"/>
              </w:rPr>
              <w:t>margin</w:t>
            </w:r>
          </w:p>
        </w:tc>
        <w:tc>
          <w:tcPr>
            <w:tcW w:w="10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the three months ended March 31, 2021, cost of revenue increased by $120.4 million, or 70%, compared to the same period last year. The increase in cost of revenue was primarily attributable to a $84.7 million increase in network service providers’ costs and a $13.8 million increase in cloud infrastructure fees, both to support the growth in usage of our products. The increase was also due to a $14.0 million increase in the amortization expense of intangible assets that we acquired through business combinations.</w:t>
      </w:r>
    </w:p>
    <w:p>
      <w:pPr>
        <w:spacing w:after="0" w:line="187"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In the three months ended March 31, 2021, gross margin percentage declined compared to the same period last year. This decline was primarily driven by a re-acceleration in growth of our messaging business, an increase in amortization expense related to acquired intangible assets, the impact of an increasing mix of international product usage and an increase in network service provider fees in certain geographies. These declines were partially offset by the impact of the acquisition of the Twilio Segment business and certain operational improvements.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Three Months Ended</w:t>
      </w:r>
    </w:p>
    <w:tbl>
      <w:tblPr>
        <w:tblLayout w:type="fixed"/>
        <w:tblInd w:w="960" w:type="dxa"/>
        <w:tblCellMar>
          <w:top w:w="0" w:type="dxa"/>
          <w:left w:w="0" w:type="dxa"/>
          <w:bottom w:w="0" w:type="dxa"/>
          <w:right w:w="0" w:type="dxa"/>
        </w:tblCellMar>
      </w:tblPr>
      <w:tr>
        <w:trPr>
          <w:trHeight w:val="198"/>
        </w:trPr>
        <w:tc>
          <w:tcPr>
            <w:tcW w:w="19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w w:val="88"/>
              </w:rPr>
              <w:t>Change</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3"/>
          </w:tcPr>
          <w:p>
            <w:pPr>
              <w:jc w:val="right"/>
              <w:ind w:right="179"/>
              <w:spacing w:after="0"/>
              <w:rPr>
                <w:sz w:val="20"/>
                <w:szCs w:val="20"/>
                <w:color w:val="auto"/>
              </w:rPr>
            </w:pPr>
            <w:r>
              <w:rPr>
                <w:rFonts w:ascii="Arial" w:cs="Arial" w:eastAsia="Arial" w:hAnsi="Arial"/>
                <w:sz w:val="16"/>
                <w:szCs w:val="16"/>
                <w:color w:val="auto"/>
              </w:rPr>
              <w:t>(Dollars in thousands)</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rPr>
              <w:t>Research and</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114,339</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60,461</w:t>
            </w:r>
          </w:p>
        </w:tc>
        <w:tc>
          <w:tcPr>
            <w:tcW w:w="1380" w:type="dxa"/>
            <w:vAlign w:val="bottom"/>
            <w:gridSpan w:val="2"/>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53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9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660"/>
              <w:spacing w:after="0" w:line="166" w:lineRule="exact"/>
              <w:rPr>
                <w:sz w:val="20"/>
                <w:szCs w:val="20"/>
                <w:color w:val="auto"/>
              </w:rPr>
            </w:pPr>
            <w:r>
              <w:rPr>
                <w:rFonts w:ascii="Arial" w:cs="Arial" w:eastAsia="Arial" w:hAnsi="Arial"/>
                <w:sz w:val="16"/>
                <w:szCs w:val="16"/>
                <w:color w:val="auto"/>
              </w:rPr>
              <w:t>Sales and</w:t>
            </w:r>
          </w:p>
        </w:tc>
        <w:tc>
          <w:tcPr>
            <w:tcW w:w="9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210,590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116,722</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93,868</w:t>
            </w:r>
          </w:p>
        </w:tc>
        <w:tc>
          <w:tcPr>
            <w:tcW w:w="1380" w:type="dxa"/>
            <w:vAlign w:val="bottom"/>
            <w:gridSpan w:val="2"/>
            <w:vMerge w:val="restart"/>
          </w:tcPr>
          <w:p>
            <w:pPr>
              <w:jc w:val="right"/>
              <w:ind w:right="259"/>
              <w:spacing w:after="0"/>
              <w:rPr>
                <w:sz w:val="20"/>
                <w:szCs w:val="20"/>
                <w:color w:val="auto"/>
              </w:rPr>
            </w:pPr>
            <w:r>
              <w:rPr>
                <w:rFonts w:ascii="Arial" w:cs="Arial" w:eastAsia="Arial" w:hAnsi="Arial"/>
                <w:sz w:val="16"/>
                <w:szCs w:val="16"/>
                <w:color w:val="auto"/>
              </w:rPr>
              <w:t>80</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Arial" w:cs="Arial" w:eastAsia="Arial" w:hAnsi="Arial"/>
                <w:sz w:val="16"/>
                <w:szCs w:val="16"/>
                <w:color w:val="auto"/>
              </w:rPr>
              <w:t>marketing</w:t>
            </w:r>
          </w:p>
        </w:tc>
        <w:tc>
          <w:tcPr>
            <w:tcW w:w="9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rPr>
              <w:t>General and</w:t>
            </w:r>
          </w:p>
        </w:tc>
        <w:tc>
          <w:tcPr>
            <w:tcW w:w="9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110,253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55,170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55,083</w:t>
            </w:r>
          </w:p>
        </w:tc>
        <w:tc>
          <w:tcPr>
            <w:tcW w:w="40" w:type="dxa"/>
            <w:vAlign w:val="bottom"/>
            <w:vMerge w:val="restart"/>
            <w:shd w:val="clear" w:color="auto" w:fill="CCEEFF"/>
          </w:tcPr>
          <w:p>
            <w:pPr>
              <w:spacing w:after="0"/>
              <w:rPr>
                <w:sz w:val="14"/>
                <w:szCs w:val="14"/>
                <w:color w:val="auto"/>
              </w:rPr>
            </w:pPr>
          </w:p>
        </w:tc>
        <w:tc>
          <w:tcPr>
            <w:tcW w:w="13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100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60" w:type="dxa"/>
            <w:vAlign w:val="bottom"/>
          </w:tcPr>
          <w:p>
            <w:pPr>
              <w:ind w:left="860"/>
              <w:spacing w:after="0" w:line="146" w:lineRule="exact"/>
              <w:rPr>
                <w:sz w:val="20"/>
                <w:szCs w:val="20"/>
                <w:color w:val="auto"/>
              </w:rPr>
            </w:pPr>
            <w:r>
              <w:rPr>
                <w:rFonts w:ascii="Arial" w:cs="Arial" w:eastAsia="Arial" w:hAnsi="Arial"/>
                <w:sz w:val="16"/>
                <w:szCs w:val="16"/>
                <w:color w:val="auto"/>
              </w:rPr>
              <w:t>Total</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495,643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286,231</w:t>
            </w:r>
          </w:p>
        </w:tc>
        <w:tc>
          <w:tcPr>
            <w:tcW w:w="100" w:type="dxa"/>
            <w:vAlign w:val="bottom"/>
          </w:tcPr>
          <w:p>
            <w:pPr>
              <w:spacing w:after="0"/>
              <w:rPr>
                <w:sz w:val="12"/>
                <w:szCs w:val="12"/>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209,412</w:t>
            </w:r>
          </w:p>
        </w:tc>
        <w:tc>
          <w:tcPr>
            <w:tcW w:w="1380" w:type="dxa"/>
            <w:vAlign w:val="bottom"/>
            <w:gridSpan w:val="2"/>
            <w:vMerge w:val="restart"/>
          </w:tcPr>
          <w:p>
            <w:pPr>
              <w:jc w:val="right"/>
              <w:ind w:right="259"/>
              <w:spacing w:after="0"/>
              <w:rPr>
                <w:sz w:val="20"/>
                <w:szCs w:val="20"/>
                <w:color w:val="auto"/>
              </w:rPr>
            </w:pPr>
            <w:r>
              <w:rPr>
                <w:rFonts w:ascii="Arial" w:cs="Arial" w:eastAsia="Arial" w:hAnsi="Arial"/>
                <w:sz w:val="16"/>
                <w:szCs w:val="16"/>
                <w:color w:val="auto"/>
              </w:rPr>
              <w:t>73</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960" w:type="dxa"/>
            <w:vAlign w:val="bottom"/>
          </w:tcPr>
          <w:p>
            <w:pPr>
              <w:ind w:left="220"/>
              <w:spacing w:after="0"/>
              <w:rPr>
                <w:sz w:val="20"/>
                <w:szCs w:val="20"/>
                <w:color w:val="auto"/>
              </w:rPr>
            </w:pPr>
            <w:r>
              <w:rPr>
                <w:rFonts w:ascii="Arial" w:cs="Arial" w:eastAsia="Arial" w:hAnsi="Arial"/>
                <w:sz w:val="16"/>
                <w:szCs w:val="16"/>
                <w:color w:val="auto"/>
              </w:rPr>
              <w:t>operating expenses</w:t>
            </w:r>
          </w:p>
        </w:tc>
        <w:tc>
          <w:tcPr>
            <w:tcW w:w="9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In the three months ended March 31, 2021, research and development expenses increased by $60.5 million, or 53%, compared to the same period last year. The increase was primarily attributable to a $52.6 million increase in personnel costs, net of a $3.0 million increase in capitalized software development costs, largely as a result of a 54% average increase in our research and development headcount, as we continued to focus on enhancing our existing products, introducing new products as well as enhancing product management and other technical functions. The increase was also due to a $3.1 million increase in our cloud infrastructure fees related to staging and development of our products. In addition, the three months ended March 31, 2021 included research and development expenses and the impact of growth in the headcount, from our acquired Twilio Segment business on November 2, 2020.</w:t>
      </w:r>
    </w:p>
    <w:p>
      <w:pPr>
        <w:spacing w:after="0" w:line="164" w:lineRule="exact"/>
        <w:rPr>
          <w:sz w:val="20"/>
          <w:szCs w:val="20"/>
          <w:color w:val="auto"/>
        </w:rPr>
      </w:pPr>
    </w:p>
    <w:p>
      <w:pPr>
        <w:jc w:val="both"/>
        <w:ind w:right="80" w:firstLine="486"/>
        <w:spacing w:after="0" w:line="296" w:lineRule="auto"/>
        <w:rPr>
          <w:sz w:val="20"/>
          <w:szCs w:val="20"/>
          <w:color w:val="auto"/>
        </w:rPr>
      </w:pPr>
      <w:r>
        <w:rPr>
          <w:rFonts w:ascii="Arial" w:cs="Arial" w:eastAsia="Arial" w:hAnsi="Arial"/>
          <w:sz w:val="16"/>
          <w:szCs w:val="16"/>
          <w:color w:val="auto"/>
        </w:rPr>
        <w:t>In the three months ended March 31, 2021, sales and marketing expenses increased by $93.9 million, or 80%, compared to the same period last year. The increase was primarily attributable to a $65.3 million increase in personnel costs, largely as a result of an 85% average increase in sales and marketing headcount, as we continued to expand our sales efforts in the United States and abroad. The increase was also due to a $10.8 million increase related to the amortization of acquired intangible assets and a $6.4 million increase in advertising expenses. In addition, the three months ended March 31, 2021 included sales and marketing expenses and the impact of growth in the headcount from our acquired Twilio Segment business on November 2, 2020.</w:t>
      </w:r>
    </w:p>
    <w:p>
      <w:pPr>
        <w:spacing w:after="0" w:line="16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the three months ended March 31, 2021, general and administrative expenses increased by $55.1 million, or 100%, compared to the same period last year. The increase was primarily attributable to a $34.7 million increase in personnel costs, largely as a result of a 76% average increase in general and administrative headcount, to support the growth of our business domestically and internationally. The increase was also due to a $6.7 million increase in charitable contributions and a $2.5 million increase in professional service fees related to our acquisitions of other businesses. Additionally, certain of our taxes increased by $1.5 million primarily in foreign jurisdictions and our professional services fees increased by $2.1 million. Further, the three months ended March 31, 2021 included general and administrative expenses and the impact of growth in the headcount from our acquired Twilio Segment business on November 2, 2020.</w:t>
      </w:r>
    </w:p>
    <w:p>
      <w:pPr>
        <w:sectPr>
          <w:pgSz w:w="11900" w:h="16838" w:orient="portrait"/>
          <w:cols w:equalWidth="0" w:num="1">
            <w:col w:w="11300"/>
          </w:cols>
          <w:pgMar w:left="320" w:top="125" w:right="279" w:bottom="1440" w:gutter="0" w:footer="0" w:header="0"/>
        </w:sect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net proceeds of approximately $537.0 million, after deducting purchaser discounts and debt issuance costs paid by us, from issuance of our Convertible Notes in May 2018; (iii) the aggregate net proceeds of approximately $985.1 million, after deducting purchaser discounts and debt issuance costs paid or payable by us, from issuance of our 2029 Notes and 2031 Notes in March 2021; and (iv) the payments received from customers using our products.</w:t>
      </w:r>
    </w:p>
    <w:p>
      <w:pPr>
        <w:spacing w:after="0" w:line="16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believe that our cash, cash equivalents and marketable securities balances, as well as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COVID-19 pandemic, including timing and ability to collect payments from our customers and other risks detailed in Part II, Item 1A, “Risk Factors.”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gridSpan w:val="4"/>
          </w:tcPr>
          <w:p>
            <w:pPr>
              <w:jc w:val="right"/>
              <w:ind w:right="319"/>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 provided by operating activities</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15,535</w:t>
            </w:r>
          </w:p>
        </w:tc>
        <w:tc>
          <w:tcPr>
            <w:tcW w:w="0" w:type="dxa"/>
            <w:vAlign w:val="bottom"/>
          </w:tcPr>
          <w:p>
            <w:pPr>
              <w:spacing w:after="0"/>
              <w:rPr>
                <w:sz w:val="1"/>
                <w:szCs w:val="1"/>
                <w:color w:val="auto"/>
              </w:rPr>
            </w:pPr>
          </w:p>
        </w:tc>
      </w:tr>
      <w:tr>
        <w:trPr>
          <w:trHeight w:val="213"/>
        </w:trPr>
        <w:tc>
          <w:tcPr>
            <w:tcW w:w="5580" w:type="dxa"/>
            <w:vAlign w:val="bottom"/>
          </w:tcPr>
          <w:p>
            <w:pPr>
              <w:ind w:left="500"/>
              <w:spacing w:after="0"/>
              <w:rPr>
                <w:sz w:val="20"/>
                <w:szCs w:val="20"/>
                <w:color w:val="auto"/>
              </w:rPr>
            </w:pPr>
            <w:r>
              <w:rPr>
                <w:rFonts w:ascii="Arial" w:cs="Arial" w:eastAsia="Arial" w:hAnsi="Arial"/>
                <w:sz w:val="16"/>
                <w:szCs w:val="16"/>
                <w:color w:val="auto"/>
              </w:rPr>
              <w:t>Cash (used in) provided by investing activities</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(1,366,021)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71,645</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 provided by financing activities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4,603</w:t>
            </w:r>
          </w:p>
        </w:tc>
        <w:tc>
          <w:tcPr>
            <w:tcW w:w="0" w:type="dxa"/>
            <w:vAlign w:val="bottom"/>
          </w:tcPr>
          <w:p>
            <w:pPr>
              <w:spacing w:after="0"/>
              <w:rPr>
                <w:sz w:val="1"/>
                <w:szCs w:val="1"/>
                <w:color w:val="auto"/>
              </w:rPr>
            </w:pPr>
          </w:p>
        </w:tc>
      </w:tr>
      <w:tr>
        <w:trPr>
          <w:trHeight w:val="166"/>
        </w:trPr>
        <w:tc>
          <w:tcPr>
            <w:tcW w:w="5580" w:type="dxa"/>
            <w:vAlign w:val="bottom"/>
          </w:tcPr>
          <w:p>
            <w:pPr>
              <w:ind w:left="500"/>
              <w:spacing w:after="0" w:line="166" w:lineRule="exact"/>
              <w:rPr>
                <w:sz w:val="20"/>
                <w:szCs w:val="20"/>
                <w:color w:val="auto"/>
              </w:rPr>
            </w:pPr>
            <w:r>
              <w:rPr>
                <w:rFonts w:ascii="Arial" w:cs="Arial" w:eastAsia="Arial" w:hAnsi="Arial"/>
                <w:sz w:val="16"/>
                <w:szCs w:val="16"/>
                <w:color w:val="auto"/>
                <w:w w:val="97"/>
              </w:rPr>
              <w:t>Effect of exchange rate changes on cash, cash equivalents and restricted</w:t>
            </w:r>
          </w:p>
        </w:tc>
        <w:tc>
          <w:tcPr>
            <w:tcW w:w="8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increase in cash, cash equivalents and restricted cash</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1,397,889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91,783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the three months ended March 31, 2021, cash provided by operating activities consisted primarily of our net loss of $206.5 million adjusted for non-cash items, including $137.2 million of stock-based compensation expense, $59.6 million of depreciation and amortization expense, $9.4 million of donated common stock, $7.6 million loss on extinguishment of our Convertible Notes, $3.4 million amortization of the debt discount and issuance costs related primarily to our Convertible Notes, $11.7 million of non-cash reduction to our operating right-of-use asset, $5.6 million amortization of deferred commissions, a $2.0 million increase in our allowance for credit losses, and $32.7 million of cumulative changes in operating assets and liabilities. With respect to changes in operating assets and liabilities, accounts receivable and prepaid expenses increased $24.3 million primarily due to the timing of cash receipts from certain of our larger customers, pre-payments for cloud infrastructure fees and certain operating expenses. Accounts payable and other current liabilities increased $18.0 million primarily due to increases in transaction volumes. Operating lease liability decreased $12.1 million due to payments made against our operating lease obligations. Other long-term assets increased $15.2 million primarily due to an increase in the sales commissions balances related to the growth of our business.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the three months ended March 31, 2020, cash provided by operating activities consisted primarily of our net loss of $94.8 million adjusted for non-cash items, including $69.0 million of stock-based compensation expense, $32.2 million of depreciation and amortization expense, $8.0 million of reduction to our operating right-of-use asset, $6.2 million in amortization of debt discount and issuance costs, a $4.2 million increase in allowance for credit losses and $16.2 million of cumulative changes in operating assets and liabilities. With respect to changes in operating assets and liabilities, accounts receivable and prepaid expenses increased $31.3 million primarily due to the timing of cash receipts from our customers, pre-payments for cloud infrastructure fees and certain operating expenses. Accounts payable and other current liabilities increased $24.0 million primarily due to increases in transaction volumes. Our operating right-of-use liability decreased $7.0 million due to payments made against our operating lease obligations. Our long-term assets increased $5.8 million primarily due to an increase in the deferred sales commissions balances related to the growth of our business.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three months ended March 31, 2021, cash used in investing activities was $1.4 billion primarily consisting of $1.3 billion of purchases of marketable securities and other investments, net of maturities and sales, $66.9 million of net cash paid to acquire other businesses as described in Note 6 to our condensed consolidated financial statements included elsewhere in this Quarterly Report on Form 10-Q, $10.4 million related to capitalized software development costs and $5.0 million related to purchases of long-lived assets.</w:t>
      </w:r>
    </w:p>
    <w:p>
      <w:pPr>
        <w:spacing w:after="0" w:line="187"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In the three months ended March 31, 2020, cash provided by investing activities was $71.6 million primarily consisting of $89.0 million of maturities and sales of marketable securities and other investments, net of purchases, $8.6 million related to capitalized software development costs and $6.3 million related to purchases of long-lived assets.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the three months ended March 31, 2021, cash provided by financing activities was $2.8 billion primarily consisting of $1.8 billion in net proceeds from our public equity offering, as described in Note 13 to our condensed consolidated financial statements included elsewhere in this Quarterly Report on Form 10-Q, $987.4 million in net proceeds from the issuance of our 2029 Notes and 2031 Notes, as described in Note 9 to our condensed consolidated financial statements included elsewhere in this Quarterly Report on Form 10-Q, and $11.6 million in proceeds from stock options exercised by our employees. This was offset by $2.8 million in principal payments on finance leases and $2.8 million related to the value of equity awards withheld to settle tax liabilities.</w:t>
      </w:r>
    </w:p>
    <w:p>
      <w:pPr>
        <w:spacing w:after="0" w:line="192"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In the three months ended March 31, 2020, cash provided by financing activities was $4.6 million primarily consisting of $8.2 million in proceeds from stock options exercised by our employees. This was offset by $2.0 million in principal payments on financing leases and $1.7 million related to the value of equity awards withheld to settle tax liabilities.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changes to our critical accounting policies as described in our Annual Report on Form 10-K filed with the SEC on February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18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Refer to Note 2 to the unaudited condensed consolidated financial statements included elsewhere in this Quarterly Report on Form 10-Q for a discussion of recent accounting pronouncements not yet adopted.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Our principal commitments consist of obligations under our Convertible Notes, our 2029 Notes and 2031 Notes, our operating leases for office space and our contractual commitments to our cloud infrastructure and network service providers. In the three months ended March 31, 2021, we entered into several non-cancelable vendor agreements with terms up to three years for a total purchase commitment of $426.9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420" w:firstLine="486"/>
        <w:spacing w:after="0" w:line="301" w:lineRule="auto"/>
        <w:rPr>
          <w:sz w:val="20"/>
          <w:szCs w:val="20"/>
          <w:color w:val="auto"/>
        </w:rPr>
      </w:pPr>
      <w:r>
        <w:rPr>
          <w:rFonts w:ascii="Arial" w:cs="Arial" w:eastAsia="Arial" w:hAnsi="Arial"/>
          <w:sz w:val="16"/>
          <w:szCs w:val="16"/>
          <w:color w:val="auto"/>
        </w:rPr>
        <w:t>The following filings are available for download free of charge through our investor relations website after we file them with the Securities and Exchange Commission (“SEC”): Annual Report on Form 10-K, Quarterly Reports on Form 10-Q and our Proxy Statement for our annual meeting of stockholders. Our investor relations website is located at http://investors.twilio.com. The SEC also maintains an Internet website that contains reports, proxy statements and other information about issuers, like us, that file electronically with the SEC. The address of that website is www.sec.gov.</w:t>
      </w:r>
    </w:p>
    <w:p>
      <w:pPr>
        <w:spacing w:after="0" w:line="157"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also use our Twitter Account (https://twitter.com/twilio) and the Twitter account of our Chief Executive Officer, Jeff Lawson (https://twitter.com/jeffiel) as a means of disclosing information about our Company, our services and other matters and for complying with our disclosure obligations under Regulation FD.</w:t>
      </w:r>
    </w:p>
    <w:p>
      <w:pPr>
        <w:spacing w:after="0" w:line="176"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Further corporate governance information, including our corporate governance guidelines and code of business conduct and ethics, is also available on our investor relations website under the heading “Corporate Governance.” The contents of our websites and the social media channels identified above are not intended to be incorporated by reference into this Quarterly Report on Form 10-Q or in any other report or document we file with the SEC, and any references to our websites are intended to be inactive textual references only.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certain market risks in the ordinary course of our business, including sensitivities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486"/>
        <w:spacing w:after="0" w:line="218" w:lineRule="exact"/>
        <w:rPr>
          <w:sz w:val="20"/>
          <w:szCs w:val="20"/>
          <w:color w:val="auto"/>
        </w:rPr>
      </w:pPr>
      <w:r>
        <w:rPr>
          <w:rFonts w:ascii="Arial" w:cs="Arial" w:eastAsia="Arial" w:hAnsi="Arial"/>
          <w:sz w:val="16"/>
          <w:szCs w:val="16"/>
          <w:color w:val="auto"/>
        </w:rPr>
        <w:t>We had cash and cash equivalents of $2.3 billion and marketable securities of $3.4 billion as of March 31, 2021. Cash and cash equivalents consist of bank deposits and money market funds. Marketable securities consist primarily of U.S. treasury securities and high credit quality corporate debt securities. The cash and cash equivalents and marketable securities are held for working capital purposes. Such interest</w:t>
      </w:r>
      <w:r>
        <w:rPr>
          <w:rFonts w:ascii="MS PGothic" w:cs="MS PGothic" w:eastAsia="MS PGothic" w:hAnsi="MS PGothic"/>
          <w:sz w:val="16"/>
          <w:szCs w:val="16"/>
          <w:color w:val="auto"/>
        </w:rPr>
        <w:t>‑</w:t>
      </w:r>
      <w:r>
        <w:rPr>
          <w:rFonts w:ascii="Arial" w:cs="Arial" w:eastAsia="Arial" w:hAnsi="Arial"/>
          <w:sz w:val="16"/>
          <w:szCs w:val="16"/>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our investments,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w:t>
      </w:r>
    </w:p>
    <w:p>
      <w:pPr>
        <w:spacing w:after="0" w:line="20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May 2018, we issued $550.0 million aggregate principal amount of Convertible Notes, of which $288.4 million was redeemed as of March 31, 2021. The fair market value of the Convertible Notes is affected by our stock price. The fair value of the Convertible Notes will generally increase as our common stock price increases and will generally decrease as our common stock price declines in value. In addition, the fair market value of the Convertible Notes is exposed to interest rate risk. Generally, the fair market value of our fixed interest rate Convertible Notes will increase as interest rates fall and decrease as interest rates rise. Additionally, on our balance sheet we carry the Convertible Notes at face value less unamortized discount and debt issuance cost, and we present the fair value for required disclosure purposes only.</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March 2021, we issued and sold $1.0 billion aggregate principal amount of our 2029 Notes and 2031 Notes carrying fixed interest rates of 3.625% and 3.875%, respectively.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Exchange Risks</w:t>
      </w:r>
    </w:p>
    <w:p>
      <w:pPr>
        <w:spacing w:after="0" w:line="22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The functional currency of most of our foreign subsidiaries is the U.S. dollar. The local currencies of our foreign subsidiaries are the Australian dollar, the Bermuda dollar, the Brazilian real, the British pound, the Canadian dollar, the Columbian peso, the Czech Republic koruna, the Euro, the Hong Kong dollar, the Indian rupee, the Japanese yen, the Mexican Peso, the Serbian Dollar, the Singapore dollar and the Swedish krona.</w:t>
      </w:r>
    </w:p>
    <w:p>
      <w:pPr>
        <w:spacing w:after="0" w:line="149"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our unaudited condensed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unaudited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880" w:hanging="386"/>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8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March 31, 2021,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84"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w:t>
      </w:r>
    </w:p>
    <w:p>
      <w:pPr>
        <w:spacing w:after="0" w:line="229" w:lineRule="exact"/>
        <w:rPr>
          <w:sz w:val="20"/>
          <w:szCs w:val="20"/>
          <w:color w:val="auto"/>
        </w:rPr>
      </w:pPr>
    </w:p>
    <w:p>
      <w:pPr>
        <w:ind w:right="80" w:firstLine="486"/>
        <w:spacing w:after="0" w:line="248" w:lineRule="auto"/>
        <w:rPr>
          <w:sz w:val="20"/>
          <w:szCs w:val="20"/>
          <w:color w:val="auto"/>
        </w:rPr>
      </w:pPr>
      <w:r>
        <w:rPr>
          <w:rFonts w:ascii="Arial" w:cs="Arial" w:eastAsia="Arial" w:hAnsi="Arial"/>
          <w:sz w:val="18"/>
          <w:szCs w:val="18"/>
          <w:color w:val="auto"/>
        </w:rPr>
        <w:t>There were no changes in our internal control over financial reporting in connection with the evaluation required by Rule 13a-15 (d) and 15d-15 (d) of the Exchange Act that occurred during the quarter ended March 31, 2021 that materially affected, or are reasonably likely to materially affect, our internal control over financial reporting.</w:t>
      </w:r>
    </w:p>
    <w:p>
      <w:pPr>
        <w:spacing w:after="0" w:line="232"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Inherent Limitations on Effectiveness of Controls</w:t>
      </w:r>
    </w:p>
    <w:p>
      <w:pPr>
        <w:spacing w:after="0" w:line="270" w:lineRule="exact"/>
        <w:rPr>
          <w:sz w:val="20"/>
          <w:szCs w:val="20"/>
          <w:color w:val="auto"/>
        </w:rPr>
      </w:pPr>
    </w:p>
    <w:p>
      <w:pPr>
        <w:ind w:right="100" w:firstLine="486"/>
        <w:spacing w:after="0" w:line="218" w:lineRule="exact"/>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6"/>
          <w:szCs w:val="16"/>
          <w:color w:val="auto"/>
        </w:rPr>
        <w:t>‑</w:t>
      </w:r>
      <w:r>
        <w:rPr>
          <w:rFonts w:ascii="Arial" w:cs="Arial" w:eastAsia="Arial" w:hAnsi="Arial"/>
          <w:sz w:val="16"/>
          <w:szCs w:val="16"/>
          <w:color w:val="auto"/>
        </w:rPr>
        <w:t>effective control system, misstatements due to error or fraud may occur and not be detected.</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Refer to Note 12(b) of our unaudited condensed consolidated financial statements included elsewhere in this Quarterly Report on Form 10-Q for a description of our current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Part I, Item 2, “Management’s Discussion and Analysis of Financial Condition and Results of Operations” and our unaudited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8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global COVID-19 pandemic may adversely impact our business, results of operations and financial performance.</w:t>
      </w:r>
    </w:p>
    <w:p>
      <w:pPr>
        <w:spacing w:after="0" w:line="225"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COVID-19 pandemic and efforts to control its spread have significantly curtailed the movement of people, goods and services worldwide, including in most or all of the regions in which we sell our products and services and conduct our business operations. While the duration and severity of the COVID-19 outbreak and the degree and duration of its impact on our business continues to be uncertain and difficult to predict, compliance with social distancing and shelter-in-place measures have impacted our day-to-day operations. Like many other companies, including our customers and prospective customers, our employees continue to work from home and we have restricted business travel for the time being. Additionally, in response to the COVID-19 pandemic, we held SIGNAL, our annual developer and customer conference, on September 30, 2020 and October 1, 2020, as a virtual event. We have also cancelled, postponed, or shifted other planned events to virtual-only experiences and we may deem it advisable to similarly alter, postpone or cancel entirely additional customer, employee or industry events in the future.</w:t>
      </w:r>
    </w:p>
    <w:p>
      <w:pPr>
        <w:spacing w:after="0" w:line="17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continued spread of COVID-19 has had an adverse impact on the business of some of our customers while other customers in certain industries have seen an increase in customer demand. COVID-19 could still have an adverse impact on our business partners and third-party business partners. The continuing crisis could also potentially lead to an ongoing global economic downturn, which could result in constrained supply or reduced customer demand and willingness to enter into or renew contracts with us, any of which could adversely impact our business, results of operations and overall financial performance in future periods. Specifically, we often enter into annual or multi-year, minimum commitment arrangements with our customers. If customers fail to pay us or reduce their spending with us, we may be adversely affected by an inability to collect amounts due, the cost of enforcing the terms of our contracts, including litigation, or a reduction in revenue. We may also experience impact from delayed sales cycles, including customers and prospective customers delaying contract signing or contract renewals, or reducing budgets or minimum commitments related to the product and services that we offer. In addition, as companies transition to supporting a fully remote workforce and as individuals increasingly utilize voice, video and messaging for their communication needs, there will be increased strain and demand for telecommunications infrastructure, including our voice, video and messaging products. Supporting increased demand will require us to make additional investments to increase network capacity, the availability of which may be limited. For example, if the data centers that we rely on for our cloud infrastructure and the network service providers that we interconnect with are unable to keep up with capacity needs or if governmental or regulatory authorities determine to limit our bandwidth, customers may experience delays, interruptions or outages in service. From time to time, including during the COVID-19 pandemic, our data center suppliers and our network service providers have had some outages which resulted in disruptions to service for some of our customers. In certain jurisdictions, governmental and regulatory authorities had announced that during the COVID-19 pandemic, telecommunications operators' implementation of traffic management measures may be justified to avoid network congestion. Such traffic management measures could result in customers experiencing delays, interruptions or outages in services. Any of these events could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Changes to consumer behavior may also affect customers who use our products and services for confirmations, notifications, and related use cases. For example, certain industries such as travel, hospitality, and ridesharing were initially more impacted by COVID-19 than others, and have recovered at varying rates. It has been and, until the COVID-19 pandemic is contained, will continue to be more difficult for us to forecast usage levels and predict revenue trends.</w:t>
      </w:r>
    </w:p>
    <w:p>
      <w:pPr>
        <w:spacing w:after="0" w:line="18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Additionally the COVID-19 pandemic has adversely affected global economic and market conditions, which are likely to continue for an extended period, and which could result in decreased business spending by our customers and prospective customers, reduced demand for our solutions, longer sales cycles and lower renewal rates by our customers, all of which could have an adverse impact on our business operations and financial condition. While we have developed and continue to develop plans to help mitigate the potential negative impact of the outbreak on our business, these efforts may not be effective and a protracted economic downturn may limit the effectiveness of our mitigation efforts.</w:t>
      </w:r>
    </w:p>
    <w:p>
      <w:pPr>
        <w:spacing w:after="0" w:line="17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have experienced substantial growth in our business since inception. For example, our headcount has grown from 3,060 employees on March 31, 2020 to 5,482 employees on March 31, 2021. We have moved to a virtual on-boarding process since the imposition of COVID-19 restrictions on certain business activities. In addition, we are rapidly expanding our international operations. Our international headcount grew from 815 employees as of March 31, 2020 to 1,907 employees as of March 31, 2021.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 and limited connectivity.</w:t>
      </w:r>
    </w:p>
    <w:p>
      <w:pPr>
        <w:spacing w:after="0" w:line="195"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believe that our corporate culture has been a critical component of our success. We have invested substantial time and resources in building our team and nurturing our culture. As we expand our business in the U.S. and non-U.S. regions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employees, and effectively focus on and pursue our corporate objectives. This, in turn, could adversely affect our business, results of operations and financial condition.</w:t>
      </w:r>
    </w:p>
    <w:p>
      <w:pPr>
        <w:spacing w:after="0" w:line="16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87"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2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9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COVID-19 on our customers, our pace of hiring and the global economy in general;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 and attract new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amount of revenue from our Active Customer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enterprises and international organizations as customers;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competition and the actions of our competitors, including pricing changes and the introduction of new products, services and geographies;</w:t>
      </w:r>
    </w:p>
    <w:p>
      <w:pPr>
        <w:spacing w:after="0" w:line="248" w:lineRule="exact"/>
        <w:rPr>
          <w:rFonts w:ascii="Arial" w:cs="Arial" w:eastAsia="Arial" w:hAnsi="Arial"/>
          <w:sz w:val="16"/>
          <w:szCs w:val="16"/>
          <w:color w:val="auto"/>
        </w:rPr>
      </w:pPr>
    </w:p>
    <w:p>
      <w:pPr>
        <w:ind w:left="980" w:hanging="324"/>
        <w:spacing w:after="0" w:line="275"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76"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new employee hires during a particular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network service provider fees that we pay in connection with the delivery of communications on our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cloud infrastructure fees that we pay in connection with the operation of our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pricing as a result of our optimization efforts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 including our enterprise sales force, which has been a focus of our recent expansion efforts;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size and complexity of our customer relationships;</w:t>
      </w:r>
    </w:p>
    <w:p>
      <w:pPr>
        <w:spacing w:after="0" w:line="225" w:lineRule="exact"/>
        <w:rPr>
          <w:rFonts w:ascii="Arial" w:cs="Arial" w:eastAsia="Arial" w:hAnsi="Arial"/>
          <w:sz w:val="18"/>
          <w:szCs w:val="18"/>
          <w:color w:val="auto"/>
        </w:rPr>
      </w:pPr>
    </w:p>
    <w:p>
      <w:pPr>
        <w:ind w:left="980" w:right="10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length and complexity of the sales cycle for our services, especially for sales to larger enterprises, government and regulated organizations;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the mix of products that our customers 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the revenue mix of U.S. and international products;</w:t>
      </w:r>
    </w:p>
    <w:p>
      <w:pPr>
        <w:spacing w:after="0" w:line="225" w:lineRule="exact"/>
        <w:rPr>
          <w:rFonts w:ascii="Arial" w:cs="Arial" w:eastAsia="Arial" w:hAnsi="Arial"/>
          <w:sz w:val="18"/>
          <w:szCs w:val="18"/>
          <w:color w:val="auto"/>
        </w:rPr>
      </w:pPr>
    </w:p>
    <w:p>
      <w:pPr>
        <w:ind w:left="980" w:right="30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delivery and use of our products on our platform;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 connection with mergers, acquisitions or other strategic transactions and the follow-on costs of integration;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customer payments and any difficulty in collecting accounts receivable from customers;</w:t>
      </w:r>
    </w:p>
    <w:p>
      <w:pPr>
        <w:spacing w:after="0" w:line="225" w:lineRule="exact"/>
        <w:rPr>
          <w:rFonts w:ascii="Arial" w:cs="Arial" w:eastAsia="Arial" w:hAnsi="Arial"/>
          <w:sz w:val="18"/>
          <w:szCs w:val="18"/>
          <w:color w:val="auto"/>
        </w:rPr>
      </w:pPr>
    </w:p>
    <w:p>
      <w:pPr>
        <w:ind w:left="980" w:right="42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conditions that may adversely affect a prospective customer’s ability or willingness to adopt our products, delay a prospective customer’s adoption decision, reduce the revenue that we generate from the use of our products or affect customer retention;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foreign currency exchange rates and our ability to effectively hedge our foreign currency exposure;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92"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Additionally, global pandemics such as COVID-19 as well as certain large scale events, such as major elections and sporting events, can significantly impact usage levels on our platform, which could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6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7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 quality products, our ability to be thought leaders in the cloud communications market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7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From time to time, our customers have complained about our products, such as complaints about our pricing and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our business, results of operations and financial condition.</w:t>
      </w:r>
    </w:p>
    <w:p>
      <w:pPr>
        <w:spacing w:after="0" w:line="16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as a result of the on-going COVID-19 pandemic, we have limited ability to host in-person events, which have been a significant source of our customer pipeline in prior years. It is likely that we will have a mix of virtual and in-person customer, employee or industry events in the near future and overall a smaller number of in-person events than we hosted prior to the COVID-19 pandemic. We have typically relied on marketing and promotional events such as SIGNAL and in-person meetings to facilitate customer sign-ups and generate leads for potential customers, and we cannot predict how long or the extent to which the COVID-19 pandemic may continue to constrain our marketing, promotional and sales activities.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The market for our products and platform is still relatively new and evolving, may decline or experience limited growth and is dependent in part on developers continuing to adopt our platform and use our products.</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We were founded in 2008, and we have been developing and providing a cloud</w:t>
      </w:r>
      <w:r>
        <w:rPr>
          <w:rFonts w:ascii="MS PGothic" w:cs="MS PGothic" w:eastAsia="MS PGothic" w:hAnsi="MS PGothic"/>
          <w:sz w:val="16"/>
          <w:szCs w:val="16"/>
          <w:color w:val="auto"/>
        </w:rPr>
        <w:t>‑</w:t>
      </w:r>
      <w:r>
        <w:rPr>
          <w:rFonts w:ascii="Arial" w:cs="Arial" w:eastAsia="Arial" w:hAnsi="Arial"/>
          <w:sz w:val="16"/>
          <w:szCs w:val="16"/>
          <w:color w:val="auto"/>
        </w:rPr>
        <w:t>based platform that enables developers and organizations to integrate voice, messaging, video and email communications capabilities into their software applications. This market is relatively new and evolving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The utilization of APIs by developers and organizations to build communications functionality into their applications is still relatively new, and developers and organizations may not recognize the need for, or benefits of, our products and platform. Moreover, if they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and other causes. If our market does not experience significant growth or demand for our products decreases, then our business, results of operations and financial condition could be adversely affected.</w:t>
      </w:r>
    </w:p>
    <w:p>
      <w:pPr>
        <w:spacing w:after="0" w:line="203"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w:t>
      </w:r>
    </w:p>
    <w:p>
      <w:pPr>
        <w:spacing w:after="0" w:line="146"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We and our customers are subject to numerous domestic and foreign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8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4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For example, the EU adopted the GDPR, which took effect on May 25, 2018, and imposes stringent penalties for noncompliance. Companies that violate the GDPR can face private litigation, restrictions or prohibitions on data processing, and fines of up to the greater of €20 million or 4% of global annual revenues. The GDPR imposes comprehensive privacy, data protection, and data security obligations on businesses and requires service providers (data processors) processing personal information on behalf of customers to, among other things, make contractual privacy, data protection, and data security commitments, cooperate with European data protection authorities, implement security measures, give data breach notifications, and keep records of personal information processing activities. EU member states also have national laws restricting direct marketing communications and the use of cookies and similar technologies. If our efforts to comply with GDPR or other applicable EU laws and regulations are not successful, we may be subject to significant fines and restrictions on our ability to process personal information as needed to provide our product and services, which could impede our ability to conduct business in the EU, reduce demand for our services and adversely impact our business and results of operations.</w:t>
      </w:r>
    </w:p>
    <w:p>
      <w:pPr>
        <w:spacing w:after="0" w:line="16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in the past relied on various transfer safeguards, including the EU-U.S. and the Swiss-U.S. Privacy Shield frameworks, to legitimize data transfers from the European Economic Area (“EEA”). However, on July 16, 2020, the Court of Justice of the European Union invalidated the EU-U.S. Privacy Shield and raised questions about whether one of the primary alternatives to the EU-U.S. Privacy Shield, the European Commission's Standard Contractual Clauses, can lawfully be used for personal information transfers from Europe to the United States or most other countries. At present, there are few viable alternatives to the Standard Contractual Clauses and there is uncertainty as to how personal information can be transferred from the EEA to the U.S. in compliance with the GDPR.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Subsequent interpretive guidance from the European Data Protection Board on July 24, 2020 extended the Court of Justice's guidance regarding the use of Standard Contractual Clauses as a transfer safeguard to the use of Binding Corporate Rules, which serve as Twilio's primary mechanism to legitimize data transfers from the EEA to other jurisdictions, including the U.S. Because our primary data processing facilities are in the U.S., we may experience hesitancy, reluctance, or refusal by European or multinational customers to continue to use our services due to the potential risk posed to such customers as a result of the Court of Justice ruling and subsequent interpretive guidance from the European Data Protection Board. We and our customers are at risk of enforcement actions taken by an EU data protection authority until such point in time that we are able to ensure that all data transfers to us from the EEA are legitimized. Similarly, the Swiss data protection authority determined the Swiss-U.S. Privacy Shield was no longer sufficient for the U.S. to be deemed adequate as a data transfer party and also raised questions about the viability of the Standard Contractual Clauses as a mechanism for transferring personal information out of Switzerland. Israel, which had allowed transfers of Israeli personal information to the U.S. based on the EU-U.S. Privacy Shield, has also declared that it is no longer a valid basis for transfer of personal information from Israel to the U.S. If we are unable to implement a valid solution for personal information transfers to the United States or other countries, we will face increased exposure to regulatory actions, substantial fines, and injunctions against processing or transferring personal information from Europe, and we may be required to increase our data processing capabilities in Europe and other countries at significant expense. Inability to transfer personal information from Europe or other countries has decreased and may continue to decrease demand for our products and services if affected customers seek alternatives that do not involve such transfers.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Regulation of privacy, data protection and data security has also become more stringent in the United States. For example, the California Consumer Privacy Act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82"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Further, as additional individual U.S. states pass privacy, data protection, and data security laws, these laws may place different obligations or limitations on the processing of personal information of individuals in those states, and it will become more complex to comply with these laws and our compliance costs and potential liability may increase. Virginia recently became the second state to enact comprehensive state privacy legislation, the Virginia Consumer Data Protection Act, which will become effective on January 1, 2023.</w:t>
      </w:r>
    </w:p>
    <w:p>
      <w:pPr>
        <w:spacing w:after="0" w:line="18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with our registration as an interconnected VoIP provider with the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87"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Jurisdictions outside of the United States and the EU are also passing more stringent privacy, data protection, and data security laws. For example, on July 8, 2019, Brazil enacted the General Data Protection Law (Lei Geral de Proteção de Dados Pessoais) (Law No. 13,709/2018) (“LGPD”), and on June 5, 2020, Japan passed amendments to its Act on the Protection of Personal Information (“APPI”). Both laws broadly regulate the processing of personal information in a manner comparable to the GDPR, and violators of the LGPD and APPI face substantial penalties.</w:t>
      </w:r>
    </w:p>
    <w:p>
      <w:pPr>
        <w:spacing w:after="0" w:line="15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our legal obligations, our contractual obligations relating to privacy, data protection and data security have become increasingly stringent due to changes in privacy, data protection and data security and the expansion of our service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therefore required to sign business associate agreements (“BAAs”) with customers that subject us to the privacy and security requirements under the U.S. Health Insurance Portability and Accountability Act of 1996 and the U.S. Health Information Technology for Economic and Clinical Health Act as well as state laws that govern the privacy and security of health information.</w:t>
      </w:r>
    </w:p>
    <w:p>
      <w:pPr>
        <w:spacing w:after="0" w:line="195"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 For example, in February 2016, a putative class action complaint was filed in the Alameda County Superior Court in California and alleged that our products permitted the interception, recording and disclosure of communications at certain of our customers' request in a manner that violated the California Invasion of Privacy Act. This litigation has now settled, but actions in the future could lead to similar claims and include damages and related penalties that could divert management’s attention and resources, and harm our business.</w:t>
      </w:r>
    </w:p>
    <w:p>
      <w:pPr>
        <w:spacing w:after="0" w:line="16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products, and any loss of customers or decline in their use of our products could adversely affect our business, results of operations and financial condition.</w:t>
      </w:r>
    </w:p>
    <w:p>
      <w:pPr>
        <w:spacing w:after="0" w:line="17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introduction of new competing products by competitors, the value proposition of our products or our ability to meet their needs and expectations.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are still monitoring the impact and we expect to incur certain costs associated with offering credits to our affected customers, but we do not expect the overall impact to be material to our business. We may also ultimately lose or see reduced utilization of our products by one or more customers as a result of the outage. To protect our system from similar disruptions in the near term, we have significantly increased our server capacity and added additional caching layers to accommodate usage spikes. We also intend to undertake longer term improvements to mitigate against future service disruptions, but there can be no guarantee that these actions or improvements will be effective in preventing or reducing such service disruptions.</w:t>
      </w:r>
    </w:p>
    <w:p>
      <w:pPr>
        <w:spacing w:after="0" w:line="17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486"/>
        <w:spacing w:after="0" w:line="223" w:lineRule="exact"/>
        <w:rPr>
          <w:sz w:val="20"/>
          <w:szCs w:val="20"/>
          <w:color w:val="auto"/>
        </w:rPr>
      </w:pPr>
      <w:r>
        <w:rPr>
          <w:rFonts w:ascii="Arial" w:cs="Arial" w:eastAsia="Arial" w:hAnsi="Arial"/>
          <w:sz w:val="18"/>
          <w:szCs w:val="18"/>
          <w:b w:val="1"/>
          <w:bCs w:val="1"/>
          <w:i w:val="1"/>
          <w:iCs w:val="1"/>
          <w:color w:val="auto"/>
        </w:rPr>
        <w:t>If we are unable to attract new customers in a cost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effective manner, then our business, results of operations and financial condition would be adversely affected.</w:t>
      </w:r>
    </w:p>
    <w:p>
      <w:pPr>
        <w:spacing w:after="0" w:line="203"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82"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7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ability to attract new customers and increase revenue from existing customers depends in part on our ability to enhance and improve our existing products, increase adoption and usage of our products and introduce new products.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new products, or if our efforts to increase the usage of our products are more expensive than we expect, then our business, results of operations and financial condition would be adversely affected.</w:t>
      </w:r>
    </w:p>
    <w:p>
      <w:pPr>
        <w:spacing w:after="0" w:line="182"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business, results of operations and financial condition could be harmed.</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88"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legacy on-premises vendors;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regional network service providers that offer limited developer functionality on top of their own physical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smaller software companies that compete with portions of our product line;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software-as a-service (“SaaS”) companies and cloud platform vendors that offer prepackaged applications and platforms.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Some of our competitors and potential competitors are larger and have greater name recognition, longer operating histories, more established customer relationships, larger budgets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more easily replace our products with competitive offerings. Our customers also may choose to build some of the functionality our products provide, which may limit or eliminate their demand for our products.</w:t>
      </w:r>
    </w:p>
    <w:p>
      <w:pPr>
        <w:spacing w:after="0" w:line="179"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84"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Moreover, as we expand the scope of our products, we may face additional competition. If one or more of our competitors were to merge or partner with another of our competitors, the change in the competitive landscape could also adversely affect our ability to compete effectively. For example, Sinch AB offered to acquire Inteliquent in February 2021. In addition, some of our competitors have lower list prices than us, which may be attractive to certain customers even if those products have different or lesser functionality. If we are unable to maintain our current pricing due to competitive pressures,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losses and we are uncertain about our future profitability.</w:t>
      </w:r>
    </w:p>
    <w:p>
      <w:pPr>
        <w:spacing w:after="0" w:line="225"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We have incurred net losses in each year since our inception, including net losses of $206.5 million, $491.0 million and $307.1 million in the three months ended March 31, 2021 and the years ended December 31, 2020 and 2019, respectively. We had an accumulated deficit of $1.4 billion as of March 31, 2021. We expect to continue to expend substantial financial and other resources on, among other things:</w:t>
      </w:r>
    </w:p>
    <w:p>
      <w:pPr>
        <w:spacing w:after="0" w:line="165" w:lineRule="exact"/>
        <w:rPr>
          <w:sz w:val="20"/>
          <w:szCs w:val="20"/>
          <w:color w:val="auto"/>
        </w:rPr>
      </w:pPr>
    </w:p>
    <w:p>
      <w:pPr>
        <w:ind w:left="980" w:right="86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in our engineering team, improvements in security and data protection, the development of new products, features and functionality and enhancements to our platform;</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our operations and infrastructure, both domestically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These investments may not result in increased revenue or growth of our business. We also expect that our revenue growth rate will decline over time. Accordingly, we may not be able to generate sufficient revenue to offset our expected cost increases and achieve and sustain profitability. If we fail to achieve and sustain profitability, then our business, results of operations and financial condition would be adversely affected.</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increase adoption of our products by enterprises, our business, results of operations and financial condition may be adversely affected.</w:t>
      </w:r>
    </w:p>
    <w:p>
      <w:pPr>
        <w:spacing w:after="0" w:line="17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Historically, we have relied on the adoption of our products by software developers through our self-service model for a significant majority of our revenue, and we currently generate only a small portion of our revenue from enterprise customers. Our ability to increase our customer base, especially among enterprises, and achieve broader market acceptance of our products will depend, in part, on our ability to effectively organize, focus and train our sales and marketing employees.</w:t>
      </w:r>
    </w:p>
    <w:p>
      <w:pPr>
        <w:spacing w:after="0" w:line="18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81"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As we seek to increase the adoption of our products by enterprises, including products like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68"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92"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60" w:firstLine="486"/>
        <w:spacing w:after="0" w:line="381" w:lineRule="auto"/>
        <w:rPr>
          <w:sz w:val="20"/>
          <w:szCs w:val="20"/>
          <w:color w:val="auto"/>
        </w:rPr>
      </w:pPr>
      <w:r>
        <w:rPr>
          <w:rFonts w:ascii="Arial" w:cs="Arial" w:eastAsia="Arial" w:hAnsi="Arial"/>
          <w:sz w:val="15"/>
          <w:szCs w:val="15"/>
          <w:b w:val="1"/>
          <w:bCs w:val="1"/>
          <w:i w:val="1"/>
          <w:iCs w:val="1"/>
          <w:color w:val="auto"/>
        </w:rPr>
        <w:t>To deliver our products, we rely on network service providers and internet service providers for our network service and connectivity and disruption or deterioration in the quality of these services could adversely affect our business, results of operations and financial condition.</w:t>
      </w:r>
    </w:p>
    <w:p>
      <w:pPr>
        <w:spacing w:after="0" w:line="10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currently interconnect with network service providers around the world to enable the use by our customers of our products over their networks. Although we are in the process of acquiring authorization in many countries for direct access to phone numbers and for the provision of voice services on the networks of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w:t>
      </w:r>
    </w:p>
    <w:p>
      <w:pPr>
        <w:spacing w:after="0" w:line="19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7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 quality communications with our products, and we could encounter difficulty identifying the source of the problem. The occurrence of errors or poor 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7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future success depends in part on our ability to drive the adoption of our products by international customers.</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the three months ended March 31, 2021 and the years ended December 31, 2020 and 2019, we derived 29%, 27% and 29% of our revenue, respectively, from customer accounts located outside the United States. The future success of our business will depend, in part, on our ability to expand our customer base worldwide. While we have been rapidly expanding our sales efforts internationally, our experience in selling our products outside of the United States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continuing to expand our international operations, which exposes us to significant risks.</w:t>
      </w:r>
    </w:p>
    <w:p>
      <w:pPr>
        <w:spacing w:after="0" w:line="22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are continuing to expand our international operations to increase our revenue from customers outside of the United States as part of our growth strategy. Between March 31, 2020 and March 31, 2021, our international headcount grew from 815 employees to 1,907 employees. We expect to open additional international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225" w:lineRule="exact"/>
        <w:rPr>
          <w:sz w:val="20"/>
          <w:szCs w:val="20"/>
          <w:color w:val="auto"/>
        </w:rPr>
      </w:pPr>
    </w:p>
    <w:p>
      <w:pPr>
        <w:ind w:left="980" w:hanging="324"/>
        <w:spacing w:after="0" w:line="293"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exposure to political developments in the United Kingdom ("U.K."), including the departure of the U.K. from the European Union (“EU”) (“Brexit”), which has created an uncertain political and economic environment, instability for businesses, volatility in global financial markets and the value of foreign currencies, all of which could disrupt trade, the sale of our services and the mobility of our employees and contractors between the U.K., EU and other jurisdictions. Any long–term impact from Brexit on our business and operations will depend, in part, on the outcome of the U.K.'s continuing negotiations on a number of matters not definitively addressed in the UK-EU Trade and Cooperation Agreement and may require us to expend significant time and expense to make adjustments to our business and operations;</w:t>
      </w:r>
    </w:p>
    <w:p>
      <w:pPr>
        <w:spacing w:after="0" w:line="164" w:lineRule="exact"/>
        <w:rPr>
          <w:rFonts w:ascii="Arial" w:cs="Arial" w:eastAsia="Arial" w:hAnsi="Arial"/>
          <w:sz w:val="16"/>
          <w:szCs w:val="16"/>
          <w:color w:val="auto"/>
        </w:rPr>
      </w:pPr>
    </w:p>
    <w:p>
      <w:pPr>
        <w:ind w:left="980" w:right="1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and different sources of competition or other changes to our current competitive landscape;</w:t>
      </w:r>
    </w:p>
    <w:p>
      <w:pPr>
        <w:spacing w:after="0" w:line="225" w:lineRule="exact"/>
        <w:rPr>
          <w:rFonts w:ascii="Arial" w:cs="Arial" w:eastAsia="Arial" w:hAnsi="Arial"/>
          <w:sz w:val="18"/>
          <w:szCs w:val="18"/>
          <w:color w:val="auto"/>
        </w:rPr>
      </w:pPr>
    </w:p>
    <w:p>
      <w:pPr>
        <w:ind w:left="980" w:right="260" w:hanging="324"/>
        <w:spacing w:after="0" w:line="308"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understanding and reconciling different technical standards, data privacy and telecommunications regulations, registration and certification requirements outside the United States, which could prevent customers from deploying our products or limit their usage;</w:t>
      </w:r>
    </w:p>
    <w:p>
      <w:pPr>
        <w:spacing w:after="0" w:line="146" w:lineRule="exact"/>
        <w:rPr>
          <w:rFonts w:ascii="Arial" w:cs="Arial" w:eastAsia="Arial" w:hAnsi="Arial"/>
          <w:sz w:val="17"/>
          <w:szCs w:val="17"/>
          <w:color w:val="auto"/>
        </w:rPr>
      </w:pPr>
    </w:p>
    <w:p>
      <w:pPr>
        <w:jc w:val="both"/>
        <w:ind w:left="980" w:right="700" w:hanging="324"/>
        <w:spacing w:after="0" w:line="311"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comply with the GDPR and Brazil's General Data Protection Law (Lei Geral de Proteção de Dados Pessoais) (Law No. 13,709/2018), which went into effect September 18, 2020, and laws, regulations and industry standards relating to data privacy, data protection, data localization and data security enacted in countries and other regions in which we operate or do business;</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non-U.S. jurisdictions;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right="40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Department of Commerce Bureau of Industry and Security and the Treasury Department’s Office of Foreign Assets Control;</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and United Kingdom Bribery Act of 2010;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international trade policies, tariffs and other non-tariff barriers, such as quotas and local content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United States and other countries;</w:t>
      </w:r>
    </w:p>
    <w:p>
      <w:pPr>
        <w:spacing w:after="0" w:line="225" w:lineRule="exact"/>
        <w:rPr>
          <w:rFonts w:ascii="Arial" w:cs="Arial" w:eastAsia="Arial" w:hAnsi="Arial"/>
          <w:sz w:val="18"/>
          <w:szCs w:val="18"/>
          <w:color w:val="auto"/>
        </w:rPr>
      </w:pPr>
    </w:p>
    <w:p>
      <w:pPr>
        <w:jc w:val="both"/>
        <w:ind w:left="980" w:right="340" w:hanging="324"/>
        <w:spacing w:after="0" w:line="342"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23" w:lineRule="exact"/>
        <w:rPr>
          <w:rFonts w:ascii="Arial" w:cs="Arial" w:eastAsia="Arial" w:hAnsi="Arial"/>
          <w:sz w:val="16"/>
          <w:szCs w:val="16"/>
          <w:color w:val="auto"/>
        </w:rPr>
      </w:pPr>
    </w:p>
    <w:p>
      <w:pPr>
        <w:ind w:left="980" w:right="1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results of operations and financial condition.</w:t>
      </w:r>
    </w:p>
    <w:p>
      <w:pPr>
        <w:spacing w:after="0" w:line="170" w:lineRule="exact"/>
        <w:rPr>
          <w:sz w:val="20"/>
          <w:szCs w:val="20"/>
          <w:color w:val="auto"/>
        </w:rPr>
      </w:pPr>
    </w:p>
    <w:p>
      <w:pPr>
        <w:ind w:right="60" w:firstLine="486"/>
        <w:spacing w:after="0" w:line="223" w:lineRule="exact"/>
        <w:rPr>
          <w:sz w:val="20"/>
          <w:szCs w:val="20"/>
          <w:color w:val="auto"/>
        </w:rPr>
      </w:pPr>
      <w:r>
        <w:rPr>
          <w:rFonts w:ascii="Arial" w:cs="Arial" w:eastAsia="Arial" w:hAnsi="Arial"/>
          <w:sz w:val="18"/>
          <w:szCs w:val="18"/>
          <w:b w:val="1"/>
          <w:bCs w:val="1"/>
          <w:i w:val="1"/>
          <w:iCs w:val="1"/>
          <w:color w:val="auto"/>
        </w:rPr>
        <w:t>Certain of our products are subject to telecommunications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related regulations, and future legislative or regulatory actions could adversely affect our business, results of operations and financial condition.</w:t>
      </w:r>
    </w:p>
    <w:p>
      <w:pPr>
        <w:spacing w:after="0" w:line="20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a provider of communications products, we are subject to existing or potential Federal Communications Commission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6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Certain of our products are subject to a number of FCC regulations and laws that are administered by the FCC. Among others, we must comply (in whole or in part) with:</w:t>
      </w:r>
    </w:p>
    <w:p>
      <w:pPr>
        <w:spacing w:after="0" w:line="170"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Communications Act of 1934, as amended, which regulates communications services and the provision of such services;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Telephone Consumer Protection Act, which limits the use of automatic dialing systems for calls and texts, artificial or prerecorded voice messages, and fax machines;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which requires covered entities to assist law enforcement in undertaking electronic surveillance;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safeguard the privacy of certain customer information;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annual FCC regulatory fees and taxes based on our interstate and international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rules pertaining to access to our services by people with disabilities and contributions to the Telecommunications Relay Services fund;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FCC rules regarding the use of customer proprietary network information.</w:t>
      </w:r>
    </w:p>
    <w:p>
      <w:pPr>
        <w:spacing w:after="0" w:line="22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70"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6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As we continue to expand internationally, we have become subject to telecommunications laws and regulations in the foreign countries where we offer our products. Internationally, we currently offer our products in over 180 countries.</w:t>
      </w:r>
    </w:p>
    <w:p>
      <w:pPr>
        <w:spacing w:after="0" w:line="17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international operations are subject to country-specific governmental regulation and related actions that have increased and will continue to increase our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recently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8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firstLine="486"/>
        <w:spacing w:after="0" w:line="224" w:lineRule="exact"/>
        <w:rPr>
          <w:sz w:val="20"/>
          <w:szCs w:val="20"/>
          <w:color w:val="auto"/>
        </w:rPr>
      </w:pPr>
      <w:r>
        <w:rPr>
          <w:rFonts w:ascii="Arial" w:cs="Arial" w:eastAsia="Arial" w:hAnsi="Arial"/>
          <w:sz w:val="16"/>
          <w:szCs w:val="16"/>
          <w:b w:val="1"/>
          <w:bCs w:val="1"/>
          <w:i w:val="1"/>
          <w:iCs w:val="1"/>
          <w:color w:val="auto"/>
        </w:rPr>
        <w:t>If we are unable to obtain or retain geographical, mobile, regional, local or toll</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20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6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8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6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 foregoing factors could adversely affect our business, results of operations and financial condition.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7"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Similarly,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6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7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pandemics such as COVID-19, fraud or security attacks. For instance, in September 2015, AWS suffered a significant outage that had a widespread impact on the ability of our customers to use several of our products and from time to time since then, we have experienced some outages which resulted in disruptions to service for some of our customers.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6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4"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b w:val="1"/>
          <w:bCs w:val="1"/>
          <w:i w:val="1"/>
          <w:iCs w:val="1"/>
          <w:color w:val="auto"/>
        </w:rPr>
        <w:t>We typically provide monthly uptime service level commitments of up to 99.95% under our agreements with customers. If we fail to meet these contractual commitments, then our business, results of operations and financial condition could be adversely affected.</w:t>
      </w:r>
    </w:p>
    <w:p>
      <w:pPr>
        <w:spacing w:after="0" w:line="14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are still monitoring the impact and we expect to incur certain costs associated with offering credits to our affected customers, but we do not expect the overall impact to be material to our business. We may also ultimately lose or see reduced utilization of our products by one or more customers as a result of the outage. In addition, the performance and availability of AWS or other service providers, which provides our cloud infrastructures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2" w:lineRule="exact"/>
        <w:rPr>
          <w:sz w:val="20"/>
          <w:szCs w:val="20"/>
          <w:color w:val="auto"/>
        </w:rPr>
      </w:pPr>
    </w:p>
    <w:p>
      <w:pPr>
        <w:ind w:right="220" w:firstLine="486"/>
        <w:spacing w:after="0" w:line="340" w:lineRule="auto"/>
        <w:rPr>
          <w:sz w:val="20"/>
          <w:szCs w:val="20"/>
          <w:color w:val="auto"/>
        </w:rPr>
      </w:pPr>
      <w:r>
        <w:rPr>
          <w:rFonts w:ascii="Arial" w:cs="Arial" w:eastAsia="Arial" w:hAnsi="Arial"/>
          <w:sz w:val="15"/>
          <w:szCs w:val="15"/>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3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research and development activities to our marketing and sales efforts and communications with our customers and business partners. 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(such as malware, viruses, worms, and ransomware), employees theft or misuse, password spraying, phishing,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While we devote significant financial and employees resources to implement and maintain security measures,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disruption of us or our service providers, such as AWS, could result in loss of confidential information, damage to our reputation, erosion of customer trust, loss of customers, litigation, regulatory investigations, fines, penalties and other liabilities. Furthermore, we are required to comply with laws and regulations that require us to maintain the security of personal information and we may have contractual and other legal obligations to notify customers or other relevant stakeholders of security breaches. Such disclosures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 may include sophisticated cyberattacks), compromise or the mishandling 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data by our employees and contractors, then our reputation, customer trust, business, results of operations and financial condition could be adversely affected.</w:t>
      </w:r>
    </w:p>
    <w:p>
      <w:pPr>
        <w:spacing w:after="0" w:line="17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65"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Defects or errors in our products could diminish demand for our products, harm our business and results of operations and subject us to liability.</w:t>
      </w:r>
    </w:p>
    <w:p>
      <w:pPr>
        <w:spacing w:after="0" w:line="170"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9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three months ended March 31, 2021 and the years ended December 31, 2020 and 2019, our 10 largest Active Customer Accounts generated an aggregate of 12%, 14% and 13%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9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70" w:lineRule="exact"/>
        <w:rPr>
          <w:sz w:val="20"/>
          <w:szCs w:val="20"/>
          <w:color w:val="auto"/>
        </w:rPr>
      </w:pPr>
    </w:p>
    <w:p>
      <w:pPr>
        <w:ind w:right="60" w:firstLine="486"/>
        <w:spacing w:after="0" w:line="219" w:lineRule="exact"/>
        <w:rPr>
          <w:sz w:val="20"/>
          <w:szCs w:val="20"/>
          <w:color w:val="auto"/>
        </w:rPr>
      </w:pPr>
      <w:r>
        <w:rPr>
          <w:rFonts w:ascii="Arial" w:cs="Arial" w:eastAsia="Arial" w:hAnsi="Arial"/>
          <w:sz w:val="16"/>
          <w:szCs w:val="16"/>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6"/>
          <w:szCs w:val="16"/>
          <w:color w:val="auto"/>
        </w:rPr>
        <w:t>‑</w:t>
      </w:r>
      <w:r>
        <w:rPr>
          <w:rFonts w:ascii="Arial" w:cs="Arial" w:eastAsia="Arial" w:hAnsi="Arial"/>
          <w:sz w:val="16"/>
          <w:szCs w:val="16"/>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20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 quality customer support may adversely affect our relationships with our customers and prospective customers, and adversely affect our business, results of operations and financial condition.</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Many of our customers depend on our customer support team to assist them in deploying our products effectively to help them to resolve</w:t>
      </w:r>
    </w:p>
    <w:p>
      <w:pPr>
        <w:spacing w:after="0" w:line="35" w:lineRule="exact"/>
        <w:rPr>
          <w:sz w:val="20"/>
          <w:szCs w:val="20"/>
          <w:color w:val="auto"/>
        </w:rPr>
      </w:pPr>
    </w:p>
    <w:p>
      <w:pPr>
        <w:spacing w:after="0" w:line="21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7"/>
          <w:szCs w:val="17"/>
          <w:color w:val="auto"/>
        </w:rPr>
        <w:t>‑</w:t>
      </w:r>
      <w:r>
        <w:rPr>
          <w:rFonts w:ascii="Arial" w:cs="Arial" w:eastAsia="Arial" w:hAnsi="Arial"/>
          <w:sz w:val="17"/>
          <w:szCs w:val="17"/>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Failure to set optimal prices for our products could adversely impact our business, results of operations and financial condition.</w:t>
      </w:r>
    </w:p>
    <w:p>
      <w:pPr>
        <w:spacing w:after="0" w:line="237" w:lineRule="exact"/>
        <w:rPr>
          <w:sz w:val="20"/>
          <w:szCs w:val="20"/>
          <w:color w:val="auto"/>
        </w:rPr>
      </w:pPr>
    </w:p>
    <w:p>
      <w:pPr>
        <w:ind w:right="160" w:firstLine="486"/>
        <w:spacing w:after="0" w:line="219" w:lineRule="exact"/>
        <w:rPr>
          <w:sz w:val="20"/>
          <w:szCs w:val="20"/>
          <w:color w:val="auto"/>
        </w:rPr>
      </w:pPr>
      <w:r>
        <w:rPr>
          <w:rFonts w:ascii="Arial" w:cs="Arial" w:eastAsia="Arial" w:hAnsi="Arial"/>
          <w:sz w:val="18"/>
          <w:szCs w:val="18"/>
          <w:color w:val="auto"/>
        </w:rPr>
        <w:t>We charge our customers based on their use of our products. We expect that we may need to change our pricing from time to time. In the past, we have sometimes reduced our prices either for individual customers in connection with long</w:t>
      </w:r>
      <w:r>
        <w:rPr>
          <w:rFonts w:ascii="MS PGothic" w:cs="MS PGothic" w:eastAsia="MS PGothic" w:hAnsi="MS PGothic"/>
          <w:sz w:val="18"/>
          <w:szCs w:val="18"/>
          <w:color w:val="auto"/>
        </w:rPr>
        <w:t>‑</w:t>
      </w:r>
      <w:r>
        <w:rPr>
          <w:rFonts w:ascii="Arial" w:cs="Arial" w:eastAsia="Arial" w:hAnsi="Arial"/>
          <w:sz w:val="18"/>
          <w:szCs w:val="18"/>
          <w:color w:val="auto"/>
        </w:rPr>
        <w:t>term agreements or for a particular product. One of the challenges to our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203" w:lineRule="exact"/>
        <w:rPr>
          <w:sz w:val="20"/>
          <w:szCs w:val="20"/>
          <w:color w:val="auto"/>
        </w:rPr>
      </w:pPr>
    </w:p>
    <w:p>
      <w:pPr>
        <w:ind w:firstLine="486"/>
        <w:spacing w:after="0" w:line="219" w:lineRule="exact"/>
        <w:rPr>
          <w:sz w:val="20"/>
          <w:szCs w:val="20"/>
          <w:color w:val="auto"/>
        </w:rPr>
      </w:pPr>
      <w:r>
        <w:rPr>
          <w:rFonts w:ascii="Arial" w:cs="Arial" w:eastAsia="Arial" w:hAnsi="Arial"/>
          <w:sz w:val="18"/>
          <w:szCs w:val="18"/>
          <w:color w:val="auto"/>
        </w:rPr>
        <w:t>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w:t>
      </w:r>
      <w:r>
        <w:rPr>
          <w:rFonts w:ascii="MS PGothic" w:cs="MS PGothic" w:eastAsia="MS PGothic" w:hAnsi="MS PGothic"/>
          <w:sz w:val="18"/>
          <w:szCs w:val="18"/>
          <w:color w:val="auto"/>
        </w:rPr>
        <w:t>‑</w:t>
      </w:r>
      <w:r>
        <w:rPr>
          <w:rFonts w:ascii="Arial" w:cs="Arial" w:eastAsia="Arial" w:hAnsi="Arial"/>
          <w:sz w:val="18"/>
          <w:szCs w:val="18"/>
          <w:color w:val="auto"/>
        </w:rPr>
        <w:t>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20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97" w:lineRule="exact"/>
        <w:rPr>
          <w:sz w:val="20"/>
          <w:szCs w:val="20"/>
          <w:color w:val="auto"/>
        </w:rPr>
      </w:pPr>
    </w:p>
    <w:p>
      <w:pPr>
        <w:ind w:right="120" w:firstLine="486"/>
        <w:spacing w:after="0" w:line="206" w:lineRule="exact"/>
        <w:rPr>
          <w:sz w:val="20"/>
          <w:szCs w:val="20"/>
          <w:color w:val="auto"/>
        </w:rPr>
      </w:pPr>
      <w:r>
        <w:rPr>
          <w:rFonts w:ascii="Arial" w:cs="Arial" w:eastAsia="Arial" w:hAnsi="Arial"/>
          <w:sz w:val="18"/>
          <w:szCs w:val="18"/>
          <w:color w:val="auto"/>
        </w:rPr>
        <w:t>There is considerable patent and other intellectual property development activity in our industry.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8"/>
          <w:szCs w:val="18"/>
          <w:color w:val="auto"/>
        </w:rPr>
        <w:t>‑</w:t>
      </w:r>
      <w:r>
        <w:rPr>
          <w:rFonts w:ascii="Arial" w:cs="Arial" w:eastAsia="Arial" w:hAnsi="Arial"/>
          <w:sz w:val="18"/>
          <w:szCs w:val="18"/>
          <w:color w:val="auto"/>
        </w:rPr>
        <w:t xml:space="preserve">factor authentication use case, </w:t>
      </w:r>
      <w:r>
        <w:rPr>
          <w:rFonts w:ascii="Arial" w:cs="Arial" w:eastAsia="Arial" w:hAnsi="Arial"/>
          <w:sz w:val="18"/>
          <w:szCs w:val="18"/>
          <w:i w:val="1"/>
          <w:iCs w:val="1"/>
          <w:color w:val="auto"/>
        </w:rPr>
        <w:t>Authy</w:t>
      </w:r>
      <w:r>
        <w:rPr>
          <w:rFonts w:ascii="Arial" w:cs="Arial" w:eastAsia="Arial" w:hAnsi="Arial"/>
          <w:sz w:val="18"/>
          <w:szCs w:val="18"/>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188"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In the future, we may also introduce or acquire new products or technologies, including in areas where we historically have not participated in, which could increase our exposure to intellectual property claims. 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Litigation is inherently uncertain and even if we were to prevail in the event of claims or litigation against us, any claim or litigation regarding intellectual property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results of operations and financial condition.</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Indemnity provisions in various agreements potentially expose us to substantial liability for intellectual property infringement and other losses.</w:t>
      </w:r>
    </w:p>
    <w:p>
      <w:pPr>
        <w:spacing w:after="0" w:line="260"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w:t>
      </w:r>
      <w:r>
        <w:rPr>
          <w:rFonts w:ascii="Arial" w:cs="Arial" w:eastAsia="Arial" w:hAnsi="Arial"/>
          <w:sz w:val="18"/>
          <w:szCs w:val="18"/>
          <w:color w:val="auto"/>
        </w:rPr>
        <w:t>,</w:t>
      </w:r>
      <w:r>
        <w:rPr>
          <w:rFonts w:ascii="Arial" w:cs="Arial" w:eastAsia="Arial" w:hAnsi="Arial"/>
          <w:sz w:val="17"/>
          <w:szCs w:val="17"/>
          <w:color w:val="auto"/>
        </w:rPr>
        <w:t xml:space="preserve">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70"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2020, in the United States, we had been issued 157 patents, which expire between 2029 and 2039. As of such date, we also had 33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2020, we had 41 registered trademarks in the United States and 257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81"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203" w:lineRule="exact"/>
        <w:rPr>
          <w:sz w:val="20"/>
          <w:szCs w:val="20"/>
          <w:color w:val="auto"/>
        </w:rPr>
      </w:pPr>
    </w:p>
    <w:p>
      <w:pPr>
        <w:ind w:right="20" w:firstLine="486"/>
        <w:spacing w:after="0" w:line="218" w:lineRule="exact"/>
        <w:rPr>
          <w:sz w:val="20"/>
          <w:szCs w:val="20"/>
          <w:color w:val="auto"/>
        </w:rPr>
      </w:pPr>
      <w:r>
        <w:rPr>
          <w:rFonts w:ascii="Arial" w:cs="Arial" w:eastAsia="Arial" w:hAnsi="Arial"/>
          <w:sz w:val="17"/>
          <w:szCs w:val="17"/>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litigation could be necessary to enforce and determine the scope of our proprietary rights, and failure to obtain or maintain trade secret protection could adversely affect our competitive business position.</w:t>
      </w:r>
    </w:p>
    <w:p>
      <w:pPr>
        <w:spacing w:after="0" w:line="206"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In addition,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w:t>
      </w:r>
    </w:p>
    <w:p>
      <w:pPr>
        <w:spacing w:after="0" w:line="184"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84" w:lineRule="exact"/>
        <w:rPr>
          <w:sz w:val="20"/>
          <w:szCs w:val="20"/>
          <w:color w:val="auto"/>
        </w:rPr>
      </w:pPr>
    </w:p>
    <w:p>
      <w:pPr>
        <w:ind w:right="40" w:firstLine="486"/>
        <w:spacing w:after="0" w:line="381" w:lineRule="auto"/>
        <w:rPr>
          <w:sz w:val="20"/>
          <w:szCs w:val="20"/>
          <w:color w:val="auto"/>
        </w:rPr>
      </w:pPr>
      <w:r>
        <w:rPr>
          <w:rFonts w:ascii="Arial" w:cs="Arial" w:eastAsia="Arial" w:hAnsi="Arial"/>
          <w:sz w:val="15"/>
          <w:szCs w:val="15"/>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00" w:lineRule="exact"/>
        <w:rPr>
          <w:sz w:val="20"/>
          <w:szCs w:val="20"/>
          <w:color w:val="auto"/>
        </w:rPr>
      </w:pPr>
    </w:p>
    <w:p>
      <w:pPr>
        <w:ind w:right="260" w:firstLine="486"/>
        <w:spacing w:after="0" w:line="270" w:lineRule="auto"/>
        <w:rPr>
          <w:sz w:val="20"/>
          <w:szCs w:val="20"/>
          <w:color w:val="auto"/>
        </w:rPr>
      </w:pPr>
      <w:r>
        <w:rPr>
          <w:rFonts w:ascii="Arial" w:cs="Arial" w:eastAsia="Arial" w:hAnsi="Arial"/>
          <w:sz w:val="17"/>
          <w:szCs w:val="17"/>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$2.5 billion represented the value of our Class A common stock issued at closing. The estimated transaction value of $3.2 billion, as previously announced, includes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the acquisition of Segment, please see below under “Risks Related to the Acquisition of Segment.” We also may enter into relationships with other businesses to expand our products and platform, which could involve preferred or exclusive licenses, additional channels of distribution, discount pricing or investments in other companies, such as our recent proposed investment of up to $750.0 million in Syniverse Corporation.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9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8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encounter difficulties retaining key employees of the acquired company or integrating diverse software codes or business cultures;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encounter difficulties retaining the acquired company's customers;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foregoing could adversely affect our business, results of operations and financial condition.</w:t>
      </w:r>
    </w:p>
    <w:p>
      <w:pPr>
        <w:spacing w:after="0" w:line="22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70" w:lineRule="exact"/>
        <w:rPr>
          <w:sz w:val="20"/>
          <w:szCs w:val="20"/>
          <w:color w:val="auto"/>
        </w:rPr>
      </w:pPr>
    </w:p>
    <w:p>
      <w:pPr>
        <w:ind w:right="20" w:firstLine="486"/>
        <w:spacing w:after="0" w:line="218" w:lineRule="exact"/>
        <w:rPr>
          <w:sz w:val="20"/>
          <w:szCs w:val="20"/>
          <w:color w:val="auto"/>
        </w:rPr>
      </w:pPr>
      <w:r>
        <w:rPr>
          <w:rFonts w:ascii="Arial" w:cs="Arial" w:eastAsia="Arial" w:hAnsi="Arial"/>
          <w:sz w:val="16"/>
          <w:szCs w:val="16"/>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6"/>
          <w:szCs w:val="16"/>
          <w:color w:val="auto"/>
        </w:rPr>
        <w:t>‑</w:t>
      </w:r>
      <w:r>
        <w:rPr>
          <w:rFonts w:ascii="Arial" w:cs="Arial" w:eastAsia="Arial" w:hAnsi="Arial"/>
          <w:sz w:val="16"/>
          <w:szCs w:val="16"/>
          <w:color w:val="auto"/>
        </w:rPr>
        <w:t>founder and Chief Executive Officer, Jeff Lawson. None of our executive officers or other senior management are bound by a written employment agreement and any of them may terminate employment with us at any time with no advance notice. The replacement of any of our senior management would likely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are unable to hire, retain and motivate qualified employees, our business will suffer.</w:t>
      </w:r>
    </w:p>
    <w:p>
      <w:pPr>
        <w:spacing w:after="0" w:line="225"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the San Francisco Bay Area, where our headquarters are located, and in other locations where we maintain offices. We must provide competitive compensation packages and a high quality work environment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employees. Many of our key employees are, or will soon be, vested in a substantial number of shares of Class A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19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24"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(e.g., alcoholic beverages, tobacco products, illegal drugs) or that contain content harmful to minors (e.g., pornography)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to receipt of such email, or in other words has “opted-in” to receiving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87" w:lineRule="exact"/>
        <w:rPr>
          <w:sz w:val="20"/>
          <w:szCs w:val="20"/>
          <w:color w:val="auto"/>
        </w:rPr>
      </w:pPr>
    </w:p>
    <w:p>
      <w:pPr>
        <w:ind w:right="180" w:firstLine="486"/>
        <w:spacing w:after="0" w:line="218" w:lineRule="exact"/>
        <w:rPr>
          <w:sz w:val="20"/>
          <w:szCs w:val="20"/>
          <w:color w:val="auto"/>
        </w:rPr>
      </w:pPr>
      <w:r>
        <w:rPr>
          <w:rFonts w:ascii="Arial" w:cs="Arial" w:eastAsia="Arial" w:hAnsi="Arial"/>
          <w:sz w:val="16"/>
          <w:szCs w:val="16"/>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restricts telemarketing and the use of automatic SMS text messages without explicit customer consent. This has resulted in civil claims against our company and requests for information through third</w:t>
      </w:r>
      <w:r>
        <w:rPr>
          <w:rFonts w:ascii="MS PGothic" w:cs="MS PGothic" w:eastAsia="MS PGothic" w:hAnsi="MS PGothic"/>
          <w:sz w:val="16"/>
          <w:szCs w:val="16"/>
          <w:color w:val="auto"/>
        </w:rPr>
        <w:t>‑</w:t>
      </w:r>
      <w:r>
        <w:rPr>
          <w:rFonts w:ascii="Arial" w:cs="Arial" w:eastAsia="Arial" w:hAnsi="Arial"/>
          <w:sz w:val="16"/>
          <w:szCs w:val="16"/>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206"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Moreover, despite our ongoing and substantial efforts to limit such use,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Moreover, our customers’ and other users’ promotion of their products and services through our platform might not comply with federal, state, and foreign laws.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and distribution lists, our customers and other users are ultimately responsible for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compliance with our policies, and we do not systematically audit our customers or other users to confirm compliance with our policies. We cannot predict whether our role in facilitating our customers’ or other users’ activities would expose us to liability under applicable law, or whether that possibility could become more likely if changes to current laws regulating content moderation, such as Section 230 of the Communications Decency Act are enacted. There have been various Congressional and executive efforts to eliminate or modify Section 230, which limits the liability of internet platforms for third-party content that is transmitted via those platforms and for good-faith moderation of offensive content. President Biden and many Members of Congress from both parties support reform or repeal of Section 230, so the possibility of Congressional action remains. In addition, a petition filed by the Trump administration with the Federal Communications Commission to adopt rules interpreting Section 230 remains before the Commission. If the FCC adopts rules, the scope of the protection offered by Section 230 could be narrowed considerably. The FCC has not released any document describing the rules that would be proposed and no date has been set for a vote on any such proposal. The Democratic Commissioners of the FCC have indicated that they are opposed to the petition and now control the agenda of the FCC.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225"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6"/>
          <w:szCs w:val="16"/>
          <w:color w:val="auto"/>
        </w:rPr>
        <w:t>‑</w:t>
      </w:r>
      <w:r>
        <w:rPr>
          <w:rFonts w:ascii="Arial" w:cs="Arial" w:eastAsia="Arial" w:hAnsi="Arial"/>
          <w:sz w:val="16"/>
          <w:szCs w:val="16"/>
          <w:color w:val="auto"/>
        </w:rPr>
        <w:t>engineer our products or platform or discontinue offering our products to customers in the event re</w:t>
      </w:r>
      <w:r>
        <w:rPr>
          <w:rFonts w:ascii="MS PGothic" w:cs="MS PGothic" w:eastAsia="MS PGothic" w:hAnsi="MS PGothic"/>
          <w:sz w:val="16"/>
          <w:szCs w:val="16"/>
          <w:color w:val="auto"/>
        </w:rPr>
        <w:t>‑</w:t>
      </w:r>
      <w:r>
        <w:rPr>
          <w:rFonts w:ascii="Arial" w:cs="Arial" w:eastAsia="Arial" w:hAnsi="Arial"/>
          <w:sz w:val="16"/>
          <w:szCs w:val="16"/>
          <w:color w:val="auto"/>
        </w:rPr>
        <w:t>engineering cannot be accomplished on a timely basis. Any of the foregoing could require us to devote additional research and development resources to re</w:t>
      </w:r>
      <w:r>
        <w:rPr>
          <w:rFonts w:ascii="MS PGothic" w:cs="MS PGothic" w:eastAsia="MS PGothic" w:hAnsi="MS PGothic"/>
          <w:sz w:val="16"/>
          <w:szCs w:val="16"/>
          <w:color w:val="auto"/>
        </w:rPr>
        <w:t>‑</w:t>
      </w:r>
      <w:r>
        <w:rPr>
          <w:rFonts w:ascii="Arial" w:cs="Arial" w:eastAsia="Arial" w:hAnsi="Arial"/>
          <w:sz w:val="16"/>
          <w:szCs w:val="16"/>
          <w:color w:val="auto"/>
        </w:rPr>
        <w:t>engineer our products or platform, could result in customer dissatisfaction and may adversely affect our business, results of operations and financial condition.</w:t>
      </w:r>
    </w:p>
    <w:p>
      <w:pPr>
        <w:spacing w:after="0" w:line="20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7"/>
          <w:szCs w:val="17"/>
          <w:color w:val="auto"/>
        </w:rPr>
        <w:t>‑</w:t>
      </w:r>
      <w:r>
        <w:rPr>
          <w:rFonts w:ascii="Arial" w:cs="Arial" w:eastAsia="Arial" w:hAnsi="Arial"/>
          <w:sz w:val="17"/>
          <w:szCs w:val="17"/>
          <w:color w:val="auto"/>
        </w:rPr>
        <w:t>related commerce or communications generally or result in reductions in the demand for Internet</w:t>
      </w:r>
      <w:r>
        <w:rPr>
          <w:rFonts w:ascii="MS PGothic" w:cs="MS PGothic" w:eastAsia="MS PGothic" w:hAnsi="MS PGothic"/>
          <w:sz w:val="17"/>
          <w:szCs w:val="17"/>
          <w:color w:val="auto"/>
        </w:rPr>
        <w:t>‑</w:t>
      </w:r>
      <w:r>
        <w:rPr>
          <w:rFonts w:ascii="Arial" w:cs="Arial" w:eastAsia="Arial" w:hAnsi="Arial"/>
          <w:sz w:val="17"/>
          <w:szCs w:val="17"/>
          <w:color w:val="auto"/>
        </w:rPr>
        <w:t>based products and services such as our products and platform. In particular, the re-adoption of “network neutrality” rules in the United States, which President Biden supported during his campaign, could affect the services used by us and our customers. In addition, the use of the Internet as a business tool could be adversely affected due to delays in the development or adoption of new standards and protocols to handle increased demands of Internet activity, security, reliability, cost, ease</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technology industry is subject to increasing scrutiny that could result in government actions that would negatively affect our business.</w:t>
      </w:r>
    </w:p>
    <w:p>
      <w:pPr>
        <w:spacing w:after="0" w:line="248"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technology industry is subject to intense media, political and regulatory scrutiny,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efforts to eliminate or modify Section 230 of the Communications Decency Act.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168"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Compliance with new or modified laws and regulations could increase the cost of conducting our business, limit the opportunities to increase our revenues, or prevent us from offering products or services. While we have adopted policies and procedures designed to ensure compliance with applicable laws and regulations, there can be no assurance that our employees, contractors or agents will not violate such laws and regulations. If we are found to have violated laws and regulations, it could materially adversely affect our reputation, financial condition and operating results.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For example, the U.S. government recently has taken action against companies operating in China intended to limit their ability to do business in the U.S. or with U.S. companies. There can be no assurance that our business will not be materially adversely affected, individually or in the aggregate, by the outcomes of such investigations, litigation or changes to laws and regulations in the future.</w:t>
      </w:r>
    </w:p>
    <w:p>
      <w:pPr>
        <w:spacing w:after="0" w:line="21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and inbox service providers use to regulate the use and delivery of email have in the past interfered with, and may in the future interfere with, the effectiveness of our platform and our ability to conduct business.</w:t>
      </w:r>
    </w:p>
    <w:p>
      <w:pPr>
        <w:spacing w:after="0" w:line="19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Some of our customers rely on email for commercial solicitation. Other private entities often advocate standards of conduct or practice that significantly exceed current legal requirements and classify certain solicitations that comply with current legal requirements as spam. Some of these entities maintain “blacklists” of companies and individuals, and the websites, inbox service providers and IP addresses associated with those entities or individuals that do not adhere to those standards of conduct or practices for commercial solicitations that the blacklisting entity believes are appropriate. If a company’s IP addresses are listed by a blacklisting entity, emails sent from those addresses may be blocked if they are sent to any internet domain or internet address that subscribes to the blacklisting entity’s service or uses its blacklist.</w:t>
      </w:r>
    </w:p>
    <w:p>
      <w:pPr>
        <w:spacing w:after="0" w:line="17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some of our IP addresses have become, and we expect will continue to be, listed with one or more blacklisting entities due to the messaging practices of our customers and other users. We may be at an increased risk of having our IP addresses blacklisted due to our scale and volume of email processed, compared to our smaller competitors. While the overall percentage of such email solicitations that our individual customers send may be at or below reasonable standards, the total aggregate number of all emails that we process on behalf of our customers may trigger increased scrutiny from these blacklisting entities. There can be no guarantee that we will be able to successfully remove ourselves from those lists. Because we fulfill email delivery on behalf of our customers, blacklisting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9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Additionally, inbox service providers can block emails from reaching their users. While we continually improve our own technology and work closely with inbox service providers to maintain our deliverability rates,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In addition, some inbox service providers categorize as “promotional” emails that originate from email service providers and, as a result, direct them to an alternate or “tabbed” section of the recipient’s inbox. If inbox service providers materially limit or halt the delivery of our customers’ emails, or if we fail to deliver our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customers’ emails in a manner compatible with inbox service providers’ email handling or authentication technologies or other policies, or if the open rates of our customers’ emails are negatively impacted by the actions of inbox service providers to categorize emails, then customers may question the effectiveness of our platform and cancel their accounts. This, in turn, could harm our business, financial condition and results of operations.</w:t>
      </w:r>
    </w:p>
    <w:p>
      <w:pPr>
        <w:spacing w:after="0" w:line="165" w:lineRule="exact"/>
        <w:rPr>
          <w:sz w:val="20"/>
          <w:szCs w:val="20"/>
          <w:color w:val="auto"/>
        </w:rPr>
      </w:pPr>
    </w:p>
    <w:p>
      <w:pPr>
        <w:ind w:right="320" w:firstLine="486"/>
        <w:spacing w:after="0" w:line="340" w:lineRule="auto"/>
        <w:rPr>
          <w:sz w:val="20"/>
          <w:szCs w:val="20"/>
          <w:color w:val="auto"/>
        </w:rPr>
      </w:pPr>
      <w:r>
        <w:rPr>
          <w:rFonts w:ascii="Arial" w:cs="Arial" w:eastAsia="Arial" w:hAnsi="Arial"/>
          <w:sz w:val="15"/>
          <w:szCs w:val="15"/>
          <w:b w:val="1"/>
          <w:bCs w:val="1"/>
          <w:i w:val="1"/>
          <w:iCs w:val="1"/>
          <w:color w:val="auto"/>
        </w:rPr>
        <w:t>Our global operations subject us to potential liability under trade protection, anti-corruption, and other laws and regulations, including legal liability and reputational damage if we violate applicable U.S. economic trade sanctions or export controls regulations, and such violations could impair our ability to compete in international markets due to licensing requirements and could subject us to liability for compliance violations.</w:t>
      </w:r>
    </w:p>
    <w:p>
      <w:pPr>
        <w:spacing w:after="0" w:line="131" w:lineRule="exact"/>
        <w:rPr>
          <w:sz w:val="20"/>
          <w:szCs w:val="20"/>
          <w:color w:val="auto"/>
        </w:rPr>
      </w:pPr>
    </w:p>
    <w:p>
      <w:pPr>
        <w:ind w:right="40" w:firstLine="486"/>
        <w:spacing w:after="0" w:line="217" w:lineRule="exact"/>
        <w:rPr>
          <w:sz w:val="20"/>
          <w:szCs w:val="20"/>
          <w:color w:val="auto"/>
        </w:rPr>
      </w:pPr>
      <w:r>
        <w:rPr>
          <w:rFonts w:ascii="Arial" w:cs="Arial" w:eastAsia="Arial" w:hAnsi="Arial"/>
          <w:sz w:val="17"/>
          <w:szCs w:val="17"/>
          <w:color w:val="auto"/>
        </w:rPr>
        <w:t>Certain of our products and services may be subject to these types of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7"/>
          <w:szCs w:val="17"/>
          <w:color w:val="auto"/>
        </w:rPr>
        <w:t>‑</w:t>
      </w:r>
      <w:r>
        <w:rPr>
          <w:rFonts w:ascii="Arial" w:cs="Arial" w:eastAsia="Arial" w:hAnsi="Arial"/>
          <w:sz w:val="17"/>
          <w:szCs w:val="17"/>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20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Foreign Corrupt Practices Act and other anti-corruption laws and regulations prohibit corrupt payments by our employees and third parties acting on our behalf, and require that we maintain accurate books and records and adequate internal controls. While we have implemented a global compliance program designed to reduce the risk of violations, our employees or third parties acting on our behalf may fail to comply with applicable laws and regulations. Such violations could result in significant fines and penalties, criminal liability for us, our individual officers or employees, prohibitions on our ability to conduct business, and potential reputational damage.</w:t>
      </w:r>
    </w:p>
    <w:p>
      <w:pPr>
        <w:spacing w:after="0" w:line="188"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w:t>
      </w:r>
      <w:r>
        <w:rPr>
          <w:rFonts w:ascii="MS PGothic" w:cs="MS PGothic" w:eastAsia="MS PGothic" w:hAnsi="MS PGothic"/>
          <w:sz w:val="16"/>
          <w:szCs w:val="16"/>
          <w:color w:val="auto"/>
        </w:rPr>
        <w:t>‑</w:t>
      </w:r>
      <w:r>
        <w:rPr>
          <w:rFonts w:ascii="Arial" w:cs="Arial" w:eastAsia="Arial" w:hAnsi="Arial"/>
          <w:sz w:val="16"/>
          <w:szCs w:val="16"/>
          <w:color w:val="auto"/>
        </w:rPr>
        <w:t>distributed systems or, in some cases, prevent the export of our products or provision of our services to some countries altogether.</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reliance on SaaS technologies from third parties may adversely affect our business, results of operations and financial condition.</w:t>
      </w:r>
    </w:p>
    <w:p>
      <w:pPr>
        <w:spacing w:after="0" w:line="248"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results of operations and financial condition.</w:t>
      </w:r>
    </w:p>
    <w:p>
      <w:pPr>
        <w:spacing w:after="0" w:line="225" w:lineRule="exact"/>
        <w:rPr>
          <w:sz w:val="20"/>
          <w:szCs w:val="20"/>
          <w:color w:val="auto"/>
        </w:rPr>
      </w:pPr>
    </w:p>
    <w:p>
      <w:pPr>
        <w:ind w:right="20" w:firstLine="486"/>
        <w:spacing w:after="0" w:line="217" w:lineRule="exact"/>
        <w:rPr>
          <w:sz w:val="20"/>
          <w:szCs w:val="20"/>
          <w:color w:val="auto"/>
        </w:rPr>
      </w:pPr>
      <w:r>
        <w:rPr>
          <w:rFonts w:ascii="Arial" w:cs="Arial" w:eastAsia="Arial" w:hAnsi="Arial"/>
          <w:sz w:val="16"/>
          <w:szCs w:val="16"/>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w:t>
      </w:r>
      <w:r>
        <w:rPr>
          <w:rFonts w:ascii="MS PGothic" w:cs="MS PGothic" w:eastAsia="MS PGothic" w:hAnsi="MS PGothic"/>
          <w:sz w:val="16"/>
          <w:szCs w:val="16"/>
          <w:color w:val="auto"/>
        </w:rPr>
        <w:t>‑</w:t>
      </w:r>
      <w:r>
        <w:rPr>
          <w:rFonts w:ascii="Arial" w:cs="Arial" w:eastAsia="Arial" w:hAnsi="Arial"/>
          <w:sz w:val="16"/>
          <w:szCs w:val="16"/>
          <w:color w:val="auto"/>
        </w:rPr>
        <w:t>length pricing standards for our intercompany transactions and our indirect tax positions. In determining the adequacy of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We are currently in discussions with certain jurisdictions regarding potential sales taxes for prior periods that we may owe. We reserved $26.6 million on our March 31, 2021 balance sheet for these tax payments. The actual exposure could differ materially from our current estimates, and if the actual payments we make to any jurisdiction exceed the accrual in our balance sheet, our results of operations would be harmed. For example, one jurisdiction has assessed us for $38.8 million in taxes, including interest and penalties, which exceeded the $11.5 million we had accrued for that assessment. We believe this assessment is incorrect and have disputed it, paid the full amount as required by law, and are seeking a refund or settlement. The payment made in excess of the accrued amount will be reflected as a deposit on our balance sheet in future periods. If a reasonable settlement cannot be reached in the near future, we will challenge the jurisdiction’s assessment in court. However, litigation is uncertain and a ruling against us may adversely affect our financial position and results of operation. Many states are also pursuing legislative expansion of the scope of goods and services that are subject to sales and similar taxes as well as the circumstances in which a vendor of goods and services must collect such taxes. Following the U.S.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could be subject to liability for historical and future indirect and similar taxes, which could adversely affect our results of operations.</w:t>
      </w:r>
    </w:p>
    <w:p>
      <w:pPr>
        <w:spacing w:after="0" w:line="248"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We conduct operations in many tax jurisdictions throughout the United States and internationally. In many of these jurisdictions, non</w:t>
      </w:r>
      <w:r>
        <w:rPr>
          <w:rFonts w:ascii="MS PGothic" w:cs="MS PGothic" w:eastAsia="MS PGothic" w:hAnsi="MS PGothic"/>
          <w:sz w:val="17"/>
          <w:szCs w:val="17"/>
          <w:color w:val="auto"/>
        </w:rPr>
        <w:t>‑</w:t>
      </w:r>
      <w:r>
        <w:rPr>
          <w:rFonts w:ascii="Arial" w:cs="Arial" w:eastAsia="Arial" w:hAnsi="Arial"/>
          <w:sz w:val="17"/>
          <w:szCs w:val="17"/>
          <w:color w:val="auto"/>
        </w:rPr>
        <w:t>income</w:t>
      </w:r>
      <w:r>
        <w:rPr>
          <w:rFonts w:ascii="MS PGothic" w:cs="MS PGothic" w:eastAsia="MS PGothic" w:hAnsi="MS PGothic"/>
          <w:sz w:val="17"/>
          <w:szCs w:val="17"/>
          <w:color w:val="auto"/>
        </w:rPr>
        <w:t>‑</w:t>
      </w:r>
      <w:r>
        <w:rPr>
          <w:rFonts w:ascii="Arial" w:cs="Arial" w:eastAsia="Arial" w:hAnsi="Arial"/>
          <w:sz w:val="17"/>
          <w:szCs w:val="17"/>
          <w:color w:val="auto"/>
        </w:rPr>
        <w:t>based taxes, such as sales, VAT, GST, and telecommunications taxes, are assessed on our operations or our sales to customers. We are subject to indirect taxes, and may be subject to certain other taxes, in some of these jurisdictions. 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w:t>
      </w:r>
    </w:p>
    <w:p>
      <w:pPr>
        <w:spacing w:after="0" w:line="204"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We have been and may continue to be subject to scrutiny from tax authorities in various jurisdictions and may have additional exposure related to our historical operations. Furthermore, certain jurisdictions in which we do not collect such taxes have in the past and may in the future assert that such taxes are applicable, which could result in tax assessments, penalties and interest, and we may be required to collect such taxes in the future. Such tax assessments, penalties and interest or future requirements may adversely affect our business, the prices at which we are able to offer our services, our results of operations and financial condition.</w:t>
      </w:r>
    </w:p>
    <w:p>
      <w:pPr>
        <w:spacing w:after="0" w:line="188" w:lineRule="exact"/>
        <w:rPr>
          <w:sz w:val="20"/>
          <w:szCs w:val="20"/>
          <w:color w:val="auto"/>
        </w:rPr>
      </w:pPr>
    </w:p>
    <w:p>
      <w:pPr>
        <w:jc w:val="both"/>
        <w:ind w:right="20" w:firstLine="486"/>
        <w:spacing w:after="0" w:line="221" w:lineRule="exact"/>
        <w:rPr>
          <w:sz w:val="20"/>
          <w:szCs w:val="20"/>
          <w:color w:val="auto"/>
        </w:rPr>
      </w:pPr>
      <w:r>
        <w:rPr>
          <w:rFonts w:ascii="Arial" w:cs="Arial" w:eastAsia="Arial" w:hAnsi="Arial"/>
          <w:sz w:val="16"/>
          <w:szCs w:val="16"/>
          <w:color w:val="auto"/>
        </w:rPr>
        <w:t>Effective March 2017, we began collecting certain telecommunications</w:t>
      </w:r>
      <w:r>
        <w:rPr>
          <w:rFonts w:ascii="MS PGothic" w:cs="MS PGothic" w:eastAsia="MS PGothic" w:hAnsi="MS PGothic"/>
          <w:sz w:val="16"/>
          <w:szCs w:val="16"/>
          <w:color w:val="auto"/>
        </w:rPr>
        <w:t>‑</w:t>
      </w:r>
      <w:r>
        <w:rPr>
          <w:rFonts w:ascii="Arial" w:cs="Arial" w:eastAsia="Arial" w:hAnsi="Arial"/>
          <w:sz w:val="16"/>
          <w:szCs w:val="16"/>
          <w:color w:val="auto"/>
        </w:rPr>
        <w:t>based taxes from our customers in certain jurisdictions. Since then, we have added more jurisdictions where we collect these taxes and we expect to continue expanding the number of jurisdictions in which we will collect these taxes in the future. We are also in discussions with certain jurisdictions regarding our potential sales and other taxes for prior periods that we may owe.</w:t>
      </w:r>
    </w:p>
    <w:p>
      <w:pPr>
        <w:spacing w:after="0" w:line="20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the event any of these jurisdictions disagree with management's assumptions and analysis, the assessment of our tax exposure could differ materially from management's current estimates. Some customers may question the incremental tax charges and some may seek to negotiate lower pricing from us, which could adversely affect our business, results of operations and financial condition.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225"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7"/>
          <w:szCs w:val="17"/>
          <w:color w:val="auto"/>
        </w:rPr>
        <w:t>‑</w:t>
      </w:r>
      <w:r>
        <w:rPr>
          <w:rFonts w:ascii="Arial" w:cs="Arial" w:eastAsia="Arial" w:hAnsi="Arial"/>
          <w:sz w:val="17"/>
          <w:szCs w:val="17"/>
          <w:color w:val="auto"/>
        </w:rPr>
        <w:t>time tax charges, higher effective tax rates, reduced cash flows and lower overall profitability of our operations.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global and U.S. tax legislation may adversely affect our financial condition, operating results, and cash flows.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operating results,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spacing w:after="0" w:line="192" w:lineRule="exact"/>
        <w:rPr>
          <w:sz w:val="20"/>
          <w:szCs w:val="20"/>
          <w:color w:val="auto"/>
        </w:rPr>
      </w:pPr>
    </w:p>
    <w:p>
      <w:pPr>
        <w:ind w:right="60" w:firstLine="486"/>
        <w:spacing w:after="0" w:line="218" w:lineRule="exact"/>
        <w:rPr>
          <w:sz w:val="20"/>
          <w:szCs w:val="20"/>
          <w:color w:val="auto"/>
        </w:rPr>
      </w:pPr>
      <w:r>
        <w:rPr>
          <w:rFonts w:ascii="Arial" w:cs="Arial" w:eastAsia="Arial" w:hAnsi="Arial"/>
          <w:sz w:val="18"/>
          <w:szCs w:val="18"/>
          <w:color w:val="auto"/>
        </w:rPr>
        <w:t>Certain government agencies in jurisdictions where we and our affiliates do business have had an extended focus on issues related to the taxation of multinational companies. In addition, the Organization for Economic Co</w:t>
      </w:r>
      <w:r>
        <w:rPr>
          <w:rFonts w:ascii="MS PGothic" w:cs="MS PGothic" w:eastAsia="MS PGothic" w:hAnsi="MS PGothic"/>
          <w:sz w:val="18"/>
          <w:szCs w:val="18"/>
          <w:color w:val="auto"/>
        </w:rPr>
        <w:t>‑</w:t>
      </w:r>
      <w:r>
        <w:rPr>
          <w:rFonts w:ascii="Arial" w:cs="Arial" w:eastAsia="Arial" w:hAnsi="Arial"/>
          <w:sz w:val="18"/>
          <w:szCs w:val="18"/>
          <w:color w:val="auto"/>
        </w:rPr>
        <w:t>operation and Development is conducting a project focused on base erosion and profit shifting in international structures, which seeks to establish certain international standards for taxing the worldwide income of multinational companies.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207"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manner in which we operate our business. As a result of the large and expanding scale of our international business activities, many of these changes to the taxation of our activities could increase our worldwide effective tax rate and harm our financial position, operating results, and cash flows.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experience excessive credit card or fraudulent activity, we could incur substantial costs.</w:t>
      </w:r>
    </w:p>
    <w:p>
      <w:pPr>
        <w:spacing w:after="0" w:line="225" w:lineRule="exact"/>
        <w:rPr>
          <w:sz w:val="20"/>
          <w:szCs w:val="20"/>
          <w:color w:val="auto"/>
        </w:rPr>
      </w:pPr>
    </w:p>
    <w:p>
      <w:pPr>
        <w:ind w:firstLine="486"/>
        <w:spacing w:after="0" w:line="219" w:lineRule="exact"/>
        <w:rPr>
          <w:sz w:val="20"/>
          <w:szCs w:val="20"/>
          <w:color w:val="auto"/>
        </w:rPr>
      </w:pPr>
      <w:r>
        <w:rPr>
          <w:rFonts w:ascii="Arial" w:cs="Arial" w:eastAsia="Arial" w:hAnsi="Arial"/>
          <w:sz w:val="17"/>
          <w:szCs w:val="17"/>
          <w:color w:val="auto"/>
        </w:rPr>
        <w:t>Most of our customers authorize us to bill their credit card accounts directly for service fees that we charge. If people pay for our services with stolen credit cards, we could incur substantial third</w:t>
      </w:r>
      <w:r>
        <w:rPr>
          <w:rFonts w:ascii="MS PGothic" w:cs="MS PGothic" w:eastAsia="MS PGothic" w:hAnsi="MS PGothic"/>
          <w:sz w:val="17"/>
          <w:szCs w:val="17"/>
          <w:color w:val="auto"/>
        </w:rPr>
        <w:t>‑</w:t>
      </w:r>
      <w:r>
        <w:rPr>
          <w:rFonts w:ascii="Arial" w:cs="Arial" w:eastAsia="Arial" w:hAnsi="Arial"/>
          <w:sz w:val="17"/>
          <w:szCs w:val="17"/>
          <w:color w:val="auto"/>
        </w:rPr>
        <w:t>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from claims that the customer did not authorize the credit card transaction to purchase our services. If the number of unauthorized credit card transactions becomes excessive, we could be assessed substantial fines for excess chargebacks, and we could lose the right to accept credit cards for payment.</w:t>
      </w:r>
    </w:p>
    <w:p>
      <w:pPr>
        <w:spacing w:after="0" w:line="20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products may also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require additional capital to support our business, and this capital might not be available on acceptable terms, if at all.</w:t>
      </w:r>
    </w:p>
    <w:p>
      <w:pPr>
        <w:spacing w:after="0" w:line="23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70"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As our international operations expand, our exposure to the effects of fluctuations in currency exchange rates grows. For example, global political events, including Brexit, trade tariff developments and other geopolitical events have caused global economic uncertainty and variability in foreign currency exchange rates. While we have primarily transacted with customers and business partners in U.S. dollars, we have transacted with customers in the Australian dollar, the Brazilian real, the British pound, the Euro, and the Japanese yen.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7"/>
          <w:szCs w:val="17"/>
          <w:color w:val="auto"/>
        </w:rPr>
        <w:t>‑</w:t>
      </w:r>
      <w:r>
        <w:rPr>
          <w:rFonts w:ascii="Arial" w:cs="Arial" w:eastAsia="Arial" w:hAnsi="Arial"/>
          <w:sz w:val="17"/>
          <w:szCs w:val="17"/>
          <w:color w:val="auto"/>
        </w:rPr>
        <w:t>U.S. locations in the local currency for such locations. Fluctuations in the exchange rates between the U.S. dollar and other currencies could result in an increase to the U.S. dollar equivalent of such expenses.</w:t>
      </w:r>
    </w:p>
    <w:p>
      <w:pPr>
        <w:spacing w:after="0" w:line="204"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64"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We intend to implement a program to hedge transactional exposures in foreign currencies and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As of December 31, 2020, we had federal, state and foreign net operating loss carryforwards (“NOLs”), of $2.7 billion, $1.8 billion and $27.9 million, respectively. In the years ended December 31, 2020 and 2019, as a result of our Segment and SendGrid acquisitions, respectively, we assumed a $22.3 million and $56.2 million, respectively, deferred tax liability, as described in Note 6 to our consolidated financial statements included in our Annual Report on Form 10-K filed with the SEC on February 26, 2021. In general, under Section 382 of the Internal Revenue Code of 1986, as amended (the “Code”), a corporation that undergoes an “ownership change” (generally defined as a greater than 50</w:t>
      </w:r>
      <w:r>
        <w:rPr>
          <w:rFonts w:ascii="MS PGothic" w:cs="MS PGothic" w:eastAsia="MS PGothic" w:hAnsi="MS PGothic"/>
          <w:sz w:val="17"/>
          <w:szCs w:val="17"/>
          <w:color w:val="auto"/>
        </w:rPr>
        <w:t>‑</w:t>
      </w:r>
      <w:r>
        <w:rPr>
          <w:rFonts w:ascii="Arial" w:cs="Arial" w:eastAsia="Arial" w:hAnsi="Arial"/>
          <w:sz w:val="17"/>
          <w:szCs w:val="17"/>
          <w:color w:val="auto"/>
        </w:rPr>
        <w:t>percentage</w:t>
      </w:r>
      <w:r>
        <w:rPr>
          <w:rFonts w:ascii="MS PGothic" w:cs="MS PGothic" w:eastAsia="MS PGothic" w:hAnsi="MS PGothic"/>
          <w:sz w:val="17"/>
          <w:szCs w:val="17"/>
          <w:color w:val="auto"/>
        </w:rPr>
        <w:t>‑</w:t>
      </w:r>
      <w:r>
        <w:rPr>
          <w:rFonts w:ascii="Arial" w:cs="Arial" w:eastAsia="Arial" w:hAnsi="Arial"/>
          <w:sz w:val="17"/>
          <w:szCs w:val="17"/>
          <w:color w:val="auto"/>
        </w:rPr>
        <w:t>point cumulative change (by value) in the equity ownership of certain stockholders over a rolling three</w:t>
      </w:r>
      <w:r>
        <w:rPr>
          <w:rFonts w:ascii="MS PGothic" w:cs="MS PGothic" w:eastAsia="MS PGothic" w:hAnsi="MS PGothic"/>
          <w:sz w:val="17"/>
          <w:szCs w:val="17"/>
          <w:color w:val="auto"/>
        </w:rPr>
        <w:t>‑</w:t>
      </w:r>
      <w:r>
        <w:rPr>
          <w:rFonts w:ascii="Arial" w:cs="Arial" w:eastAsia="Arial" w:hAnsi="Arial"/>
          <w:sz w:val="17"/>
          <w:szCs w:val="17"/>
          <w:color w:val="auto"/>
        </w:rPr>
        <w:t>year period) is subject to limitations on its ability to utilize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post</w:t>
      </w:r>
      <w:r>
        <w:rPr>
          <w:rFonts w:ascii="MS PGothic" w:cs="MS PGothic" w:eastAsia="MS PGothic" w:hAnsi="MS PGothic"/>
          <w:sz w:val="17"/>
          <w:szCs w:val="17"/>
          <w:color w:val="auto"/>
        </w:rPr>
        <w:t>‑</w:t>
      </w:r>
      <w:r>
        <w:rPr>
          <w:rFonts w:ascii="Arial" w:cs="Arial" w:eastAsia="Arial" w:hAnsi="Arial"/>
          <w:sz w:val="17"/>
          <w:szCs w:val="17"/>
          <w:color w:val="auto"/>
        </w:rPr>
        <w:t>change taxable income. Our existing NOLs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On December 22, 2017, the U.S. government enacted tax legislation commonly referred to as the Tax Cuts and Jobs Act (the “Tax Act”). The Tax Act makes broad and complex changes to the U.S. tax code including changes to the uses and limitations of net operating losses. For example, while the Tax Act allows for U.S. federal net operating losses incurred in tax years beginning after December 31, 2017 to be carried forward indefinitely, the Tax Act also imposes an 80% limitation on the use of net operating losses that are generated in tax years beginning after December 31, 2017. Net operating losses generated in tax years beginning prior to December 31, 2017 still have a 20</w:t>
      </w:r>
      <w:r>
        <w:rPr>
          <w:rFonts w:ascii="MS PGothic" w:cs="MS PGothic" w:eastAsia="MS PGothic" w:hAnsi="MS PGothic"/>
          <w:sz w:val="16"/>
          <w:szCs w:val="16"/>
          <w:color w:val="auto"/>
        </w:rPr>
        <w:t>‑</w:t>
      </w:r>
      <w:r>
        <w:rPr>
          <w:rFonts w:ascii="Arial" w:cs="Arial" w:eastAsia="Arial" w:hAnsi="Arial"/>
          <w:sz w:val="16"/>
          <w:szCs w:val="16"/>
          <w:color w:val="auto"/>
        </w:rPr>
        <w:t>year carryforward period and are not subject to 80% limitation. The Coronavirus Aid, Relief and Economic Security Act (“CARES Act”) enacted on March 27, 2020 permits a full five-year carryback of net operating losses arising in tax years beginning after December 31, 2017 and before January 1, 2021. In addition, at the state level, there may be periods during which the use of net operating loss carryforwards is suspended or otherwise limited, which could accelerate or permanently increase state taxes owed. These provisions do not impact us since we have net operating losses in the applicable tax years. Our ability to utilize net operating loss carryforwards depends on existence of sufficient taxable income of the appropriate character within the carryforward period. Based on all available evidence, other than future taxable income from reversing taxable temporary differences, we have no other sources of taxable income that are objectively verifiable. As such, net operating loss carryforwards generated in tax years beginning before December 31, 2017, could expire unused and net operating losses arising in tax years beginning after December 31, 2017, while able to be carried forward indefinitely, are also not more likely than not to be realized due to lack of taxable income.</w:t>
      </w:r>
    </w:p>
    <w:p>
      <w:pPr>
        <w:spacing w:after="0" w:line="204"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6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1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 xml:space="preserve">For example, a new accounting guidance,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became effective January 1, 2019. The adoption of this new guidance had a significant impact on our balance sheet as described in detail in Note 2 to our consolidated financial statements included in our Annual Report on Form 10-K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7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100" w:firstLine="486"/>
        <w:spacing w:after="0" w:line="219" w:lineRule="exact"/>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or the Sarbanes</w:t>
      </w:r>
      <w:r>
        <w:rPr>
          <w:rFonts w:ascii="MS PGothic" w:cs="MS PGothic" w:eastAsia="MS PGothic" w:hAnsi="MS PGothic"/>
          <w:sz w:val="18"/>
          <w:szCs w:val="18"/>
          <w:color w:val="auto"/>
        </w:rPr>
        <w:t>‑</w:t>
      </w:r>
      <w:r>
        <w:rPr>
          <w:rFonts w:ascii="Arial" w:cs="Arial" w:eastAsia="Arial" w:hAnsi="Arial"/>
          <w:sz w:val="18"/>
          <w:szCs w:val="18"/>
          <w:color w:val="auto"/>
        </w:rPr>
        <w:t>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March 31, 2021, we carried a net $5.6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volatile and may continue to be volatile, and you could lose all or part of your investment.</w:t>
      </w:r>
    </w:p>
    <w:p>
      <w:pPr>
        <w:spacing w:after="0" w:line="17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 the New York Stock Exchange, through March 31, 2021, the trading price of our Class A common stock has ranged from $22.80 per share to $457.30 per share. The trading price of our Class A common stock may continue to fluctuate significantly in response to numerous factors, many of which are beyond our control, including:</w:t>
      </w:r>
    </w:p>
    <w:p>
      <w:pPr>
        <w:spacing w:after="0" w:line="188"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980" w:right="460" w:hanging="324"/>
        <w:spacing w:after="0" w:line="25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industry standards, regulations or regulatory enforcement in the United States or internationally, GDPR, the California Consumer Privacy Act of 2018 and other privacy regulations that may be implemented in the future, including the Schrems II decision invalidating the EU-U.S. Privacy Shield, SHAKEN/STIR and other robocalling prevention and anti-spam standards and increased costs associated with such compliance, as well as enhanced Know-Your-Client processes that impact our ability to market, sell or deliver our products;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48"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24"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57"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57"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Our Class B common stock has 10 votes per share, and our Class A common stock has one vote per share. As of March 31, 2021, our directors, executive officers and their respective affiliates, held in the aggregate 23.3% of the voting power of our capital stock. Because of the 10</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voting ratio between our Class B common stock and Class A common stock, the holders of our Class B common stock collectively will continue to control a majority of the combined voting power of our common stock and therefore be able to control all matters submitted to our stockholders for approval until the earlier of (i) June 28, 2023, or (ii) the date the holders of two</w:t>
      </w:r>
      <w:r>
        <w:rPr>
          <w:rFonts w:ascii="MS PGothic" w:cs="MS PGothic" w:eastAsia="MS PGothic" w:hAnsi="MS PGothic"/>
          <w:sz w:val="17"/>
          <w:szCs w:val="17"/>
          <w:color w:val="auto"/>
        </w:rPr>
        <w:t>‑</w:t>
      </w:r>
      <w:r>
        <w:rPr>
          <w:rFonts w:ascii="Arial" w:cs="Arial" w:eastAsia="Arial" w:hAnsi="Arial"/>
          <w:sz w:val="17"/>
          <w:szCs w:val="17"/>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486"/>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0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76" w:lineRule="exact"/>
        <w:rPr>
          <w:sz w:val="20"/>
          <w:szCs w:val="20"/>
          <w:color w:val="auto"/>
        </w:rPr>
      </w:pPr>
    </w:p>
    <w:p>
      <w:pPr>
        <w:ind w:right="580" w:firstLine="486"/>
        <w:spacing w:after="0" w:line="223"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contained in our amended and restated certificate of incorporation and amended and restated bylaws, as well as provisions of Delaware law, could impair a takeover attempt.</w:t>
      </w:r>
    </w:p>
    <w:p>
      <w:pPr>
        <w:spacing w:after="0" w:line="203"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amended and restated bylaws include provisions:</w:t>
      </w:r>
    </w:p>
    <w:p>
      <w:pPr>
        <w:spacing w:after="0" w:line="184" w:lineRule="exact"/>
        <w:rPr>
          <w:sz w:val="20"/>
          <w:szCs w:val="20"/>
          <w:color w:val="auto"/>
        </w:rPr>
      </w:pPr>
    </w:p>
    <w:p>
      <w:pPr>
        <w:ind w:left="980" w:right="30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980" w:right="180" w:hanging="324"/>
        <w:spacing w:after="0" w:line="259"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86"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three</w:t>
      </w:r>
      <w:r>
        <w:rPr>
          <w:rFonts w:ascii="MS PGothic" w:cs="MS PGothic" w:eastAsia="MS PGothic" w:hAnsi="MS PGothic"/>
          <w:sz w:val="18"/>
          <w:szCs w:val="18"/>
          <w:color w:val="auto"/>
        </w:rPr>
        <w:t>‑</w:t>
      </w:r>
      <w:r>
        <w:rPr>
          <w:rFonts w:ascii="Arial" w:cs="Arial" w:eastAsia="Arial" w:hAnsi="Arial"/>
          <w:sz w:val="18"/>
          <w:szCs w:val="18"/>
          <w:color w:val="auto"/>
        </w:rPr>
        <w:t>year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236" w:lineRule="exact"/>
        <w:rPr>
          <w:rFonts w:ascii="Arial" w:cs="Arial" w:eastAsia="Arial" w:hAnsi="Arial"/>
          <w:sz w:val="17"/>
          <w:szCs w:val="17"/>
          <w:color w:val="auto"/>
        </w:rPr>
      </w:pPr>
    </w:p>
    <w:p>
      <w:pPr>
        <w:ind w:left="980" w:right="54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225" w:lineRule="exact"/>
        <w:rPr>
          <w:rFonts w:ascii="Arial" w:cs="Arial" w:eastAsia="Arial" w:hAnsi="Arial"/>
          <w:sz w:val="18"/>
          <w:szCs w:val="18"/>
          <w:color w:val="auto"/>
        </w:rPr>
      </w:pPr>
    </w:p>
    <w:p>
      <w:pPr>
        <w:ind w:left="980" w:right="220" w:hanging="324"/>
        <w:spacing w:after="0" w:line="286"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20" w:firstLine="486"/>
        <w:spacing w:after="0" w:line="221" w:lineRule="exact"/>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6"/>
          <w:szCs w:val="16"/>
          <w:color w:val="auto"/>
        </w:rPr>
        <w:t>‑</w:t>
      </w:r>
      <w:r>
        <w:rPr>
          <w:rFonts w:ascii="Arial" w:cs="Arial" w:eastAsia="Arial" w:hAnsi="Arial"/>
          <w:sz w:val="16"/>
          <w:szCs w:val="16"/>
          <w:color w:val="auto"/>
        </w:rPr>
        <w:t>thirds of our outstanding common stock not held by such 15% or greater stockholder.</w:t>
      </w:r>
    </w:p>
    <w:p>
      <w:pPr>
        <w:spacing w:after="0" w:line="20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our directors, officers, employees or our stockholders;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and any action asserting a claim against us that is governed by the internal-affairs doctrine.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This provision would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21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employees, which may discourage lawsuits against us and our directors, officers and employees. If a court were to find this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right="460" w:firstLine="486"/>
        <w:spacing w:after="0" w:line="286" w:lineRule="auto"/>
        <w:rPr>
          <w:sz w:val="20"/>
          <w:szCs w:val="20"/>
          <w:color w:val="auto"/>
        </w:rPr>
      </w:pPr>
      <w:r>
        <w:rPr>
          <w:rFonts w:ascii="Arial" w:cs="Arial" w:eastAsia="Arial" w:hAnsi="Arial"/>
          <w:sz w:val="17"/>
          <w:szCs w:val="17"/>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6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March 31, 2021, we had $1.3 billion of indebtedness outstanding (excluding intercompany indebtedness). Our indebtedness could have important consequences, including:</w:t>
      </w:r>
    </w:p>
    <w:p>
      <w:pPr>
        <w:spacing w:after="0" w:line="170" w:lineRule="exact"/>
        <w:rPr>
          <w:sz w:val="20"/>
          <w:szCs w:val="20"/>
          <w:color w:val="auto"/>
        </w:rPr>
      </w:pPr>
    </w:p>
    <w:p>
      <w:pPr>
        <w:ind w:left="980" w:right="12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a future revolving credit facility, may be at variable rates of interest;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70"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Our ability to make scheduled payments on or to refinance our debt obligations, including the Notes and our 0.25% convertible senior notes due 2023 (the “Convertible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 and the Convertible Notes.</w:t>
      </w:r>
    </w:p>
    <w:p>
      <w:pPr>
        <w:spacing w:after="0" w:line="188"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and the Convertible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8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The indenture governing the Convertible Notes and the indenture governing the Notes contain cross-default provisions that could result in the acceleration of all of our indebtedness.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 breach of the covenants under the indenture governing the Convertible Notes or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b w:val="1"/>
          <w:bCs w:val="1"/>
          <w:i w:val="1"/>
          <w:iCs w:val="1"/>
          <w:color w:val="auto"/>
        </w:rPr>
        <w:t>We may not have the ability to raise the funds necessary for cash settlement upon conversion of the Convertible Notes or to repurchase the Convertible Notes for cash upon a fundamental change, and our future debt may contain limitations on our ability to pay cash upon conversion of the Convertible Notes or to repurchase the Convertible Notes.</w:t>
      </w:r>
    </w:p>
    <w:p>
      <w:pPr>
        <w:spacing w:after="0" w:line="184"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Subject to limited exceptions, holders of the Convertible Notes have the right to require us to repurchase their Convertible Notes upon the occurrence of a fundamental change at a fundamental change repurchase price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any cash amounts due upon conversion.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governing the Convertible Notes (the “Convertible Notes Indenture”) or to pay any cash payable on future conversions of the Convertible Notes as required by the Convertible Notes Indenture would constitute a default under the Convertible Notes Indenture. A default under the Convertible Notes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7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b w:val="1"/>
          <w:bCs w:val="1"/>
          <w:i w:val="1"/>
          <w:iCs w:val="1"/>
          <w:color w:val="auto"/>
        </w:rPr>
        <w:t>The triggering of the conditional conversion feature of the Convertible Notes could adversely affect our financial condition and operating results.</w:t>
      </w:r>
    </w:p>
    <w:p>
      <w:pPr>
        <w:spacing w:after="0" w:line="170"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In the event the conditional conversion feature of the Convertible Notes is triggered, holders of the Convertible Notes will be entitled to convert the Convertible Notes at any time during specified periods at their option. This conditional conversion feature was triggered during the three months ended March 31, 2021, as the last reported sale price of our Class A common stock was more than or equal to 130% of the conversion price for at least 20 trading days (whether or not consecutive) in the period of 30 consecutive trading days ending on March 31, 2021 (the last trading day of the calendar quarter), and therefore the Convertible Notes are currently convertible, in whole or in part, at the option of the holders between March 31, 2021 through June 30,</w:t>
      </w:r>
    </w:p>
    <w:p>
      <w:pPr>
        <w:spacing w:after="0" w:line="2"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2021. Whether the Convertible Notes will be convertible following such period will depend on the continued satisfaction of this condition or another conversion condition in the future. If one or more holders elect to convert their Convertible Notes during a period in which the Convertible Notes are convertible,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under certain circumstances, such as a fundamental change or default, as described in the Convertible Notes Indenture, we could be required under applicable accounting rules to reclassify all or a portion of the outstanding principal of the Convertible Notes as a current rather than long</w:t>
      </w:r>
      <w:r>
        <w:rPr>
          <w:rFonts w:ascii="MS PGothic" w:cs="MS PGothic" w:eastAsia="MS PGothic" w:hAnsi="MS PGothic"/>
          <w:sz w:val="18"/>
          <w:szCs w:val="18"/>
          <w:color w:val="auto"/>
        </w:rPr>
        <w:t>‑</w:t>
      </w:r>
      <w:r>
        <w:rPr>
          <w:rFonts w:ascii="Arial" w:cs="Arial" w:eastAsia="Arial" w:hAnsi="Arial"/>
          <w:sz w:val="18"/>
          <w:szCs w:val="18"/>
          <w:color w:val="auto"/>
        </w:rPr>
        <w:t>term liability, which would result in a material reduction of our net working capital.</w:t>
      </w:r>
    </w:p>
    <w:p>
      <w:pPr>
        <w:spacing w:after="0" w:line="20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Notes, could have a material effect on our reported financial results.</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Under Financial Accounting Standards Board Accounting Standards Codification 470</w:t>
      </w:r>
      <w:r>
        <w:rPr>
          <w:rFonts w:ascii="MS PGothic" w:cs="MS PGothic" w:eastAsia="MS PGothic" w:hAnsi="MS PGothic"/>
          <w:sz w:val="16"/>
          <w:szCs w:val="16"/>
          <w:color w:val="auto"/>
        </w:rPr>
        <w:t>‑</w:t>
      </w:r>
      <w:r>
        <w:rPr>
          <w:rFonts w:ascii="Arial" w:cs="Arial" w:eastAsia="Arial" w:hAnsi="Arial"/>
          <w:sz w:val="16"/>
          <w:szCs w:val="16"/>
          <w:color w:val="auto"/>
        </w:rPr>
        <w:t>20, Debt with Conversion and Other Options, which we refer to as ASC 470</w:t>
      </w:r>
      <w:r>
        <w:rPr>
          <w:rFonts w:ascii="MS PGothic" w:cs="MS PGothic" w:eastAsia="MS PGothic" w:hAnsi="MS PGothic"/>
          <w:sz w:val="16"/>
          <w:szCs w:val="16"/>
          <w:color w:val="auto"/>
        </w:rPr>
        <w:t>‑</w:t>
      </w:r>
      <w:r>
        <w:rPr>
          <w:rFonts w:ascii="Arial" w:cs="Arial" w:eastAsia="Arial" w:hAnsi="Arial"/>
          <w:sz w:val="16"/>
          <w:szCs w:val="16"/>
          <w:color w:val="auto"/>
        </w:rPr>
        <w:t>20, an entity must separately account for the liability and equity components of convertible debt instruments (such as the Convertible Notes) that may be settled entirely or partially in cash upon conversion in a manner that reflects the issuer’s economic interest cost. ASC 470</w:t>
      </w:r>
      <w:r>
        <w:rPr>
          <w:rFonts w:ascii="MS PGothic" w:cs="MS PGothic" w:eastAsia="MS PGothic" w:hAnsi="MS PGothic"/>
          <w:sz w:val="16"/>
          <w:szCs w:val="16"/>
          <w:color w:val="auto"/>
        </w:rPr>
        <w:t>‑</w:t>
      </w:r>
      <w:r>
        <w:rPr>
          <w:rFonts w:ascii="Arial" w:cs="Arial" w:eastAsia="Arial" w:hAnsi="Arial"/>
          <w:sz w:val="16"/>
          <w:szCs w:val="16"/>
          <w:color w:val="auto"/>
        </w:rPr>
        <w:t>20 requires the value of the conversion option of the Convertible Notes, representing the equity component, to be recorded as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 within stockholders’ equity in our consolidated balance sheet and as a discount to the debt component of the Convertible Notes, which reduces their initial debt carrying value reflected as a liability on our balance sheets. The carrying value of the debt component of the Convertible Notes, net of the discount recorded, will be accreted up to the principal amount of the Convertible Notes from the issuance date until maturity, which will result in non</w:t>
      </w:r>
      <w:r>
        <w:rPr>
          <w:rFonts w:ascii="MS PGothic" w:cs="MS PGothic" w:eastAsia="MS PGothic" w:hAnsi="MS PGothic"/>
          <w:sz w:val="16"/>
          <w:szCs w:val="16"/>
          <w:color w:val="auto"/>
        </w:rPr>
        <w:t>‑</w:t>
      </w:r>
      <w:r>
        <w:rPr>
          <w:rFonts w:ascii="Arial" w:cs="Arial" w:eastAsia="Arial" w:hAnsi="Arial"/>
          <w:sz w:val="16"/>
          <w:szCs w:val="16"/>
          <w:color w:val="auto"/>
        </w:rPr>
        <w:t>cash charges to interest expense in our consolidated statement of operations. Accordingly, we will report lower net income or higher net loss in our financial results because ASC 470</w:t>
      </w:r>
      <w:r>
        <w:rPr>
          <w:rFonts w:ascii="MS PGothic" w:cs="MS PGothic" w:eastAsia="MS PGothic" w:hAnsi="MS PGothic"/>
          <w:sz w:val="16"/>
          <w:szCs w:val="16"/>
          <w:color w:val="auto"/>
        </w:rPr>
        <w:t>‑</w:t>
      </w:r>
      <w:r>
        <w:rPr>
          <w:rFonts w:ascii="Arial" w:cs="Arial" w:eastAsia="Arial" w:hAnsi="Arial"/>
          <w:sz w:val="16"/>
          <w:szCs w:val="16"/>
          <w:color w:val="auto"/>
        </w:rPr>
        <w:t>20 requires interest to include both the current period’s accretion of the debt discount and the instrument’s coupon interest, which could adversely affect our reported or future financial results, the trading price of our Class A common stock and the trading price of the Convertible Notes.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w:t>
      </w:r>
    </w:p>
    <w:p>
      <w:pPr>
        <w:spacing w:after="0" w:line="16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However, in August 2020, the Financial Accounting Standards Board published accounting standards update (“ASU”) 2020-06,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and Other Options (Subtopic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which we refer to as ASU 2020-06, which amends these accounting standards by</w:t>
      </w:r>
      <w:r>
        <w:rPr>
          <w:rFonts w:ascii="Arial" w:cs="Arial" w:eastAsia="Arial" w:hAnsi="Arial"/>
          <w:sz w:val="17"/>
          <w:szCs w:val="17"/>
          <w:i w:val="1"/>
          <w:iCs w:val="1"/>
          <w:color w:val="auto"/>
        </w:rPr>
        <w:t xml:space="preserve"> </w:t>
      </w:r>
      <w:r>
        <w:rPr>
          <w:rFonts w:ascii="Arial" w:cs="Arial" w:eastAsia="Arial" w:hAnsi="Arial"/>
          <w:sz w:val="17"/>
          <w:szCs w:val="17"/>
          <w:color w:val="auto"/>
        </w:rPr>
        <w:t>reducing the number of accounting models for convertible instruments and limiting instances of separate accounting for the debt and equity or a derivative component of the convertible debt instruments. ASU 2020-06 will no longer allow the use of the treasury stock method for convertible instruments for purposes of calculating diluted earnings per share and instead require application of the “if-converted” method. Under that method, diluted earnings per share will generally be calculated assuming that all the Convertible Notes were converted solely into shares of Class A common stock at the beginning of the reporting period, unless the result would be anti-dilutive, which could adversely affect our diluted earnings per share. However, if the principal amount of the convertible debt instrument being converted is required to be paid in cash and only the excess is permitted to be settled in shares, the if-converted method will produce a similar result as the treasury stock method prior to the adoption of ASU 2020-06 for such convertible debt instrument. These amendments will be effective for public companies for fiscal years beginning after December 15, 2021, with early adoption permitted, but no earlier than fiscal years beginning after December 15, 2020.</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Convertible Notes and our Class A common stock.</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connection with the pricing of the Convertible Notes, we entered into privately negotiated capped call transactions with the option counterparties. The capped call transactions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w:t>
      </w:r>
    </w:p>
    <w:p>
      <w:pPr>
        <w:spacing w:after="0" w:line="18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Convertible Notes.</w:t>
      </w:r>
    </w:p>
    <w:p>
      <w:pPr>
        <w:spacing w:after="0" w:line="184"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In addition, the option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at any time prior to the maturity of the Convertible Notes (and are likely to do so during any observation period related to a conversion of Convertible Notes). This activity could cause or avoid an increase or a decrease in the market price of our Class A common stock.</w:t>
      </w:r>
    </w:p>
    <w:p>
      <w:pPr>
        <w:spacing w:after="0" w:line="15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the option counterparties.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Acquisition of Segment</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We may not realize potential benefits from the acquisition of Segment (the “Acquisition”) because of difficulties related to integration, the achievement of synergies, and other challenges.</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We acquired Segment on November 2, 2020. Prior to the completion of the Acquisition, we and Segment operated independently, and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Segment’s business with ours or pursue our customer and product strategy successfully, the anticipated benefits of the Acquisition may not be realized fully or may take longer than expected to be realized. Further, it is possible that there could be a loss of our and/or Segment’s key employees and customers, disruption of either company’s or both companies’ ongoing businesses or unexpected issues, higher than expected costs and an overall post</w:t>
      </w:r>
      <w:r>
        <w:rPr>
          <w:rFonts w:ascii="MS PGothic" w:cs="MS PGothic" w:eastAsia="MS PGothic" w:hAnsi="MS PGothic"/>
          <w:sz w:val="16"/>
          <w:szCs w:val="16"/>
          <w:color w:val="auto"/>
        </w:rPr>
        <w:t>‑</w:t>
      </w:r>
      <w:r>
        <w:rPr>
          <w:rFonts w:ascii="Arial" w:cs="Arial" w:eastAsia="Arial" w:hAnsi="Arial"/>
          <w:sz w:val="16"/>
          <w:szCs w:val="16"/>
          <w:color w:val="auto"/>
        </w:rPr>
        <w:t>completion process that takes longer than originally anticipated. Specifically, the following issues, among others, must be addressed in combining Segment’s operations with ours in order to realize the anticipated benefits of the Acquisition so the combined company performs as the parties anticipate:</w:t>
      </w:r>
    </w:p>
    <w:p>
      <w:pPr>
        <w:spacing w:after="0" w:line="20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combining the companies’ corporate functions;</w:t>
      </w:r>
    </w:p>
    <w:p>
      <w:pPr>
        <w:spacing w:after="0" w:line="225" w:lineRule="exact"/>
        <w:rPr>
          <w:rFonts w:ascii="Arial" w:cs="Arial" w:eastAsia="Arial" w:hAnsi="Arial"/>
          <w:sz w:val="18"/>
          <w:szCs w:val="18"/>
          <w:color w:val="auto"/>
        </w:rPr>
      </w:pPr>
    </w:p>
    <w:p>
      <w:pPr>
        <w:ind w:left="980" w:right="400" w:hanging="324"/>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combining Segment’s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spacing w:after="0" w:line="183" w:lineRule="exact"/>
        <w:rPr>
          <w:rFonts w:ascii="Arial" w:cs="Arial" w:eastAsia="Arial" w:hAnsi="Arial"/>
          <w:sz w:val="18"/>
          <w:szCs w:val="18"/>
          <w:color w:val="auto"/>
        </w:rPr>
      </w:pPr>
    </w:p>
    <w:p>
      <w:pPr>
        <w:ind w:left="980" w:right="70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integrating the companies’ administrative and information technology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and forecasting the financial impact of the Acquisition transaction, including accounting charges;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effecting potential actions that may be required in connection with obtaining regulatory approvals.</w:t>
      </w:r>
    </w:p>
    <w:p>
      <w:pPr>
        <w:spacing w:after="0" w:line="225" w:lineRule="exact"/>
        <w:rPr>
          <w:sz w:val="20"/>
          <w:szCs w:val="20"/>
          <w:color w:val="auto"/>
        </w:rPr>
      </w:pPr>
    </w:p>
    <w:p>
      <w:pPr>
        <w:ind w:right="180" w:firstLine="486"/>
        <w:spacing w:after="0" w:line="224" w:lineRule="exact"/>
        <w:rPr>
          <w:sz w:val="20"/>
          <w:szCs w:val="20"/>
          <w:color w:val="auto"/>
        </w:rPr>
      </w:pPr>
      <w:r>
        <w:rPr>
          <w:rFonts w:ascii="Arial" w:cs="Arial" w:eastAsia="Arial" w:hAnsi="Arial"/>
          <w:sz w:val="16"/>
          <w:szCs w:val="16"/>
          <w:color w:val="auto"/>
        </w:rPr>
        <w:t>In addition, at times the attention of certain members of our management and resources may be focused on integration of the businesses of the two companies and diverted from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business operations, which may disrupt our ongoing business and the business of the combined company.</w:t>
      </w:r>
    </w:p>
    <w:p>
      <w:pPr>
        <w:spacing w:after="0" w:line="202"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We have incurred, and may continue to incur, significant, nonrecurring costs in connection with the Acquisition and integrating the operations of Twilio and Segment,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65"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b w:val="1"/>
          <w:bCs w:val="1"/>
          <w:i w:val="1"/>
          <w:iCs w:val="1"/>
          <w:color w:val="auto"/>
        </w:rPr>
        <w:t>Purchase price accounting in connection with our Acquisition requires estimates that may be subject to change and could impact our consolidated financial statements and future results of operations and financial position.</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Pursuant to the acquisition method of accounting, the purchase price we paid for Segment was allocated to the underlying Segment tangible and intangible assets acquired and liabilities assumed based on their respective fair market values with any excess purchase price allocated to goodwill. The acquisition method of accounting is dependent upon certain valuations and other studies that are preliminary. As of March 31, 2021, the areas of purchase price allocation that are not yet finalized due to information that may become available subsequently to the quarter end relate to any and all contingencies, including income and other taxes. We currently anticipate that all the information needed to identify and measure these contingencies will be obtained and finalized during the one year measurement period following the date of completion of the Acquisition.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1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6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70"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economic conditions, geopolitical developments, such as existing and potential trade wars, and other events outside of our control such as the COVID-19 pandemic, result in a reduced volume of business for, and communications by, our customers and prospective customers, demand for, and use of, our products may decline. Furthermore, weak economic conditions may make it more difficult to collect on outstanding accounts receivable. Additionally, historically, we have generated the substantial majority of our revenue from small and medium-sized businesses, and we expect this to continue for the foreseeable future. Small and medium-sized business may be affected by economic downturns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this could adversely affect our business, results of operations and financial condition.</w:t>
      </w:r>
    </w:p>
    <w:p>
      <w:pPr>
        <w:spacing w:after="0" w:line="168"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or terrorism.</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In addition, natural disasters, pandemics and acts of terrorism could cause disruptions in our or our customers’ businesses, national economies or the world economy as a whole. For example, the rapid spread of COVID-19 globally has resulted in increased travel restrictions and disruption and shutdown of businesses. Health concerns or political or governmental developments in countries in which we or our customers, partners and service providers operate could result in economic, social or labor instability and could have an adverse effect on our business and our results of operations and financial condition. The extent to which COVID-19 impacts our results will depend on future developments, which are highly uncertain and will include emerging information concerning the severity of COVID-19 and the actions taken by governments and private businesses to attempt to contain COVID-19. Any prolonged contractions in the travel and hospitality industries, along with any effects on supply chain or on other industries in which our customers operate, could adversely impact our business, results of operations and financial condition.</w:t>
      </w:r>
    </w:p>
    <w:p>
      <w:pPr>
        <w:spacing w:after="0" w:line="1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documents listed in the Exhibit Index of this Quarterly Report on Form 10-Q are incorporated by reference or are filed with this Quarterly Report on Form 10-Q, in each case as indicated therein.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gridSpan w:val="11"/>
          </w:tcPr>
          <w:p>
            <w:pPr>
              <w:ind w:left="900"/>
              <w:spacing w:after="0"/>
              <w:rPr>
                <w:sz w:val="20"/>
                <w:szCs w:val="20"/>
                <w:color w:val="auto"/>
              </w:rPr>
            </w:pPr>
            <w:r>
              <w:rPr>
                <w:rFonts w:ascii="Arial" w:cs="Arial" w:eastAsia="Arial" w:hAnsi="Arial"/>
                <w:sz w:val="14"/>
                <w:szCs w:val="14"/>
                <w:b w:val="1"/>
                <w:bCs w:val="1"/>
                <w:color w:val="auto"/>
              </w:rPr>
              <w:t>EXHIBIT INDEX</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1300" w:type="dxa"/>
            <w:vAlign w:val="bottom"/>
            <w:tcBorders>
              <w:bottom w:val="single" w:sz="8" w:color="auto"/>
            </w:tcBorders>
          </w:tcPr>
          <w:p>
            <w:pPr>
              <w:spacing w:after="0"/>
              <w:rPr>
                <w:sz w:val="19"/>
                <w:szCs w:val="19"/>
                <w:color w:val="auto"/>
              </w:rPr>
            </w:pPr>
          </w:p>
        </w:tc>
      </w:tr>
      <w:tr>
        <w:trPr>
          <w:trHeight w:val="201"/>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13"/>
          </w:tcPr>
          <w:p>
            <w:pPr>
              <w:ind w:left="3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184"/>
        </w:trPr>
        <w:tc>
          <w:tcPr>
            <w:tcW w:w="1000" w:type="dxa"/>
            <w:vAlign w:val="bottom"/>
          </w:tcPr>
          <w:p>
            <w:pPr>
              <w:ind w:left="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17"/>
          </w:tcPr>
          <w:p>
            <w:pPr>
              <w:spacing w:after="0"/>
              <w:rPr>
                <w:rFonts w:ascii="Arial" w:cs="Arial" w:eastAsia="Arial" w:hAnsi="Arial"/>
                <w:sz w:val="14"/>
                <w:szCs w:val="14"/>
                <w:color w:val="0000FF"/>
              </w:rPr>
            </w:pPr>
            <w:hyperlink r:id="rId97">
              <w:r>
                <w:rPr>
                  <w:rFonts w:ascii="Arial" w:cs="Arial" w:eastAsia="Arial" w:hAnsi="Arial"/>
                  <w:sz w:val="14"/>
                  <w:szCs w:val="14"/>
                  <w:color w:val="0000FF"/>
                </w:rPr>
                <w:t>Indenture, dated as of March 9, 2021, by and between Twilio Inc. and U.S. Bank</w:t>
              </w:r>
            </w:hyperlink>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March 9, 2021</w:t>
            </w: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7"/>
          </w:tcPr>
          <w:p>
            <w:pPr>
              <w:spacing w:after="0" w:line="115" w:lineRule="exact"/>
              <w:rPr>
                <w:rFonts w:ascii="Arial" w:cs="Arial" w:eastAsia="Arial" w:hAnsi="Arial"/>
                <w:sz w:val="13"/>
                <w:szCs w:val="13"/>
                <w:color w:val="0000FF"/>
              </w:rPr>
            </w:pPr>
            <w:hyperlink r:id="rId97">
              <w:r>
                <w:rPr>
                  <w:rFonts w:ascii="Arial" w:cs="Arial" w:eastAsia="Arial" w:hAnsi="Arial"/>
                  <w:sz w:val="13"/>
                  <w:szCs w:val="13"/>
                  <w:color w:val="0000FF"/>
                </w:rPr>
                <w:t>National Association, as Trustee</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17"/>
          </w:tcPr>
          <w:p>
            <w:pPr>
              <w:spacing w:after="0"/>
              <w:rPr>
                <w:rFonts w:ascii="Arial" w:cs="Arial" w:eastAsia="Arial" w:hAnsi="Arial"/>
                <w:sz w:val="14"/>
                <w:szCs w:val="14"/>
                <w:color w:val="0000FF"/>
                <w:w w:val="97"/>
              </w:rPr>
            </w:pPr>
            <w:hyperlink r:id="rId98">
              <w:r>
                <w:rPr>
                  <w:rFonts w:ascii="Arial" w:cs="Arial" w:eastAsia="Arial" w:hAnsi="Arial"/>
                  <w:sz w:val="14"/>
                  <w:szCs w:val="14"/>
                  <w:color w:val="0000FF"/>
                  <w:w w:val="97"/>
                </w:rPr>
                <w:t>First Supplemental Indenture, dated as of March 9, 2021, between Twilio Inc. and U.S.</w:t>
              </w:r>
            </w:hyperlink>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001-37806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March 9, 2021</w:t>
            </w: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r:id="rId98">
              <w:r>
                <w:rPr>
                  <w:rFonts w:ascii="Arial" w:cs="Arial" w:eastAsia="Arial" w:hAnsi="Arial"/>
                  <w:sz w:val="13"/>
                  <w:szCs w:val="13"/>
                  <w:color w:val="0000FF"/>
                </w:rPr>
                <w:t>Bank National Association, as Trustee</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gridSpan w:val="5"/>
          </w:tcPr>
          <w:p>
            <w:pPr>
              <w:spacing w:after="0"/>
              <w:rPr>
                <w:rFonts w:ascii="Arial" w:cs="Arial" w:eastAsia="Arial" w:hAnsi="Arial"/>
                <w:sz w:val="14"/>
                <w:szCs w:val="14"/>
                <w:color w:val="0000FF"/>
                <w:w w:val="95"/>
              </w:rPr>
            </w:pPr>
            <w:hyperlink r:id="rId98">
              <w:r>
                <w:rPr>
                  <w:rFonts w:ascii="Arial" w:cs="Arial" w:eastAsia="Arial" w:hAnsi="Arial"/>
                  <w:sz w:val="14"/>
                  <w:szCs w:val="14"/>
                  <w:color w:val="0000FF"/>
                  <w:w w:val="95"/>
                </w:rPr>
                <w:t>Form of 2029 Note (included in Exhibit 4.2)</w:t>
              </w:r>
            </w:hyperlink>
          </w:p>
        </w:tc>
        <w:tc>
          <w:tcPr>
            <w:tcW w:w="2680" w:type="dxa"/>
            <w:vAlign w:val="bottom"/>
            <w:gridSpan w:val="12"/>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001-37806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March 9, 2021</w:t>
            </w:r>
          </w:p>
        </w:tc>
      </w:tr>
      <w:tr>
        <w:trPr>
          <w:trHeight w:val="223"/>
        </w:trPr>
        <w:tc>
          <w:tcPr>
            <w:tcW w:w="1000" w:type="dxa"/>
            <w:vAlign w:val="bottom"/>
          </w:tcPr>
          <w:p>
            <w:pPr>
              <w:ind w:left="2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gridSpan w:val="5"/>
          </w:tcPr>
          <w:p>
            <w:pPr>
              <w:spacing w:after="0"/>
              <w:rPr>
                <w:rFonts w:ascii="Arial" w:cs="Arial" w:eastAsia="Arial" w:hAnsi="Arial"/>
                <w:sz w:val="14"/>
                <w:szCs w:val="14"/>
                <w:color w:val="0000FF"/>
                <w:w w:val="95"/>
              </w:rPr>
            </w:pPr>
            <w:hyperlink r:id="rId98">
              <w:r>
                <w:rPr>
                  <w:rFonts w:ascii="Arial" w:cs="Arial" w:eastAsia="Arial" w:hAnsi="Arial"/>
                  <w:sz w:val="14"/>
                  <w:szCs w:val="14"/>
                  <w:color w:val="0000FF"/>
                  <w:w w:val="95"/>
                </w:rPr>
                <w:t>Form of 2031 Note (included in Exhibit 4.2)</w:t>
              </w:r>
            </w:hyperlink>
          </w:p>
        </w:tc>
        <w:tc>
          <w:tcPr>
            <w:tcW w:w="2680" w:type="dxa"/>
            <w:vAlign w:val="bottom"/>
            <w:gridSpan w:val="12"/>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001-37806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March 9, 2021</w:t>
            </w:r>
          </w:p>
        </w:tc>
      </w:tr>
      <w:tr>
        <w:trPr>
          <w:trHeight w:val="22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9"/>
                <w:szCs w:val="19"/>
                <w:color w:val="auto"/>
              </w:rPr>
            </w:pPr>
          </w:p>
        </w:tc>
        <w:tc>
          <w:tcPr>
            <w:tcW w:w="4780" w:type="dxa"/>
            <w:vAlign w:val="bottom"/>
            <w:tcBorders>
              <w:bottom w:val="single" w:sz="8" w:color="0000FF"/>
            </w:tcBorders>
            <w:gridSpan w:val="10"/>
          </w:tcPr>
          <w:p>
            <w:pPr>
              <w:spacing w:after="0"/>
              <w:rPr>
                <w:rFonts w:ascii="Arial" w:cs="Arial" w:eastAsia="Arial" w:hAnsi="Arial"/>
                <w:sz w:val="14"/>
                <w:szCs w:val="14"/>
                <w:color w:val="0000FF"/>
                <w:w w:val="94"/>
              </w:rPr>
            </w:pPr>
            <w:hyperlink w:anchor="page84">
              <w:r>
                <w:rPr>
                  <w:rFonts w:ascii="Arial" w:cs="Arial" w:eastAsia="Arial" w:hAnsi="Arial"/>
                  <w:sz w:val="14"/>
                  <w:szCs w:val="14"/>
                  <w:color w:val="0000FF"/>
                  <w:w w:val="94"/>
                </w:rPr>
                <w:t>Framework Agreement by and among Twilio Inc., a Delaware corporation, Carlyle</w:t>
              </w:r>
            </w:hyperlink>
          </w:p>
        </w:tc>
        <w:tc>
          <w:tcPr>
            <w:tcW w:w="460" w:type="dxa"/>
            <w:vAlign w:val="bottom"/>
            <w:gridSpan w:val="7"/>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40" w:type="dxa"/>
            <w:vAlign w:val="bottom"/>
            <w:gridSpan w:val="17"/>
          </w:tcPr>
          <w:p>
            <w:pPr>
              <w:spacing w:after="0" w:line="115" w:lineRule="exact"/>
              <w:rPr>
                <w:rFonts w:ascii="Arial" w:cs="Arial" w:eastAsia="Arial" w:hAnsi="Arial"/>
                <w:sz w:val="13"/>
                <w:szCs w:val="13"/>
                <w:color w:val="0000FF"/>
              </w:rPr>
            </w:pPr>
            <w:hyperlink w:anchor="page84">
              <w:r>
                <w:rPr>
                  <w:rFonts w:ascii="Arial" w:cs="Arial" w:eastAsia="Arial" w:hAnsi="Arial"/>
                  <w:sz w:val="13"/>
                  <w:szCs w:val="13"/>
                  <w:color w:val="0000FF"/>
                </w:rPr>
                <w:t>Partners V Holdings, L.P., a Delaware limited partnership, and Syniverse Corporation, a</w:t>
              </w:r>
            </w:hyperlink>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4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w w:val="99"/>
              </w:rPr>
            </w:pPr>
            <w:hyperlink w:anchor="page84">
              <w:r>
                <w:rPr>
                  <w:rFonts w:ascii="Arial" w:cs="Arial" w:eastAsia="Arial" w:hAnsi="Arial"/>
                  <w:sz w:val="13"/>
                  <w:szCs w:val="13"/>
                  <w:color w:val="0000FF"/>
                  <w:w w:val="99"/>
                </w:rPr>
                <w:t>Delaware corporation, dated as of February 26, 2021</w:t>
              </w:r>
            </w:hyperlink>
          </w:p>
        </w:tc>
        <w:tc>
          <w:tcPr>
            <w:tcW w:w="2020" w:type="dxa"/>
            <w:vAlign w:val="bottom"/>
            <w:tcBorders>
              <w:top w:val="single" w:sz="8" w:color="0000FF"/>
            </w:tcBorders>
            <w:gridSpan w:val="9"/>
          </w:tcPr>
          <w:p>
            <w:pPr>
              <w:spacing w:after="0"/>
              <w:rPr>
                <w:sz w:val="10"/>
                <w:szCs w:val="10"/>
                <w:color w:val="auto"/>
              </w:rPr>
            </w:pPr>
          </w:p>
        </w:tc>
        <w:tc>
          <w:tcPr>
            <w:tcW w:w="18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17"/>
          </w:tcPr>
          <w:p>
            <w:pPr>
              <w:spacing w:after="0"/>
              <w:rPr>
                <w:rFonts w:ascii="Arial" w:cs="Arial" w:eastAsia="Arial" w:hAnsi="Arial"/>
                <w:sz w:val="14"/>
                <w:szCs w:val="14"/>
                <w:color w:val="0000FF"/>
              </w:rPr>
            </w:pPr>
            <w:hyperlink w:anchor="page166">
              <w:r>
                <w:rPr>
                  <w:rFonts w:ascii="Arial" w:cs="Arial" w:eastAsia="Arial" w:hAnsi="Arial"/>
                  <w:sz w:val="14"/>
                  <w:szCs w:val="14"/>
                  <w:color w:val="0000FF"/>
                </w:rPr>
                <w:t>Certification of the Chief Executive Officer pursuant to Exchange Act Rules 13a-</w:t>
              </w:r>
            </w:hyperlink>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22"/>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9"/>
          </w:tcPr>
          <w:p>
            <w:pPr>
              <w:spacing w:after="0" w:line="122" w:lineRule="exact"/>
              <w:rPr>
                <w:rFonts w:ascii="Arial" w:cs="Arial" w:eastAsia="Arial" w:hAnsi="Arial"/>
                <w:sz w:val="14"/>
                <w:szCs w:val="14"/>
                <w:color w:val="0000FF"/>
                <w:w w:val="91"/>
              </w:rPr>
            </w:pPr>
            <w:hyperlink w:anchor="page166">
              <w:r>
                <w:rPr>
                  <w:rFonts w:ascii="Arial" w:cs="Arial" w:eastAsia="Arial" w:hAnsi="Arial"/>
                  <w:sz w:val="14"/>
                  <w:szCs w:val="14"/>
                  <w:color w:val="0000FF"/>
                  <w:w w:val="91"/>
                </w:rPr>
                <w:t>14(a) or 15d-14(a), as adopted pursuant to Section 302 of the Sarbanes-Oxley Act</w:t>
              </w:r>
            </w:hyperlink>
          </w:p>
        </w:tc>
        <w:tc>
          <w:tcPr>
            <w:tcW w:w="540" w:type="dxa"/>
            <w:vAlign w:val="bottom"/>
            <w:gridSpan w:val="8"/>
          </w:tcPr>
          <w:p>
            <w:pPr>
              <w:ind w:left="40"/>
              <w:spacing w:after="0" w:line="122" w:lineRule="exact"/>
              <w:rPr>
                <w:rFonts w:ascii="Arial" w:cs="Arial" w:eastAsia="Arial" w:hAnsi="Arial"/>
                <w:sz w:val="14"/>
                <w:szCs w:val="14"/>
                <w:color w:val="0000FF"/>
              </w:rPr>
            </w:pPr>
            <w:hyperlink w:anchor="page166">
              <w:r>
                <w:rPr>
                  <w:rFonts w:ascii="Arial" w:cs="Arial" w:eastAsia="Arial" w:hAnsi="Arial"/>
                  <w:sz w:val="14"/>
                  <w:szCs w:val="14"/>
                  <w:color w:val="0000FF"/>
                </w:rPr>
                <w:t>of</w:t>
              </w:r>
            </w:hyperlink>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89"/>
              </w:rPr>
            </w:pPr>
            <w:hyperlink w:anchor="page166">
              <w:r>
                <w:rPr>
                  <w:rFonts w:ascii="Arial" w:cs="Arial" w:eastAsia="Arial" w:hAnsi="Arial"/>
                  <w:sz w:val="13"/>
                  <w:szCs w:val="13"/>
                  <w:color w:val="0000FF"/>
                  <w:w w:val="89"/>
                </w:rPr>
                <w:t>2002</w:t>
              </w:r>
            </w:hyperlink>
          </w:p>
        </w:tc>
        <w:tc>
          <w:tcPr>
            <w:tcW w:w="160" w:type="dxa"/>
            <w:vAlign w:val="bottom"/>
            <w:tcBorders>
              <w:top w:val="single" w:sz="8" w:color="0000FF"/>
            </w:tcBorders>
          </w:tcPr>
          <w:p>
            <w:pPr>
              <w:spacing w:after="0"/>
              <w:rPr>
                <w:sz w:val="10"/>
                <w:szCs w:val="10"/>
                <w:color w:val="auto"/>
              </w:rPr>
            </w:pPr>
          </w:p>
        </w:tc>
        <w:tc>
          <w:tcPr>
            <w:tcW w:w="14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6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Borders>
              <w:bottom w:val="single" w:sz="8" w:color="0000FF"/>
            </w:tcBorders>
            <w:gridSpan w:val="8"/>
          </w:tcPr>
          <w:p>
            <w:pPr>
              <w:spacing w:after="0"/>
              <w:rPr>
                <w:rFonts w:ascii="Arial" w:cs="Arial" w:eastAsia="Arial" w:hAnsi="Arial"/>
                <w:sz w:val="14"/>
                <w:szCs w:val="14"/>
                <w:color w:val="0000FF"/>
                <w:w w:val="94"/>
              </w:rPr>
            </w:pPr>
            <w:hyperlink w:anchor="page167">
              <w:r>
                <w:rPr>
                  <w:rFonts w:ascii="Arial" w:cs="Arial" w:eastAsia="Arial" w:hAnsi="Arial"/>
                  <w:sz w:val="14"/>
                  <w:szCs w:val="14"/>
                  <w:color w:val="0000FF"/>
                  <w:w w:val="94"/>
                </w:rPr>
                <w:t>Certification of the Chief Financial Officer pursuant to Exchange Act Rules 13a-</w:t>
              </w:r>
            </w:hyperlink>
          </w:p>
        </w:tc>
        <w:tc>
          <w:tcPr>
            <w:tcW w:w="580" w:type="dxa"/>
            <w:vAlign w:val="bottom"/>
            <w:gridSpan w:val="9"/>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40" w:type="dxa"/>
            <w:vAlign w:val="bottom"/>
            <w:gridSpan w:val="17"/>
          </w:tcPr>
          <w:p>
            <w:pPr>
              <w:spacing w:after="0" w:line="115" w:lineRule="exact"/>
              <w:rPr>
                <w:rFonts w:ascii="Arial" w:cs="Arial" w:eastAsia="Arial" w:hAnsi="Arial"/>
                <w:sz w:val="13"/>
                <w:szCs w:val="13"/>
                <w:color w:val="0000FF"/>
              </w:rPr>
            </w:pPr>
            <w:hyperlink w:anchor="page167">
              <w:r>
                <w:rPr>
                  <w:rFonts w:ascii="Arial" w:cs="Arial" w:eastAsia="Arial" w:hAnsi="Arial"/>
                  <w:sz w:val="13"/>
                  <w:szCs w:val="13"/>
                  <w:color w:val="0000FF"/>
                </w:rPr>
                <w:t>14(a) or 15d-14(a), as adopted pursuant to Section 302 of the Sarbanes-Oxley Act of</w:t>
              </w:r>
            </w:hyperlink>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89"/>
              </w:rPr>
            </w:pPr>
            <w:hyperlink w:anchor="page167">
              <w:r>
                <w:rPr>
                  <w:rFonts w:ascii="Arial" w:cs="Arial" w:eastAsia="Arial" w:hAnsi="Arial"/>
                  <w:sz w:val="13"/>
                  <w:szCs w:val="13"/>
                  <w:color w:val="0000FF"/>
                  <w:w w:val="89"/>
                </w:rPr>
                <w:t>2002</w:t>
              </w:r>
            </w:hyperlink>
          </w:p>
        </w:tc>
        <w:tc>
          <w:tcPr>
            <w:tcW w:w="160" w:type="dxa"/>
            <w:vAlign w:val="bottom"/>
            <w:tcBorders>
              <w:top w:val="single" w:sz="8" w:color="0000FF"/>
            </w:tcBorders>
          </w:tcPr>
          <w:p>
            <w:pPr>
              <w:spacing w:after="0"/>
              <w:rPr>
                <w:sz w:val="10"/>
                <w:szCs w:val="10"/>
                <w:color w:val="auto"/>
              </w:rPr>
            </w:pPr>
          </w:p>
        </w:tc>
        <w:tc>
          <w:tcPr>
            <w:tcW w:w="14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6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17"/>
        </w:trPr>
        <w:tc>
          <w:tcPr>
            <w:tcW w:w="100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17"/>
          </w:tcPr>
          <w:p>
            <w:pPr>
              <w:spacing w:after="0"/>
              <w:rPr>
                <w:rFonts w:ascii="Arial" w:cs="Arial" w:eastAsia="Arial" w:hAnsi="Arial"/>
                <w:sz w:val="14"/>
                <w:szCs w:val="14"/>
                <w:color w:val="0000FF"/>
              </w:rPr>
            </w:pPr>
            <w:hyperlink w:anchor="page168">
              <w:r>
                <w:rPr>
                  <w:rFonts w:ascii="Arial" w:cs="Arial" w:eastAsia="Arial" w:hAnsi="Arial"/>
                  <w:sz w:val="14"/>
                  <w:szCs w:val="14"/>
                  <w:color w:val="0000FF"/>
                </w:rPr>
                <w:t>Certification of the Chief Executive Officer and Chief Financial Officer pursuant to</w:t>
              </w:r>
            </w:hyperlink>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Furnished herewith</w:t>
            </w:r>
          </w:p>
        </w:tc>
      </w:tr>
      <w:tr>
        <w:trPr>
          <w:trHeight w:val="121"/>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11"/>
          </w:tcPr>
          <w:p>
            <w:pPr>
              <w:spacing w:after="0" w:line="122" w:lineRule="exact"/>
              <w:rPr>
                <w:rFonts w:ascii="Arial" w:cs="Arial" w:eastAsia="Arial" w:hAnsi="Arial"/>
                <w:sz w:val="14"/>
                <w:szCs w:val="14"/>
                <w:color w:val="0000FF"/>
                <w:w w:val="92"/>
              </w:rPr>
            </w:pPr>
            <w:hyperlink w:anchor="page168">
              <w:r>
                <w:rPr>
                  <w:rFonts w:ascii="Arial" w:cs="Arial" w:eastAsia="Arial" w:hAnsi="Arial"/>
                  <w:sz w:val="14"/>
                  <w:szCs w:val="14"/>
                  <w:color w:val="0000FF"/>
                  <w:w w:val="92"/>
                </w:rPr>
                <w:t>18 U.S.C. Section 1350, as adopted pursuant to Section 906 of the Sarbanes-Oxley</w:t>
              </w:r>
            </w:hyperlink>
          </w:p>
        </w:tc>
        <w:tc>
          <w:tcPr>
            <w:tcW w:w="440" w:type="dxa"/>
            <w:vAlign w:val="bottom"/>
            <w:gridSpan w:val="6"/>
          </w:tcPr>
          <w:p>
            <w:pPr>
              <w:spacing w:after="0" w:line="122" w:lineRule="exact"/>
              <w:rPr>
                <w:rFonts w:ascii="Arial" w:cs="Arial" w:eastAsia="Arial" w:hAnsi="Arial"/>
                <w:sz w:val="14"/>
                <w:szCs w:val="14"/>
                <w:color w:val="0000FF"/>
              </w:rPr>
            </w:pPr>
            <w:hyperlink w:anchor="page168">
              <w:r>
                <w:rPr>
                  <w:rFonts w:ascii="Arial" w:cs="Arial" w:eastAsia="Arial" w:hAnsi="Arial"/>
                  <w:sz w:val="14"/>
                  <w:szCs w:val="14"/>
                  <w:color w:val="0000FF"/>
                </w:rPr>
                <w:t>Act</w:t>
              </w:r>
            </w:hyperlink>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2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w:anchor="page168">
              <w:r>
                <w:rPr>
                  <w:rFonts w:ascii="Arial" w:cs="Arial" w:eastAsia="Arial" w:hAnsi="Arial"/>
                  <w:sz w:val="13"/>
                  <w:szCs w:val="13"/>
                  <w:color w:val="0000FF"/>
                </w:rPr>
                <w:t>of 2002</w:t>
              </w:r>
            </w:hyperlink>
          </w:p>
        </w:tc>
        <w:tc>
          <w:tcPr>
            <w:tcW w:w="220" w:type="dxa"/>
            <w:vAlign w:val="bottom"/>
            <w:gridSpan w:val="3"/>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8"/>
                <w:szCs w:val="18"/>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40" w:type="dxa"/>
            <w:vAlign w:val="bottom"/>
            <w:gridSpan w:val="17"/>
          </w:tcPr>
          <w:p>
            <w:pPr>
              <w:spacing w:after="0" w:line="135"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document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8"/>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0"/>
                <w:szCs w:val="20"/>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XBRL Taxonomy Extension Label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524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bl>
    <w:p>
      <w:pPr>
        <w:spacing w:after="0" w:line="61" w:lineRule="exact"/>
        <w:rPr>
          <w:sz w:val="20"/>
          <w:szCs w:val="20"/>
          <w:color w:val="auto"/>
        </w:rPr>
      </w:pPr>
    </w:p>
    <w:p>
      <w:pPr>
        <w:ind w:left="1120" w:right="5440" w:hanging="1094"/>
        <w:spacing w:after="0" w:line="236" w:lineRule="auto"/>
        <w:tabs>
          <w:tab w:leader="none" w:pos="11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Cover Page with Interactive Data File (formatted as Inline XBRL with applicable taxonomy extension information contained in Exhibits 101)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w:t>
      </w:r>
    </w:p>
    <w:p>
      <w:pPr>
        <w:spacing w:after="0" w:line="21" w:lineRule="exact"/>
        <w:rPr>
          <w:sz w:val="20"/>
          <w:szCs w:val="20"/>
          <w:color w:val="auto"/>
        </w:rPr>
      </w:pPr>
    </w:p>
    <w:p>
      <w:pPr>
        <w:ind w:left="240" w:right="280" w:hanging="647"/>
        <w:spacing w:after="0" w:line="241" w:lineRule="auto"/>
        <w:tabs>
          <w:tab w:leader="none" w:pos="220" w:val="left"/>
        </w:tabs>
        <w:rPr>
          <w:sz w:val="20"/>
          <w:szCs w:val="20"/>
          <w:color w:val="auto"/>
        </w:rPr>
      </w:pPr>
      <w:r>
        <w:rPr>
          <w:rFonts w:ascii="Arial" w:cs="Arial" w:eastAsia="Arial" w:hAnsi="Arial"/>
          <w:sz w:val="14"/>
          <w:szCs w:val="14"/>
          <w:color w:val="auto"/>
        </w:rPr>
        <w:t>+</w:t>
        <w:tab/>
        <w:t>Schedules (or similar attachments) have been omitted pursuant to Item 601(a)(5) of Regulation S-K. The registrant hereby undertakes to furnish supplemental copies of any of the omitted schedules and other similar attachments upon request by the SEC.</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Certain portions of this exhibit have been omitted because they are not material and they are the type of information that the registrant treats as private or confidential.</w:t>
      </w:r>
    </w:p>
    <w:p>
      <w:pPr>
        <w:spacing w:after="0" w:line="1" w:lineRule="exact"/>
        <w:rPr>
          <w:sz w:val="20"/>
          <w:szCs w:val="20"/>
          <w:color w:val="auto"/>
        </w:rPr>
      </w:pPr>
    </w:p>
    <w:p>
      <w:pPr>
        <w:ind w:left="660" w:right="160" w:hanging="652"/>
        <w:spacing w:after="0" w:line="255" w:lineRule="auto"/>
        <w:tabs>
          <w:tab w:leader="none" w:pos="225"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7"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Twilio Inc.</w:t>
      </w:r>
    </w:p>
    <w:p>
      <w:pPr>
        <w:spacing w:after="0" w:line="297" w:lineRule="exact"/>
        <w:rPr>
          <w:sz w:val="20"/>
          <w:szCs w:val="20"/>
          <w:color w:val="auto"/>
        </w:rPr>
      </w:pPr>
    </w:p>
    <w:p>
      <w:pPr>
        <w:ind w:left="1200"/>
        <w:spacing w:after="0"/>
        <w:tabs>
          <w:tab w:leader="none" w:pos="7860" w:val="left"/>
        </w:tabs>
        <w:rPr>
          <w:sz w:val="20"/>
          <w:szCs w:val="20"/>
          <w:color w:val="auto"/>
        </w:rPr>
      </w:pPr>
      <w:r>
        <w:rPr>
          <w:rFonts w:ascii="Arial" w:cs="Arial" w:eastAsia="Arial" w:hAnsi="Arial"/>
          <w:sz w:val="18"/>
          <w:szCs w:val="18"/>
          <w:color w:val="auto"/>
        </w:rPr>
        <w:t>May 6, 2021</w:t>
      </w:r>
      <w:r>
        <w:rPr>
          <w:sz w:val="20"/>
          <w:szCs w:val="20"/>
          <w:color w:val="auto"/>
        </w:rPr>
        <w:tab/>
      </w: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1718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Jeff Lawson</w:t>
      </w:r>
    </w:p>
    <w:p>
      <w:pPr>
        <w:ind w:left="6500"/>
        <w:spacing w:after="0" w:line="203" w:lineRule="auto"/>
        <w:rPr>
          <w:sz w:val="20"/>
          <w:szCs w:val="20"/>
          <w:color w:val="auto"/>
        </w:rPr>
      </w:pPr>
      <w:r>
        <w:rPr>
          <w:rFonts w:ascii="Arial" w:cs="Arial" w:eastAsia="Arial" w:hAnsi="Arial"/>
          <w:sz w:val="18"/>
          <w:szCs w:val="18"/>
          <w:i w:val="1"/>
          <w:iCs w:val="1"/>
          <w:color w:val="auto"/>
        </w:rPr>
        <w:t>Director and Chief Executive Officer (Principal Executive</w:t>
      </w:r>
    </w:p>
    <w:p>
      <w:pPr>
        <w:ind w:left="8100"/>
        <w:spacing w:after="0"/>
        <w:rPr>
          <w:sz w:val="20"/>
          <w:szCs w:val="20"/>
          <w:color w:val="auto"/>
        </w:rPr>
      </w:pPr>
      <w:r>
        <w:rPr>
          <w:rFonts w:ascii="Arial" w:cs="Arial" w:eastAsia="Arial" w:hAnsi="Arial"/>
          <w:sz w:val="18"/>
          <w:szCs w:val="18"/>
          <w:i w:val="1"/>
          <w:iCs w:val="1"/>
          <w:color w:val="auto"/>
        </w:rPr>
        <w:t>Officer)</w:t>
      </w:r>
    </w:p>
    <w:p>
      <w:pPr>
        <w:spacing w:after="0" w:line="223" w:lineRule="exact"/>
        <w:rPr>
          <w:sz w:val="20"/>
          <w:szCs w:val="20"/>
          <w:color w:val="auto"/>
        </w:rPr>
      </w:pPr>
    </w:p>
    <w:p>
      <w:pPr>
        <w:ind w:left="1200"/>
        <w:spacing w:after="0"/>
        <w:tabs>
          <w:tab w:leader="none" w:pos="7200" w:val="left"/>
        </w:tabs>
        <w:rPr>
          <w:sz w:val="20"/>
          <w:szCs w:val="20"/>
          <w:color w:val="auto"/>
        </w:rPr>
      </w:pPr>
      <w:r>
        <w:rPr>
          <w:rFonts w:ascii="Arial" w:cs="Arial" w:eastAsia="Arial" w:hAnsi="Arial"/>
          <w:sz w:val="18"/>
          <w:szCs w:val="18"/>
          <w:color w:val="auto"/>
        </w:rPr>
        <w:t>May 6, 2021</w:t>
      </w:r>
      <w:r>
        <w:rPr>
          <w:sz w:val="20"/>
          <w:szCs w:val="20"/>
          <w:color w:val="auto"/>
        </w:rPr>
        <w:tab/>
      </w:r>
      <w:r>
        <w:rPr>
          <w:rFonts w:ascii="Arial" w:cs="Arial" w:eastAsia="Arial" w:hAnsi="Arial"/>
          <w:sz w:val="17"/>
          <w:szCs w:val="17"/>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1718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Khozema Z. Shipchandler</w:t>
      </w:r>
    </w:p>
    <w:p>
      <w:pPr>
        <w:ind w:left="6380"/>
        <w:spacing w:after="0" w:line="203" w:lineRule="auto"/>
        <w:rPr>
          <w:sz w:val="20"/>
          <w:szCs w:val="20"/>
          <w:color w:val="auto"/>
        </w:rPr>
      </w:pPr>
      <w:r>
        <w:rPr>
          <w:rFonts w:ascii="Arial" w:cs="Arial" w:eastAsia="Arial" w:hAnsi="Arial"/>
          <w:sz w:val="18"/>
          <w:szCs w:val="18"/>
          <w:i w:val="1"/>
          <w:iCs w:val="1"/>
          <w:color w:val="auto"/>
        </w:rPr>
        <w:t>Chief Financial Officer (Principal Accounting and Financial</w:t>
      </w:r>
    </w:p>
    <w:p>
      <w:pPr>
        <w:ind w:left="8100"/>
        <w:spacing w:after="0"/>
        <w:rPr>
          <w:sz w:val="20"/>
          <w:szCs w:val="20"/>
          <w:color w:val="auto"/>
        </w:rPr>
      </w:pPr>
      <w:r>
        <w:rPr>
          <w:rFonts w:ascii="Arial" w:cs="Arial" w:eastAsia="Arial" w:hAnsi="Arial"/>
          <w:sz w:val="18"/>
          <w:szCs w:val="18"/>
          <w:i w:val="1"/>
          <w:iCs w:val="1"/>
          <w:color w:val="auto"/>
        </w:rPr>
        <w:t>Officer)</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125" w:right="479" w:bottom="1440" w:gutter="0" w:footer="0" w:header="0"/>
        </w:sectPr>
      </w:pPr>
    </w:p>
    <w:bookmarkStart w:id="83" w:name="page84"/>
    <w:bookmarkEnd w:id="83"/>
    <w:p>
      <w:pPr>
        <w:ind w:right="60" w:firstLine="8"/>
        <w:spacing w:after="0" w:line="251" w:lineRule="auto"/>
        <w:tabs>
          <w:tab w:leader="none" w:pos="306" w:val="left"/>
        </w:tabs>
        <w:numPr>
          <w:ilvl w:val="0"/>
          <w:numId w:val="48"/>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has been omitted because it is both (i) not material and (ii) is the type that the registrant treats as private or confidential.</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FRAMEWORK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TWILIO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CARLYLE PARTNERS V HOLDINGS, L.P.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SYNIVERSE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84" w:name="page85"/>
    <w:bookmarkEnd w:id="84"/>
    <w:p>
      <w:pPr>
        <w:jc w:val="center"/>
        <w:ind w:right="8"/>
        <w:spacing w:after="0"/>
        <w:rPr>
          <w:sz w:val="20"/>
          <w:szCs w:val="20"/>
          <w:color w:val="auto"/>
        </w:rPr>
      </w:pPr>
      <w:r>
        <w:rPr>
          <w:rFonts w:ascii="Arial" w:cs="Arial" w:eastAsia="Arial" w:hAnsi="Arial"/>
          <w:sz w:val="22"/>
          <w:szCs w:val="22"/>
          <w:u w:val="single" w:color="auto"/>
          <w:color w:val="auto"/>
        </w:rPr>
        <w:t>Table of Contents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95"/>
              </w:rPr>
              <w:t>Article 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13"/>
        </w:trPr>
        <w:tc>
          <w:tcPr>
            <w:tcW w:w="1140" w:type="dxa"/>
            <w:vAlign w:val="bottom"/>
          </w:tcPr>
          <w:p>
            <w:pPr>
              <w:spacing w:after="0"/>
              <w:rPr>
                <w:sz w:val="24"/>
                <w:szCs w:val="24"/>
                <w:color w:val="auto"/>
              </w:rPr>
            </w:pPr>
          </w:p>
        </w:tc>
        <w:tc>
          <w:tcPr>
            <w:tcW w:w="9840" w:type="dxa"/>
            <w:vAlign w:val="bottom"/>
          </w:tcPr>
          <w:p>
            <w:pPr>
              <w:jc w:val="center"/>
              <w:ind w:right="792"/>
              <w:spacing w:after="0"/>
              <w:rPr>
                <w:sz w:val="20"/>
                <w:szCs w:val="20"/>
                <w:color w:val="auto"/>
              </w:rPr>
            </w:pPr>
            <w:r>
              <w:rPr>
                <w:rFonts w:ascii="Arial" w:cs="Arial" w:eastAsia="Arial" w:hAnsi="Arial"/>
                <w:sz w:val="22"/>
                <w:szCs w:val="22"/>
                <w:color w:val="auto"/>
                <w:w w:val="87"/>
              </w:rPr>
              <w:t>Investment; Issuance of New 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0"/>
        </w:trPr>
        <w:tc>
          <w:tcPr>
            <w:tcW w:w="1140" w:type="dxa"/>
            <w:vAlign w:val="bottom"/>
          </w:tcPr>
          <w:p>
            <w:pPr>
              <w:spacing w:after="0"/>
              <w:rPr>
                <w:sz w:val="20"/>
                <w:szCs w:val="20"/>
                <w:color w:val="auto"/>
              </w:rPr>
            </w:pPr>
            <w:r>
              <w:rPr>
                <w:rFonts w:ascii="Arial" w:cs="Arial" w:eastAsia="Arial" w:hAnsi="Arial"/>
                <w:sz w:val="22"/>
                <w:szCs w:val="22"/>
                <w:color w:val="auto"/>
              </w:rPr>
              <w:t>Section 1.1</w:t>
            </w:r>
          </w:p>
        </w:tc>
        <w:tc>
          <w:tcPr>
            <w:tcW w:w="9840" w:type="dxa"/>
            <w:vAlign w:val="bottom"/>
          </w:tcPr>
          <w:p>
            <w:pPr>
              <w:ind w:left="60"/>
              <w:spacing w:after="0"/>
              <w:rPr>
                <w:sz w:val="20"/>
                <w:szCs w:val="20"/>
                <w:color w:val="auto"/>
              </w:rPr>
            </w:pPr>
            <w:r>
              <w:rPr>
                <w:rFonts w:ascii="Arial" w:cs="Arial" w:eastAsia="Arial" w:hAnsi="Arial"/>
                <w:sz w:val="22"/>
                <w:szCs w:val="22"/>
                <w:color w:val="auto"/>
              </w:rPr>
              <w:t>Closing</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2</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1.2</w:t>
            </w:r>
          </w:p>
        </w:tc>
        <w:tc>
          <w:tcPr>
            <w:tcW w:w="9840" w:type="dxa"/>
            <w:vAlign w:val="bottom"/>
          </w:tcPr>
          <w:p>
            <w:pPr>
              <w:ind w:left="60"/>
              <w:spacing w:after="0"/>
              <w:rPr>
                <w:sz w:val="20"/>
                <w:szCs w:val="20"/>
                <w:color w:val="auto"/>
              </w:rPr>
            </w:pPr>
            <w:r>
              <w:rPr>
                <w:rFonts w:ascii="Arial" w:cs="Arial" w:eastAsia="Arial" w:hAnsi="Arial"/>
                <w:sz w:val="22"/>
                <w:szCs w:val="22"/>
                <w:color w:val="auto"/>
              </w:rPr>
              <w:t>Purchase Price</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2</w:t>
              </w:r>
            </w:hyperlink>
          </w:p>
        </w:tc>
      </w:tr>
      <w:tr>
        <w:trPr>
          <w:trHeight w:val="598"/>
        </w:trPr>
        <w:tc>
          <w:tcPr>
            <w:tcW w:w="1140" w:type="dxa"/>
            <w:vAlign w:val="bottom"/>
          </w:tcPr>
          <w:p>
            <w:pPr>
              <w:spacing w:after="0"/>
              <w:rPr>
                <w:sz w:val="24"/>
                <w:szCs w:val="24"/>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95"/>
              </w:rPr>
              <w:t>Article 2</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513"/>
        </w:trPr>
        <w:tc>
          <w:tcPr>
            <w:tcW w:w="1140" w:type="dxa"/>
            <w:vAlign w:val="bottom"/>
          </w:tcPr>
          <w:p>
            <w:pPr>
              <w:spacing w:after="0"/>
              <w:rPr>
                <w:sz w:val="24"/>
                <w:szCs w:val="24"/>
                <w:color w:val="auto"/>
              </w:rPr>
            </w:pPr>
          </w:p>
        </w:tc>
        <w:tc>
          <w:tcPr>
            <w:tcW w:w="9840" w:type="dxa"/>
            <w:vAlign w:val="bottom"/>
          </w:tcPr>
          <w:p>
            <w:pPr>
              <w:jc w:val="center"/>
              <w:ind w:right="792"/>
              <w:spacing w:after="0"/>
              <w:rPr>
                <w:sz w:val="20"/>
                <w:szCs w:val="20"/>
                <w:color w:val="auto"/>
              </w:rPr>
            </w:pPr>
            <w:r>
              <w:rPr>
                <w:rFonts w:ascii="Arial" w:cs="Arial" w:eastAsia="Arial" w:hAnsi="Arial"/>
                <w:sz w:val="22"/>
                <w:szCs w:val="22"/>
                <w:color w:val="auto"/>
                <w:w w:val="87"/>
              </w:rPr>
              <w:t>Representations and Warranties of the Company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6"/>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2.1  Organization and Power</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3</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2.2</w:t>
            </w:r>
          </w:p>
        </w:tc>
        <w:tc>
          <w:tcPr>
            <w:tcW w:w="9840" w:type="dxa"/>
            <w:vAlign w:val="bottom"/>
          </w:tcPr>
          <w:p>
            <w:pPr>
              <w:ind w:left="60"/>
              <w:spacing w:after="0"/>
              <w:rPr>
                <w:sz w:val="20"/>
                <w:szCs w:val="20"/>
                <w:color w:val="auto"/>
              </w:rPr>
            </w:pPr>
            <w:r>
              <w:rPr>
                <w:rFonts w:ascii="Arial" w:cs="Arial" w:eastAsia="Arial" w:hAnsi="Arial"/>
                <w:sz w:val="22"/>
                <w:szCs w:val="22"/>
                <w:color w:val="auto"/>
              </w:rPr>
              <w:t>Authorization</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4</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2.3</w:t>
            </w:r>
          </w:p>
        </w:tc>
        <w:tc>
          <w:tcPr>
            <w:tcW w:w="984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5</w:t>
              </w:r>
            </w:hyperlink>
          </w:p>
        </w:tc>
      </w:tr>
      <w:tr>
        <w:trPr>
          <w:trHeight w:val="20"/>
        </w:trPr>
        <w:tc>
          <w:tcPr>
            <w:tcW w:w="10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2.4  Capitalization; Title to Company Equity Interests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5</w:t>
              </w:r>
            </w:hyperlink>
          </w:p>
        </w:tc>
      </w:tr>
      <w:tr>
        <w:trPr>
          <w:trHeight w:val="20"/>
        </w:trPr>
        <w:tc>
          <w:tcPr>
            <w:tcW w:w="10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2.5  Subsidiaries; Ownership Interests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6</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2.6</w:t>
            </w:r>
          </w:p>
        </w:tc>
        <w:tc>
          <w:tcPr>
            <w:tcW w:w="9840" w:type="dxa"/>
            <w:vAlign w:val="bottom"/>
          </w:tcPr>
          <w:p>
            <w:pPr>
              <w:ind w:left="60"/>
              <w:spacing w:after="0"/>
              <w:rPr>
                <w:sz w:val="20"/>
                <w:szCs w:val="20"/>
                <w:color w:val="auto"/>
              </w:rPr>
            </w:pPr>
            <w:r>
              <w:rPr>
                <w:rFonts w:ascii="Arial" w:cs="Arial" w:eastAsia="Arial" w:hAnsi="Arial"/>
                <w:sz w:val="22"/>
                <w:szCs w:val="22"/>
                <w:color w:val="auto"/>
              </w:rPr>
              <w:t>Financial Statements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6</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2.7</w:t>
            </w:r>
          </w:p>
        </w:tc>
        <w:tc>
          <w:tcPr>
            <w:tcW w:w="9840" w:type="dxa"/>
            <w:vAlign w:val="bottom"/>
          </w:tcPr>
          <w:p>
            <w:pPr>
              <w:ind w:left="60"/>
              <w:spacing w:after="0"/>
              <w:rPr>
                <w:sz w:val="20"/>
                <w:szCs w:val="20"/>
                <w:color w:val="auto"/>
              </w:rPr>
            </w:pPr>
            <w:r>
              <w:rPr>
                <w:rFonts w:ascii="Arial" w:cs="Arial" w:eastAsia="Arial" w:hAnsi="Arial"/>
                <w:sz w:val="22"/>
                <w:szCs w:val="22"/>
                <w:color w:val="auto"/>
              </w:rPr>
              <w:t>Other Liabilities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7</w:t>
              </w:r>
            </w:hyperlink>
          </w:p>
        </w:tc>
      </w:tr>
      <w:tr>
        <w:trPr>
          <w:trHeight w:val="20"/>
        </w:trPr>
        <w:tc>
          <w:tcPr>
            <w:tcW w:w="10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2.8  Absence of Certain Changes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7</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2.9</w:t>
            </w:r>
          </w:p>
        </w:tc>
        <w:tc>
          <w:tcPr>
            <w:tcW w:w="9840" w:type="dxa"/>
            <w:vAlign w:val="bottom"/>
          </w:tcPr>
          <w:p>
            <w:pPr>
              <w:ind w:left="60"/>
              <w:spacing w:after="0"/>
              <w:rPr>
                <w:sz w:val="20"/>
                <w:szCs w:val="20"/>
                <w:color w:val="auto"/>
              </w:rPr>
            </w:pPr>
            <w:r>
              <w:rPr>
                <w:rFonts w:ascii="Arial" w:cs="Arial" w:eastAsia="Arial" w:hAnsi="Arial"/>
                <w:sz w:val="22"/>
                <w:szCs w:val="22"/>
                <w:color w:val="auto"/>
              </w:rPr>
              <w:t>Material Contracts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8</w:t>
              </w:r>
            </w:hyperlink>
          </w:p>
        </w:tc>
      </w:tr>
      <w:tr>
        <w:trPr>
          <w:trHeight w:val="20"/>
        </w:trPr>
        <w:tc>
          <w:tcPr>
            <w:tcW w:w="11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2.10</w:t>
            </w:r>
          </w:p>
        </w:tc>
        <w:tc>
          <w:tcPr>
            <w:tcW w:w="9840" w:type="dxa"/>
            <w:vAlign w:val="bottom"/>
          </w:tcPr>
          <w:p>
            <w:pPr>
              <w:ind w:left="160"/>
              <w:spacing w:after="0"/>
              <w:rPr>
                <w:sz w:val="20"/>
                <w:szCs w:val="20"/>
                <w:color w:val="auto"/>
              </w:rPr>
            </w:pPr>
            <w:r>
              <w:rPr>
                <w:rFonts w:ascii="Arial" w:cs="Arial" w:eastAsia="Arial" w:hAnsi="Arial"/>
                <w:sz w:val="22"/>
                <w:szCs w:val="22"/>
                <w:color w:val="auto"/>
              </w:rPr>
              <w:t>Properties</w:t>
            </w:r>
          </w:p>
        </w:tc>
        <w:tc>
          <w:tcPr>
            <w:tcW w:w="220" w:type="dxa"/>
            <w:vAlign w:val="bottom"/>
            <w:gridSpan w:val="2"/>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9</w:t>
              </w:r>
            </w:hyperlink>
          </w:p>
        </w:tc>
      </w:tr>
      <w:tr>
        <w:trPr>
          <w:trHeight w:val="20"/>
        </w:trPr>
        <w:tc>
          <w:tcPr>
            <w:tcW w:w="10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2.11  Intellectual Property; IT Systems; Data Privacy and Security</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10</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2.12</w:t>
            </w:r>
          </w:p>
        </w:tc>
        <w:tc>
          <w:tcPr>
            <w:tcW w:w="9840" w:type="dxa"/>
            <w:vAlign w:val="bottom"/>
          </w:tcPr>
          <w:p>
            <w:pPr>
              <w:ind w:left="160"/>
              <w:spacing w:after="0"/>
              <w:rPr>
                <w:sz w:val="20"/>
                <w:szCs w:val="20"/>
                <w:color w:val="auto"/>
              </w:rPr>
            </w:pPr>
            <w:r>
              <w:rPr>
                <w:rFonts w:ascii="Arial" w:cs="Arial" w:eastAsia="Arial" w:hAnsi="Arial"/>
                <w:sz w:val="22"/>
                <w:szCs w:val="22"/>
                <w:color w:val="auto"/>
              </w:rPr>
              <w:t>Litigation</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12</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2.13  Compliance with Laws; Licenses and Permits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12</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2.14</w:t>
            </w:r>
          </w:p>
        </w:tc>
        <w:tc>
          <w:tcPr>
            <w:tcW w:w="9840" w:type="dxa"/>
            <w:vAlign w:val="bottom"/>
          </w:tcPr>
          <w:p>
            <w:pPr>
              <w:ind w:left="160"/>
              <w:spacing w:after="0"/>
              <w:rPr>
                <w:sz w:val="20"/>
                <w:szCs w:val="20"/>
                <w:color w:val="auto"/>
              </w:rPr>
            </w:pPr>
            <w:r>
              <w:rPr>
                <w:rFonts w:ascii="Arial" w:cs="Arial" w:eastAsia="Arial" w:hAnsi="Arial"/>
                <w:sz w:val="22"/>
                <w:szCs w:val="22"/>
                <w:color w:val="auto"/>
              </w:rPr>
              <w:t>Environmental Matters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14</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2.15  Employees, Labor Matters, etc</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14</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2.16  Employee Benefit Plans and Related Matters; ERISA</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15</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2.17</w:t>
            </w:r>
          </w:p>
        </w:tc>
        <w:tc>
          <w:tcPr>
            <w:tcW w:w="9840" w:type="dxa"/>
            <w:vAlign w:val="bottom"/>
          </w:tcPr>
          <w:p>
            <w:pPr>
              <w:ind w:left="160"/>
              <w:spacing w:after="0"/>
              <w:rPr>
                <w:sz w:val="20"/>
                <w:szCs w:val="20"/>
                <w:color w:val="auto"/>
              </w:rPr>
            </w:pPr>
            <w:r>
              <w:rPr>
                <w:rFonts w:ascii="Arial" w:cs="Arial" w:eastAsia="Arial" w:hAnsi="Arial"/>
                <w:sz w:val="22"/>
                <w:szCs w:val="22"/>
                <w:color w:val="auto"/>
              </w:rPr>
              <w:t>Tax Matters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17</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2.18</w:t>
            </w:r>
          </w:p>
        </w:tc>
        <w:tc>
          <w:tcPr>
            <w:tcW w:w="9840" w:type="dxa"/>
            <w:vAlign w:val="bottom"/>
          </w:tcPr>
          <w:p>
            <w:pPr>
              <w:ind w:left="160"/>
              <w:spacing w:after="0"/>
              <w:rPr>
                <w:sz w:val="20"/>
                <w:szCs w:val="20"/>
                <w:color w:val="auto"/>
              </w:rPr>
            </w:pPr>
            <w:r>
              <w:rPr>
                <w:rFonts w:ascii="Arial" w:cs="Arial" w:eastAsia="Arial" w:hAnsi="Arial"/>
                <w:sz w:val="22"/>
                <w:szCs w:val="22"/>
                <w:color w:val="auto"/>
              </w:rPr>
              <w:t>Insurance</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19</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2.19</w:t>
            </w:r>
          </w:p>
        </w:tc>
        <w:tc>
          <w:tcPr>
            <w:tcW w:w="9840" w:type="dxa"/>
            <w:vAlign w:val="bottom"/>
          </w:tcPr>
          <w:p>
            <w:pPr>
              <w:ind w:left="160"/>
              <w:spacing w:after="0"/>
              <w:rPr>
                <w:sz w:val="20"/>
                <w:szCs w:val="20"/>
                <w:color w:val="auto"/>
              </w:rPr>
            </w:pPr>
            <w:r>
              <w:rPr>
                <w:rFonts w:ascii="Arial" w:cs="Arial" w:eastAsia="Arial" w:hAnsi="Arial"/>
                <w:sz w:val="22"/>
                <w:szCs w:val="22"/>
                <w:color w:val="auto"/>
              </w:rPr>
              <w:t>Finders’ Fees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19</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2.20  Contracts with Affiliates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19</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2.21  Customers and Vendors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19</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2.22  Ring-Fencing Sufficiency of Assets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19</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2.23  No Other Representations and Warranties</w:t>
            </w:r>
          </w:p>
        </w:tc>
        <w:tc>
          <w:tcPr>
            <w:tcW w:w="220" w:type="dxa"/>
            <w:vAlign w:val="bottom"/>
            <w:tcBorders>
              <w:bottom w:val="single" w:sz="8" w:color="auto"/>
            </w:tcBorders>
            <w:gridSpan w:val="2"/>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32"/>
          </w:cols>
          <w:pgMar w:left="328" w:top="375" w:right="339" w:bottom="1440" w:gutter="0" w:footer="0" w:header="0"/>
        </w:sectPr>
      </w:pPr>
    </w:p>
    <w:p>
      <w:pPr>
        <w:spacing w:after="0" w:line="51" w:lineRule="exact"/>
        <w:rPr>
          <w:sz w:val="20"/>
          <w:szCs w:val="20"/>
          <w:color w:val="auto"/>
        </w:rPr>
      </w:pPr>
    </w:p>
    <w:p>
      <w:pPr>
        <w:ind w:left="-8" w:right="300" w:firstLine="8"/>
        <w:spacing w:after="0" w:line="277" w:lineRule="auto"/>
        <w:tabs>
          <w:tab w:leader="none" w:pos="2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32"/>
          </w:cols>
          <w:pgMar w:left="328" w:top="375" w:right="339" w:bottom="1440" w:gutter="0" w:footer="0" w:header="0"/>
          <w:type w:val="continuous"/>
        </w:sectPr>
      </w:pPr>
    </w:p>
    <w:bookmarkStart w:id="85" w:name="page86"/>
    <w:bookmarkEnd w:id="85"/>
    <w:p>
      <w:pPr>
        <w:jc w:val="center"/>
        <w:ind w:right="8"/>
        <w:spacing w:after="0"/>
        <w:rPr>
          <w:sz w:val="20"/>
          <w:szCs w:val="20"/>
          <w:color w:val="auto"/>
        </w:rPr>
      </w:pPr>
      <w:r>
        <w:rPr>
          <w:rFonts w:ascii="Arial" w:cs="Arial" w:eastAsia="Arial" w:hAnsi="Arial"/>
          <w:sz w:val="22"/>
          <w:szCs w:val="22"/>
          <w:u w:val="single" w:color="auto"/>
          <w:color w:val="auto"/>
        </w:rPr>
        <w:t>Table of Contents</w:t>
      </w:r>
    </w:p>
    <w:p>
      <w:pPr>
        <w:spacing w:after="0" w:line="21"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95"/>
              </w:rPr>
              <w:t>Article 3</w:t>
            </w:r>
          </w:p>
        </w:tc>
        <w:tc>
          <w:tcPr>
            <w:tcW w:w="220" w:type="dxa"/>
            <w:vAlign w:val="bottom"/>
          </w:tcPr>
          <w:p>
            <w:pPr>
              <w:spacing w:after="0"/>
              <w:rPr>
                <w:sz w:val="23"/>
                <w:szCs w:val="23"/>
                <w:color w:val="auto"/>
              </w:rPr>
            </w:pPr>
          </w:p>
        </w:tc>
      </w:tr>
      <w:tr>
        <w:trPr>
          <w:trHeight w:val="513"/>
        </w:trPr>
        <w:tc>
          <w:tcPr>
            <w:tcW w:w="1140" w:type="dxa"/>
            <w:vAlign w:val="bottom"/>
          </w:tcPr>
          <w:p>
            <w:pPr>
              <w:spacing w:after="0"/>
              <w:rPr>
                <w:sz w:val="24"/>
                <w:szCs w:val="24"/>
                <w:color w:val="auto"/>
              </w:rPr>
            </w:pPr>
          </w:p>
        </w:tc>
        <w:tc>
          <w:tcPr>
            <w:tcW w:w="9840" w:type="dxa"/>
            <w:vAlign w:val="bottom"/>
          </w:tcPr>
          <w:p>
            <w:pPr>
              <w:jc w:val="center"/>
              <w:ind w:right="792"/>
              <w:spacing w:after="0"/>
              <w:rPr>
                <w:sz w:val="20"/>
                <w:szCs w:val="20"/>
                <w:color w:val="auto"/>
              </w:rPr>
            </w:pPr>
            <w:r>
              <w:rPr>
                <w:rFonts w:ascii="Arial" w:cs="Arial" w:eastAsia="Arial" w:hAnsi="Arial"/>
                <w:sz w:val="22"/>
                <w:szCs w:val="22"/>
                <w:color w:val="auto"/>
                <w:w w:val="88"/>
              </w:rPr>
              <w:t>Representations and Warranties of Carlyle</w:t>
            </w:r>
          </w:p>
        </w:tc>
        <w:tc>
          <w:tcPr>
            <w:tcW w:w="220" w:type="dxa"/>
            <w:vAlign w:val="bottom"/>
          </w:tcPr>
          <w:p>
            <w:pPr>
              <w:spacing w:after="0"/>
              <w:rPr>
                <w:sz w:val="24"/>
                <w:szCs w:val="24"/>
                <w:color w:val="auto"/>
              </w:rPr>
            </w:pPr>
          </w:p>
        </w:tc>
      </w:tr>
      <w:tr>
        <w:trPr>
          <w:trHeight w:val="53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3.1  Organization and Power</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20</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3.2</w:t>
            </w:r>
          </w:p>
        </w:tc>
        <w:tc>
          <w:tcPr>
            <w:tcW w:w="9840" w:type="dxa"/>
            <w:vAlign w:val="bottom"/>
          </w:tcPr>
          <w:p>
            <w:pPr>
              <w:ind w:left="60"/>
              <w:spacing w:after="0"/>
              <w:rPr>
                <w:sz w:val="20"/>
                <w:szCs w:val="20"/>
                <w:color w:val="auto"/>
              </w:rPr>
            </w:pPr>
            <w:r>
              <w:rPr>
                <w:rFonts w:ascii="Arial" w:cs="Arial" w:eastAsia="Arial" w:hAnsi="Arial"/>
                <w:sz w:val="22"/>
                <w:szCs w:val="22"/>
                <w:color w:val="auto"/>
              </w:rPr>
              <w:t>Authorization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21</w:t>
              </w:r>
            </w:hyperlink>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3.3</w:t>
            </w:r>
          </w:p>
        </w:tc>
        <w:tc>
          <w:tcPr>
            <w:tcW w:w="984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21</w:t>
              </w:r>
            </w:hyperlink>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3.4</w:t>
            </w:r>
          </w:p>
        </w:tc>
        <w:tc>
          <w:tcPr>
            <w:tcW w:w="9840" w:type="dxa"/>
            <w:vAlign w:val="bottom"/>
          </w:tcPr>
          <w:p>
            <w:pPr>
              <w:ind w:left="60"/>
              <w:spacing w:after="0"/>
              <w:rPr>
                <w:sz w:val="20"/>
                <w:szCs w:val="20"/>
                <w:color w:val="auto"/>
              </w:rPr>
            </w:pPr>
            <w:r>
              <w:rPr>
                <w:rFonts w:ascii="Arial" w:cs="Arial" w:eastAsia="Arial" w:hAnsi="Arial"/>
                <w:sz w:val="22"/>
                <w:szCs w:val="22"/>
                <w:color w:val="auto"/>
              </w:rPr>
              <w:t>Litigation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22</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3.5</w:t>
            </w:r>
          </w:p>
        </w:tc>
        <w:tc>
          <w:tcPr>
            <w:tcW w:w="9840" w:type="dxa"/>
            <w:vAlign w:val="bottom"/>
          </w:tcPr>
          <w:p>
            <w:pPr>
              <w:ind w:left="60"/>
              <w:spacing w:after="0"/>
              <w:rPr>
                <w:sz w:val="20"/>
                <w:szCs w:val="20"/>
                <w:color w:val="auto"/>
              </w:rPr>
            </w:pPr>
            <w:r>
              <w:rPr>
                <w:rFonts w:ascii="Arial" w:cs="Arial" w:eastAsia="Arial" w:hAnsi="Arial"/>
                <w:sz w:val="22"/>
                <w:szCs w:val="22"/>
                <w:color w:val="auto"/>
              </w:rPr>
              <w:t>Finders’ Fees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22</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3.6  No Other Representations and Warranties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22</w:t>
              </w:r>
            </w:hyperlink>
          </w:p>
        </w:tc>
      </w:tr>
      <w:tr>
        <w:trPr>
          <w:trHeight w:val="611"/>
        </w:trPr>
        <w:tc>
          <w:tcPr>
            <w:tcW w:w="1140" w:type="dxa"/>
            <w:vAlign w:val="bottom"/>
          </w:tcPr>
          <w:p>
            <w:pPr>
              <w:spacing w:after="0"/>
              <w:rPr>
                <w:sz w:val="24"/>
                <w:szCs w:val="24"/>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95"/>
              </w:rPr>
              <w:t>Article 4</w:t>
            </w:r>
          </w:p>
        </w:tc>
        <w:tc>
          <w:tcPr>
            <w:tcW w:w="220" w:type="dxa"/>
            <w:vAlign w:val="bottom"/>
          </w:tcPr>
          <w:p>
            <w:pPr>
              <w:spacing w:after="0"/>
              <w:rPr>
                <w:sz w:val="24"/>
                <w:szCs w:val="24"/>
                <w:color w:val="auto"/>
              </w:rPr>
            </w:pPr>
          </w:p>
        </w:tc>
      </w:tr>
      <w:tr>
        <w:trPr>
          <w:trHeight w:val="513"/>
        </w:trPr>
        <w:tc>
          <w:tcPr>
            <w:tcW w:w="1140" w:type="dxa"/>
            <w:vAlign w:val="bottom"/>
          </w:tcPr>
          <w:p>
            <w:pPr>
              <w:spacing w:after="0"/>
              <w:rPr>
                <w:sz w:val="24"/>
                <w:szCs w:val="24"/>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87"/>
              </w:rPr>
              <w:t>Representations and Warranties of Investor</w:t>
            </w:r>
          </w:p>
        </w:tc>
        <w:tc>
          <w:tcPr>
            <w:tcW w:w="220" w:type="dxa"/>
            <w:vAlign w:val="bottom"/>
          </w:tcPr>
          <w:p>
            <w:pPr>
              <w:spacing w:after="0"/>
              <w:rPr>
                <w:sz w:val="24"/>
                <w:szCs w:val="24"/>
                <w:color w:val="auto"/>
              </w:rPr>
            </w:pPr>
          </w:p>
        </w:tc>
      </w:tr>
      <w:tr>
        <w:trPr>
          <w:trHeight w:val="53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4.1  Organization and Power</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22</w:t>
              </w:r>
            </w:hyperlink>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4.2</w:t>
            </w:r>
          </w:p>
        </w:tc>
        <w:tc>
          <w:tcPr>
            <w:tcW w:w="9840" w:type="dxa"/>
            <w:vAlign w:val="bottom"/>
          </w:tcPr>
          <w:p>
            <w:pPr>
              <w:ind w:left="60"/>
              <w:spacing w:after="0"/>
              <w:rPr>
                <w:sz w:val="20"/>
                <w:szCs w:val="20"/>
                <w:color w:val="auto"/>
              </w:rPr>
            </w:pPr>
            <w:r>
              <w:rPr>
                <w:rFonts w:ascii="Arial" w:cs="Arial" w:eastAsia="Arial" w:hAnsi="Arial"/>
                <w:sz w:val="22"/>
                <w:szCs w:val="22"/>
                <w:color w:val="auto"/>
              </w:rPr>
              <w:t>Authorization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22</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4.3</w:t>
            </w:r>
          </w:p>
        </w:tc>
        <w:tc>
          <w:tcPr>
            <w:tcW w:w="984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23</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4.4  Availability of Funds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24</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4.5  Purchase for Investment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24</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4.6</w:t>
            </w:r>
          </w:p>
        </w:tc>
        <w:tc>
          <w:tcPr>
            <w:tcW w:w="9840" w:type="dxa"/>
            <w:vAlign w:val="bottom"/>
          </w:tcPr>
          <w:p>
            <w:pPr>
              <w:ind w:left="60"/>
              <w:spacing w:after="0"/>
              <w:rPr>
                <w:sz w:val="20"/>
                <w:szCs w:val="20"/>
                <w:color w:val="auto"/>
              </w:rPr>
            </w:pPr>
            <w:r>
              <w:rPr>
                <w:rFonts w:ascii="Arial" w:cs="Arial" w:eastAsia="Arial" w:hAnsi="Arial"/>
                <w:sz w:val="22"/>
                <w:szCs w:val="22"/>
                <w:color w:val="auto"/>
              </w:rPr>
              <w:t>Litigation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24</w:t>
              </w:r>
            </w:hyperlink>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4.7</w:t>
            </w:r>
          </w:p>
        </w:tc>
        <w:tc>
          <w:tcPr>
            <w:tcW w:w="9840" w:type="dxa"/>
            <w:vAlign w:val="bottom"/>
          </w:tcPr>
          <w:p>
            <w:pPr>
              <w:ind w:left="60"/>
              <w:spacing w:after="0"/>
              <w:rPr>
                <w:sz w:val="20"/>
                <w:szCs w:val="20"/>
                <w:color w:val="auto"/>
              </w:rPr>
            </w:pPr>
            <w:r>
              <w:rPr>
                <w:rFonts w:ascii="Arial" w:cs="Arial" w:eastAsia="Arial" w:hAnsi="Arial"/>
                <w:sz w:val="22"/>
                <w:szCs w:val="22"/>
                <w:color w:val="auto"/>
              </w:rPr>
              <w:t>Finders’ Fees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24</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4.8  No Additional Representations and Warranties; Inspection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24</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4.9  No Other Representations and Warranties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25</w:t>
              </w:r>
            </w:hyperlink>
          </w:p>
        </w:tc>
      </w:tr>
      <w:tr>
        <w:trPr>
          <w:trHeight w:val="611"/>
        </w:trPr>
        <w:tc>
          <w:tcPr>
            <w:tcW w:w="1140" w:type="dxa"/>
            <w:vAlign w:val="bottom"/>
          </w:tcPr>
          <w:p>
            <w:pPr>
              <w:spacing w:after="0"/>
              <w:rPr>
                <w:sz w:val="24"/>
                <w:szCs w:val="24"/>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95"/>
              </w:rPr>
              <w:t>Article 5</w:t>
            </w:r>
          </w:p>
        </w:tc>
        <w:tc>
          <w:tcPr>
            <w:tcW w:w="220" w:type="dxa"/>
            <w:vAlign w:val="bottom"/>
          </w:tcPr>
          <w:p>
            <w:pPr>
              <w:spacing w:after="0"/>
              <w:rPr>
                <w:sz w:val="24"/>
                <w:szCs w:val="24"/>
                <w:color w:val="auto"/>
              </w:rPr>
            </w:pPr>
          </w:p>
        </w:tc>
      </w:tr>
      <w:tr>
        <w:trPr>
          <w:trHeight w:val="513"/>
        </w:trPr>
        <w:tc>
          <w:tcPr>
            <w:tcW w:w="1140" w:type="dxa"/>
            <w:vAlign w:val="bottom"/>
          </w:tcPr>
          <w:p>
            <w:pPr>
              <w:spacing w:after="0"/>
              <w:rPr>
                <w:sz w:val="24"/>
                <w:szCs w:val="24"/>
                <w:color w:val="auto"/>
              </w:rPr>
            </w:pPr>
          </w:p>
        </w:tc>
        <w:tc>
          <w:tcPr>
            <w:tcW w:w="9840" w:type="dxa"/>
            <w:vAlign w:val="bottom"/>
          </w:tcPr>
          <w:p>
            <w:pPr>
              <w:jc w:val="center"/>
              <w:ind w:right="812"/>
              <w:spacing w:after="0"/>
              <w:rPr>
                <w:sz w:val="20"/>
                <w:szCs w:val="20"/>
                <w:color w:val="auto"/>
              </w:rPr>
            </w:pPr>
            <w:r>
              <w:rPr>
                <w:rFonts w:ascii="Arial" w:cs="Arial" w:eastAsia="Arial" w:hAnsi="Arial"/>
                <w:sz w:val="22"/>
                <w:szCs w:val="22"/>
                <w:color w:val="auto"/>
                <w:w w:val="87"/>
              </w:rPr>
              <w:t>Certain Covenants</w:t>
            </w:r>
          </w:p>
        </w:tc>
        <w:tc>
          <w:tcPr>
            <w:tcW w:w="220" w:type="dxa"/>
            <w:vAlign w:val="bottom"/>
          </w:tcPr>
          <w:p>
            <w:pPr>
              <w:spacing w:after="0"/>
              <w:rPr>
                <w:sz w:val="24"/>
                <w:szCs w:val="24"/>
                <w:color w:val="auto"/>
              </w:rPr>
            </w:pPr>
          </w:p>
        </w:tc>
      </w:tr>
      <w:tr>
        <w:trPr>
          <w:trHeight w:val="53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5.1  Conduct of the Business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25</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5.2</w:t>
            </w:r>
          </w:p>
        </w:tc>
        <w:tc>
          <w:tcPr>
            <w:tcW w:w="9840" w:type="dxa"/>
            <w:vAlign w:val="bottom"/>
          </w:tcPr>
          <w:p>
            <w:pPr>
              <w:ind w:left="60"/>
              <w:spacing w:after="0"/>
              <w:rPr>
                <w:sz w:val="20"/>
                <w:szCs w:val="20"/>
                <w:color w:val="auto"/>
              </w:rPr>
            </w:pPr>
            <w:r>
              <w:rPr>
                <w:rFonts w:ascii="Arial" w:cs="Arial" w:eastAsia="Arial" w:hAnsi="Arial"/>
                <w:sz w:val="22"/>
                <w:szCs w:val="22"/>
                <w:color w:val="auto"/>
              </w:rPr>
              <w:t>Governmental Approvals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28</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5.3</w:t>
            </w:r>
          </w:p>
        </w:tc>
        <w:tc>
          <w:tcPr>
            <w:tcW w:w="9840" w:type="dxa"/>
            <w:vAlign w:val="bottom"/>
          </w:tcPr>
          <w:p>
            <w:pPr>
              <w:ind w:left="60"/>
              <w:spacing w:after="0"/>
              <w:rPr>
                <w:sz w:val="20"/>
                <w:szCs w:val="20"/>
                <w:color w:val="auto"/>
              </w:rPr>
            </w:pPr>
            <w:r>
              <w:rPr>
                <w:rFonts w:ascii="Arial" w:cs="Arial" w:eastAsia="Arial" w:hAnsi="Arial"/>
                <w:sz w:val="22"/>
                <w:szCs w:val="22"/>
                <w:color w:val="auto"/>
              </w:rPr>
              <w:t>Public Announcements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31</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5.4  Access to Information; Confidentiality</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31</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5.5</w:t>
            </w:r>
          </w:p>
        </w:tc>
        <w:tc>
          <w:tcPr>
            <w:tcW w:w="9840" w:type="dxa"/>
            <w:vAlign w:val="bottom"/>
          </w:tcPr>
          <w:p>
            <w:pPr>
              <w:ind w:left="60"/>
              <w:spacing w:after="0"/>
              <w:rPr>
                <w:sz w:val="20"/>
                <w:szCs w:val="20"/>
                <w:color w:val="auto"/>
              </w:rPr>
            </w:pPr>
            <w:r>
              <w:rPr>
                <w:rFonts w:ascii="Arial" w:cs="Arial" w:eastAsia="Arial" w:hAnsi="Arial"/>
                <w:sz w:val="22"/>
                <w:szCs w:val="22"/>
                <w:color w:val="auto"/>
              </w:rPr>
              <w:t>Affiliate Agreements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32</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5.6</w:t>
            </w:r>
          </w:p>
        </w:tc>
        <w:tc>
          <w:tcPr>
            <w:tcW w:w="9840" w:type="dxa"/>
            <w:vAlign w:val="bottom"/>
          </w:tcPr>
          <w:p>
            <w:pPr>
              <w:ind w:left="60"/>
              <w:spacing w:after="0"/>
              <w:rPr>
                <w:sz w:val="20"/>
                <w:szCs w:val="20"/>
                <w:color w:val="auto"/>
              </w:rPr>
            </w:pPr>
            <w:r>
              <w:rPr>
                <w:rFonts w:ascii="Arial" w:cs="Arial" w:eastAsia="Arial" w:hAnsi="Arial"/>
                <w:sz w:val="22"/>
                <w:szCs w:val="22"/>
                <w:color w:val="auto"/>
              </w:rPr>
              <w:t>SPAC Transaction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32</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5.7  Alternative Transaction; Pre-Closing Steps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34</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5.8  Third-Party Consents; Commingled Contracts; Wrong-Pockets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36</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5.9</w:t>
            </w:r>
          </w:p>
        </w:tc>
        <w:tc>
          <w:tcPr>
            <w:tcW w:w="9840" w:type="dxa"/>
            <w:vAlign w:val="bottom"/>
          </w:tcPr>
          <w:p>
            <w:pPr>
              <w:ind w:left="60"/>
              <w:spacing w:after="0"/>
              <w:rPr>
                <w:sz w:val="20"/>
                <w:szCs w:val="20"/>
                <w:color w:val="auto"/>
              </w:rPr>
            </w:pPr>
            <w:r>
              <w:rPr>
                <w:rFonts w:ascii="Arial" w:cs="Arial" w:eastAsia="Arial" w:hAnsi="Arial"/>
                <w:sz w:val="22"/>
                <w:szCs w:val="22"/>
                <w:color w:val="auto"/>
              </w:rPr>
              <w:t>Ancillary Agreements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38</w:t>
              </w:r>
            </w:hyperlink>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w w:val="91"/>
              </w:rPr>
              <w:t>Section 5.10</w:t>
            </w:r>
          </w:p>
        </w:tc>
        <w:tc>
          <w:tcPr>
            <w:tcW w:w="9840" w:type="dxa"/>
            <w:vAlign w:val="bottom"/>
          </w:tcPr>
          <w:p>
            <w:pPr>
              <w:ind w:left="160"/>
              <w:spacing w:after="0"/>
              <w:rPr>
                <w:sz w:val="20"/>
                <w:szCs w:val="20"/>
                <w:color w:val="auto"/>
              </w:rPr>
            </w:pPr>
            <w:r>
              <w:rPr>
                <w:rFonts w:ascii="Arial" w:cs="Arial" w:eastAsia="Arial" w:hAnsi="Arial"/>
                <w:sz w:val="22"/>
                <w:szCs w:val="22"/>
                <w:color w:val="auto"/>
              </w:rPr>
              <w:t>Debt Financing</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38</w:t>
              </w:r>
            </w:hyperlink>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5.11</w:t>
            </w:r>
          </w:p>
        </w:tc>
        <w:tc>
          <w:tcPr>
            <w:tcW w:w="9840" w:type="dxa"/>
            <w:vAlign w:val="bottom"/>
          </w:tcPr>
          <w:p>
            <w:pPr>
              <w:ind w:left="160"/>
              <w:spacing w:after="0"/>
              <w:rPr>
                <w:sz w:val="20"/>
                <w:szCs w:val="20"/>
                <w:color w:val="auto"/>
              </w:rPr>
            </w:pPr>
            <w:r>
              <w:rPr>
                <w:rFonts w:ascii="Arial" w:cs="Arial" w:eastAsia="Arial" w:hAnsi="Arial"/>
                <w:sz w:val="22"/>
                <w:szCs w:val="22"/>
                <w:color w:val="auto"/>
              </w:rPr>
              <w:t>R&amp;W Insurance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32"/>
          </w:cols>
          <w:pgMar w:left="328" w:top="132" w:right="339" w:bottom="1117" w:gutter="0" w:footer="0" w:header="0"/>
        </w:sectPr>
      </w:pPr>
    </w:p>
    <w:p>
      <w:pPr>
        <w:spacing w:after="0" w:line="51" w:lineRule="exact"/>
        <w:rPr>
          <w:sz w:val="20"/>
          <w:szCs w:val="20"/>
          <w:color w:val="auto"/>
        </w:rPr>
      </w:pPr>
    </w:p>
    <w:p>
      <w:pPr>
        <w:ind w:left="-8" w:right="300" w:firstLine="8"/>
        <w:spacing w:after="0" w:line="277" w:lineRule="auto"/>
        <w:tabs>
          <w:tab w:leader="none" w:pos="2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32"/>
          </w:cols>
          <w:pgMar w:left="328" w:top="132" w:right="339" w:bottom="1117" w:gutter="0" w:footer="0" w:header="0"/>
          <w:type w:val="continuous"/>
        </w:sectPr>
      </w:pPr>
    </w:p>
    <w:bookmarkStart w:id="86" w:name="page87"/>
    <w:bookmarkEnd w:id="86"/>
    <w:tbl>
      <w:tblPr>
        <w:tblLayout w:type="fixed"/>
        <w:tblInd w:w="12"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7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Table of Contents</w:t>
            </w:r>
          </w:p>
        </w:tc>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(continued)</w:t>
            </w:r>
          </w:p>
        </w:tc>
        <w:tc>
          <w:tcPr>
            <w:tcW w:w="2380" w:type="dxa"/>
            <w:vAlign w:val="bottom"/>
          </w:tcPr>
          <w:p>
            <w:pPr>
              <w:spacing w:after="0"/>
              <w:rPr>
                <w:sz w:val="24"/>
                <w:szCs w:val="24"/>
                <w:color w:val="auto"/>
              </w:rPr>
            </w:pPr>
          </w:p>
        </w:tc>
        <w:tc>
          <w:tcPr>
            <w:tcW w:w="2040" w:type="dxa"/>
            <w:vAlign w:val="bottom"/>
            <w:vMerge w:val="restart"/>
          </w:tcPr>
          <w:p>
            <w:pPr>
              <w:spacing w:after="0"/>
              <w:rPr>
                <w:sz w:val="24"/>
                <w:szCs w:val="24"/>
                <w:color w:val="auto"/>
              </w:rPr>
            </w:pPr>
          </w:p>
        </w:tc>
        <w:tc>
          <w:tcPr>
            <w:tcW w:w="420" w:type="dxa"/>
            <w:vAlign w:val="bottom"/>
            <w:gridSpan w:val="3"/>
            <w:vMerge w:val="restart"/>
          </w:tcPr>
          <w:p>
            <w:pPr>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42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7"/>
        </w:trPr>
        <w:tc>
          <w:tcPr>
            <w:tcW w:w="1140" w:type="dxa"/>
            <w:vAlign w:val="bottom"/>
          </w:tcPr>
          <w:p>
            <w:pPr>
              <w:spacing w:after="0"/>
              <w:rPr>
                <w:sz w:val="20"/>
                <w:szCs w:val="20"/>
                <w:color w:val="auto"/>
              </w:rPr>
            </w:pPr>
            <w:r>
              <w:rPr>
                <w:rFonts w:ascii="Arial" w:cs="Arial" w:eastAsia="Arial" w:hAnsi="Arial"/>
                <w:sz w:val="22"/>
                <w:szCs w:val="22"/>
                <w:color w:val="auto"/>
                <w:w w:val="91"/>
              </w:rPr>
              <w:t>Section 5.12</w:t>
            </w:r>
          </w:p>
        </w:tc>
        <w:tc>
          <w:tcPr>
            <w:tcW w:w="7620" w:type="dxa"/>
            <w:vAlign w:val="bottom"/>
            <w:gridSpan w:val="3"/>
          </w:tcPr>
          <w:p>
            <w:pPr>
              <w:ind w:left="160"/>
              <w:spacing w:after="0"/>
              <w:rPr>
                <w:sz w:val="20"/>
                <w:szCs w:val="20"/>
                <w:color w:val="auto"/>
              </w:rPr>
            </w:pPr>
            <w:r>
              <w:rPr>
                <w:rFonts w:ascii="Arial" w:cs="Arial" w:eastAsia="Arial" w:hAnsi="Arial"/>
                <w:sz w:val="22"/>
                <w:szCs w:val="22"/>
                <w:color w:val="auto"/>
              </w:rPr>
              <w:t>Required Information</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760" w:type="dxa"/>
            <w:vAlign w:val="bottom"/>
            <w:gridSpan w:val="4"/>
          </w:tcPr>
          <w:p>
            <w:pPr>
              <w:spacing w:after="0"/>
              <w:rPr>
                <w:sz w:val="20"/>
                <w:szCs w:val="20"/>
                <w:color w:val="auto"/>
              </w:rPr>
            </w:pPr>
            <w:r>
              <w:rPr>
                <w:rFonts w:ascii="Arial" w:cs="Arial" w:eastAsia="Arial" w:hAnsi="Arial"/>
                <w:sz w:val="22"/>
                <w:szCs w:val="22"/>
                <w:color w:val="auto"/>
              </w:rPr>
              <w:t>Section 5.13  Code Section 280G</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w w:val="91"/>
              </w:rPr>
              <w:t>Section 5.14</w:t>
            </w:r>
          </w:p>
        </w:tc>
        <w:tc>
          <w:tcPr>
            <w:tcW w:w="7620" w:type="dxa"/>
            <w:vAlign w:val="bottom"/>
            <w:gridSpan w:val="3"/>
          </w:tcPr>
          <w:p>
            <w:pPr>
              <w:ind w:left="160"/>
              <w:spacing w:after="0"/>
              <w:rPr>
                <w:sz w:val="20"/>
                <w:szCs w:val="20"/>
                <w:color w:val="auto"/>
              </w:rPr>
            </w:pPr>
            <w:r>
              <w:rPr>
                <w:rFonts w:ascii="Arial" w:cs="Arial" w:eastAsia="Arial" w:hAnsi="Arial"/>
                <w:sz w:val="22"/>
                <w:szCs w:val="22"/>
                <w:color w:val="auto"/>
              </w:rPr>
              <w:t>Further Assurances</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w w:val="91"/>
              </w:rPr>
              <w:t>Section 5.15</w:t>
            </w:r>
          </w:p>
        </w:tc>
        <w:tc>
          <w:tcPr>
            <w:tcW w:w="7620" w:type="dxa"/>
            <w:vAlign w:val="bottom"/>
            <w:gridSpan w:val="3"/>
          </w:tcPr>
          <w:p>
            <w:pPr>
              <w:ind w:left="160"/>
              <w:spacing w:after="0"/>
              <w:rPr>
                <w:sz w:val="20"/>
                <w:szCs w:val="20"/>
                <w:color w:val="auto"/>
              </w:rPr>
            </w:pPr>
            <w:r>
              <w:rPr>
                <w:rFonts w:ascii="Arial" w:cs="Arial" w:eastAsia="Arial" w:hAnsi="Arial"/>
                <w:sz w:val="22"/>
                <w:szCs w:val="22"/>
                <w:color w:val="auto"/>
              </w:rPr>
              <w:t>Exclusivity</w:t>
            </w:r>
          </w:p>
        </w:tc>
        <w:tc>
          <w:tcPr>
            <w:tcW w:w="2440" w:type="dxa"/>
            <w:vAlign w:val="bottom"/>
            <w:gridSpan w:val="3"/>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95"/>
              </w:rPr>
              <w:t>Article 6</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89"/>
              </w:rPr>
              <w:t>Tax Matters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40" w:type="dxa"/>
            <w:vAlign w:val="bottom"/>
          </w:tcPr>
          <w:p>
            <w:pPr>
              <w:spacing w:after="0"/>
              <w:rPr>
                <w:sz w:val="20"/>
                <w:szCs w:val="20"/>
                <w:color w:val="auto"/>
              </w:rPr>
            </w:pPr>
            <w:r>
              <w:rPr>
                <w:rFonts w:ascii="Arial" w:cs="Arial" w:eastAsia="Arial" w:hAnsi="Arial"/>
                <w:sz w:val="22"/>
                <w:szCs w:val="22"/>
                <w:color w:val="auto"/>
              </w:rPr>
              <w:t>Section 6.1</w:t>
            </w:r>
          </w:p>
        </w:tc>
        <w:tc>
          <w:tcPr>
            <w:tcW w:w="7620" w:type="dxa"/>
            <w:vAlign w:val="bottom"/>
            <w:gridSpan w:val="3"/>
          </w:tcPr>
          <w:p>
            <w:pPr>
              <w:ind w:left="60"/>
              <w:spacing w:after="0"/>
              <w:rPr>
                <w:sz w:val="20"/>
                <w:szCs w:val="20"/>
                <w:color w:val="auto"/>
              </w:rPr>
            </w:pPr>
            <w:r>
              <w:rPr>
                <w:rFonts w:ascii="Arial" w:cs="Arial" w:eastAsia="Arial" w:hAnsi="Arial"/>
                <w:sz w:val="22"/>
                <w:szCs w:val="22"/>
                <w:color w:val="auto"/>
              </w:rPr>
              <w:t>Cooperation</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22"/>
                <w:szCs w:val="22"/>
                <w:color w:val="auto"/>
              </w:rPr>
              <w:t>Section 6.2</w:t>
            </w:r>
          </w:p>
        </w:tc>
        <w:tc>
          <w:tcPr>
            <w:tcW w:w="7620" w:type="dxa"/>
            <w:vAlign w:val="bottom"/>
            <w:gridSpan w:val="3"/>
          </w:tcPr>
          <w:p>
            <w:pPr>
              <w:ind w:left="60"/>
              <w:spacing w:after="0"/>
              <w:rPr>
                <w:sz w:val="20"/>
                <w:szCs w:val="20"/>
                <w:color w:val="auto"/>
              </w:rPr>
            </w:pPr>
            <w:r>
              <w:rPr>
                <w:rFonts w:ascii="Arial" w:cs="Arial" w:eastAsia="Arial" w:hAnsi="Arial"/>
                <w:sz w:val="22"/>
                <w:szCs w:val="22"/>
                <w:color w:val="auto"/>
              </w:rPr>
              <w:t>Transfer Taxes</w:t>
            </w:r>
          </w:p>
        </w:tc>
        <w:tc>
          <w:tcPr>
            <w:tcW w:w="2440" w:type="dxa"/>
            <w:vAlign w:val="bottom"/>
            <w:gridSpan w:val="3"/>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95"/>
              </w:rPr>
              <w:t>Article 7</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4"/>
                <w:szCs w:val="24"/>
                <w:color w:val="auto"/>
              </w:rPr>
            </w:pPr>
          </w:p>
        </w:tc>
        <w:tc>
          <w:tcPr>
            <w:tcW w:w="7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Conditions Precedent</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8760" w:type="dxa"/>
            <w:vAlign w:val="bottom"/>
            <w:gridSpan w:val="4"/>
          </w:tcPr>
          <w:p>
            <w:pPr>
              <w:spacing w:after="0"/>
              <w:rPr>
                <w:sz w:val="20"/>
                <w:szCs w:val="20"/>
                <w:color w:val="auto"/>
              </w:rPr>
            </w:pPr>
            <w:r>
              <w:rPr>
                <w:rFonts w:ascii="Arial" w:cs="Arial" w:eastAsia="Arial" w:hAnsi="Arial"/>
                <w:sz w:val="22"/>
                <w:szCs w:val="22"/>
                <w:color w:val="auto"/>
              </w:rPr>
              <w:t>Section 7.1  Conditions to Obligations of the Company, Carlyle and Investor</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760" w:type="dxa"/>
            <w:vAlign w:val="bottom"/>
            <w:gridSpan w:val="4"/>
          </w:tcPr>
          <w:p>
            <w:pPr>
              <w:spacing w:after="0"/>
              <w:rPr>
                <w:sz w:val="20"/>
                <w:szCs w:val="20"/>
                <w:color w:val="auto"/>
              </w:rPr>
            </w:pPr>
            <w:r>
              <w:rPr>
                <w:rFonts w:ascii="Arial" w:cs="Arial" w:eastAsia="Arial" w:hAnsi="Arial"/>
                <w:sz w:val="22"/>
                <w:szCs w:val="22"/>
                <w:color w:val="auto"/>
              </w:rPr>
              <w:t>Section 7.2  Conditions to Obligations of Investor</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760" w:type="dxa"/>
            <w:vAlign w:val="bottom"/>
            <w:gridSpan w:val="4"/>
          </w:tcPr>
          <w:p>
            <w:pPr>
              <w:spacing w:after="0"/>
              <w:rPr>
                <w:sz w:val="20"/>
                <w:szCs w:val="20"/>
                <w:color w:val="auto"/>
              </w:rPr>
            </w:pPr>
            <w:r>
              <w:rPr>
                <w:rFonts w:ascii="Arial" w:cs="Arial" w:eastAsia="Arial" w:hAnsi="Arial"/>
                <w:sz w:val="22"/>
                <w:szCs w:val="22"/>
                <w:color w:val="auto"/>
              </w:rPr>
              <w:t>Section 7.3  Conditions to Obligations of the Company and Carlyle</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760" w:type="dxa"/>
            <w:vAlign w:val="bottom"/>
            <w:gridSpan w:val="4"/>
          </w:tcPr>
          <w:p>
            <w:pPr>
              <w:spacing w:after="0"/>
              <w:rPr>
                <w:sz w:val="20"/>
                <w:szCs w:val="20"/>
                <w:color w:val="auto"/>
              </w:rPr>
            </w:pPr>
            <w:r>
              <w:rPr>
                <w:rFonts w:ascii="Arial" w:cs="Arial" w:eastAsia="Arial" w:hAnsi="Arial"/>
                <w:sz w:val="22"/>
                <w:szCs w:val="22"/>
                <w:color w:val="auto"/>
              </w:rPr>
              <w:t>Section 7.4  Frustration of Closing Conditions</w:t>
            </w:r>
          </w:p>
        </w:tc>
        <w:tc>
          <w:tcPr>
            <w:tcW w:w="2440" w:type="dxa"/>
            <w:vAlign w:val="bottom"/>
            <w:gridSpan w:val="3"/>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46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95"/>
              </w:rPr>
              <w:t>Article 8</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380"/>
              <w:spacing w:after="0"/>
              <w:rPr>
                <w:sz w:val="20"/>
                <w:szCs w:val="20"/>
                <w:color w:val="auto"/>
              </w:rPr>
            </w:pPr>
            <w:r>
              <w:rPr>
                <w:rFonts w:ascii="Arial" w:cs="Arial" w:eastAsia="Arial" w:hAnsi="Arial"/>
                <w:sz w:val="22"/>
                <w:szCs w:val="22"/>
                <w:color w:val="auto"/>
                <w:w w:val="91"/>
              </w:rPr>
              <w:t>Termination</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40" w:type="dxa"/>
            <w:vAlign w:val="bottom"/>
          </w:tcPr>
          <w:p>
            <w:pPr>
              <w:spacing w:after="0"/>
              <w:rPr>
                <w:sz w:val="20"/>
                <w:szCs w:val="20"/>
                <w:color w:val="auto"/>
              </w:rPr>
            </w:pPr>
            <w:r>
              <w:rPr>
                <w:rFonts w:ascii="Arial" w:cs="Arial" w:eastAsia="Arial" w:hAnsi="Arial"/>
                <w:sz w:val="22"/>
                <w:szCs w:val="22"/>
                <w:color w:val="auto"/>
              </w:rPr>
              <w:t>Section 8.1</w:t>
            </w:r>
          </w:p>
        </w:tc>
        <w:tc>
          <w:tcPr>
            <w:tcW w:w="7620" w:type="dxa"/>
            <w:vAlign w:val="bottom"/>
            <w:gridSpan w:val="3"/>
          </w:tcPr>
          <w:p>
            <w:pPr>
              <w:ind w:left="60"/>
              <w:spacing w:after="0"/>
              <w:rPr>
                <w:sz w:val="20"/>
                <w:szCs w:val="20"/>
                <w:color w:val="auto"/>
              </w:rPr>
            </w:pPr>
            <w:r>
              <w:rPr>
                <w:rFonts w:ascii="Arial" w:cs="Arial" w:eastAsia="Arial" w:hAnsi="Arial"/>
                <w:sz w:val="22"/>
                <w:szCs w:val="22"/>
                <w:color w:val="auto"/>
              </w:rPr>
              <w:t>Termination</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760" w:type="dxa"/>
            <w:vAlign w:val="bottom"/>
            <w:gridSpan w:val="4"/>
          </w:tcPr>
          <w:p>
            <w:pPr>
              <w:spacing w:after="0"/>
              <w:rPr>
                <w:sz w:val="20"/>
                <w:szCs w:val="20"/>
                <w:color w:val="auto"/>
              </w:rPr>
            </w:pPr>
            <w:r>
              <w:rPr>
                <w:rFonts w:ascii="Arial" w:cs="Arial" w:eastAsia="Arial" w:hAnsi="Arial"/>
                <w:sz w:val="22"/>
                <w:szCs w:val="22"/>
                <w:color w:val="auto"/>
              </w:rPr>
              <w:t>Section 8.2  Effect of Termination</w:t>
            </w:r>
          </w:p>
        </w:tc>
        <w:tc>
          <w:tcPr>
            <w:tcW w:w="2440" w:type="dxa"/>
            <w:vAlign w:val="bottom"/>
            <w:gridSpan w:val="3"/>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47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95"/>
              </w:rPr>
              <w:t>Article 9</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380"/>
              <w:spacing w:after="0"/>
              <w:rPr>
                <w:sz w:val="20"/>
                <w:szCs w:val="20"/>
                <w:color w:val="auto"/>
              </w:rPr>
            </w:pPr>
            <w:r>
              <w:rPr>
                <w:rFonts w:ascii="Arial" w:cs="Arial" w:eastAsia="Arial" w:hAnsi="Arial"/>
                <w:sz w:val="22"/>
                <w:szCs w:val="22"/>
                <w:color w:val="auto"/>
                <w:w w:val="95"/>
              </w:rPr>
              <w:t>Definitions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40" w:type="dxa"/>
            <w:vAlign w:val="bottom"/>
          </w:tcPr>
          <w:p>
            <w:pPr>
              <w:spacing w:after="0"/>
              <w:rPr>
                <w:sz w:val="20"/>
                <w:szCs w:val="20"/>
                <w:color w:val="auto"/>
              </w:rPr>
            </w:pPr>
            <w:r>
              <w:rPr>
                <w:rFonts w:ascii="Arial" w:cs="Arial" w:eastAsia="Arial" w:hAnsi="Arial"/>
                <w:sz w:val="22"/>
                <w:szCs w:val="22"/>
                <w:color w:val="auto"/>
              </w:rPr>
              <w:t>Section 9.1</w:t>
            </w:r>
          </w:p>
        </w:tc>
        <w:tc>
          <w:tcPr>
            <w:tcW w:w="7620" w:type="dxa"/>
            <w:vAlign w:val="bottom"/>
            <w:gridSpan w:val="3"/>
          </w:tcPr>
          <w:p>
            <w:pPr>
              <w:ind w:left="60"/>
              <w:spacing w:after="0"/>
              <w:rPr>
                <w:sz w:val="20"/>
                <w:szCs w:val="20"/>
                <w:color w:val="auto"/>
              </w:rPr>
            </w:pPr>
            <w:r>
              <w:rPr>
                <w:rFonts w:ascii="Arial" w:cs="Arial" w:eastAsia="Arial" w:hAnsi="Arial"/>
                <w:sz w:val="22"/>
                <w:szCs w:val="22"/>
                <w:color w:val="auto"/>
              </w:rPr>
              <w:t>Certain Terms</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47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22"/>
                <w:szCs w:val="22"/>
                <w:color w:val="auto"/>
              </w:rPr>
              <w:t>Section 9.2</w:t>
            </w:r>
          </w:p>
        </w:tc>
        <w:tc>
          <w:tcPr>
            <w:tcW w:w="7620" w:type="dxa"/>
            <w:vAlign w:val="bottom"/>
            <w:gridSpan w:val="3"/>
          </w:tcPr>
          <w:p>
            <w:pPr>
              <w:ind w:left="60"/>
              <w:spacing w:after="0"/>
              <w:rPr>
                <w:sz w:val="20"/>
                <w:szCs w:val="20"/>
                <w:color w:val="auto"/>
              </w:rPr>
            </w:pPr>
            <w:r>
              <w:rPr>
                <w:rFonts w:ascii="Arial" w:cs="Arial" w:eastAsia="Arial" w:hAnsi="Arial"/>
                <w:sz w:val="22"/>
                <w:szCs w:val="22"/>
                <w:color w:val="auto"/>
              </w:rPr>
              <w:t>Construction</w:t>
            </w:r>
          </w:p>
        </w:tc>
        <w:tc>
          <w:tcPr>
            <w:tcW w:w="2440" w:type="dxa"/>
            <w:vAlign w:val="bottom"/>
            <w:gridSpan w:val="3"/>
          </w:tcPr>
          <w:p>
            <w:pPr>
              <w:jc w:val="right"/>
              <w:spacing w:after="0"/>
              <w:rPr>
                <w:rFonts w:ascii="Arial" w:cs="Arial" w:eastAsia="Arial" w:hAnsi="Arial"/>
                <w:sz w:val="22"/>
                <w:szCs w:val="22"/>
                <w:color w:val="auto"/>
              </w:rPr>
            </w:pPr>
            <w:hyperlink w:anchor="page88">
              <w:r>
                <w:rPr>
                  <w:rFonts w:ascii="Arial" w:cs="Arial" w:eastAsia="Arial" w:hAnsi="Arial"/>
                  <w:sz w:val="22"/>
                  <w:szCs w:val="22"/>
                  <w:color w:val="auto"/>
                </w:rPr>
                <w:t>64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95"/>
              </w:rPr>
              <w:t>Article 10</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gridSpan w:val="2"/>
          </w:tcPr>
          <w:p>
            <w:pPr>
              <w:jc w:val="center"/>
              <w:ind w:right="2400"/>
              <w:spacing w:after="0"/>
              <w:rPr>
                <w:sz w:val="20"/>
                <w:szCs w:val="20"/>
                <w:color w:val="auto"/>
              </w:rPr>
            </w:pPr>
            <w:r>
              <w:rPr>
                <w:rFonts w:ascii="Arial" w:cs="Arial" w:eastAsia="Arial" w:hAnsi="Arial"/>
                <w:sz w:val="22"/>
                <w:szCs w:val="22"/>
                <w:color w:val="auto"/>
                <w:w w:val="88"/>
              </w:rPr>
              <w:t>Miscellaneous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40" w:type="dxa"/>
            <w:vAlign w:val="bottom"/>
          </w:tcPr>
          <w:p>
            <w:pPr>
              <w:spacing w:after="0"/>
              <w:rPr>
                <w:sz w:val="20"/>
                <w:szCs w:val="20"/>
                <w:color w:val="auto"/>
              </w:rPr>
            </w:pPr>
            <w:r>
              <w:rPr>
                <w:rFonts w:ascii="Arial" w:cs="Arial" w:eastAsia="Arial" w:hAnsi="Arial"/>
                <w:sz w:val="22"/>
                <w:szCs w:val="22"/>
                <w:color w:val="auto"/>
                <w:w w:val="91"/>
              </w:rPr>
              <w:t>Section 10.1</w:t>
            </w:r>
          </w:p>
        </w:tc>
        <w:tc>
          <w:tcPr>
            <w:tcW w:w="7620" w:type="dxa"/>
            <w:vAlign w:val="bottom"/>
            <w:gridSpan w:val="3"/>
          </w:tcPr>
          <w:p>
            <w:pPr>
              <w:ind w:left="160"/>
              <w:spacing w:after="0"/>
              <w:rPr>
                <w:sz w:val="20"/>
                <w:szCs w:val="20"/>
                <w:color w:val="auto"/>
              </w:rPr>
            </w:pPr>
            <w:r>
              <w:rPr>
                <w:rFonts w:ascii="Arial" w:cs="Arial" w:eastAsia="Arial" w:hAnsi="Arial"/>
                <w:sz w:val="22"/>
                <w:szCs w:val="22"/>
                <w:color w:val="auto"/>
              </w:rPr>
              <w:t>Notices</w:t>
            </w:r>
          </w:p>
        </w:tc>
        <w:tc>
          <w:tcPr>
            <w:tcW w:w="222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32"/>
          </w:cols>
          <w:pgMar w:left="328" w:top="103" w:right="339" w:bottom="1440" w:gutter="0" w:footer="0" w:header="0"/>
        </w:sectPr>
      </w:pPr>
    </w:p>
    <w:p>
      <w:pPr>
        <w:spacing w:after="0" w:line="51" w:lineRule="exact"/>
        <w:rPr>
          <w:sz w:val="20"/>
          <w:szCs w:val="20"/>
          <w:color w:val="auto"/>
        </w:rPr>
      </w:pPr>
    </w:p>
    <w:p>
      <w:pPr>
        <w:ind w:left="-8" w:right="300" w:firstLine="8"/>
        <w:spacing w:after="0" w:line="277" w:lineRule="auto"/>
        <w:tabs>
          <w:tab w:leader="none" w:pos="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32"/>
          </w:cols>
          <w:pgMar w:left="328" w:top="103"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0980" w:type="dxa"/>
            <w:vAlign w:val="bottom"/>
            <w:gridSpan w:val="2"/>
          </w:tcPr>
          <w:p>
            <w:pPr>
              <w:spacing w:after="0"/>
              <w:rPr>
                <w:sz w:val="20"/>
                <w:szCs w:val="20"/>
                <w:color w:val="auto"/>
              </w:rPr>
            </w:pPr>
            <w:r>
              <w:rPr>
                <w:rFonts w:ascii="Arial" w:cs="Arial" w:eastAsia="Arial" w:hAnsi="Arial"/>
                <w:sz w:val="22"/>
                <w:szCs w:val="22"/>
                <w:color w:val="auto"/>
              </w:rPr>
              <w:t>Section 10.2  Amendment; Waivers, etc</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66</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9"/>
              </w:rPr>
              <w:t>Section 10.3</w:t>
            </w:r>
          </w:p>
        </w:tc>
        <w:tc>
          <w:tcPr>
            <w:tcW w:w="9740" w:type="dxa"/>
            <w:vAlign w:val="bottom"/>
          </w:tcPr>
          <w:p>
            <w:pPr>
              <w:ind w:left="60"/>
              <w:spacing w:after="0"/>
              <w:rPr>
                <w:sz w:val="20"/>
                <w:szCs w:val="20"/>
                <w:color w:val="auto"/>
              </w:rPr>
            </w:pPr>
            <w:r>
              <w:rPr>
                <w:rFonts w:ascii="Arial" w:cs="Arial" w:eastAsia="Arial" w:hAnsi="Arial"/>
                <w:sz w:val="22"/>
                <w:szCs w:val="22"/>
                <w:color w:val="auto"/>
              </w:rPr>
              <w:t>Expenses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67</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10.4  Governing Law, etc</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67</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10.5  Successors and Assigns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68</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9"/>
              </w:rPr>
              <w:t>Section 10.6</w:t>
            </w:r>
          </w:p>
        </w:tc>
        <w:tc>
          <w:tcPr>
            <w:tcW w:w="9740" w:type="dxa"/>
            <w:vAlign w:val="bottom"/>
          </w:tcPr>
          <w:p>
            <w:pPr>
              <w:ind w:left="60"/>
              <w:spacing w:after="0"/>
              <w:rPr>
                <w:sz w:val="20"/>
                <w:szCs w:val="20"/>
                <w:color w:val="auto"/>
              </w:rPr>
            </w:pPr>
            <w:r>
              <w:rPr>
                <w:rFonts w:ascii="Arial" w:cs="Arial" w:eastAsia="Arial" w:hAnsi="Arial"/>
                <w:sz w:val="22"/>
                <w:szCs w:val="22"/>
                <w:color w:val="auto"/>
              </w:rPr>
              <w:t>Entire Agreement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68</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9"/>
              </w:rPr>
              <w:t>Section 10.7</w:t>
            </w:r>
          </w:p>
        </w:tc>
        <w:tc>
          <w:tcPr>
            <w:tcW w:w="974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68</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9"/>
              </w:rPr>
              <w:t>Section 10.8</w:t>
            </w:r>
          </w:p>
        </w:tc>
        <w:tc>
          <w:tcPr>
            <w:tcW w:w="9740" w:type="dxa"/>
            <w:vAlign w:val="bottom"/>
          </w:tcPr>
          <w:p>
            <w:pPr>
              <w:ind w:left="60"/>
              <w:spacing w:after="0"/>
              <w:rPr>
                <w:sz w:val="20"/>
                <w:szCs w:val="20"/>
                <w:color w:val="auto"/>
              </w:rPr>
            </w:pPr>
            <w:r>
              <w:rPr>
                <w:rFonts w:ascii="Arial" w:cs="Arial" w:eastAsia="Arial" w:hAnsi="Arial"/>
                <w:sz w:val="22"/>
                <w:szCs w:val="22"/>
                <w:color w:val="auto"/>
              </w:rPr>
              <w:t>Counterparts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68</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9"/>
              </w:rPr>
              <w:t>Section 10.9</w:t>
            </w:r>
          </w:p>
        </w:tc>
        <w:tc>
          <w:tcPr>
            <w:tcW w:w="9740" w:type="dxa"/>
            <w:vAlign w:val="bottom"/>
          </w:tcPr>
          <w:p>
            <w:pPr>
              <w:ind w:left="60"/>
              <w:spacing w:after="0"/>
              <w:rPr>
                <w:sz w:val="20"/>
                <w:szCs w:val="20"/>
                <w:color w:val="auto"/>
              </w:rPr>
            </w:pPr>
            <w:r>
              <w:rPr>
                <w:rFonts w:ascii="Arial" w:cs="Arial" w:eastAsia="Arial" w:hAnsi="Arial"/>
                <w:sz w:val="22"/>
                <w:szCs w:val="22"/>
                <w:color w:val="auto"/>
              </w:rPr>
              <w:t>Specific Performance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68</w:t>
              </w:r>
            </w:hyperlink>
          </w:p>
        </w:tc>
      </w:tr>
      <w:tr>
        <w:trPr>
          <w:trHeight w:val="290"/>
        </w:trPr>
        <w:tc>
          <w:tcPr>
            <w:tcW w:w="10980" w:type="dxa"/>
            <w:vAlign w:val="bottom"/>
            <w:gridSpan w:val="2"/>
          </w:tcPr>
          <w:p>
            <w:pPr>
              <w:spacing w:after="0"/>
              <w:rPr>
                <w:sz w:val="20"/>
                <w:szCs w:val="20"/>
                <w:color w:val="auto"/>
              </w:rPr>
            </w:pPr>
            <w:r>
              <w:rPr>
                <w:rFonts w:ascii="Arial" w:cs="Arial" w:eastAsia="Arial" w:hAnsi="Arial"/>
                <w:sz w:val="22"/>
                <w:szCs w:val="22"/>
                <w:color w:val="auto"/>
              </w:rPr>
              <w:t>Section 10.10  Parties in Interest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68</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10.11  Representation of the Company and its Affiliates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69</w:t>
              </w:r>
            </w:hyperlink>
          </w:p>
        </w:tc>
      </w:tr>
      <w:tr>
        <w:trPr>
          <w:trHeight w:val="291"/>
        </w:trPr>
        <w:tc>
          <w:tcPr>
            <w:tcW w:w="10980" w:type="dxa"/>
            <w:vAlign w:val="bottom"/>
            <w:gridSpan w:val="2"/>
          </w:tcPr>
          <w:p>
            <w:pPr>
              <w:spacing w:after="0"/>
              <w:rPr>
                <w:sz w:val="20"/>
                <w:szCs w:val="20"/>
                <w:color w:val="auto"/>
              </w:rPr>
            </w:pPr>
            <w:r>
              <w:rPr>
                <w:rFonts w:ascii="Arial" w:cs="Arial" w:eastAsia="Arial" w:hAnsi="Arial"/>
                <w:sz w:val="22"/>
                <w:szCs w:val="22"/>
                <w:color w:val="auto"/>
              </w:rPr>
              <w:t>Section 10.12  Exhibits and Schedules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69</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0"/>
              </w:rPr>
              <w:t>Section 10.13</w:t>
            </w:r>
          </w:p>
        </w:tc>
        <w:tc>
          <w:tcPr>
            <w:tcW w:w="9740" w:type="dxa"/>
            <w:vAlign w:val="bottom"/>
          </w:tcPr>
          <w:p>
            <w:pPr>
              <w:ind w:left="180"/>
              <w:spacing w:after="0"/>
              <w:rPr>
                <w:sz w:val="20"/>
                <w:szCs w:val="20"/>
                <w:color w:val="auto"/>
              </w:rPr>
            </w:pPr>
            <w:r>
              <w:rPr>
                <w:rFonts w:ascii="Arial" w:cs="Arial" w:eastAsia="Arial" w:hAnsi="Arial"/>
                <w:sz w:val="22"/>
                <w:szCs w:val="22"/>
                <w:color w:val="auto"/>
              </w:rPr>
              <w:t>Survival</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69</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0"/>
              </w:rPr>
              <w:t>Section 10.14</w:t>
            </w:r>
          </w:p>
        </w:tc>
        <w:tc>
          <w:tcPr>
            <w:tcW w:w="9740" w:type="dxa"/>
            <w:vAlign w:val="bottom"/>
          </w:tcPr>
          <w:p>
            <w:pPr>
              <w:ind w:left="180"/>
              <w:spacing w:after="0"/>
              <w:rPr>
                <w:sz w:val="20"/>
                <w:szCs w:val="20"/>
                <w:color w:val="auto"/>
              </w:rPr>
            </w:pPr>
            <w:r>
              <w:rPr>
                <w:rFonts w:ascii="Arial" w:cs="Arial" w:eastAsia="Arial" w:hAnsi="Arial"/>
                <w:sz w:val="22"/>
                <w:szCs w:val="22"/>
                <w:color w:val="auto"/>
              </w:rPr>
              <w:t>No Recourse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88">
              <w:r>
                <w:rPr>
                  <w:rFonts w:ascii="Arial" w:cs="Arial" w:eastAsia="Arial" w:hAnsi="Arial"/>
                  <w:sz w:val="22"/>
                  <w:szCs w:val="22"/>
                  <w:color w:val="auto"/>
                  <w:w w:val="81"/>
                </w:rPr>
                <w:t>70</w:t>
              </w:r>
            </w:hyperlink>
          </w:p>
        </w:tc>
      </w:tr>
    </w:tbl>
    <w:p>
      <w:pPr>
        <w:spacing w:after="0" w:line="200" w:lineRule="exact"/>
        <w:rPr>
          <w:sz w:val="20"/>
          <w:szCs w:val="20"/>
          <w:color w:val="auto"/>
        </w:rPr>
      </w:pPr>
    </w:p>
    <w:p>
      <w:pPr>
        <w:spacing w:after="0" w:line="29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Third-Party Equity Investment Terms</w:t>
      </w:r>
    </w:p>
    <w:p>
      <w:pPr>
        <w:spacing w:after="0" w:line="2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19"/>
          <w:szCs w:val="19"/>
          <w:color w:val="auto"/>
        </w:rPr>
        <w:t>Illustrative Calculation of New Shares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Pre-Closing Steps</w:t>
      </w:r>
    </w:p>
    <w:p>
      <w:pPr>
        <w:spacing w:after="0" w:line="2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Stockholders Agreement</w:t>
      </w:r>
    </w:p>
    <w:p>
      <w:pPr>
        <w:spacing w:after="0" w:line="4"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SPAC Transaction Stockholders Agreement Revisions</w:t>
      </w:r>
    </w:p>
    <w:p>
      <w:pPr>
        <w:spacing w:after="0" w:line="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Wholesale Agreement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51" w:lineRule="exact"/>
        <w:rPr>
          <w:sz w:val="20"/>
          <w:szCs w:val="20"/>
          <w:color w:val="auto"/>
        </w:rPr>
      </w:pPr>
    </w:p>
    <w:p>
      <w:pPr>
        <w:ind w:right="30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32"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FRAMEWORK AGREEMENT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FRAMEWORK AGREEMENT, dated as of February 26,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among Twilio Inc., a Delaware corporation (“</w:t>
      </w:r>
      <w:r>
        <w:rPr>
          <w:rFonts w:ascii="Arial" w:cs="Arial" w:eastAsia="Arial" w:hAnsi="Arial"/>
          <w:sz w:val="22"/>
          <w:szCs w:val="22"/>
          <w:u w:val="single" w:color="auto"/>
          <w:color w:val="auto"/>
        </w:rPr>
        <w:t>Investor</w:t>
      </w:r>
      <w:r>
        <w:rPr>
          <w:rFonts w:ascii="Arial" w:cs="Arial" w:eastAsia="Arial" w:hAnsi="Arial"/>
          <w:sz w:val="22"/>
          <w:szCs w:val="22"/>
          <w:color w:val="auto"/>
        </w:rPr>
        <w:t>”), Carlyle Partners V Holdings, L.P., a Delaware limited partnership (“</w:t>
      </w:r>
      <w:r>
        <w:rPr>
          <w:rFonts w:ascii="Arial" w:cs="Arial" w:eastAsia="Arial" w:hAnsi="Arial"/>
          <w:sz w:val="22"/>
          <w:szCs w:val="22"/>
          <w:u w:val="single" w:color="auto"/>
          <w:color w:val="auto"/>
        </w:rPr>
        <w:t>Carlyle</w:t>
      </w:r>
      <w:r>
        <w:rPr>
          <w:rFonts w:ascii="Arial" w:cs="Arial" w:eastAsia="Arial" w:hAnsi="Arial"/>
          <w:sz w:val="22"/>
          <w:szCs w:val="22"/>
          <w:color w:val="auto"/>
        </w:rPr>
        <w:t>”), and Syniverse Corporation,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Capitalized terms used herein shall have the meanings assigned to such terms in the text of this Agreement or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 E C I T A L 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Carlyle owns, directly or indirectly, a majority of the issued and outstanding Shares of the Company;</w:t>
      </w:r>
    </w:p>
    <w:p>
      <w:pPr>
        <w:spacing w:after="0" w:line="231"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WHEREAS, the Company wishes to issue the New Shares to Investor, and Investor wishes to acquire the New Shares from the Company, on the terms and conditions set forth in this Agreement (the “</w:t>
      </w:r>
      <w:r>
        <w:rPr>
          <w:rFonts w:ascii="Arial" w:cs="Arial" w:eastAsia="Arial" w:hAnsi="Arial"/>
          <w:sz w:val="22"/>
          <w:szCs w:val="22"/>
          <w:u w:val="single" w:color="auto"/>
          <w:color w:val="auto"/>
        </w:rPr>
        <w:t>Investment</w:t>
      </w:r>
      <w:r>
        <w:rPr>
          <w:rFonts w:ascii="Arial" w:cs="Arial" w:eastAsia="Arial" w:hAnsi="Arial"/>
          <w:sz w:val="22"/>
          <w:szCs w:val="22"/>
          <w:color w:val="auto"/>
        </w:rPr>
        <w:t>”);</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in connection with the Investment, the Company will pursue a business combination transaction with a SPAC (the “</w:t>
      </w:r>
      <w:r>
        <w:rPr>
          <w:rFonts w:ascii="Arial" w:cs="Arial" w:eastAsia="Arial" w:hAnsi="Arial"/>
          <w:sz w:val="22"/>
          <w:szCs w:val="22"/>
          <w:u w:val="single" w:color="auto"/>
          <w:color w:val="auto"/>
        </w:rPr>
        <w:t>SPAC Merger</w:t>
      </w:r>
      <w:r>
        <w:rPr>
          <w:rFonts w:ascii="Arial" w:cs="Arial" w:eastAsia="Arial" w:hAnsi="Arial"/>
          <w:sz w:val="22"/>
          <w:szCs w:val="22"/>
          <w:color w:val="auto"/>
        </w:rPr>
        <w:t>”) to be consummated immediately following the Investment (the “</w:t>
      </w:r>
      <w:r>
        <w:rPr>
          <w:rFonts w:ascii="Arial" w:cs="Arial" w:eastAsia="Arial" w:hAnsi="Arial"/>
          <w:sz w:val="22"/>
          <w:szCs w:val="22"/>
          <w:u w:val="single" w:color="auto"/>
          <w:color w:val="auto"/>
        </w:rPr>
        <w:t>SPAC Transaction</w:t>
      </w:r>
      <w:r>
        <w:rPr>
          <w:rFonts w:ascii="Arial" w:cs="Arial" w:eastAsia="Arial" w:hAnsi="Arial"/>
          <w:sz w:val="22"/>
          <w:szCs w:val="22"/>
          <w:color w:val="auto"/>
        </w:rPr>
        <w:t>”), consistent with the terms and conditions set forth in this Agreement and as otherwise agreed among the Company, Carlyle, Investor, the SPAC and the other parties to the SPAC Transaction;</w:t>
      </w:r>
    </w:p>
    <w:p>
      <w:pPr>
        <w:spacing w:after="0" w:line="18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WHEREAS, in the event of the SPAC Transaction, the parties’ intend to utilize the proceeds from the SPAC Transaction (including proceeds from the Investment, proceeds raised in the SPAC’s initial public offering, the PIPE Financing and the SPAC Transaction Refinancing) to, among other things, pay transaction fees and expenses and reduce the Company’s aggregate indebtedness;</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WHEREAS, prior to the consummation of the SPAC Transaction, the Company may in the circumstances described herein, at its election, cause the parties to cease pursuing the SPAC Transaction and instead consummate the Investment without involving a SPAC (the “</w:t>
      </w:r>
      <w:r>
        <w:rPr>
          <w:rFonts w:ascii="Arial" w:cs="Arial" w:eastAsia="Arial" w:hAnsi="Arial"/>
          <w:sz w:val="19"/>
          <w:szCs w:val="19"/>
          <w:u w:val="single" w:color="auto"/>
          <w:color w:val="auto"/>
        </w:rPr>
        <w:t>Alternative Transaction</w:t>
      </w:r>
      <w:r>
        <w:rPr>
          <w:rFonts w:ascii="Arial" w:cs="Arial" w:eastAsia="Arial" w:hAnsi="Arial"/>
          <w:sz w:val="19"/>
          <w:szCs w:val="19"/>
          <w:color w:val="auto"/>
        </w:rPr>
        <w:t>”), on the terms and conditions set forth in this Agreement;</w:t>
      </w:r>
    </w:p>
    <w:p>
      <w:pPr>
        <w:spacing w:after="0" w:line="133"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WHEREAS, in the event of the Alternative Transaction, at Investor’s election, subject to the terms and conditions herein, the Company will cause the Pre-Closing Steps to be completed prior to the Closing;</w:t>
      </w:r>
    </w:p>
    <w:p>
      <w:pPr>
        <w:spacing w:after="0" w:line="175"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WHEREAS, in connection with the Alternative Transaction, the parties’ intend to utilize the proceeds from the Alternative Transaction (including proceeds from the Investment, the Third-Party Equity Investment and the Alternative Transaction Refinancing) to, among other things, pay transaction fees and expenses and reduce the Company’s aggregate indebtedness;</w:t>
      </w:r>
    </w:p>
    <w:p>
      <w:pPr>
        <w:spacing w:after="0" w:line="188" w:lineRule="exact"/>
        <w:rPr>
          <w:sz w:val="20"/>
          <w:szCs w:val="20"/>
          <w:color w:val="auto"/>
        </w:rPr>
      </w:pPr>
    </w:p>
    <w:p>
      <w:pPr>
        <w:ind w:right="200" w:firstLine="648"/>
        <w:spacing w:after="0" w:line="343" w:lineRule="auto"/>
        <w:rPr>
          <w:sz w:val="20"/>
          <w:szCs w:val="20"/>
          <w:color w:val="auto"/>
        </w:rPr>
      </w:pPr>
      <w:r>
        <w:rPr>
          <w:rFonts w:ascii="Arial" w:cs="Arial" w:eastAsia="Arial" w:hAnsi="Arial"/>
          <w:sz w:val="19"/>
          <w:szCs w:val="19"/>
          <w:color w:val="auto"/>
        </w:rPr>
        <w:t>WHEREAS, in connection with the transactions contemplated hereby, at the Closing the Company or certain of its Subsidiaries, Carlyle and Investor, as applicable, will enter into the Ancillary Agreements, including the Wholesale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00" w:firstLine="8"/>
        <w:spacing w:after="0" w:line="277"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22" w:right="339" w:bottom="1440" w:gutter="0" w:footer="0" w:header="0"/>
        </w:sectPr>
      </w:pPr>
    </w:p>
    <w:bookmarkStart w:id="89" w:name="page90"/>
    <w:bookmarkEnd w:id="89"/>
    <w:p>
      <w:pPr>
        <w:ind w:right="780" w:firstLine="648"/>
        <w:spacing w:after="0" w:line="343" w:lineRule="auto"/>
        <w:rPr>
          <w:sz w:val="20"/>
          <w:szCs w:val="20"/>
          <w:color w:val="auto"/>
        </w:rPr>
      </w:pPr>
      <w:r>
        <w:rPr>
          <w:rFonts w:ascii="Arial" w:cs="Arial" w:eastAsia="Arial" w:hAnsi="Arial"/>
          <w:sz w:val="19"/>
          <w:szCs w:val="19"/>
          <w:color w:val="auto"/>
        </w:rPr>
        <w:t>NOW, THEREFORE, in consideration of the premises and the mutual representations, warranties, covenants and agreements contained herein, the parties, intending to be legally bound hereby, do agree as set forth herein:</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Investment; Issuance of New Shares</w:t>
      </w:r>
    </w:p>
    <w:p>
      <w:pPr>
        <w:spacing w:after="0" w:line="220"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Upon and subject to the terms and conditions of this Agreement, the closing of the sale and purchase of the New Shares (the “Closing”) shall take place (a) if an Alternative Transaction Election has not been made, at the location and on the same date as, and in connection with, the consummation of the SPAC Merger (subject to the satisfaction or waiver of the conditions in Article 7 applicable to the SPAC Transaction at such time) or (b) if an Alternative Transaction Election has been made, at the offices of Debevoise &amp; Plimpton LLP, 919 Third Avenue, New York, New York 10022, at 10:00 a.m. on the date that is three (3) Business Days after the conditions set forth in Article 7 applicable to the Alternative Transaction have been satisfied or waived (other than those conditions which by their nature are to be satisfied at the Closing but subject to the satisfaction or waiver of those conditions at such time), unless in each case another time, date or place is agreed to in writing by the parties. The date on which the Closing actually occurs is referred to hereinafter as the “Closing Date”. At the Closing:</w:t>
      </w:r>
    </w:p>
    <w:p>
      <w:pPr>
        <w:spacing w:after="0" w:line="157" w:lineRule="exact"/>
        <w:rPr>
          <w:sz w:val="20"/>
          <w:szCs w:val="20"/>
          <w:color w:val="auto"/>
        </w:rPr>
      </w:pPr>
    </w:p>
    <w:p>
      <w:pPr>
        <w:ind w:right="60" w:firstLine="656"/>
        <w:spacing w:after="0" w:line="288" w:lineRule="auto"/>
        <w:tabs>
          <w:tab w:leader="none" w:pos="1347"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Issuance of the New Shares</w:t>
      </w:r>
      <w:r>
        <w:rPr>
          <w:rFonts w:ascii="Arial" w:cs="Arial" w:eastAsia="Arial" w:hAnsi="Arial"/>
          <w:sz w:val="19"/>
          <w:szCs w:val="19"/>
          <w:color w:val="auto"/>
        </w:rPr>
        <w:t>. Upon and subject to the terms and conditions of this Agreement, the Company, shall issue and sell to Investor, and Investor shall purchase from the Company, newly issued Shares (the “</w:t>
      </w:r>
      <w:r>
        <w:rPr>
          <w:rFonts w:ascii="Arial" w:cs="Arial" w:eastAsia="Arial" w:hAnsi="Arial"/>
          <w:sz w:val="19"/>
          <w:szCs w:val="19"/>
          <w:u w:val="single" w:color="auto"/>
          <w:color w:val="auto"/>
        </w:rPr>
        <w:t>New Shares</w:t>
      </w:r>
      <w:r>
        <w:rPr>
          <w:rFonts w:ascii="Arial" w:cs="Arial" w:eastAsia="Arial" w:hAnsi="Arial"/>
          <w:sz w:val="19"/>
          <w:szCs w:val="19"/>
          <w:color w:val="auto"/>
        </w:rPr>
        <w:t xml:space="preserve">”) representing a percentage of the aggregate number of (i) issued and outstanding Shares, (ii) Option Shares in respect of issued and outstanding In-the-Money Options and (iii) RSU Shares in respect of issued and outstanding RSUs, in each case, as of immediately prior to the Closing (after taking into account any grants of RSUs in reliance on Item 1 or Item 2 of </w:t>
      </w:r>
      <w:r>
        <w:rPr>
          <w:rFonts w:ascii="Arial" w:cs="Arial" w:eastAsia="Arial" w:hAnsi="Arial"/>
          <w:sz w:val="19"/>
          <w:szCs w:val="19"/>
          <w:u w:val="single" w:color="auto"/>
          <w:color w:val="auto"/>
        </w:rPr>
        <w:t>Section 5.1(u)</w:t>
      </w:r>
      <w:r>
        <w:rPr>
          <w:rFonts w:ascii="Arial" w:cs="Arial" w:eastAsia="Arial" w:hAnsi="Arial"/>
          <w:sz w:val="19"/>
          <w:szCs w:val="19"/>
          <w:color w:val="auto"/>
        </w:rPr>
        <w:t xml:space="preserve"> of the Company Disclosure Letter and the issuance of the New Shares, but (x) before taking into account equity to be newly issued to the SPAC and investors in the PIPE Financing in connection with the SPAC Transaction and (y) excluding warrants issued in connection with the Third-Party Equity Investment, if any, in connection with the Alternative Transaction) equal to the Investment Percentage, free and clear of all Liens, other than Liens arising under this Agreement or under applicable securities Laws or created or imposed by Investor. An illustrative calculation of the number of New Shares to be issued to Investor at the Closing is attached as </w:t>
      </w:r>
      <w:r>
        <w:rPr>
          <w:rFonts w:ascii="Arial" w:cs="Arial" w:eastAsia="Arial" w:hAnsi="Arial"/>
          <w:sz w:val="19"/>
          <w:szCs w:val="19"/>
          <w:u w:val="single" w:color="auto"/>
          <w:color w:val="auto"/>
        </w:rPr>
        <w:t>Schedule 2</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180" w:firstLine="656"/>
        <w:spacing w:after="0" w:line="271" w:lineRule="auto"/>
        <w:tabs>
          <w:tab w:leader="none" w:pos="1291"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Purchase Price</w:t>
      </w:r>
      <w:r>
        <w:rPr>
          <w:rFonts w:ascii="Arial" w:cs="Arial" w:eastAsia="Arial" w:hAnsi="Arial"/>
          <w:sz w:val="21"/>
          <w:szCs w:val="21"/>
          <w:color w:val="auto"/>
        </w:rPr>
        <w:t>. Investor shall pay the Company, by wire transfer of immediately available funds to such account(s) as the Company shall designate in writing to Investor not less than three (3) Business Days prior to the Closing Date (the “</w:t>
      </w:r>
      <w:r>
        <w:rPr>
          <w:rFonts w:ascii="Arial" w:cs="Arial" w:eastAsia="Arial" w:hAnsi="Arial"/>
          <w:sz w:val="21"/>
          <w:szCs w:val="21"/>
          <w:u w:val="single" w:color="auto"/>
          <w:color w:val="auto"/>
        </w:rPr>
        <w:t>Company Designated Account(s)</w:t>
      </w:r>
      <w:r>
        <w:rPr>
          <w:rFonts w:ascii="Arial" w:cs="Arial" w:eastAsia="Arial" w:hAnsi="Arial"/>
          <w:sz w:val="21"/>
          <w:szCs w:val="21"/>
          <w:color w:val="auto"/>
        </w:rPr>
        <w:t>”), an aggregate amount in cash equal to the Purchase Price.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Purchase Price</w:t>
      </w:r>
    </w:p>
    <w:p>
      <w:pPr>
        <w:spacing w:after="0" w:line="220" w:lineRule="exact"/>
        <w:rPr>
          <w:sz w:val="20"/>
          <w:szCs w:val="20"/>
          <w:color w:val="auto"/>
        </w:rPr>
      </w:pPr>
    </w:p>
    <w:p>
      <w:pPr>
        <w:ind w:right="700" w:firstLine="656"/>
        <w:spacing w:after="0" w:line="263" w:lineRule="auto"/>
        <w:tabs>
          <w:tab w:leader="none" w:pos="1293"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The aggregate consideration for the New Shares shall be an amount in cash equal to (i) the Investment Amount,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SPAC Reduction Amount (if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right="260" w:firstLine="8"/>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8" w:right="379" w:bottom="1440" w:gutter="0" w:footer="0" w:header="0"/>
        </w:sectPr>
      </w:pPr>
    </w:p>
    <w:bookmarkStart w:id="90" w:name="page91"/>
    <w:bookmarkEnd w:id="90"/>
    <w:p>
      <w:pPr>
        <w:ind w:right="460"/>
        <w:spacing w:after="0" w:line="263" w:lineRule="auto"/>
        <w:rPr>
          <w:sz w:val="20"/>
          <w:szCs w:val="20"/>
          <w:color w:val="auto"/>
        </w:rPr>
      </w:pPr>
      <w:r>
        <w:rPr>
          <w:rFonts w:ascii="Arial" w:cs="Arial" w:eastAsia="Arial" w:hAnsi="Arial"/>
          <w:sz w:val="22"/>
          <w:szCs w:val="22"/>
          <w:color w:val="auto"/>
        </w:rPr>
        <w:t xml:space="preserve">an Alternative Transaction Election has not been made) or the Alternative Reduction Amount (if an Alternative Transaction Election has been made) (the calculation resulting from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the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175" w:lineRule="exact"/>
        <w:rPr>
          <w:sz w:val="20"/>
          <w:szCs w:val="20"/>
          <w:color w:val="auto"/>
        </w:rPr>
      </w:pPr>
    </w:p>
    <w:p>
      <w:pPr>
        <w:ind w:right="40" w:firstLine="656"/>
        <w:spacing w:after="0" w:line="287" w:lineRule="auto"/>
        <w:tabs>
          <w:tab w:leader="none" w:pos="129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Closing Statement</w:t>
      </w:r>
      <w:r>
        <w:rPr>
          <w:rFonts w:ascii="Arial" w:cs="Arial" w:eastAsia="Arial" w:hAnsi="Arial"/>
          <w:sz w:val="19"/>
          <w:szCs w:val="19"/>
          <w:color w:val="auto"/>
        </w:rPr>
        <w:t>. No later than three (3) Business Days prior to the Closing Date, the Company shall provide to Investor a statement (the “</w:t>
      </w:r>
      <w:r>
        <w:rPr>
          <w:rFonts w:ascii="Arial" w:cs="Arial" w:eastAsia="Arial" w:hAnsi="Arial"/>
          <w:sz w:val="19"/>
          <w:szCs w:val="19"/>
          <w:u w:val="single" w:color="auto"/>
          <w:color w:val="auto"/>
        </w:rPr>
        <w:t>Closing Statement</w:t>
      </w:r>
      <w:r>
        <w:rPr>
          <w:rFonts w:ascii="Arial" w:cs="Arial" w:eastAsia="Arial" w:hAnsi="Arial"/>
          <w:sz w:val="19"/>
          <w:szCs w:val="19"/>
          <w:color w:val="auto"/>
        </w:rPr>
        <w:t xml:space="preserve">”) setting forth the Company’s good faith calculation of the Purchase Price, the Investment Percentage and the number of New Shares to be issued to Investor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which shall be based upon (i) the Enterprise Value, (ii) the Net Indebtedness Amount, (iii) the Investment Amount, (iv) the SPAC Reduction Amount or Alternative Reduction Amount, as applicable, if any, and (v) Closing Date Leakage, if any, in the case of </w:t>
      </w:r>
      <w:r>
        <w:rPr>
          <w:rFonts w:ascii="Arial" w:cs="Arial" w:eastAsia="Arial" w:hAnsi="Arial"/>
          <w:sz w:val="19"/>
          <w:szCs w:val="19"/>
          <w:u w:val="single" w:color="auto"/>
          <w:color w:val="auto"/>
        </w:rPr>
        <w:t>clauses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delivered with reasonable supporting detail with respect to the calculation of such amounts. The Company shall provide Investor and its representatives reasonable access to information and personnel that Investor reasonably requests relating to the Closing Statement and the Company’s preparation thereof. The Company shall consider in good faith any changes Investor proposes or requests to the Closing Statement and revise such statement if, based on its good faith assessment, such changes are warranted;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in no event shall such obligation require the contemplated Closing Date to be postponed or otherwise delayed and (y) Investor’s review and comments on the Closing Statement shall not be deemed a consent by Investor to the Closing Statement or a waiver by Investor of any claim related thereto.</w:t>
      </w:r>
    </w:p>
    <w:p>
      <w:pPr>
        <w:spacing w:after="0" w:line="159"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Article 2</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Representations and Warranties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Except as set forth the Company Disclosure Letter (subject to </w:t>
      </w:r>
      <w:r>
        <w:rPr>
          <w:rFonts w:ascii="Arial" w:cs="Arial" w:eastAsia="Arial" w:hAnsi="Arial"/>
          <w:sz w:val="19"/>
          <w:szCs w:val="19"/>
          <w:u w:val="single" w:color="auto"/>
          <w:color w:val="auto"/>
        </w:rPr>
        <w:t>Section 10.12</w:t>
      </w:r>
      <w:r>
        <w:rPr>
          <w:rFonts w:ascii="Arial" w:cs="Arial" w:eastAsia="Arial" w:hAnsi="Arial"/>
          <w:sz w:val="19"/>
          <w:szCs w:val="19"/>
          <w:color w:val="auto"/>
        </w:rPr>
        <w:t>), the Company represents and warrants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Investor as of the date of this Agreement and as of Closing as follows:</w:t>
      </w:r>
    </w:p>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Organization and Power</w:t>
      </w:r>
      <w:r>
        <w:rPr>
          <w:rFonts w:ascii="Arial" w:cs="Arial" w:eastAsia="Arial" w:hAnsi="Arial"/>
          <w:sz w:val="19"/>
          <w:szCs w:val="19"/>
          <w:color w:val="auto"/>
        </w:rPr>
        <w:t>. The Company is a corporation duly organized, validly existing and in good standing under the laws of Delaware and has all requisite corporate power and authority to own, lease and operate its material assets, rights and properties and to carry on its businesses as presently conducted. Each of the Company’s Subsidiaries is an entity duly organized, validly existing and in good standing (or the equivalent thereof, where such concept is recognized) under the laws of its jurisdiction of organization and has all requisite corporate, limited liability company or other entity power and authority to own, lease and operate its material assets, rights and properties and to carry on its businesses as presently conducted. Each of the Company and its Subsidiaries is duly qualified or licensed to do business and is in good standing (or the equivalent thereof, where such concept is recognized) in the jurisdictions in which the property and assets owned, leased or operated by the Company or such Subsidiary, or the nature of the business conducted by the Company or such Subsidiary, makes such qualification or licensing necessary, except where the failure to be so duly qualified or licensed and in good standing would not reasonably be expected to, individually or in the aggregate, be material to the Company and its Subsidiaries, taken as a whole, or materially impair or materially delay the Company and its applicable Affiliates from consummating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firstLine="8"/>
        <w:spacing w:after="0" w:line="277"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60"/>
          </w:cols>
          <w:pgMar w:left="320" w:top="1428" w:right="419" w:bottom="1440" w:gutter="0" w:footer="0" w:header="0"/>
        </w:sectPr>
      </w:pPr>
    </w:p>
    <w:bookmarkStart w:id="91" w:name="page92"/>
    <w:bookmarkEnd w:id="91"/>
    <w:p>
      <w:pPr>
        <w:spacing w:after="0" w:line="204"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contemplated by this Agreement or the Ancillary Agreements. The Company has made available to Investor true, correct and complete copies of the Organizational Documents of the Company. The Shares have been duly authorized and validly issued and are fully paid and non-assessable and were issued free and clear of any Liens (other than under those applicable securities Laws or created or imposed by Investor) and issued in compliance with all applicable Laws and the Company’s Organizational Documents.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Authorization.</w:t>
      </w:r>
    </w:p>
    <w:p>
      <w:pPr>
        <w:spacing w:after="0" w:line="220" w:lineRule="exact"/>
        <w:rPr>
          <w:sz w:val="20"/>
          <w:szCs w:val="20"/>
          <w:color w:val="auto"/>
        </w:rPr>
      </w:pPr>
    </w:p>
    <w:p>
      <w:pPr>
        <w:ind w:firstLine="656"/>
        <w:spacing w:after="0" w:line="285" w:lineRule="auto"/>
        <w:tabs>
          <w:tab w:leader="none" w:pos="1293"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Company and its Subsidiaries have all requisite corporate, limited liability company or other entity power and authority to execute and deliver this Agreement and the Ancillary Agreements to which the Company or any of its Subsidiaries is a party, as applicable, and to consummate the transactions contemplated hereby and thereby. Except with respect to the agreements to be negotiated and entered into as part of the SPAC Transaction (including the SPAC Definitive Agreements), the execution, performance and delivery of this Agreement and the Ancillary Agreements to which the Company or any of its Subsidiaries is (or will be) a party and the consummation of the transactions contemplated hereby and thereby by the Company or any of its Subsidiaries, as applicable, have been duly authorized by all requisite corporate, limited liability company or other entity power action of the Company and/or any of its applicable Subsidiaries. This Agreement has been (and the execution, performance and delivery of each of the Ancillary Agreements to which the Company or any of its Subsidiaries will be a party will be) duly executed and delivered by the Company (and, in the case of the Ancillary Agreements, by the Company or any of its applicable Subsidiaries) and constitutes (and each such Ancillary Agreement when so executed and delivered by the Company or the applicable Subsidiary of the Company will constitute) a valid, legal and binding agreement of the Company (and in the case of the Ancillary Agreements, the Company or any of its Subsidiaries party thereto) (assuming that this Agreement has been, and the Ancillary Agreements to which the Company or any of its Subsidiaries is a party will be, duly and validly authorized, executed and delivered by the other Persons party thereto), enforceable against the Company (and in the case of the Ancillary Agreements, the Company or any of its Subsidiaries party thereto) in accordance with its terms, except (i) to the extent that enforceability may be limited by applicable bankruptcy, insolvency, fraudulent conveyance, reorganization, moratorium or other Laws affecting the enforcement of creditors’ rights generally and (ii) that the availability of equitable remedies, including specific performance, is subject to the discretion of the court before which any proceeding thereof may be brought.</w:t>
      </w:r>
    </w:p>
    <w:p>
      <w:pPr>
        <w:spacing w:after="0" w:line="159" w:lineRule="exact"/>
        <w:rPr>
          <w:rFonts w:ascii="Arial" w:cs="Arial" w:eastAsia="Arial" w:hAnsi="Arial"/>
          <w:sz w:val="19"/>
          <w:szCs w:val="19"/>
          <w:color w:val="auto"/>
        </w:rPr>
      </w:pPr>
    </w:p>
    <w:p>
      <w:pPr>
        <w:ind w:right="40" w:firstLine="656"/>
        <w:spacing w:after="0" w:line="260" w:lineRule="auto"/>
        <w:tabs>
          <w:tab w:leader="none" w:pos="1291"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Assuming the truth and accuracy of Carlyle’s representations and warranties contained in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and Investor’s representations and warranties contained in </w:t>
      </w:r>
      <w:r>
        <w:rPr>
          <w:rFonts w:ascii="Arial" w:cs="Arial" w:eastAsia="Arial" w:hAnsi="Arial"/>
          <w:sz w:val="21"/>
          <w:szCs w:val="21"/>
          <w:u w:val="single" w:color="auto"/>
          <w:color w:val="auto"/>
        </w:rPr>
        <w:t>Section 4.2(b)</w:t>
      </w:r>
      <w:r>
        <w:rPr>
          <w:rFonts w:ascii="Arial" w:cs="Arial" w:eastAsia="Arial" w:hAnsi="Arial"/>
          <w:sz w:val="21"/>
          <w:szCs w:val="21"/>
          <w:color w:val="auto"/>
        </w:rPr>
        <w:t xml:space="preserve">, no notices to, filings with or authorizations, registrations, declarations, consents or approvals of any Governmental Authority are necessary for the execution, delivery or performance by the Company or any of its Subsidiaries of this Agreement or the Ancillary Agreements to which the Company or any of its Subsidiaries is a party or the consummation by the Company or any of its Subsidiaries of the transactions contemplated hereby or thereby, except for (i) compliance with and filings under the HSR Act and any other applicable Competition Laws set forth on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of the Company Disclosure Letter, (ii) notices to,</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7" w:lineRule="exact"/>
        <w:rPr>
          <w:rFonts w:ascii="Arial" w:cs="Arial" w:eastAsia="Arial" w:hAnsi="Arial"/>
          <w:sz w:val="21"/>
          <w:szCs w:val="21"/>
          <w:color w:val="auto"/>
        </w:rPr>
      </w:pPr>
    </w:p>
    <w:p>
      <w:pPr>
        <w:ind w:right="300" w:firstLine="8"/>
        <w:spacing w:after="0" w:line="277"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4" w:lineRule="exact"/>
        <w:rPr>
          <w:sz w:val="20"/>
          <w:szCs w:val="20"/>
          <w:color w:val="auto"/>
        </w:rPr>
      </w:pPr>
    </w:p>
    <w:p>
      <w:pPr>
        <w:ind w:right="580"/>
        <w:spacing w:after="0" w:line="291" w:lineRule="auto"/>
        <w:rPr>
          <w:sz w:val="20"/>
          <w:szCs w:val="20"/>
          <w:color w:val="auto"/>
        </w:rPr>
      </w:pPr>
      <w:r>
        <w:rPr>
          <w:rFonts w:ascii="Arial" w:cs="Arial" w:eastAsia="Arial" w:hAnsi="Arial"/>
          <w:sz w:val="19"/>
          <w:szCs w:val="19"/>
          <w:color w:val="auto"/>
        </w:rPr>
        <w:t>filings with or authorizations, registrations, declarations, consents or approvals of any Governmental Authority arising in connection with the SPAC Transaction or the identity of the SPAC or the investors participating in the PIPE Financing, and</w:t>
      </w:r>
    </w:p>
    <w:p>
      <w:pPr>
        <w:spacing w:after="0" w:line="1" w:lineRule="exact"/>
        <w:rPr>
          <w:sz w:val="20"/>
          <w:szCs w:val="20"/>
          <w:color w:val="auto"/>
        </w:rPr>
      </w:pPr>
    </w:p>
    <w:p>
      <w:pPr>
        <w:ind w:right="720" w:firstLine="8"/>
        <w:spacing w:after="0" w:line="246" w:lineRule="auto"/>
        <w:tabs>
          <w:tab w:leader="none" w:pos="37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those the failure of which to obtain or make would not reasonably be expected to, individually or in the aggregate, be material to the Company and its Subsidiaries, taken as a whole.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Non-Contravention</w:t>
      </w:r>
    </w:p>
    <w:p>
      <w:pPr>
        <w:spacing w:after="0" w:line="220" w:lineRule="exact"/>
        <w:rPr>
          <w:sz w:val="20"/>
          <w:szCs w:val="20"/>
          <w:color w:val="auto"/>
        </w:rPr>
      </w:pPr>
    </w:p>
    <w:p>
      <w:pPr>
        <w:ind w:firstLine="8"/>
        <w:spacing w:after="0" w:line="283" w:lineRule="auto"/>
        <w:tabs>
          <w:tab w:leader="none" w:pos="10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execution and delivery by the Company or any of its Subsidiaries of this Agreement and the Ancillary Agreements to which the Company or any of its Subsidiaries is (or will be) a party and the performance of the Company’s or such of its Subsidiaries’ obligations hereunder and thereunder (including the consummation of the transactions contemplated hereunder and thereunder) do not (a) conflict with or result in any breach of any provision of the Organizational Documents of the Company or any of its applicable Subsidiaries, (b) assuming compliance with the matters referred to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violate any applicable Law of any Governmental Authority having jurisdiction over the Company or any of its applicable Subsidiaries, (c) require any consent of or other action by any Person under, or result in a violation or breach of or loss of (or adverse impact on) any benefit or right, or constitute (with or without due notice or lapse of time or both) a default or give rise to any right of termination, amendment, alteration, cancellation or acceleration under, any of the terms, conditions or provisions of any Material Contract, (d) result in a violation or revocation of any material Permit or (e) except as contemplated by this Agreement, result in the creation or imposition of any Lien other than Permitted Liens on any assets of the Company or its Subsidiaries, except, in the case of </w:t>
      </w:r>
      <w:r>
        <w:rPr>
          <w:rFonts w:ascii="Arial" w:cs="Arial" w:eastAsia="Arial" w:hAnsi="Arial"/>
          <w:sz w:val="19"/>
          <w:szCs w:val="19"/>
          <w:u w:val="single" w:color="auto"/>
          <w:color w:val="auto"/>
        </w:rPr>
        <w:t>clauses</w:t>
      </w:r>
    </w:p>
    <w:p>
      <w:pPr>
        <w:spacing w:after="0" w:line="5" w:lineRule="exact"/>
        <w:rPr>
          <w:rFonts w:ascii="Arial" w:cs="Arial" w:eastAsia="Arial" w:hAnsi="Arial"/>
          <w:sz w:val="19"/>
          <w:szCs w:val="19"/>
          <w:color w:val="auto"/>
        </w:rPr>
      </w:pPr>
    </w:p>
    <w:p>
      <w:pPr>
        <w:ind w:right="160"/>
        <w:spacing w:after="0" w:line="262" w:lineRule="auto"/>
        <w:rPr>
          <w:rFonts w:ascii="Arial" w:cs="Arial" w:eastAsia="Arial" w:hAnsi="Arial"/>
          <w:sz w:val="19"/>
          <w:szCs w:val="19"/>
          <w:color w:val="auto"/>
        </w:rPr>
      </w:pP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(c), (d)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w:t>
      </w:r>
      <w:r>
        <w:rPr>
          <w:rFonts w:ascii="Arial" w:cs="Arial" w:eastAsia="Arial" w:hAnsi="Arial"/>
          <w:sz w:val="21"/>
          <w:szCs w:val="21"/>
          <w:color w:val="auto"/>
        </w:rPr>
        <w:t>, as would not reasonably be expected to, individually or in the aggregate, be material to the Company and its Subsidiaries, taken as a whole, or materially impair or materially delay the Company and its applicable Affiliates from consummating the transactions contemplated by this Agreement or the Ancillary Agreements.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Capitalization; Title to Company Equity Interests</w:t>
      </w:r>
      <w:r>
        <w:rPr>
          <w:rFonts w:ascii="Arial" w:cs="Arial" w:eastAsia="Arial" w:hAnsi="Arial"/>
          <w:sz w:val="22"/>
          <w:szCs w:val="22"/>
          <w:color w:val="auto"/>
        </w:rPr>
        <w:t>.</w:t>
      </w:r>
    </w:p>
    <w:p>
      <w:pPr>
        <w:spacing w:after="0" w:line="220" w:lineRule="exact"/>
        <w:rPr>
          <w:sz w:val="20"/>
          <w:szCs w:val="20"/>
          <w:color w:val="auto"/>
        </w:rPr>
      </w:pPr>
    </w:p>
    <w:p>
      <w:pPr>
        <w:ind w:right="180" w:firstLine="656"/>
        <w:spacing w:after="0" w:line="259" w:lineRule="auto"/>
        <w:tabs>
          <w:tab w:leader="none" w:pos="1293" w:val="left"/>
        </w:tabs>
        <w:numPr>
          <w:ilvl w:val="1"/>
          <w:numId w:val="61"/>
        </w:numPr>
        <w:rPr>
          <w:rFonts w:ascii="Arial" w:cs="Arial" w:eastAsia="Arial" w:hAnsi="Arial"/>
          <w:sz w:val="21"/>
          <w:szCs w:val="21"/>
          <w:color w:val="auto"/>
        </w:rPr>
      </w:pPr>
      <w:r>
        <w:rPr>
          <w:rFonts w:ascii="Arial" w:cs="Arial" w:eastAsia="Arial" w:hAnsi="Arial"/>
          <w:sz w:val="21"/>
          <w:szCs w:val="21"/>
          <w:color w:val="auto"/>
        </w:rPr>
        <w:t>As of the date hereof, the authorized capital stock of the Company consists solely of 250,000,000 shares of common stock, with a par value of $0.01 per share (the “</w:t>
      </w:r>
      <w:r>
        <w:rPr>
          <w:rFonts w:ascii="Arial" w:cs="Arial" w:eastAsia="Arial" w:hAnsi="Arial"/>
          <w:sz w:val="21"/>
          <w:szCs w:val="21"/>
          <w:u w:val="single" w:color="auto"/>
          <w:color w:val="auto"/>
        </w:rPr>
        <w:t>Shares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2.4(a)</w:t>
      </w:r>
      <w:r>
        <w:rPr>
          <w:rFonts w:ascii="Arial" w:cs="Arial" w:eastAsia="Arial" w:hAnsi="Arial"/>
          <w:sz w:val="21"/>
          <w:szCs w:val="21"/>
          <w:color w:val="auto"/>
        </w:rPr>
        <w:t xml:space="preserve"> of the Company Disclosure Letter sets forth as of the date hereof (i) the holders of the outstanding Shares (with the names of non-US employees of the Company and its Subsidiaries redacted) and (ii) the total number of Shares held by each such holder. As of the date hereof, the Company has reserved 23,791,667 Shares for issuance (upon grant, exercise or settlement of equity awards) under the Incentive Plan.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2.4(a)</w:t>
      </w:r>
      <w:r>
        <w:rPr>
          <w:rFonts w:ascii="Arial" w:cs="Arial" w:eastAsia="Arial" w:hAnsi="Arial"/>
          <w:sz w:val="21"/>
          <w:szCs w:val="21"/>
          <w:color w:val="auto"/>
        </w:rPr>
        <w:t xml:space="preserve"> of the Company Disclosure Letter sets forth as of the date hereof (A) for the outstanding Options and RSUs, (1) the aggregate number of Shares represented by outstanding unvested Options or RSUs and (2) the aggregate number of Shares represented by outstanding vested Options and (B) with respect to each tranche of outstanding Options, the exercise price and expiration date of such Options.</w:t>
      </w:r>
    </w:p>
    <w:p>
      <w:pPr>
        <w:spacing w:after="0" w:line="179" w:lineRule="exact"/>
        <w:rPr>
          <w:rFonts w:ascii="Arial" w:cs="Arial" w:eastAsia="Arial" w:hAnsi="Arial"/>
          <w:sz w:val="21"/>
          <w:szCs w:val="21"/>
          <w:color w:val="auto"/>
        </w:rPr>
      </w:pPr>
    </w:p>
    <w:p>
      <w:pPr>
        <w:ind w:right="220" w:firstLine="656"/>
        <w:spacing w:after="0" w:line="312" w:lineRule="auto"/>
        <w:tabs>
          <w:tab w:leader="none" w:pos="1291"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Other than those described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or as contemplated by this Agreement (including pursuant to the SPAC Transaction and the Alternative Transaction), there are no outstanding (i) equity securities of the Company, (ii) securities of the Company convertible into or exchangeable or exercisable for, or measured by reference to, equity securities of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1" w:lineRule="exact"/>
        <w:rPr>
          <w:rFonts w:ascii="Arial" w:cs="Arial" w:eastAsia="Arial" w:hAnsi="Arial"/>
          <w:sz w:val="19"/>
          <w:szCs w:val="19"/>
          <w:color w:val="auto"/>
        </w:rPr>
      </w:pPr>
    </w:p>
    <w:p>
      <w:pPr>
        <w:ind w:right="300"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4" w:lineRule="exact"/>
        <w:rPr>
          <w:sz w:val="20"/>
          <w:szCs w:val="20"/>
          <w:color w:val="auto"/>
        </w:rPr>
      </w:pPr>
    </w:p>
    <w:p>
      <w:pPr>
        <w:ind w:right="180"/>
        <w:spacing w:after="0" w:line="248" w:lineRule="auto"/>
        <w:rPr>
          <w:sz w:val="20"/>
          <w:szCs w:val="20"/>
          <w:color w:val="auto"/>
        </w:rPr>
      </w:pPr>
      <w:r>
        <w:rPr>
          <w:rFonts w:ascii="Arial" w:cs="Arial" w:eastAsia="Arial" w:hAnsi="Arial"/>
          <w:sz w:val="22"/>
          <w:szCs w:val="22"/>
          <w:color w:val="auto"/>
        </w:rPr>
        <w:t xml:space="preserve">Company, (iii) options, warrants, calls or other rights to acquire from the Company or obligations of the Company to issue, any equity securities or securities convertible into or exchangeable or exercisable for equity securities of the Company, or (iv) restricted equity, equity appreciation, phantom equity, appreciation rights, contingent value rights, profit participation or similar rights with respect to any equity securities of the Company (the items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being referred to collectively as the “</w:t>
      </w:r>
      <w:r>
        <w:rPr>
          <w:rFonts w:ascii="Arial" w:cs="Arial" w:eastAsia="Arial" w:hAnsi="Arial"/>
          <w:sz w:val="22"/>
          <w:szCs w:val="22"/>
          <w:u w:val="single" w:color="auto"/>
          <w:color w:val="auto"/>
        </w:rPr>
        <w:t>Company Equity Interests</w:t>
      </w:r>
      <w:r>
        <w:rPr>
          <w:rFonts w:ascii="Arial" w:cs="Arial" w:eastAsia="Arial" w:hAnsi="Arial"/>
          <w:sz w:val="22"/>
          <w:szCs w:val="22"/>
          <w:color w:val="auto"/>
        </w:rPr>
        <w:t>”).</w:t>
      </w:r>
    </w:p>
    <w:p>
      <w:pPr>
        <w:spacing w:after="0" w:line="192" w:lineRule="exact"/>
        <w:rPr>
          <w:sz w:val="20"/>
          <w:szCs w:val="20"/>
          <w:color w:val="auto"/>
        </w:rPr>
      </w:pPr>
    </w:p>
    <w:p>
      <w:pPr>
        <w:ind w:right="100" w:firstLine="656"/>
        <w:spacing w:after="0" w:line="250" w:lineRule="auto"/>
        <w:tabs>
          <w:tab w:leader="none" w:pos="1293" w:val="left"/>
        </w:tabs>
        <w:numPr>
          <w:ilvl w:val="0"/>
          <w:numId w:val="62"/>
        </w:numPr>
        <w:rPr>
          <w:rFonts w:ascii="Arial" w:cs="Arial" w:eastAsia="Arial" w:hAnsi="Arial"/>
          <w:sz w:val="22"/>
          <w:szCs w:val="22"/>
          <w:color w:val="auto"/>
        </w:rPr>
      </w:pPr>
      <w:r>
        <w:rPr>
          <w:rFonts w:ascii="Arial" w:cs="Arial" w:eastAsia="Arial" w:hAnsi="Arial"/>
          <w:sz w:val="22"/>
          <w:szCs w:val="22"/>
          <w:color w:val="auto"/>
        </w:rPr>
        <w:t>Other than as contemplated by this Agreement (including the SPAC Transaction and the Alternative Transaction), no Person is party to any right of first refusal, right of first offer, proxy, voting agreement, registration rights agreement, equity holders agreement or any other contract with respect to the sale, issuance, repurchase, redemption, transfer or voting of the Company Equity Interests.</w:t>
      </w:r>
    </w:p>
    <w:p>
      <w:pPr>
        <w:spacing w:after="0" w:line="187" w:lineRule="exact"/>
        <w:rPr>
          <w:rFonts w:ascii="Arial" w:cs="Arial" w:eastAsia="Arial" w:hAnsi="Arial"/>
          <w:sz w:val="22"/>
          <w:szCs w:val="22"/>
          <w:color w:val="auto"/>
        </w:rPr>
      </w:pPr>
    </w:p>
    <w:p>
      <w:pPr>
        <w:ind w:firstLine="656"/>
        <w:spacing w:after="0" w:line="261" w:lineRule="auto"/>
        <w:tabs>
          <w:tab w:leader="none" w:pos="1291"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When issued, the New Shares will have been duly authorized, validly issued and fully paid and non-assessable and issued free and clear of any Liens (other than those arising under this Agreement or under applicable securities Laws or created or imposed by Investor) or rights of first refusal, and, assuming the accuracy of the representations of Investor in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2.2(b)</w:t>
      </w:r>
      <w:r>
        <w:rPr>
          <w:rFonts w:ascii="Arial" w:cs="Arial" w:eastAsia="Arial" w:hAnsi="Arial"/>
          <w:sz w:val="21"/>
          <w:szCs w:val="21"/>
          <w:color w:val="auto"/>
        </w:rPr>
        <w:t>, the New Shares will be issued in compliance with all applicable Laws and the Company’s Organizational Documents (as such Organizational Documents are in effect as of such time, including any amendments entered into following the date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Subsidiaries; Ownership Interests</w:t>
      </w:r>
      <w:r>
        <w:rPr>
          <w:rFonts w:ascii="Arial" w:cs="Arial" w:eastAsia="Arial" w:hAnsi="Arial"/>
          <w:sz w:val="22"/>
          <w:szCs w:val="22"/>
          <w:color w:val="auto"/>
        </w:rPr>
        <w:t>.</w:t>
      </w:r>
    </w:p>
    <w:p>
      <w:pPr>
        <w:spacing w:after="0" w:line="220" w:lineRule="exact"/>
        <w:rPr>
          <w:sz w:val="20"/>
          <w:szCs w:val="20"/>
          <w:color w:val="auto"/>
        </w:rPr>
      </w:pPr>
    </w:p>
    <w:p>
      <w:pPr>
        <w:ind w:right="140" w:firstLine="656"/>
        <w:spacing w:after="0" w:line="263" w:lineRule="auto"/>
        <w:tabs>
          <w:tab w:leader="none" w:pos="1293"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Section 2.5(a)</w:t>
      </w:r>
      <w:r>
        <w:rPr>
          <w:rFonts w:ascii="Arial" w:cs="Arial" w:eastAsia="Arial" w:hAnsi="Arial"/>
          <w:sz w:val="22"/>
          <w:szCs w:val="22"/>
          <w:color w:val="auto"/>
        </w:rPr>
        <w:t xml:space="preserve"> of the Company Disclosure Letter sets forth the Company’s direct or indirect ownership interest in each of its Subsidiaries.</w:t>
      </w:r>
    </w:p>
    <w:p>
      <w:pPr>
        <w:spacing w:after="0" w:line="174" w:lineRule="exact"/>
        <w:rPr>
          <w:rFonts w:ascii="Arial" w:cs="Arial" w:eastAsia="Arial" w:hAnsi="Arial"/>
          <w:sz w:val="22"/>
          <w:szCs w:val="22"/>
          <w:color w:val="auto"/>
        </w:rPr>
      </w:pPr>
    </w:p>
    <w:p>
      <w:pPr>
        <w:ind w:right="60" w:firstLine="656"/>
        <w:spacing w:after="0" w:line="290" w:lineRule="auto"/>
        <w:tabs>
          <w:tab w:leader="none" w:pos="1291"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Other than those described in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or as contemplated by this Agreement (including pursuant to the Pre-Closing Steps), there are no outstanding (i) equity securities of the Company’s Subsidiaries, (ii) securities of the Company’s Subsidiaries convertible into or exchangeable or exercisable for, or measured by reference to, equity securities of the Company’s Subsidiaries, (iii) options, warrants, calls or other rights to acquire from any of the Company’s Subsidiaries or obligations of the Company’s Subsidiaries to issue, any equity securities or securities convertible into or exchangeable or exercisable for equity securities of any of the Company’s Subsidiaries, or (iv) restricted equity, equity appreciation, phantom equity, profit participation or similar rights with respect to any equity securities of the Company’s Subsidiaries (the items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being referred to collectively as the “</w:t>
      </w:r>
      <w:r>
        <w:rPr>
          <w:rFonts w:ascii="Arial" w:cs="Arial" w:eastAsia="Arial" w:hAnsi="Arial"/>
          <w:sz w:val="19"/>
          <w:szCs w:val="19"/>
          <w:u w:val="single" w:color="auto"/>
          <w:color w:val="auto"/>
        </w:rPr>
        <w:t>Subsidiary Equity Interests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right="40" w:firstLine="656"/>
        <w:spacing w:after="0" w:line="253" w:lineRule="auto"/>
        <w:tabs>
          <w:tab w:leader="none" w:pos="1293" w:val="left"/>
        </w:tabs>
        <w:numPr>
          <w:ilvl w:val="1"/>
          <w:numId w:val="63"/>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party to any right of first refusal, right of first offer, proxy, voting agreement, registration rights agreement, equity holders agreement or any other contract with respect to the sale, issuance, repurchase, redemption, transfer or voting of the Subsidiary Equity Interests.</w:t>
      </w:r>
    </w:p>
    <w:p>
      <w:pPr>
        <w:spacing w:after="0" w:line="185" w:lineRule="exact"/>
        <w:rPr>
          <w:rFonts w:ascii="Arial" w:cs="Arial" w:eastAsia="Arial" w:hAnsi="Arial"/>
          <w:sz w:val="22"/>
          <w:szCs w:val="22"/>
          <w:color w:val="auto"/>
        </w:rPr>
      </w:pPr>
    </w:p>
    <w:p>
      <w:pPr>
        <w:ind w:right="660" w:firstLine="656"/>
        <w:spacing w:after="0" w:line="263" w:lineRule="auto"/>
        <w:tabs>
          <w:tab w:leader="none" w:pos="1291"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Section 2.5(d)</w:t>
      </w:r>
      <w:r>
        <w:rPr>
          <w:rFonts w:ascii="Arial" w:cs="Arial" w:eastAsia="Arial" w:hAnsi="Arial"/>
          <w:sz w:val="22"/>
          <w:szCs w:val="22"/>
          <w:color w:val="auto"/>
        </w:rPr>
        <w:t xml:space="preserve"> of the Company Disclosure Letter lists all shares of capital stock of or other voting or equity interests in (including any securities exercisable or exchangeable for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right="280" w:firstLine="8"/>
        <w:spacing w:after="0" w:line="277"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94" w:name="page95"/>
    <w:bookmarkEnd w:id="94"/>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convertible into shares of capital stock of or other voting or equity interests in) any other Person (other than the Company or any of its Subsidiaries) that are owned by the Company or any of its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p>
    <w:p>
      <w:pPr>
        <w:spacing w:after="0" w:line="220" w:lineRule="exact"/>
        <w:rPr>
          <w:sz w:val="20"/>
          <w:szCs w:val="20"/>
          <w:color w:val="auto"/>
        </w:rPr>
      </w:pPr>
    </w:p>
    <w:p>
      <w:pPr>
        <w:ind w:right="120" w:firstLine="656"/>
        <w:spacing w:after="0" w:line="259" w:lineRule="auto"/>
        <w:tabs>
          <w:tab w:leader="none" w:pos="1293"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Company has delivered to Investor true and complete copies of (i) the audited consolidated balance sheet of the Company and its Subsidiaries, taken as a whole, as of December 31, 2018 and December 31, 2019 and the related audited consolidated statements of operations, equity and cash flows for the years ended December 31, 2018 and December 31, 2019 (collectively, the “</w:t>
      </w:r>
      <w:r>
        <w:rPr>
          <w:rFonts w:ascii="Arial" w:cs="Arial" w:eastAsia="Arial" w:hAnsi="Arial"/>
          <w:sz w:val="21"/>
          <w:szCs w:val="21"/>
          <w:u w:val="single" w:color="auto"/>
          <w:color w:val="auto"/>
        </w:rPr>
        <w:t>Audited Financial Statements</w:t>
      </w:r>
      <w:r>
        <w:rPr>
          <w:rFonts w:ascii="Arial" w:cs="Arial" w:eastAsia="Arial" w:hAnsi="Arial"/>
          <w:sz w:val="21"/>
          <w:szCs w:val="21"/>
          <w:color w:val="auto"/>
        </w:rPr>
        <w:t>”), (ii) the unaudited consolidated balance sheet of the Company and its Subsidiaries, taken as a whole, as of November 30, 2020 and the related unaudited consolidated statements of operations, equity and cash flows for the eleven (11) months ended November 30, 2020 and, and (iii) the unaudited consolidated balance sheet of the Company and its Subsidiaries as of January 31, 2021 (the “</w:t>
      </w:r>
      <w:r>
        <w:rPr>
          <w:rFonts w:ascii="Arial" w:cs="Arial" w:eastAsia="Arial" w:hAnsi="Arial"/>
          <w:sz w:val="21"/>
          <w:szCs w:val="21"/>
          <w:u w:val="single" w:color="auto"/>
          <w:color w:val="auto"/>
        </w:rPr>
        <w:t>Balance Sheet Date</w:t>
      </w:r>
      <w:r>
        <w:rPr>
          <w:rFonts w:ascii="Arial" w:cs="Arial" w:eastAsia="Arial" w:hAnsi="Arial"/>
          <w:sz w:val="21"/>
          <w:szCs w:val="21"/>
          <w:color w:val="auto"/>
        </w:rPr>
        <w:t>”) and the related unaudited consolidated statement of operations for the two (2) months ended January 31, 2021 (</w:t>
      </w:r>
      <w:r>
        <w:rPr>
          <w:rFonts w:ascii="Arial" w:cs="Arial" w:eastAsia="Arial" w:hAnsi="Arial"/>
          <w:sz w:val="21"/>
          <w:szCs w:val="21"/>
          <w:u w:val="single" w:color="auto"/>
          <w:color w:val="auto"/>
        </w:rPr>
        <w:t>clauses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the “</w:t>
      </w:r>
      <w:r>
        <w:rPr>
          <w:rFonts w:ascii="Arial" w:cs="Arial" w:eastAsia="Arial" w:hAnsi="Arial"/>
          <w:sz w:val="21"/>
          <w:szCs w:val="21"/>
          <w:u w:val="single" w:color="auto"/>
          <w:color w:val="auto"/>
        </w:rPr>
        <w:t>Unaudited 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Statements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right="60" w:firstLine="656"/>
        <w:spacing w:after="0" w:line="297" w:lineRule="auto"/>
        <w:tabs>
          <w:tab w:leader="none" w:pos="1291"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Audited Financial Statements and the Unaudited Financial Statements (i) have been prepared in accordance with GAAP on a consistent basis (except as may be indicated in the notes thereto) and (ii) fairly present, in all material respects, the financial position and the results of operations at and for the periods then ended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subject, in the case of the Unaudited Financial Statements, to the absence of disclosures normally made in footnotes to audited financial statements and normal year-end audit adjustments that will not be material in effect or amount).</w:t>
      </w:r>
    </w:p>
    <w:p>
      <w:pPr>
        <w:spacing w:after="0" w:line="146" w:lineRule="exact"/>
        <w:rPr>
          <w:rFonts w:ascii="Arial" w:cs="Arial" w:eastAsia="Arial" w:hAnsi="Arial"/>
          <w:sz w:val="19"/>
          <w:szCs w:val="19"/>
          <w:color w:val="auto"/>
        </w:rPr>
      </w:pPr>
    </w:p>
    <w:p>
      <w:pPr>
        <w:ind w:right="40" w:firstLine="656"/>
        <w:spacing w:after="0" w:line="261" w:lineRule="auto"/>
        <w:tabs>
          <w:tab w:leader="none" w:pos="1293" w:val="left"/>
        </w:tabs>
        <w:numPr>
          <w:ilvl w:val="0"/>
          <w:numId w:val="64"/>
        </w:numPr>
        <w:rPr>
          <w:rFonts w:ascii="Arial" w:cs="Arial" w:eastAsia="Arial" w:hAnsi="Arial"/>
          <w:sz w:val="21"/>
          <w:szCs w:val="21"/>
          <w:color w:val="auto"/>
        </w:rPr>
      </w:pPr>
      <w:r>
        <w:rPr>
          <w:rFonts w:ascii="Arial" w:cs="Arial" w:eastAsia="Arial" w:hAnsi="Arial"/>
          <w:sz w:val="21"/>
          <w:szCs w:val="21"/>
          <w:color w:val="auto"/>
        </w:rPr>
        <w:t>Since January 1, 2018, the Company and its Subsidiaries have maintained internal control over financial reporting sufficient to provide reasonable assurance regarding (i) that transactions are recorded as necessary to permit preparation of financial statements in accordance with GAAP in all material respects, (ii) that receipts and expenditures of the Company and its Subsidiaries are being made in accordance with authorizations of the relevant management and director in all material respects and (iii) prevention or timely detection of unauthorized acquisition, use or disposition of the assets of the Company and its Subsidiaries that could have a material effect on its financial statements.</w:t>
      </w:r>
    </w:p>
    <w:p>
      <w:pPr>
        <w:spacing w:after="0" w:line="179"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Other Liabilities</w:t>
      </w:r>
      <w:r>
        <w:rPr>
          <w:rFonts w:ascii="Arial" w:cs="Arial" w:eastAsia="Arial" w:hAnsi="Arial"/>
          <w:sz w:val="21"/>
          <w:szCs w:val="21"/>
          <w:color w:val="auto"/>
        </w:rPr>
        <w:t>. There are no Liabilities of the Company and its Subsidiaries that would be required under GAAP to be disclosed on a consolidated balance sheet of the Company and its Subsidiaries, except (i) Liabilities disclosed in the Audited Financial Statements or the Unaudited Financial Statements, (ii) Liabilities incurred in the Ordinary Course of Business since the Balance Sheet Date, (iii) executory obligations under Material Contracts that are not the result of any breach thereunder, and (iv) other Liabilities that would not reasonably be expected to, individually or in the aggregate, be material to the Company and its Subsidiaries, taken as a whole.</w:t>
      </w:r>
    </w:p>
    <w:p>
      <w:pPr>
        <w:spacing w:after="0" w:line="179"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xml:space="preserve"> </w:t>
      </w:r>
      <w:r>
        <w:rPr>
          <w:rFonts w:ascii="Arial" w:cs="Arial" w:eastAsia="Arial" w:hAnsi="Arial"/>
          <w:sz w:val="22"/>
          <w:szCs w:val="22"/>
          <w:i w:val="1"/>
          <w:iCs w:val="1"/>
          <w:color w:val="auto"/>
        </w:rPr>
        <w:t>.</w:t>
      </w:r>
      <w:r>
        <w:rPr>
          <w:rFonts w:ascii="Arial" w:cs="Arial" w:eastAsia="Arial" w:hAnsi="Arial"/>
          <w:sz w:val="22"/>
          <w:szCs w:val="22"/>
          <w:color w:val="auto"/>
        </w:rPr>
        <w:t xml:space="preserve"> From the Balance Sheet Date through the date of this Agreement, (a) there has not been any event, change, occurrence or circumstance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60" w:firstLine="8"/>
        <w:spacing w:after="0" w:line="277"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95" w:name="page96"/>
    <w:bookmarkEnd w:id="95"/>
    <w:p>
      <w:pPr>
        <w:spacing w:after="0" w:line="204"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 xml:space="preserve">has had or would reasonably be expected to have, individually or in the aggregate, a Material Adverse Effect, (b) the business of the Company and its Subsidiaries, taken as a whole, has been conducted in the Ordinary Course of Business and (c) neither the Company nor any of its Subsidiaries has taken any action that, had such action occurred on or after the Balance Sheet Date, would have required Investor’s consent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except, in each case, as disclosed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of the Company Disclosure Letter or as otherwise expressly contemplated by this Agreement (including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5.7</w:t>
      </w:r>
      <w:r>
        <w:rPr>
          <w:rFonts w:ascii="Arial" w:cs="Arial" w:eastAsia="Arial" w:hAnsi="Arial"/>
          <w:sz w:val="19"/>
          <w:szCs w:val="19"/>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220" w:lineRule="exact"/>
        <w:rPr>
          <w:sz w:val="20"/>
          <w:szCs w:val="20"/>
          <w:color w:val="auto"/>
        </w:rPr>
      </w:pPr>
    </w:p>
    <w:p>
      <w:pPr>
        <w:ind w:right="260" w:firstLine="656"/>
        <w:spacing w:after="0" w:line="287" w:lineRule="auto"/>
        <w:tabs>
          <w:tab w:leader="none" w:pos="1293"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of the Company Disclosure Letter lists a true and correct list of the following contracts to which the Company or any of its Subsidiaries is a party as of the date hereof (collectively, the “</w:t>
      </w:r>
      <w:r>
        <w:rPr>
          <w:rFonts w:ascii="Arial" w:cs="Arial" w:eastAsia="Arial" w:hAnsi="Arial"/>
          <w:sz w:val="21"/>
          <w:szCs w:val="21"/>
          <w:u w:val="single" w:color="auto"/>
          <w:color w:val="auto"/>
        </w:rPr>
        <w:t>Material Contracts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60" w:right="60" w:firstLine="644"/>
        <w:spacing w:after="0" w:line="343" w:lineRule="auto"/>
        <w:tabs>
          <w:tab w:leader="none" w:pos="1944" w:val="left"/>
        </w:tabs>
        <w:numPr>
          <w:ilvl w:val="2"/>
          <w:numId w:val="66"/>
        </w:numPr>
        <w:rPr>
          <w:rFonts w:ascii="Arial" w:cs="Arial" w:eastAsia="Arial" w:hAnsi="Arial"/>
          <w:sz w:val="19"/>
          <w:szCs w:val="19"/>
          <w:color w:val="auto"/>
        </w:rPr>
      </w:pPr>
      <w:r>
        <w:rPr>
          <w:rFonts w:ascii="Arial" w:cs="Arial" w:eastAsia="Arial" w:hAnsi="Arial"/>
          <w:sz w:val="19"/>
          <w:szCs w:val="19"/>
          <w:color w:val="auto"/>
        </w:rPr>
        <w:t>any agreement relating to any incurrence, assumption or guarantee of indebtedness for borrowed money in excess of $10,000,000 (other than inter-company indebtedness among or between the Company and/or its Subsidiaries);</w:t>
      </w:r>
    </w:p>
    <w:p>
      <w:pPr>
        <w:spacing w:after="0" w:line="104" w:lineRule="exact"/>
        <w:rPr>
          <w:rFonts w:ascii="Arial" w:cs="Arial" w:eastAsia="Arial" w:hAnsi="Arial"/>
          <w:sz w:val="19"/>
          <w:szCs w:val="19"/>
          <w:color w:val="auto"/>
        </w:rPr>
      </w:pPr>
    </w:p>
    <w:p>
      <w:pPr>
        <w:ind w:left="660" w:right="720" w:firstLine="644"/>
        <w:spacing w:after="0" w:line="263" w:lineRule="auto"/>
        <w:tabs>
          <w:tab w:leader="none" w:pos="195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joint venture agreement, strategic alliance agreement or partnership agreement or other similar agreements or arrangements with a third party;</w:t>
      </w:r>
    </w:p>
    <w:p>
      <w:pPr>
        <w:spacing w:after="0" w:line="174" w:lineRule="exact"/>
        <w:rPr>
          <w:rFonts w:ascii="Arial" w:cs="Arial" w:eastAsia="Arial" w:hAnsi="Arial"/>
          <w:sz w:val="22"/>
          <w:szCs w:val="22"/>
          <w:color w:val="auto"/>
        </w:rPr>
      </w:pPr>
    </w:p>
    <w:p>
      <w:pPr>
        <w:ind w:left="660" w:right="60" w:firstLine="644"/>
        <w:spacing w:after="0" w:line="250" w:lineRule="auto"/>
        <w:tabs>
          <w:tab w:leader="none" w:pos="1956"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agreement or series of related agreements, including any option agreement, relating to the acquisition or disposition of any business, capital stock or other equity securities or assets of any other Person (whether by merger, consolidation or other business combination, sale of stock or other securities, sale of assets or otherwise) under which the Company or any Subsidiary has any material obligations;</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agreement with a Material Customer in its capacity as a customer;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agreement with a Material Vendor in its capacity as a vendor;</w:t>
      </w:r>
    </w:p>
    <w:p>
      <w:pPr>
        <w:spacing w:after="0" w:line="219" w:lineRule="exact"/>
        <w:rPr>
          <w:rFonts w:ascii="Arial" w:cs="Arial" w:eastAsia="Arial" w:hAnsi="Arial"/>
          <w:sz w:val="22"/>
          <w:szCs w:val="22"/>
          <w:color w:val="auto"/>
        </w:rPr>
      </w:pPr>
    </w:p>
    <w:p>
      <w:pPr>
        <w:ind w:left="660" w:firstLine="644"/>
        <w:spacing w:after="0" w:line="292" w:lineRule="auto"/>
        <w:tabs>
          <w:tab w:leader="none" w:pos="1944" w:val="left"/>
        </w:tabs>
        <w:numPr>
          <w:ilvl w:val="2"/>
          <w:numId w:val="66"/>
        </w:numPr>
        <w:rPr>
          <w:rFonts w:ascii="Arial" w:cs="Arial" w:eastAsia="Arial" w:hAnsi="Arial"/>
          <w:sz w:val="19"/>
          <w:szCs w:val="19"/>
          <w:color w:val="auto"/>
        </w:rPr>
      </w:pPr>
      <w:r>
        <w:rPr>
          <w:rFonts w:ascii="Arial" w:cs="Arial" w:eastAsia="Arial" w:hAnsi="Arial"/>
          <w:sz w:val="19"/>
          <w:szCs w:val="19"/>
          <w:color w:val="auto"/>
        </w:rPr>
        <w:t>except as would not reasonably be expected to, individually or in the aggregate, be material to the Company and its Subsidiaries, taken as a whole, any agreement that (A) limits, or purports to limit, the freedom of the Company or any of its affiliates (1) to compete with any Person or in any product line or line of business, (2) to operate or engage in business in any geographic area, or (3) to solicit business from any Person, or (B) obligates, or purports to obligate, the Company or any of its affiliates, (1) to purchase or otherwise obtain any product or service exclusively from a single Person or group of affiliated Persons, (2) to sell or otherwise provide any product or service exclusively to a single Person or group of affiliated Persons, or (3) to provide “most favored nation” terms;</w:t>
      </w:r>
    </w:p>
    <w:p>
      <w:pPr>
        <w:spacing w:after="0" w:line="150" w:lineRule="exact"/>
        <w:rPr>
          <w:rFonts w:ascii="Arial" w:cs="Arial" w:eastAsia="Arial" w:hAnsi="Arial"/>
          <w:sz w:val="19"/>
          <w:szCs w:val="19"/>
          <w:color w:val="auto"/>
        </w:rPr>
      </w:pPr>
    </w:p>
    <w:p>
      <w:pPr>
        <w:jc w:val="both"/>
        <w:ind w:left="660" w:right="20" w:firstLine="644"/>
        <w:spacing w:after="0" w:line="312" w:lineRule="auto"/>
        <w:tabs>
          <w:tab w:leader="none" w:pos="1950" w:val="left"/>
        </w:tabs>
        <w:numPr>
          <w:ilvl w:val="2"/>
          <w:numId w:val="66"/>
        </w:numPr>
        <w:rPr>
          <w:rFonts w:ascii="Arial" w:cs="Arial" w:eastAsia="Arial" w:hAnsi="Arial"/>
          <w:sz w:val="19"/>
          <w:szCs w:val="19"/>
          <w:color w:val="auto"/>
        </w:rPr>
      </w:pPr>
      <w:r>
        <w:rPr>
          <w:rFonts w:ascii="Arial" w:cs="Arial" w:eastAsia="Arial" w:hAnsi="Arial"/>
          <w:sz w:val="19"/>
          <w:szCs w:val="19"/>
          <w:color w:val="auto"/>
        </w:rPr>
        <w:t>any (A) agreement pursuant to which the Company or its Subsidiaries receives a license from a third party to any Intellectual Property (other than licenses to commercially available software or licenses granted in connection with the purchase or lease of IT Systems or IT services) or (B) agreement material to the Company and its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1" w:lineRule="exact"/>
        <w:rPr>
          <w:rFonts w:ascii="Arial" w:cs="Arial" w:eastAsia="Arial" w:hAnsi="Arial"/>
          <w:sz w:val="19"/>
          <w:szCs w:val="19"/>
          <w:color w:val="auto"/>
        </w:rPr>
      </w:pPr>
    </w:p>
    <w:p>
      <w:pPr>
        <w:ind w:right="260" w:firstLine="8"/>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96" w:name="page97"/>
    <w:bookmarkEnd w:id="96"/>
    <w:p>
      <w:pPr>
        <w:spacing w:after="0" w:line="204" w:lineRule="exact"/>
        <w:rPr>
          <w:sz w:val="20"/>
          <w:szCs w:val="20"/>
          <w:color w:val="auto"/>
        </w:rPr>
      </w:pPr>
    </w:p>
    <w:p>
      <w:pPr>
        <w:ind w:left="652"/>
        <w:spacing w:after="0" w:line="261" w:lineRule="auto"/>
        <w:rPr>
          <w:sz w:val="20"/>
          <w:szCs w:val="20"/>
          <w:color w:val="auto"/>
        </w:rPr>
      </w:pPr>
      <w:r>
        <w:rPr>
          <w:rFonts w:ascii="Arial" w:cs="Arial" w:eastAsia="Arial" w:hAnsi="Arial"/>
          <w:sz w:val="21"/>
          <w:szCs w:val="21"/>
          <w:color w:val="auto"/>
        </w:rPr>
        <w:t xml:space="preserve">Subsidiaries, taken as a whole, pursuant to which Owned Intellectual Property is licensed to a third party other than non-exclusive licenses granted to customers in the Ordinary Course of Business, including in connection with the sale or licensing of products or services of the Company and its Subsidiaries, in each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that involved aggregate payments by or to the Company and its Subsidiaries in excess of $500,000 during the twelve (12) month-period immediately preceding the Balance Sheet Date, or (C) agreement for the escrow of any Owned Intellectual Property material to the Company and its Subsidiaries, taken as a whole;</w:t>
      </w:r>
    </w:p>
    <w:p>
      <w:pPr>
        <w:spacing w:after="0" w:line="179" w:lineRule="exact"/>
        <w:rPr>
          <w:sz w:val="20"/>
          <w:szCs w:val="20"/>
          <w:color w:val="auto"/>
        </w:rPr>
      </w:pPr>
    </w:p>
    <w:p>
      <w:pPr>
        <w:ind w:left="652" w:right="20" w:firstLine="644"/>
        <w:spacing w:after="0" w:line="271" w:lineRule="auto"/>
        <w:tabs>
          <w:tab w:leader="none" w:pos="1948" w:val="left"/>
        </w:tabs>
        <w:numPr>
          <w:ilvl w:val="2"/>
          <w:numId w:val="67"/>
        </w:numPr>
        <w:rPr>
          <w:rFonts w:ascii="Arial" w:cs="Arial" w:eastAsia="Arial" w:hAnsi="Arial"/>
          <w:sz w:val="21"/>
          <w:szCs w:val="21"/>
          <w:color w:val="auto"/>
        </w:rPr>
      </w:pPr>
      <w:r>
        <w:rPr>
          <w:rFonts w:ascii="Arial" w:cs="Arial" w:eastAsia="Arial" w:hAnsi="Arial"/>
          <w:sz w:val="21"/>
          <w:szCs w:val="21"/>
          <w:color w:val="auto"/>
        </w:rPr>
        <w:t>any agreement involving the settlement, release, compromise or waiver of any material rights, claims, obligations, duties or liabilities, other than in the Ordinary Course of Business, or that materially restricts or limits the use of any Owned Intellectual Property (including consent to use and co-existence agreements);</w:t>
      </w:r>
    </w:p>
    <w:p>
      <w:pPr>
        <w:spacing w:after="0" w:line="167" w:lineRule="exact"/>
        <w:rPr>
          <w:rFonts w:ascii="Arial" w:cs="Arial" w:eastAsia="Arial" w:hAnsi="Arial"/>
          <w:sz w:val="21"/>
          <w:szCs w:val="21"/>
          <w:color w:val="auto"/>
        </w:rPr>
      </w:pPr>
    </w:p>
    <w:p>
      <w:pPr>
        <w:ind w:left="652" w:right="580" w:firstLine="644"/>
        <w:spacing w:after="0" w:line="263" w:lineRule="auto"/>
        <w:tabs>
          <w:tab w:leader="none" w:pos="1936" w:val="left"/>
        </w:tabs>
        <w:numPr>
          <w:ilvl w:val="2"/>
          <w:numId w:val="67"/>
        </w:numPr>
        <w:rPr>
          <w:rFonts w:ascii="Arial" w:cs="Arial" w:eastAsia="Arial" w:hAnsi="Arial"/>
          <w:sz w:val="22"/>
          <w:szCs w:val="22"/>
          <w:color w:val="auto"/>
        </w:rPr>
      </w:pPr>
      <w:r>
        <w:rPr>
          <w:rFonts w:ascii="Arial" w:cs="Arial" w:eastAsia="Arial" w:hAnsi="Arial"/>
          <w:sz w:val="22"/>
          <w:szCs w:val="22"/>
          <w:color w:val="auto"/>
        </w:rPr>
        <w:t>any agreement involving a remaining commitment by the Company or its Subsidiaries to pay capital expenditures in excess of $5,000,000;</w:t>
      </w:r>
    </w:p>
    <w:p>
      <w:pPr>
        <w:spacing w:after="0" w:line="174" w:lineRule="exact"/>
        <w:rPr>
          <w:rFonts w:ascii="Arial" w:cs="Arial" w:eastAsia="Arial" w:hAnsi="Arial"/>
          <w:sz w:val="22"/>
          <w:szCs w:val="22"/>
          <w:color w:val="auto"/>
        </w:rPr>
      </w:pPr>
    </w:p>
    <w:p>
      <w:pPr>
        <w:ind w:left="1932" w:hanging="636"/>
        <w:spacing w:after="0"/>
        <w:tabs>
          <w:tab w:leader="none" w:pos="1932" w:val="left"/>
        </w:tabs>
        <w:numPr>
          <w:ilvl w:val="2"/>
          <w:numId w:val="67"/>
        </w:numPr>
        <w:rPr>
          <w:rFonts w:ascii="Arial" w:cs="Arial" w:eastAsia="Arial" w:hAnsi="Arial"/>
          <w:sz w:val="19"/>
          <w:szCs w:val="19"/>
          <w:color w:val="auto"/>
        </w:rPr>
      </w:pPr>
      <w:r>
        <w:rPr>
          <w:rFonts w:ascii="Arial" w:cs="Arial" w:eastAsia="Arial" w:hAnsi="Arial"/>
          <w:sz w:val="19"/>
          <w:szCs w:val="19"/>
          <w:color w:val="auto"/>
        </w:rPr>
        <w:t>any agreement to sell, assign, transfer or otherwise dispose of any assets for a purchase price in excess of</w:t>
      </w:r>
    </w:p>
    <w:p>
      <w:pPr>
        <w:spacing w:after="0" w:line="55"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2"/>
          <w:szCs w:val="22"/>
          <w:color w:val="auto"/>
        </w:rPr>
        <w:t>$10,000,000;</w:t>
      </w:r>
    </w:p>
    <w:p>
      <w:pPr>
        <w:spacing w:after="0" w:line="201" w:lineRule="exact"/>
        <w:rPr>
          <w:rFonts w:ascii="Arial" w:cs="Arial" w:eastAsia="Arial" w:hAnsi="Arial"/>
          <w:sz w:val="19"/>
          <w:szCs w:val="19"/>
          <w:color w:val="auto"/>
        </w:rPr>
      </w:pPr>
    </w:p>
    <w:p>
      <w:pPr>
        <w:ind w:left="1932" w:hanging="636"/>
        <w:spacing w:after="0"/>
        <w:tabs>
          <w:tab w:leader="none" w:pos="1932" w:val="left"/>
        </w:tabs>
        <w:numPr>
          <w:ilvl w:val="2"/>
          <w:numId w:val="67"/>
        </w:numPr>
        <w:rPr>
          <w:rFonts w:ascii="Arial" w:cs="Arial" w:eastAsia="Arial" w:hAnsi="Arial"/>
          <w:sz w:val="19"/>
          <w:szCs w:val="19"/>
          <w:color w:val="auto"/>
        </w:rPr>
      </w:pPr>
      <w:r>
        <w:rPr>
          <w:rFonts w:ascii="Arial" w:cs="Arial" w:eastAsia="Arial" w:hAnsi="Arial"/>
          <w:sz w:val="19"/>
          <w:szCs w:val="19"/>
          <w:color w:val="auto"/>
        </w:rPr>
        <w:t>any material agreement relating to any interest rate, currency swap, derivatives or hedging transactions;</w:t>
      </w:r>
    </w:p>
    <w:p>
      <w:pPr>
        <w:spacing w:after="0" w:line="254" w:lineRule="exact"/>
        <w:rPr>
          <w:rFonts w:ascii="Arial" w:cs="Arial" w:eastAsia="Arial" w:hAnsi="Arial"/>
          <w:sz w:val="19"/>
          <w:szCs w:val="19"/>
          <w:color w:val="auto"/>
        </w:rPr>
      </w:pPr>
    </w:p>
    <w:p>
      <w:pPr>
        <w:ind w:left="1932" w:hanging="636"/>
        <w:spacing w:after="0"/>
        <w:tabs>
          <w:tab w:leader="none" w:pos="1932" w:val="left"/>
        </w:tabs>
        <w:numPr>
          <w:ilvl w:val="2"/>
          <w:numId w:val="67"/>
        </w:numPr>
        <w:rPr>
          <w:rFonts w:ascii="Arial" w:cs="Arial" w:eastAsia="Arial" w:hAnsi="Arial"/>
          <w:sz w:val="22"/>
          <w:szCs w:val="22"/>
          <w:color w:val="auto"/>
        </w:rPr>
      </w:pPr>
      <w:r>
        <w:rPr>
          <w:rFonts w:ascii="Arial" w:cs="Arial" w:eastAsia="Arial" w:hAnsi="Arial"/>
          <w:sz w:val="22"/>
          <w:szCs w:val="22"/>
          <w:color w:val="auto"/>
        </w:rPr>
        <w:t>any CBA;</w:t>
      </w:r>
    </w:p>
    <w:p>
      <w:pPr>
        <w:spacing w:after="0" w:line="219" w:lineRule="exact"/>
        <w:rPr>
          <w:rFonts w:ascii="Arial" w:cs="Arial" w:eastAsia="Arial" w:hAnsi="Arial"/>
          <w:sz w:val="22"/>
          <w:szCs w:val="22"/>
          <w:color w:val="auto"/>
        </w:rPr>
      </w:pPr>
    </w:p>
    <w:p>
      <w:pPr>
        <w:ind w:left="652" w:right="180" w:firstLine="644"/>
        <w:spacing w:after="0" w:line="253" w:lineRule="auto"/>
        <w:tabs>
          <w:tab w:leader="none" w:pos="1948" w:val="left"/>
        </w:tabs>
        <w:numPr>
          <w:ilvl w:val="2"/>
          <w:numId w:val="67"/>
        </w:numPr>
        <w:rPr>
          <w:rFonts w:ascii="Arial" w:cs="Arial" w:eastAsia="Arial" w:hAnsi="Arial"/>
          <w:sz w:val="22"/>
          <w:szCs w:val="22"/>
          <w:color w:val="auto"/>
        </w:rPr>
      </w:pPr>
      <w:r>
        <w:rPr>
          <w:rFonts w:ascii="Arial" w:cs="Arial" w:eastAsia="Arial" w:hAnsi="Arial"/>
          <w:sz w:val="22"/>
          <w:szCs w:val="22"/>
          <w:color w:val="auto"/>
        </w:rPr>
        <w:t>any agreement under which the Company or any of its Subsidiaries has made, directly or indirectly, any advance, loan or extension of credit (other than extensions of credit to customers in the Ordinary Course of Business) to any Person in excess of $2,000,000;</w:t>
      </w:r>
    </w:p>
    <w:p>
      <w:pPr>
        <w:spacing w:after="0" w:line="185" w:lineRule="exact"/>
        <w:rPr>
          <w:rFonts w:ascii="Arial" w:cs="Arial" w:eastAsia="Arial" w:hAnsi="Arial"/>
          <w:sz w:val="22"/>
          <w:szCs w:val="22"/>
          <w:color w:val="auto"/>
        </w:rPr>
      </w:pPr>
    </w:p>
    <w:p>
      <w:pPr>
        <w:ind w:left="652" w:right="900" w:firstLine="644"/>
        <w:spacing w:after="0" w:line="263" w:lineRule="auto"/>
        <w:tabs>
          <w:tab w:leader="none" w:pos="1936" w:val="left"/>
        </w:tabs>
        <w:numPr>
          <w:ilvl w:val="2"/>
          <w:numId w:val="67"/>
        </w:numPr>
        <w:rPr>
          <w:rFonts w:ascii="Arial" w:cs="Arial" w:eastAsia="Arial" w:hAnsi="Arial"/>
          <w:sz w:val="22"/>
          <w:szCs w:val="22"/>
          <w:color w:val="auto"/>
        </w:rPr>
      </w:pPr>
      <w:r>
        <w:rPr>
          <w:rFonts w:ascii="Arial" w:cs="Arial" w:eastAsia="Arial" w:hAnsi="Arial"/>
          <w:sz w:val="22"/>
          <w:szCs w:val="22"/>
          <w:color w:val="auto"/>
        </w:rPr>
        <w:t>any agreement that is for the employment or engagement of any directors, officers, employees or independent contractors providing for annual base salary in excess of $250,000; and</w:t>
      </w:r>
    </w:p>
    <w:p>
      <w:pPr>
        <w:spacing w:after="0" w:line="174" w:lineRule="exact"/>
        <w:rPr>
          <w:rFonts w:ascii="Arial" w:cs="Arial" w:eastAsia="Arial" w:hAnsi="Arial"/>
          <w:sz w:val="22"/>
          <w:szCs w:val="22"/>
          <w:color w:val="auto"/>
        </w:rPr>
      </w:pPr>
    </w:p>
    <w:p>
      <w:pPr>
        <w:ind w:left="1932" w:hanging="636"/>
        <w:spacing w:after="0"/>
        <w:tabs>
          <w:tab w:leader="none" w:pos="1932" w:val="left"/>
        </w:tabs>
        <w:numPr>
          <w:ilvl w:val="2"/>
          <w:numId w:val="67"/>
        </w:numPr>
        <w:rPr>
          <w:rFonts w:ascii="Arial" w:cs="Arial" w:eastAsia="Arial" w:hAnsi="Arial"/>
          <w:sz w:val="22"/>
          <w:szCs w:val="22"/>
          <w:color w:val="auto"/>
        </w:rPr>
      </w:pPr>
      <w:r>
        <w:rPr>
          <w:rFonts w:ascii="Arial" w:cs="Arial" w:eastAsia="Arial" w:hAnsi="Arial"/>
          <w:sz w:val="22"/>
          <w:szCs w:val="22"/>
          <w:color w:val="auto"/>
        </w:rPr>
        <w:t>any material agreement with a Governmental Authority.</w:t>
      </w:r>
    </w:p>
    <w:p>
      <w:pPr>
        <w:spacing w:after="0" w:line="219" w:lineRule="exact"/>
        <w:rPr>
          <w:rFonts w:ascii="Arial" w:cs="Arial" w:eastAsia="Arial" w:hAnsi="Arial"/>
          <w:sz w:val="22"/>
          <w:szCs w:val="22"/>
          <w:color w:val="auto"/>
        </w:rPr>
      </w:pPr>
    </w:p>
    <w:p>
      <w:pPr>
        <w:ind w:left="-8" w:right="120" w:firstLine="656"/>
        <w:spacing w:after="0" w:line="290" w:lineRule="auto"/>
        <w:tabs>
          <w:tab w:leader="none" w:pos="1283" w:val="left"/>
        </w:tabs>
        <w:numPr>
          <w:ilvl w:val="1"/>
          <w:numId w:val="68"/>
        </w:numPr>
        <w:rPr>
          <w:rFonts w:ascii="Arial" w:cs="Arial" w:eastAsia="Arial" w:hAnsi="Arial"/>
          <w:sz w:val="19"/>
          <w:szCs w:val="19"/>
          <w:color w:val="auto"/>
        </w:rPr>
      </w:pPr>
      <w:r>
        <w:rPr>
          <w:rFonts w:ascii="Arial" w:cs="Arial" w:eastAsia="Arial" w:hAnsi="Arial"/>
          <w:sz w:val="19"/>
          <w:szCs w:val="19"/>
          <w:color w:val="auto"/>
        </w:rPr>
        <w:t>Each Material Contract is in full force and effect and is a valid and binding agreement of the Company or its applicable Subsidiary party to such Material Contract, or to the Knowledge of the Company, any other party (except (i) to the extent that enforceability may be limited by applicable bankruptcy, insolvency, fraudulent conveyance, reorganization, moratorium or other Laws affecting the enforcement of creditors’ rights generally and (ii) that the availability of equitable remedies, including specific performance, is subject to the discretion of the court before which any proceeding thereof may be brought) and neither the Company nor any of its Subsidiaries that is a party thereto or, to the Knowledge of the Company and as of the date hereof, any other party thereto is in default or breach in any material respect under (or is alleged to be in default or breach in any material respect under) the terms of, or has provided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8" w:right="260" w:firstLine="8"/>
        <w:spacing w:after="0" w:line="277" w:lineRule="auto"/>
        <w:tabs>
          <w:tab w:leader="none" w:pos="2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92"/>
          </w:cols>
          <w:pgMar w:left="328" w:top="1440" w:right="379" w:bottom="1440" w:gutter="0" w:footer="0" w:header="0"/>
        </w:sectPr>
      </w:pPr>
    </w:p>
    <w:bookmarkStart w:id="97" w:name="page98"/>
    <w:bookmarkEnd w:id="97"/>
    <w:p>
      <w:pPr>
        <w:spacing w:after="0" w:line="204"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received any notice of any intention to terminate, any such Material Contract, and no event or circumstance has occurred that, with notice or lapse of time or both, would constitute an event of default thereunder or result in a right of termination thereof or would cause or permit the acceleration or cancellation of or other changes, amendments or alterations of or to any right or obligation or the loss of any benefit thereunder, except, in each case, as would not reasonably be expected to, individually or in the aggregate, be material to the Company and its Subsidiaries, taken as a whole, or materially impair or materially delay the Company and its applicable Affiliates from consummating the transactions contemplated by this Agreement or the Ancillary Agreements.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tabs>
          <w:tab w:leader="none" w:pos="130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Owned Real Property</w:t>
      </w:r>
      <w:r>
        <w:rPr>
          <w:rFonts w:ascii="Arial" w:cs="Arial" w:eastAsia="Arial" w:hAnsi="Arial"/>
          <w:sz w:val="22"/>
          <w:szCs w:val="22"/>
          <w:color w:val="auto"/>
        </w:rPr>
        <w:t>. Neither the Company nor any of its Subsidiaries owns any real property.</w:t>
      </w:r>
    </w:p>
    <w:p>
      <w:pPr>
        <w:spacing w:after="0" w:line="219" w:lineRule="exact"/>
        <w:rPr>
          <w:rFonts w:ascii="Arial" w:cs="Arial" w:eastAsia="Arial" w:hAnsi="Arial"/>
          <w:sz w:val="22"/>
          <w:szCs w:val="22"/>
          <w:color w:val="auto"/>
        </w:rPr>
      </w:pPr>
    </w:p>
    <w:p>
      <w:pPr>
        <w:ind w:firstLine="656"/>
        <w:spacing w:after="0" w:line="286" w:lineRule="auto"/>
        <w:tabs>
          <w:tab w:leader="none" w:pos="1291"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Real Property Leases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of the Company Disclosure Letter sets forth a list of all leases and subleases for any real property pursuant to which the Company or any of its Subsidiaries is a tenant as of the date of this Agreement (each a “</w:t>
      </w:r>
      <w:r>
        <w:rPr>
          <w:rFonts w:ascii="Arial" w:cs="Arial" w:eastAsia="Arial" w:hAnsi="Arial"/>
          <w:sz w:val="19"/>
          <w:szCs w:val="19"/>
          <w:u w:val="single" w:color="auto"/>
          <w:color w:val="auto"/>
        </w:rPr>
        <w:t>Real Property Lease</w:t>
      </w:r>
      <w:r>
        <w:rPr>
          <w:rFonts w:ascii="Arial" w:cs="Arial" w:eastAsia="Arial" w:hAnsi="Arial"/>
          <w:sz w:val="19"/>
          <w:szCs w:val="19"/>
          <w:color w:val="auto"/>
        </w:rPr>
        <w:t>”). Except as would not reasonably be expected to, individually or in the aggregate, be material to the Company and its Subsidiaries, taken as a whole, (i) each Real Property Lease is in full force and effect and constitutes a valid and binding agreement of the Company or each of its Subsidiaries party thereto, enforceable in accordance with its terms (subject to proper authorization and execution of such Real Property Lease by the other party thereto and to applicable bankruptcy, insolvency, reorganization, moratorium or other Laws affecting generally the enforcement of creditors’ rights and subject to general principles of equity), (ii) neither the Company nor any of its Subsidiaries that is a party thereto nor, to the Knowledge of the Company and as of the date hereof, any other party to the Real Property Lease is in breach or default under such Real Property Lease, and no event or circumstance has occurred that, with notice or lapse of time or both, would constitute an event of default thereunder or result in a right of termination thereof or would cause or permit the modification or acceleration of rent under such Real Property Lease, (iii) neither the Company nor any of its Subsidiaries has subleased, licensed or otherwise granted any Person (other than to the Company or any of its Subsidiaries) the right to use or occupy such Real Property Lease or any portion thereof and (iv) the Real Property Leases comprise all of the Real Property held and used by the Company and its Subsidiaries in the operation of their business.</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right="40" w:firstLine="656"/>
        <w:spacing w:after="0" w:line="297" w:lineRule="auto"/>
        <w:tabs>
          <w:tab w:leader="none" w:pos="1293"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Personal Property</w:t>
      </w:r>
      <w:r>
        <w:rPr>
          <w:rFonts w:ascii="Arial" w:cs="Arial" w:eastAsia="Arial" w:hAnsi="Arial"/>
          <w:sz w:val="19"/>
          <w:szCs w:val="19"/>
          <w:color w:val="auto"/>
        </w:rPr>
        <w:t>. The Company or its Subsidiaries have good and valid title to, or otherwise have the right to use pursuant to a valid and enforceable lease or similar contractual arrangement, all of their respective tangible assets that are material to the conduct of the business of the Company and its Subsidiaries, taken as a whole, in each case, free and clear of any Liens other than Permitted Liens. Such tangible assets are (i) reasonably maintained in the Ordinary Course of Business and (ii) are in reasonably good operating condition and repair (subject to normal wear and tear).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280" w:firstLine="8"/>
        <w:spacing w:after="0" w:line="277"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98" w:name="page99"/>
    <w:bookmarkEnd w:id="98"/>
    <w:p>
      <w:pPr>
        <w:spacing w:after="0" w:line="20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Intellectual Property; IT Systems; Data Privacy and Security</w:t>
      </w:r>
      <w:r>
        <w:rPr>
          <w:rFonts w:ascii="Arial" w:cs="Arial" w:eastAsia="Arial" w:hAnsi="Arial"/>
          <w:sz w:val="22"/>
          <w:szCs w:val="22"/>
          <w:color w:val="auto"/>
        </w:rPr>
        <w:t>.</w:t>
      </w:r>
    </w:p>
    <w:p>
      <w:pPr>
        <w:spacing w:after="0" w:line="220" w:lineRule="exact"/>
        <w:rPr>
          <w:sz w:val="20"/>
          <w:szCs w:val="20"/>
          <w:color w:val="auto"/>
        </w:rPr>
      </w:pPr>
    </w:p>
    <w:p>
      <w:pPr>
        <w:ind w:left="-8" w:firstLine="656"/>
        <w:spacing w:after="0" w:line="245" w:lineRule="auto"/>
        <w:tabs>
          <w:tab w:leader="none" w:pos="1285"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Section 2.11(a)</w:t>
      </w:r>
      <w:r>
        <w:rPr>
          <w:rFonts w:ascii="Arial" w:cs="Arial" w:eastAsia="Arial" w:hAnsi="Arial"/>
          <w:sz w:val="22"/>
          <w:szCs w:val="22"/>
          <w:color w:val="auto"/>
        </w:rPr>
        <w:t xml:space="preserve"> of the Company Disclosure Letter lists all Intellectual Property registered, issued or the subject of a pending application included in the Owned Intellectual Property. The Intellectual Property set forth in </w:t>
      </w:r>
      <w:r>
        <w:rPr>
          <w:rFonts w:ascii="Arial" w:cs="Arial" w:eastAsia="Arial" w:hAnsi="Arial"/>
          <w:sz w:val="22"/>
          <w:szCs w:val="22"/>
          <w:u w:val="single" w:color="auto"/>
          <w:color w:val="auto"/>
        </w:rPr>
        <w:t>Section 2.11(a)</w:t>
      </w:r>
      <w:r>
        <w:rPr>
          <w:rFonts w:ascii="Arial" w:cs="Arial" w:eastAsia="Arial" w:hAnsi="Arial"/>
          <w:sz w:val="22"/>
          <w:szCs w:val="22"/>
          <w:color w:val="auto"/>
        </w:rPr>
        <w:t xml:space="preserve"> of the Company Disclosure Letter is properly registered and in good standing with the relevant Governmental Authority with which it is registered, issued or pending and, to the Knowledge of the Company, enforceable. The Company or its Subsidiaries exclusively owns and possesses, all right, title and interest in and to, or as a valid and enforceable license to use, all Intellectual Property material to the business of the Company and its Subsidiaries, taken as a whole, that is used in the operation of the business of the Company and its Subsidiaries free and clear of all Liens except for Permitted Liens;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is not a representation as to infringement, misappropriation or other violation of Intellectual Property, which is the subject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2.11(b)</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292" w:hanging="644"/>
        <w:spacing w:after="0"/>
        <w:tabs>
          <w:tab w:leader="none" w:pos="1292" w:val="left"/>
        </w:tabs>
        <w:numPr>
          <w:ilvl w:val="1"/>
          <w:numId w:val="70"/>
        </w:numPr>
        <w:rPr>
          <w:rFonts w:ascii="Arial" w:cs="Arial" w:eastAsia="Arial" w:hAnsi="Arial"/>
          <w:sz w:val="19"/>
          <w:szCs w:val="19"/>
          <w:color w:val="auto"/>
        </w:rPr>
      </w:pPr>
      <w:r>
        <w:rPr>
          <w:rFonts w:ascii="Arial" w:cs="Arial" w:eastAsia="Arial" w:hAnsi="Arial"/>
          <w:sz w:val="19"/>
          <w:szCs w:val="19"/>
          <w:color w:val="auto"/>
        </w:rPr>
        <w:t>Since January 1, 2018, neither the Company nor any of its Subsidiaries has received any notice, demand or claim</w:t>
      </w:r>
    </w:p>
    <w:p>
      <w:pPr>
        <w:spacing w:after="0" w:line="55" w:lineRule="exact"/>
        <w:rPr>
          <w:rFonts w:ascii="Arial" w:cs="Arial" w:eastAsia="Arial" w:hAnsi="Arial"/>
          <w:sz w:val="19"/>
          <w:szCs w:val="19"/>
          <w:color w:val="auto"/>
        </w:rPr>
      </w:pPr>
    </w:p>
    <w:p>
      <w:pPr>
        <w:ind w:left="-8" w:right="200" w:firstLine="8"/>
        <w:spacing w:after="0" w:line="288" w:lineRule="auto"/>
        <w:tabs>
          <w:tab w:leader="none" w:pos="25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that the Company or any of its Subsidiaries is infringing on or has misappropriated or otherwise violated the Intellectual Property rights of any Person or (ii) challenging the Company’s or its Subsidiaries’ ownership or use of any Owned Intellectual Property. The operation of the business of the Company and its Subsidiaries does not infringe, misappropriate, or otherwise violate, or, since January 1, 2018, has infringed, misappropriated or otherwise violated, the Intellectual Property of any third Person and, to the Knowledge of the Company, no Person is infringing, misappropriating, or otherwise violating, or, since January 1, 2018, has infringed, misappropriated or otherwise violated, any of the Owned Intellectual Property and none of the Company or any of its Subsidiaries has sent any claim, demand, or notice alleging the same.</w:t>
      </w:r>
    </w:p>
    <w:p>
      <w:pPr>
        <w:spacing w:after="0" w:line="158" w:lineRule="exact"/>
        <w:rPr>
          <w:rFonts w:ascii="Arial" w:cs="Arial" w:eastAsia="Arial" w:hAnsi="Arial"/>
          <w:sz w:val="19"/>
          <w:szCs w:val="19"/>
          <w:color w:val="auto"/>
        </w:rPr>
      </w:pPr>
    </w:p>
    <w:p>
      <w:pPr>
        <w:ind w:left="-8" w:firstLine="656"/>
        <w:spacing w:after="0" w:line="247" w:lineRule="auto"/>
        <w:tabs>
          <w:tab w:leader="none" w:pos="1285"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Company and its Subsidiaries have entered into valid and enforceable written agreements with each of its current or former employees, contractors and consultants who have participated in the development of any material Owned Intellectual Property that (i) grants the Company, or one of its Subsidiaries, ownership of the Person’s contributions, development or conception (or the Company and its Subsidiaries otherwise owns such Owned Intellectual Property pursuant to applicable Law) and (ii) provides for the non-disclosure by such Persons of all material confidential information of the Company and its Subsidiaries.</w:t>
      </w:r>
    </w:p>
    <w:p>
      <w:pPr>
        <w:spacing w:after="0" w:line="192" w:lineRule="exact"/>
        <w:rPr>
          <w:rFonts w:ascii="Arial" w:cs="Arial" w:eastAsia="Arial" w:hAnsi="Arial"/>
          <w:sz w:val="22"/>
          <w:szCs w:val="22"/>
          <w:color w:val="auto"/>
        </w:rPr>
      </w:pPr>
    </w:p>
    <w:p>
      <w:pPr>
        <w:ind w:left="-8" w:right="140" w:firstLine="656"/>
        <w:spacing w:after="0" w:line="247" w:lineRule="auto"/>
        <w:tabs>
          <w:tab w:leader="none" w:pos="1283"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Company and its Subsidiaries have not used Open Source Software or any modification or derivative thereof in a manner that (i) would grant or purport to grant to any Person any rights to any of the Owned Intellectual Property, or (ii) under any license requiring the Company or its Subsidiaries to disclose or distribute the source code to any Owned Intellectual Property, to license or provide the source code to any of the Owned Intellectual Property for the purpose of making derivative works, or to make available for redistribution to any Person the source code to any of the Owned Intellectual Property at no or minimal charge.</w:t>
      </w:r>
    </w:p>
    <w:p>
      <w:pPr>
        <w:spacing w:after="0" w:line="192" w:lineRule="exact"/>
        <w:rPr>
          <w:rFonts w:ascii="Arial" w:cs="Arial" w:eastAsia="Arial" w:hAnsi="Arial"/>
          <w:sz w:val="22"/>
          <w:szCs w:val="22"/>
          <w:color w:val="auto"/>
        </w:rPr>
      </w:pPr>
    </w:p>
    <w:p>
      <w:pPr>
        <w:ind w:left="-8" w:right="140" w:firstLine="656"/>
        <w:spacing w:after="0" w:line="312" w:lineRule="auto"/>
        <w:tabs>
          <w:tab w:leader="none" w:pos="1285"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Company, and its Subsidiaries, have taken all actions reasonably necessary and all actions common in the industry to maintain and protect all of the material Owned Intellectual Property, including the confidentiality of any confidential information of the Company and its Subsidiaries and the Company and its Subsidiaries have not disclosed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 w:right="280" w:firstLine="8"/>
        <w:spacing w:after="0" w:line="277" w:lineRule="auto"/>
        <w:tabs>
          <w:tab w:leader="none" w:pos="2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12"/>
          </w:cols>
          <w:pgMar w:left="328" w:top="1440" w:right="359" w:bottom="1440" w:gutter="0" w:footer="0" w:header="0"/>
        </w:sectPr>
      </w:pPr>
    </w:p>
    <w:bookmarkStart w:id="99" w:name="page100"/>
    <w:bookmarkEnd w:id="99"/>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confidential material Owned Intellectual Property (including the source code to any material Software included within the Owned Intellectual Property) to any third party other than pursuant to a written confidentiality agreement pursuant to which such third party agrees to protect such confidential information.</w:t>
      </w:r>
    </w:p>
    <w:p>
      <w:pPr>
        <w:spacing w:after="0" w:line="185" w:lineRule="exact"/>
        <w:rPr>
          <w:sz w:val="20"/>
          <w:szCs w:val="20"/>
          <w:color w:val="auto"/>
        </w:rPr>
      </w:pPr>
    </w:p>
    <w:p>
      <w:pPr>
        <w:ind w:right="160" w:firstLine="656"/>
        <w:spacing w:after="0" w:line="246"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Company and its Subsidiaries own and possess all source code for all material Software included within the Owned Intellectual Property. Neither the Company nor any of its Subsidiaries has disclosed, delivered, licensed, granted any right, made available or provided to any Person, or obligated themselves to disclose, deliver or license to any Person (including any escrow agent) or allowed any Person to access or use, any source code for the material Software included within the Owned Intellectual Property, other than employees, contractors and consultants of the Company and its Subsidiaries that have confidentiality obligations to the Company or its Subsidiaries with respect to such source code and no source code has been placed in escrow.</w:t>
      </w:r>
    </w:p>
    <w:p>
      <w:pPr>
        <w:spacing w:after="0" w:line="196" w:lineRule="exact"/>
        <w:rPr>
          <w:rFonts w:ascii="Arial" w:cs="Arial" w:eastAsia="Arial" w:hAnsi="Arial"/>
          <w:sz w:val="22"/>
          <w:szCs w:val="22"/>
          <w:color w:val="auto"/>
        </w:rPr>
      </w:pPr>
    </w:p>
    <w:p>
      <w:pPr>
        <w:ind w:right="40" w:firstLine="656"/>
        <w:spacing w:after="0" w:line="261" w:lineRule="auto"/>
        <w:tabs>
          <w:tab w:leader="none" w:pos="1291"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Company and its Subsidiaries have implemented and maintained commercially reasonable security, disaster recovery and business continuity plans, procedures and facilities, all such plans and procedures have been proven effective upon testing in all material respects, and in the last twelve (12) months, there has not been any material failure with respect to any of the IT Systems. To the Knowledge of the Company, the IT Systems do not contain any virus or malware that would interfere with the conduct of the business of the Company and its Subsidiaries or present a risk of unauthorized access, disclosure, use, corruption, destruction or loss of any Personal Information.</w:t>
      </w:r>
    </w:p>
    <w:p>
      <w:pPr>
        <w:spacing w:after="0" w:line="179" w:lineRule="exact"/>
        <w:rPr>
          <w:rFonts w:ascii="Arial" w:cs="Arial" w:eastAsia="Arial" w:hAnsi="Arial"/>
          <w:sz w:val="21"/>
          <w:szCs w:val="21"/>
          <w:color w:val="auto"/>
        </w:rPr>
      </w:pPr>
    </w:p>
    <w:p>
      <w:pPr>
        <w:ind w:right="20" w:firstLine="656"/>
        <w:spacing w:after="0" w:line="302" w:lineRule="auto"/>
        <w:tabs>
          <w:tab w:leader="none" w:pos="1291"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Company and its Subsidiaries have taken commercially reasonable actions to protect the security and integrity of the IT Systems and the data stored or contained therein or transmitted thereby including by implementing industry standard procedures designed to prevent unauthorized access and the introduction of any virus, worm, Trojan horse or similar disabling code or program, and the taking and storing on-site and off-site of back-up copies of critical data.</w:t>
      </w:r>
    </w:p>
    <w:p>
      <w:pPr>
        <w:spacing w:after="0" w:line="142" w:lineRule="exact"/>
        <w:rPr>
          <w:rFonts w:ascii="Arial" w:cs="Arial" w:eastAsia="Arial" w:hAnsi="Arial"/>
          <w:sz w:val="19"/>
          <w:szCs w:val="19"/>
          <w:color w:val="auto"/>
        </w:rPr>
      </w:pPr>
    </w:p>
    <w:p>
      <w:pPr>
        <w:ind w:firstLine="656"/>
        <w:spacing w:after="0" w:line="294" w:lineRule="auto"/>
        <w:tabs>
          <w:tab w:leader="none" w:pos="1284"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Company and its Subsidiaries are, in all material respects, in compliance with, and have been, since January 1, 2018, in all material respects, in compliance with all Data Security Requirements. Since January 1, 2018, the IT Systems have not suffered any security breach that resulted in authorized access to, or unauthorized use of any IT Systems or the disclosure of Personal Information, nor has the Company or any of its Subsidiaries received any notices relating to Data Security Requirements related to the Company or its Subsidiaries, except, in each case, as would not reasonably be expected to, individually or in the aggregate, be material to the Company and its Subsidiaries, taken as a whole.</w:t>
      </w:r>
    </w:p>
    <w:p>
      <w:pPr>
        <w:spacing w:after="0" w:line="149"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Within the last three (3) years through the date hereof, (a) there is and has been no Litigation pending or, to the Knowledge of the Company, threatened by or against the Company or its Subsidiaries, (b) there is or has been no outstanding order, writ, judgment, injunction, decision, ruling, award or decree issued against the Company or its Subsidiaries, and (c) to the Knowledge of the Company, there is no investigation by a Governmental Authority that relates to the Company or any of its Subsidiaries, except, in each case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as would not reasonably be expected to, individually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firstLine="8"/>
        <w:spacing w:after="0" w:line="277"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4"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aggregate, be material to the Company and its Subsidiaries, taken as a whole, or materially impair or materially delay the Company and its applicable Affiliates from consummating the transactions contemplated by this Agreement or the Ancillary Agreements.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Compliance with Laws; Licenses and Permits</w:t>
      </w:r>
      <w:r>
        <w:rPr>
          <w:rFonts w:ascii="Arial" w:cs="Arial" w:eastAsia="Arial" w:hAnsi="Arial"/>
          <w:sz w:val="22"/>
          <w:szCs w:val="22"/>
          <w:color w:val="auto"/>
        </w:rPr>
        <w:t>.</w:t>
      </w:r>
    </w:p>
    <w:p>
      <w:pPr>
        <w:spacing w:after="0" w:line="220" w:lineRule="exact"/>
        <w:rPr>
          <w:sz w:val="20"/>
          <w:szCs w:val="20"/>
          <w:color w:val="auto"/>
        </w:rPr>
      </w:pPr>
    </w:p>
    <w:p>
      <w:pPr>
        <w:jc w:val="both"/>
        <w:ind w:right="180" w:firstLine="656"/>
        <w:spacing w:after="0" w:line="302" w:lineRule="auto"/>
        <w:tabs>
          <w:tab w:leader="none" w:pos="1293"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Company and its Subsidiaries are, and have been since January 1, 2018, operating in all material respects in compliance with applicable Law, except as would not reasonably be expected to, individually or in the aggregate, be material to the Company and its Subsidiaries, taken as a whole, or materially impair or materially delay the Company and its applicable Affiliates from consummating the transactions contemplated by this Agreement or the Ancillary Agreements.</w:t>
      </w:r>
    </w:p>
    <w:p>
      <w:pPr>
        <w:spacing w:after="0" w:line="142" w:lineRule="exact"/>
        <w:rPr>
          <w:rFonts w:ascii="Arial" w:cs="Arial" w:eastAsia="Arial" w:hAnsi="Arial"/>
          <w:sz w:val="19"/>
          <w:szCs w:val="19"/>
          <w:color w:val="auto"/>
        </w:rPr>
      </w:pPr>
    </w:p>
    <w:p>
      <w:pPr>
        <w:ind w:firstLine="656"/>
        <w:spacing w:after="0" w:line="287" w:lineRule="auto"/>
        <w:tabs>
          <w:tab w:leader="none" w:pos="1291"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Company and its Subsidiaries hold all licenses, franchises, permits, certificates, consents, approvals or other similar authorizations issued by applicable Governmental Authorities necessary for the lawful conduct of the business of the Company and its Subsidiaries (the “</w:t>
      </w:r>
      <w:r>
        <w:rPr>
          <w:rFonts w:ascii="Arial" w:cs="Arial" w:eastAsia="Arial" w:hAnsi="Arial"/>
          <w:sz w:val="19"/>
          <w:szCs w:val="19"/>
          <w:u w:val="single" w:color="auto"/>
          <w:color w:val="auto"/>
        </w:rPr>
        <w:t>Permits</w:t>
      </w:r>
      <w:r>
        <w:rPr>
          <w:rFonts w:ascii="Arial" w:cs="Arial" w:eastAsia="Arial" w:hAnsi="Arial"/>
          <w:sz w:val="19"/>
          <w:szCs w:val="19"/>
          <w:color w:val="auto"/>
        </w:rPr>
        <w:t>”), except as would not reasonably be expected to, individually or in the aggregate, be material to the Company and its Subsidiaries, taken as a whole, or materially impair or materially delay the Company and its applicable Affiliates from consummating the transactions contemplated by this Agreement or the Ancillary Agreements. The Permits are valid and in full force and effect, neither the Company nor any of its applicable Subsidiaries is in default under any condition or provision of any of the Permits and no suspension, revocation, cancellation or material modification of any condition or provision of any Permit is pending or, to the Knowledge of the Company, has been threatened and none of the Permits will be terminated or modified as a result of the transactions contemplated hereby, except, in each case, as would not reasonably be expected to, individually or in the aggregate, be material to the Company and its Subsidiaries, taken as a whole, or materially impair or materially delay the Company and its applicable Affiliates from consummating the transactions contemplated by this Agreement or the Ancillary Agreements.</w:t>
      </w:r>
    </w:p>
    <w:p>
      <w:pPr>
        <w:spacing w:after="0" w:line="158" w:lineRule="exact"/>
        <w:rPr>
          <w:rFonts w:ascii="Arial" w:cs="Arial" w:eastAsia="Arial" w:hAnsi="Arial"/>
          <w:sz w:val="19"/>
          <w:szCs w:val="19"/>
          <w:color w:val="auto"/>
        </w:rPr>
      </w:pPr>
    </w:p>
    <w:p>
      <w:pPr>
        <w:ind w:right="40" w:firstLine="656"/>
        <w:spacing w:after="0" w:line="257" w:lineRule="auto"/>
        <w:tabs>
          <w:tab w:leader="none" w:pos="1293" w:val="left"/>
        </w:tabs>
        <w:numPr>
          <w:ilvl w:val="1"/>
          <w:numId w:val="75"/>
        </w:numPr>
        <w:rPr>
          <w:rFonts w:ascii="Arial" w:cs="Arial" w:eastAsia="Arial" w:hAnsi="Arial"/>
          <w:sz w:val="21"/>
          <w:szCs w:val="21"/>
          <w:color w:val="auto"/>
        </w:rPr>
      </w:pPr>
      <w:r>
        <w:rPr>
          <w:rFonts w:ascii="Arial" w:cs="Arial" w:eastAsia="Arial" w:hAnsi="Arial"/>
          <w:sz w:val="21"/>
          <w:szCs w:val="21"/>
          <w:color w:val="auto"/>
        </w:rPr>
        <w:t>Since January 1, 2018, neither of the Company, nor any of its Subsidiaries, nor any of their respective officers, directors or employees, nor, to the Knowledge of the Company, any agent or representative of the Company or its applicable Subsidiaries has, in connection with or acting on behalf of the Company or its applicable Subsidiaries, (i) received, made or offered any unlawful payment, or offered or promised to make or receive any unlawful payment, or provided or offered or promised to provide or receive anything of value (whether in the form of property or services or in any other form), to or from any foreign or domestic government official or employee, or to any finder, agent, or other party acting on behalf of or under the auspices of any Governmental Authority, for the purpose of (A) influencing any act or decision of a government official in his or her official capacity, (B) inducing a government official to do or omit to do any act in violation of his or her lawful duties or (C) inducing a government official to influence or affect any act or decision of any Governmental Authority, (ii) used any corporate funds for unlawful contributions, gifts, entertainment or other unlawful expenses relating to political activity or (iii) taken any other action or made any omission, in each case, in violation of any Law applicable to the Company or its Subsidiaries governing corrupt practices, money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8" w:lineRule="exact"/>
        <w:rPr>
          <w:rFonts w:ascii="Arial" w:cs="Arial" w:eastAsia="Arial" w:hAnsi="Arial"/>
          <w:sz w:val="21"/>
          <w:szCs w:val="21"/>
          <w:color w:val="auto"/>
        </w:rPr>
      </w:pPr>
    </w:p>
    <w:p>
      <w:pPr>
        <w:ind w:right="28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04"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laundering, anti-bribery or anticorruption or that otherwise prohibits payments to any government or public officials, including, if applicable, the Foreign Corrupt Practices Act of 1977, 15 U.S.C. §§ 78dd 1, et seq., the UK Bribery Act 2010 and any Law implementing the OECD Convention on Combating Bribery of Foreign Public Officials in International Business Transactions (all such Laws,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As of the date hereof and since January 1, 2018, none of the Company or its Subsidiaries has received any written or, to the Knowledge of the Company, oral notice or inquiry alleging any such material violation or conducted any internal investigation or audit with respect to any actual or alleged violation of any Anticorruption Laws.</w:t>
      </w:r>
    </w:p>
    <w:p>
      <w:pPr>
        <w:spacing w:after="0" w:line="149" w:lineRule="exact"/>
        <w:rPr>
          <w:sz w:val="20"/>
          <w:szCs w:val="20"/>
          <w:color w:val="auto"/>
        </w:rPr>
      </w:pPr>
    </w:p>
    <w:p>
      <w:pPr>
        <w:ind w:right="120" w:firstLine="656"/>
        <w:spacing w:after="0" w:line="292" w:lineRule="auto"/>
        <w:tabs>
          <w:tab w:leader="none" w:pos="1291" w:val="left"/>
        </w:tabs>
        <w:numPr>
          <w:ilvl w:val="0"/>
          <w:numId w:val="76"/>
        </w:numPr>
        <w:rPr>
          <w:rFonts w:ascii="Arial" w:cs="Arial" w:eastAsia="Arial" w:hAnsi="Arial"/>
          <w:sz w:val="19"/>
          <w:szCs w:val="19"/>
          <w:color w:val="auto"/>
        </w:rPr>
      </w:pPr>
      <w:r>
        <w:rPr>
          <w:rFonts w:ascii="Arial" w:cs="Arial" w:eastAsia="Arial" w:hAnsi="Arial"/>
          <w:sz w:val="19"/>
          <w:szCs w:val="19"/>
          <w:color w:val="auto"/>
        </w:rPr>
        <w:t>Each of the Company and its Subsidiaries is, and since January 1, 2018, has been, in compliance with all applicable Laws relating to economic or trade sanctions or embargoes, including all Laws administered and enforced by OFAC (“</w:t>
      </w:r>
      <w:r>
        <w:rPr>
          <w:rFonts w:ascii="Arial" w:cs="Arial" w:eastAsia="Arial" w:hAnsi="Arial"/>
          <w:sz w:val="19"/>
          <w:szCs w:val="19"/>
          <w:u w:val="single" w:color="auto"/>
          <w:color w:val="auto"/>
        </w:rPr>
        <w:t>Sanctions Laws</w:t>
      </w:r>
      <w:r>
        <w:rPr>
          <w:rFonts w:ascii="Arial" w:cs="Arial" w:eastAsia="Arial" w:hAnsi="Arial"/>
          <w:sz w:val="19"/>
          <w:szCs w:val="19"/>
          <w:color w:val="auto"/>
        </w:rPr>
        <w:t>”), Ex-Im Laws, and U.S. anti-boycott Laws (collectively, “</w:t>
      </w:r>
      <w:r>
        <w:rPr>
          <w:rFonts w:ascii="Arial" w:cs="Arial" w:eastAsia="Arial" w:hAnsi="Arial"/>
          <w:sz w:val="19"/>
          <w:szCs w:val="19"/>
          <w:u w:val="single" w:color="auto"/>
          <w:color w:val="auto"/>
        </w:rPr>
        <w:t>Trade Control Laws</w:t>
      </w:r>
      <w:r>
        <w:rPr>
          <w:rFonts w:ascii="Arial" w:cs="Arial" w:eastAsia="Arial" w:hAnsi="Arial"/>
          <w:sz w:val="19"/>
          <w:szCs w:val="19"/>
          <w:color w:val="auto"/>
        </w:rPr>
        <w:t>”). None of the Company or its Subsidiaries is party to any contract or is currently, or has been since January 1, 2018, engaged in any transaction or other business in breach of Trade Control Laws. As of the date hereof and in the last five (5) years, neither the Company nor any of its Subsidiaries has received from any Governmental Authority or any other Person any written or, to the Knowledge of the Company, oral notice or inquiry of any violation or alleged violation of any Trade Control Laws.</w:t>
      </w:r>
    </w:p>
    <w:p>
      <w:pPr>
        <w:spacing w:after="0" w:line="150" w:lineRule="exact"/>
        <w:rPr>
          <w:rFonts w:ascii="Arial" w:cs="Arial" w:eastAsia="Arial" w:hAnsi="Arial"/>
          <w:sz w:val="19"/>
          <w:szCs w:val="19"/>
          <w:color w:val="auto"/>
        </w:rPr>
      </w:pPr>
    </w:p>
    <w:p>
      <w:pPr>
        <w:ind w:right="120" w:firstLine="656"/>
        <w:spacing w:after="0" w:line="297" w:lineRule="auto"/>
        <w:tabs>
          <w:tab w:leader="none" w:pos="1293" w:val="left"/>
        </w:tabs>
        <w:numPr>
          <w:ilvl w:val="0"/>
          <w:numId w:val="76"/>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any of their respective officers, directors or employees, nor to the Knowledge of the Company, any agent or other third party representative acting on behalf of the Company or any of its Subsidiaries, is currently, or has been in the last five (5) years: (i) a Sanctioned Person, (ii) organized, resident or located in a Sanctioned Country, (iii) engaging in any dealings or transactions with or for the benefit of any Sanctioned Person or Sanctioned Country in violation of Sanctions Laws; or (iv) otherwise in violation of Trade Control Laws.</w:t>
      </w:r>
    </w:p>
    <w:p>
      <w:pPr>
        <w:spacing w:after="0" w:line="146" w:lineRule="exact"/>
        <w:rPr>
          <w:rFonts w:ascii="Arial" w:cs="Arial" w:eastAsia="Arial" w:hAnsi="Arial"/>
          <w:sz w:val="19"/>
          <w:szCs w:val="19"/>
          <w:color w:val="auto"/>
        </w:rPr>
      </w:pPr>
    </w:p>
    <w:p>
      <w:pPr>
        <w:ind w:right="180" w:firstLine="656"/>
        <w:spacing w:after="0" w:line="253"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and its Subsidiaries have implemented and maintain in effect written policies, procedures and internal controls that are reasonably designed to prevent, deter and detect violations of applicable Trade Control Laws and Anti-Corruption Laws.</w:t>
      </w:r>
    </w:p>
    <w:p>
      <w:pPr>
        <w:spacing w:after="0" w:line="185"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would not reasonably be expected to, individually or in the aggregate, be material to the Company and its Subsidiaries, taken as a whole, (a) the Company and its Subsidiaries are, and since January 1, 2018 have been, in compliance with all applicable Environmental Laws, (b) the Company and its Subsidiaries are in possession of, and in compliance with, all Permits that are required pursuant to applicable Environmental Laws, (c) neither the Company nor any of its Subsidiaries have received from any Governmental Authority any written notice of violation of any Environmental Law, and (d) as of the date hereof, no Litigation is pending or, to the Knowledge of the Company, threatened against the Company or any of its Subsidiaries under any Environmental Law.</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Employees, Labor Matters, etc.</w:t>
      </w:r>
    </w:p>
    <w:p>
      <w:pPr>
        <w:spacing w:after="0" w:line="220" w:lineRule="exact"/>
        <w:rPr>
          <w:sz w:val="20"/>
          <w:szCs w:val="20"/>
          <w:color w:val="auto"/>
        </w:rPr>
      </w:pPr>
    </w:p>
    <w:p>
      <w:pPr>
        <w:ind w:right="160" w:firstLine="656"/>
        <w:spacing w:after="0" w:line="263" w:lineRule="auto"/>
        <w:tabs>
          <w:tab w:leader="none" w:pos="1293" w:val="left"/>
        </w:tabs>
        <w:numPr>
          <w:ilvl w:val="1"/>
          <w:numId w:val="77"/>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a party to or is otherwise bound by any CBA, and there are no labor unions or other organizations or groups representing,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right="300" w:firstLine="8"/>
        <w:spacing w:after="0" w:line="277"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4"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 xml:space="preserve">purporting to represent or attempting to represent any employees of the Company or any of its Subsidiaries, except, in each case, as set forth on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of the Company Disclosure Letter. To the Knowledge of the Company, since January 1, 2018, there have been no actual, pending or threatened labor organizing activities with respect to any employee of the Company or any of its Subsidiaries. Since January 1, 2018, there has been no pending or, to the Knowledge of the Company, threatened strike, slowdown, picketing, work stoppage, lockout, handbilling, unfair labor practice charge, labor grievance, labor arbitration or other similar labor activity or material labor dispute with respect to any employees of the Company or any of its Subsidiaries. Neither the Company nor any of its Subsidiaries has any notice or consultation obligations to any labor union, labor organization or works council, which is representing any employee of the Company or any of its Subsidiaries, in connection with the execution of this Agreement or the consummation of the transactions contemplated by this Agreement.</w:t>
      </w:r>
    </w:p>
    <w:p>
      <w:pPr>
        <w:spacing w:after="0" w:line="157" w:lineRule="exact"/>
        <w:rPr>
          <w:sz w:val="20"/>
          <w:szCs w:val="20"/>
          <w:color w:val="auto"/>
        </w:rPr>
      </w:pPr>
    </w:p>
    <w:p>
      <w:pPr>
        <w:ind w:firstLine="656"/>
        <w:spacing w:after="0" w:line="259" w:lineRule="auto"/>
        <w:tabs>
          <w:tab w:leader="none" w:pos="1291" w:val="left"/>
        </w:tabs>
        <w:numPr>
          <w:ilvl w:val="0"/>
          <w:numId w:val="78"/>
        </w:numPr>
        <w:rPr>
          <w:rFonts w:ascii="Arial" w:cs="Arial" w:eastAsia="Arial" w:hAnsi="Arial"/>
          <w:sz w:val="21"/>
          <w:szCs w:val="21"/>
          <w:color w:val="auto"/>
        </w:rPr>
      </w:pPr>
      <w:r>
        <w:rPr>
          <w:rFonts w:ascii="Arial" w:cs="Arial" w:eastAsia="Arial" w:hAnsi="Arial"/>
          <w:sz w:val="21"/>
          <w:szCs w:val="21"/>
          <w:color w:val="auto"/>
        </w:rPr>
        <w:t>Except as would not reasonably be expected to, individually or in the aggregate, be material to the Company and its Subsidiaries, taken as a whole, the Company and each of its Subsidiaries is, and since January 1, 2018 has been, in compliance with all applicable Laws respecting labor, employment, and employment practices, including all Laws respecting terms and conditions of employment, employee and independent contractor classification, wages and hours, health and safety, immigration (including the completion of Forms I-9 for all U.S. employees and the proper confirmation of employee visas), harassment, discrimination or retaliation, whistleblowing, disability rights or benefits, equal opportunity, plant closures and layoffs (including the Worker Adjustment and Retraining Notification Act of 1988, as amended, or any similar Laws), employee trainings and notices, workers’ compensation, labor relations, employee leave issues, COVID-19, affirmative action and unemployment insurance.</w:t>
      </w:r>
    </w:p>
    <w:p>
      <w:pPr>
        <w:spacing w:after="0" w:line="179" w:lineRule="exact"/>
        <w:rPr>
          <w:rFonts w:ascii="Arial" w:cs="Arial" w:eastAsia="Arial" w:hAnsi="Arial"/>
          <w:sz w:val="21"/>
          <w:szCs w:val="21"/>
          <w:color w:val="auto"/>
        </w:rPr>
      </w:pPr>
    </w:p>
    <w:p>
      <w:pPr>
        <w:ind w:firstLine="656"/>
        <w:spacing w:after="0" w:line="250" w:lineRule="auto"/>
        <w:tabs>
          <w:tab w:leader="none" w:pos="1293"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Company and each of its Subsidiaries has reasonably investigated all sexual harassment, or other discrimination, retaliation or policy violation allegations of which it is aware. With respect to each such allegation with potential merit, the Company and each of its Subsidiaries (as applicable) has taken prompt corrective action that is reasonably calculated to prevent further improper action.</w:t>
      </w:r>
    </w:p>
    <w:p>
      <w:pPr>
        <w:spacing w:after="0" w:line="187" w:lineRule="exact"/>
        <w:rPr>
          <w:rFonts w:ascii="Arial" w:cs="Arial" w:eastAsia="Arial" w:hAnsi="Arial"/>
          <w:sz w:val="22"/>
          <w:szCs w:val="22"/>
          <w:color w:val="auto"/>
        </w:rPr>
      </w:pPr>
    </w:p>
    <w:p>
      <w:pPr>
        <w:ind w:right="180" w:firstLine="656"/>
        <w:spacing w:after="0" w:line="253" w:lineRule="auto"/>
        <w:tabs>
          <w:tab w:leader="none" w:pos="129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the Knowledge of the Company, no current or former employee or independent contractor of the Company or its Subsidiaries is in any material respect in violation of any term of any employment agreement or any fiduciary duty or restrictive covenant or obligation owed to the Company or its Subsidiaries.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Employee Benefit Plans and Related Matters; ERISA</w:t>
      </w:r>
      <w:r>
        <w:rPr>
          <w:rFonts w:ascii="Arial" w:cs="Arial" w:eastAsia="Arial" w:hAnsi="Arial"/>
          <w:sz w:val="22"/>
          <w:szCs w:val="22"/>
          <w:color w:val="auto"/>
        </w:rPr>
        <w:t>.</w:t>
      </w:r>
    </w:p>
    <w:p>
      <w:pPr>
        <w:spacing w:after="0" w:line="220" w:lineRule="exact"/>
        <w:rPr>
          <w:sz w:val="20"/>
          <w:szCs w:val="20"/>
          <w:color w:val="auto"/>
        </w:rPr>
      </w:pPr>
    </w:p>
    <w:p>
      <w:pPr>
        <w:ind w:right="120" w:firstLine="656"/>
        <w:spacing w:after="0" w:line="297" w:lineRule="auto"/>
        <w:tabs>
          <w:tab w:leader="none" w:pos="1293"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of the Company Disclosure Letter lists all material Company Benefit Plans. With respect to each material Company Benefit Plan, the Company has made available to Investor complete and correct copies (to the extent applicable) of (i) the plan and trust documents (or any other funding instruments) and the most recent summary plan description (and any summary of material modifications thereto), (ii) the most recent annual report (Form 5500 series), (iii) the most recent IRS determination letter, and (iv) any non-routine correspondence with any Governmental Authority received in the last 3 years.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28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204" w:lineRule="exact"/>
        <w:rPr>
          <w:sz w:val="20"/>
          <w:szCs w:val="20"/>
          <w:color w:val="auto"/>
        </w:rPr>
      </w:pPr>
    </w:p>
    <w:p>
      <w:pPr>
        <w:ind w:left="-8" w:right="100" w:firstLine="656"/>
        <w:spacing w:after="0" w:line="260" w:lineRule="auto"/>
        <w:tabs>
          <w:tab w:leader="none" w:pos="1283" w:val="left"/>
        </w:tabs>
        <w:numPr>
          <w:ilvl w:val="1"/>
          <w:numId w:val="80"/>
        </w:numPr>
        <w:rPr>
          <w:rFonts w:ascii="Arial" w:cs="Arial" w:eastAsia="Arial" w:hAnsi="Arial"/>
          <w:sz w:val="21"/>
          <w:szCs w:val="21"/>
          <w:color w:val="auto"/>
        </w:rPr>
      </w:pPr>
      <w:r>
        <w:rPr>
          <w:rFonts w:ascii="Arial" w:cs="Arial" w:eastAsia="Arial" w:hAnsi="Arial"/>
          <w:sz w:val="21"/>
          <w:szCs w:val="21"/>
          <w:color w:val="auto"/>
        </w:rPr>
        <w:t>No Company Benefit Plan is, and neither the Company nor any of its Subsidiaries has any Liability (including on account of an ERISA Affiliate) with respect to, (i) a Multiemployer Plan, (ii) a plan that is or was subject to Section 302 or Title IV of ERISA or Section 412 of the Code, (iii) a multiple employer plan (as described in Section 413(c) of the Code); or (iv) a “multiple employer welfare arrangement” (as defined in Section 3(40) of ERISA). No Company Benefit Plan provides, and neither the Company nor any of its Subsidiaries has any Liability to provide, retiree or post-termination health or other welfare benefits to former employees of the Company or any of its Subsidiaries or any other Person, other than health continuation coverage pursuant to Section 4980B of the Code.</w:t>
      </w:r>
    </w:p>
    <w:p>
      <w:pPr>
        <w:spacing w:after="0" w:line="180" w:lineRule="exact"/>
        <w:rPr>
          <w:rFonts w:ascii="Arial" w:cs="Arial" w:eastAsia="Arial" w:hAnsi="Arial"/>
          <w:sz w:val="21"/>
          <w:szCs w:val="21"/>
          <w:color w:val="auto"/>
        </w:rPr>
      </w:pPr>
    </w:p>
    <w:p>
      <w:pPr>
        <w:ind w:left="-8" w:right="60" w:firstLine="656"/>
        <w:spacing w:after="0" w:line="257" w:lineRule="auto"/>
        <w:tabs>
          <w:tab w:leader="none" w:pos="1285" w:val="left"/>
        </w:tabs>
        <w:numPr>
          <w:ilvl w:val="1"/>
          <w:numId w:val="80"/>
        </w:numPr>
        <w:rPr>
          <w:rFonts w:ascii="Arial" w:cs="Arial" w:eastAsia="Arial" w:hAnsi="Arial"/>
          <w:sz w:val="21"/>
          <w:szCs w:val="21"/>
          <w:color w:val="auto"/>
        </w:rPr>
      </w:pPr>
      <w:r>
        <w:rPr>
          <w:rFonts w:ascii="Arial" w:cs="Arial" w:eastAsia="Arial" w:hAnsi="Arial"/>
          <w:sz w:val="21"/>
          <w:szCs w:val="21"/>
          <w:color w:val="auto"/>
        </w:rPr>
        <w:t xml:space="preserve">Each Company Benefit Plan has been established, maintained, funded and administered in all material respects in compliance with its terms, the applicable requirements of ERISA, the Code and any other applicable Law. Each Company Benefit Plan intended to be qualified under Section 401(a) of the Code, and the trust (if any) forming a part thereof, has received a favorable determination letter from the IRS and, to the Knowledge of the Company, there are no existing circumstances or events that could reasonably be expected to result in any revocation of, or a change to, such determination letter or qualified status. Neither the Company nor any of its Subsidiaries has incurred, or could reasonably expect to incur, any material penalty or Tax (whether or not assessed) under Section 4980B, 4980D, 4980H 6721 or 6722 of the Code. With respect to each Company Benefit Plan, the Company and its Subsidiaries have timely made in all material respects all required contributions, reimbursements, premiums and other payments and have properly accrued any amounts not yet due. All options and restricted stock units listed in </w:t>
      </w:r>
      <w:r>
        <w:rPr>
          <w:rFonts w:ascii="Arial" w:cs="Arial" w:eastAsia="Arial" w:hAnsi="Arial"/>
          <w:sz w:val="21"/>
          <w:szCs w:val="21"/>
          <w:u w:val="single" w:color="auto"/>
          <w:color w:val="auto"/>
        </w:rPr>
        <w:t>Section 2.4(a)</w:t>
      </w:r>
      <w:r>
        <w:rPr>
          <w:rFonts w:ascii="Arial" w:cs="Arial" w:eastAsia="Arial" w:hAnsi="Arial"/>
          <w:sz w:val="21"/>
          <w:szCs w:val="21"/>
          <w:color w:val="auto"/>
        </w:rPr>
        <w:t xml:space="preserve"> of the Company Disclosure Letter have been issued under and in compliance in all material respects with the Incentive Plan and all applicable Laws. As of the date hereof, up to 9,000,000 Shares remain available for issuance under the Incentive Plan.</w:t>
      </w:r>
    </w:p>
    <w:p>
      <w:pPr>
        <w:spacing w:after="0" w:line="217" w:lineRule="exact"/>
        <w:rPr>
          <w:rFonts w:ascii="Arial" w:cs="Arial" w:eastAsia="Arial" w:hAnsi="Arial"/>
          <w:sz w:val="21"/>
          <w:szCs w:val="21"/>
          <w:color w:val="auto"/>
        </w:rPr>
      </w:pPr>
    </w:p>
    <w:p>
      <w:pPr>
        <w:ind w:left="-8" w:firstLine="656"/>
        <w:spacing w:after="0" w:line="265" w:lineRule="auto"/>
        <w:tabs>
          <w:tab w:leader="none" w:pos="1283" w:val="left"/>
        </w:tabs>
        <w:numPr>
          <w:ilvl w:val="1"/>
          <w:numId w:val="80"/>
        </w:numPr>
        <w:rPr>
          <w:rFonts w:ascii="Arial" w:cs="Arial" w:eastAsia="Arial" w:hAnsi="Arial"/>
          <w:sz w:val="21"/>
          <w:szCs w:val="21"/>
          <w:color w:val="auto"/>
        </w:rPr>
      </w:pPr>
      <w:r>
        <w:rPr>
          <w:rFonts w:ascii="Arial" w:cs="Arial" w:eastAsia="Arial" w:hAnsi="Arial"/>
          <w:sz w:val="21"/>
          <w:szCs w:val="21"/>
          <w:color w:val="auto"/>
        </w:rPr>
        <w:t>Other than routine claims for benefits, there are no pending or, to the Knowledge of the Company, threatened actions, audits, investigations, proceedings, litigations or claims by or on behalf of any participant in any of the Company Benefit Plans, or otherwise involving any Company Benefit Plan or the assets of any Company Benefit Plan, that could reasonably be expected to result in any material Liability to the Company or any of its Subsidiaries.</w:t>
      </w:r>
    </w:p>
    <w:p>
      <w:pPr>
        <w:spacing w:after="0" w:line="215" w:lineRule="exact"/>
        <w:rPr>
          <w:rFonts w:ascii="Arial" w:cs="Arial" w:eastAsia="Arial" w:hAnsi="Arial"/>
          <w:sz w:val="21"/>
          <w:szCs w:val="21"/>
          <w:color w:val="auto"/>
        </w:rPr>
      </w:pPr>
    </w:p>
    <w:p>
      <w:pPr>
        <w:ind w:left="-8" w:right="80" w:firstLine="656"/>
        <w:spacing w:after="0" w:line="290" w:lineRule="auto"/>
        <w:tabs>
          <w:tab w:leader="none" w:pos="1285" w:val="left"/>
        </w:tabs>
        <w:numPr>
          <w:ilvl w:val="1"/>
          <w:numId w:val="80"/>
        </w:numPr>
        <w:rPr>
          <w:rFonts w:ascii="Arial" w:cs="Arial" w:eastAsia="Arial" w:hAnsi="Arial"/>
          <w:sz w:val="19"/>
          <w:szCs w:val="19"/>
          <w:color w:val="auto"/>
        </w:rPr>
      </w:pPr>
      <w:r>
        <w:rPr>
          <w:rFonts w:ascii="Arial" w:cs="Arial" w:eastAsia="Arial" w:hAnsi="Arial"/>
          <w:sz w:val="19"/>
          <w:szCs w:val="19"/>
          <w:color w:val="auto"/>
        </w:rPr>
        <w:t>Without limiting the generality of the foregoing, with respect to each Company Benefit Plan that is subject to the laws of a jurisdiction other than the United States (a “</w:t>
      </w:r>
      <w:r>
        <w:rPr>
          <w:rFonts w:ascii="Arial" w:cs="Arial" w:eastAsia="Arial" w:hAnsi="Arial"/>
          <w:sz w:val="19"/>
          <w:szCs w:val="19"/>
          <w:u w:val="single" w:color="auto"/>
          <w:color w:val="auto"/>
        </w:rPr>
        <w:t>Foreign Plan</w:t>
      </w:r>
      <w:r>
        <w:rPr>
          <w:rFonts w:ascii="Arial" w:cs="Arial" w:eastAsia="Arial" w:hAnsi="Arial"/>
          <w:sz w:val="19"/>
          <w:szCs w:val="19"/>
          <w:color w:val="auto"/>
        </w:rPr>
        <w:t>”): (i) each Foreign Plan required to be registered has been registered and has been maintained in good standing in all material respects with applicable regulatory authorities; (ii) each Foreign Plan intended to receive favorable tax treatment under applicable tax laws has been qualified or similarly determined to satisfy the requirements of such tax laws; (iii) no Foreign Plan is a defined benefit plan (as defined in ERISA, whether or not subject to ERISA); and (iv) no Foreign Plan has any material unfunded liabilities that are not reflected or reserved against on the Audited Financial Statements or the Unaudited Financial Statements, nor are such unfunded liabilities reasonably expected to arise in connection with the transactions contemplated by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8" w:right="260" w:firstLine="8"/>
        <w:spacing w:after="0" w:line="277" w:lineRule="auto"/>
        <w:tabs>
          <w:tab w:leader="none" w:pos="2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92"/>
          </w:cols>
          <w:pgMar w:left="328" w:top="1440" w:right="379" w:bottom="1440" w:gutter="0" w:footer="0" w:header="0"/>
        </w:sectPr>
      </w:pPr>
    </w:p>
    <w:bookmarkStart w:id="104" w:name="page105"/>
    <w:bookmarkEnd w:id="104"/>
    <w:p>
      <w:pPr>
        <w:ind w:left="-8" w:firstLine="656"/>
        <w:spacing w:after="0" w:line="289" w:lineRule="auto"/>
        <w:tabs>
          <w:tab w:leader="none" w:pos="1288" w:val="left"/>
        </w:tabs>
        <w:numPr>
          <w:ilvl w:val="0"/>
          <w:numId w:val="81"/>
        </w:numPr>
        <w:rPr>
          <w:rFonts w:ascii="Arial" w:cs="Arial" w:eastAsia="Arial" w:hAnsi="Arial"/>
          <w:sz w:val="19"/>
          <w:szCs w:val="19"/>
          <w:color w:val="auto"/>
        </w:rPr>
      </w:pPr>
      <w:r>
        <w:rPr>
          <w:rFonts w:ascii="Arial" w:cs="Arial" w:eastAsia="Arial" w:hAnsi="Arial"/>
          <w:sz w:val="19"/>
          <w:szCs w:val="19"/>
          <w:color w:val="auto"/>
        </w:rPr>
        <w:t>Neither the execution and delivery of this Agreement nor the consummation of the transactions contemplated by this Agreement would reasonably be expected to, either alone or in combination with any other event, (i) result in any payment becoming due to any employee of the Company or any of its Subsidiaries or pursuant to any Company Benefit Plan, (ii) increase any benefits under any Company Benefit Plan, (iii) result in the acceleration of the time of payment, vesting or funding or increase the amount of, any compensation or benefits due to any employee of the Company or any of its Subsidiaries or under any Company Benefit Plan, (iv) result in any forgiveness of indebtedness of any employee of the Company or any of its Subsidiaries, or (v) result in any payment (whether in cash or property or the vesting of property) to any “disqualified individual” (within the meaning of Section 280G of the Code) that would reasonably be expected to, individually or in combination with any other such payment, constitute an “excess parachute payment” (within the meaning of Section 280G(b)(1) of the Code).</w:t>
      </w:r>
    </w:p>
    <w:p>
      <w:pPr>
        <w:spacing w:after="0" w:line="183" w:lineRule="exact"/>
        <w:rPr>
          <w:rFonts w:ascii="Arial" w:cs="Arial" w:eastAsia="Arial" w:hAnsi="Arial"/>
          <w:sz w:val="19"/>
          <w:szCs w:val="19"/>
          <w:color w:val="auto"/>
        </w:rPr>
      </w:pPr>
    </w:p>
    <w:p>
      <w:pPr>
        <w:jc w:val="both"/>
        <w:ind w:left="-8" w:right="20" w:firstLine="656"/>
        <w:spacing w:after="0" w:line="253" w:lineRule="auto"/>
        <w:tabs>
          <w:tab w:leader="none" w:pos="1283" w:val="left"/>
        </w:tabs>
        <w:numPr>
          <w:ilvl w:val="0"/>
          <w:numId w:val="81"/>
        </w:numPr>
        <w:rPr>
          <w:rFonts w:ascii="Arial" w:cs="Arial" w:eastAsia="Arial" w:hAnsi="Arial"/>
          <w:sz w:val="22"/>
          <w:szCs w:val="22"/>
          <w:color w:val="auto"/>
        </w:rPr>
      </w:pPr>
      <w:r>
        <w:rPr>
          <w:rFonts w:ascii="Arial" w:cs="Arial" w:eastAsia="Arial" w:hAnsi="Arial"/>
          <w:sz w:val="22"/>
          <w:szCs w:val="22"/>
          <w:color w:val="auto"/>
        </w:rPr>
        <w:t>Neither the Company nor any of its Subsidiaries maintains any obligation to gross-up or reimburse any employee of the Company or any of its Subsidiaries for any Tax or related interest or penalties incurred by such individual, including under Section 409A or 4999 of the Code or otherwise.</w:t>
      </w:r>
    </w:p>
    <w:p>
      <w:pPr>
        <w:spacing w:after="0" w:line="225" w:lineRule="exact"/>
        <w:rPr>
          <w:rFonts w:ascii="Arial" w:cs="Arial" w:eastAsia="Arial" w:hAnsi="Arial"/>
          <w:sz w:val="22"/>
          <w:szCs w:val="22"/>
          <w:color w:val="auto"/>
        </w:rPr>
      </w:pPr>
    </w:p>
    <w:p>
      <w:pPr>
        <w:ind w:left="-8" w:right="120" w:firstLine="656"/>
        <w:spacing w:after="0" w:line="253" w:lineRule="auto"/>
        <w:tabs>
          <w:tab w:leader="none" w:pos="1283"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w:t>
      </w:r>
    </w:p>
    <w:p>
      <w:pPr>
        <w:spacing w:after="0" w:line="18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20" w:lineRule="exact"/>
        <w:rPr>
          <w:sz w:val="20"/>
          <w:szCs w:val="20"/>
          <w:color w:val="auto"/>
        </w:rPr>
      </w:pPr>
    </w:p>
    <w:p>
      <w:pPr>
        <w:ind w:left="-8" w:right="180" w:firstLine="656"/>
        <w:spacing w:after="0" w:line="294" w:lineRule="auto"/>
        <w:tabs>
          <w:tab w:leader="none" w:pos="1285"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Filing and Payment</w:t>
      </w:r>
      <w:r>
        <w:rPr>
          <w:rFonts w:ascii="Arial" w:cs="Arial" w:eastAsia="Arial" w:hAnsi="Arial"/>
          <w:sz w:val="19"/>
          <w:szCs w:val="19"/>
          <w:color w:val="auto"/>
        </w:rPr>
        <w:t>. All income and other material Tax Returns required to be filed by, or with respect to, the Company and its Subsidiaries have been duly and timely filed and are complete and correct in all material respects. All income and other material Taxes required to be paid by, with respect to, or that could give rise to a Lien on the assets of, the Company and its Subsidiaries, have been duly and timely paid. All material Taxes required to be withheld by the Company and its Subsidiaries, have been duly and timely withheld, and such withheld Taxes have been either duly and timely paid to the proper Governmental Authority or properly set aside in accounts for such purpose.</w:t>
      </w:r>
    </w:p>
    <w:p>
      <w:pPr>
        <w:spacing w:after="0" w:line="149" w:lineRule="exact"/>
        <w:rPr>
          <w:rFonts w:ascii="Arial" w:cs="Arial" w:eastAsia="Arial" w:hAnsi="Arial"/>
          <w:sz w:val="19"/>
          <w:szCs w:val="19"/>
          <w:color w:val="auto"/>
        </w:rPr>
      </w:pPr>
    </w:p>
    <w:p>
      <w:pPr>
        <w:ind w:left="-8" w:right="120" w:firstLine="656"/>
        <w:spacing w:after="0" w:line="260" w:lineRule="auto"/>
        <w:tabs>
          <w:tab w:leader="none" w:pos="1283"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Procedure and Compliance</w:t>
      </w:r>
      <w:r>
        <w:rPr>
          <w:rFonts w:ascii="Arial" w:cs="Arial" w:eastAsia="Arial" w:hAnsi="Arial"/>
          <w:sz w:val="21"/>
          <w:szCs w:val="21"/>
          <w:color w:val="auto"/>
        </w:rPr>
        <w:t>. No written agreement waiving or extending, or having the effect of waiving or extending, the statute of limitations or the period of assessment or collection of any material Taxes of the Company and its Subsidiaries is currently in effect, and no written power of attorney with respect to any such Taxes has been filed or entered into with any Governmental Authority. No material Taxes of the Company and its Subsidiaries are under audit, examination or investigation by any Governmental Authority and no Governmental Authority has asserted or threatened in writing any deficiency, adjustment or claim with respect to material Taxes against the Company and its Subsidiaries with respect to any taxable period for which the period of assessment or collection remains open.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1" w:lineRule="exact"/>
        <w:rPr>
          <w:rFonts w:ascii="Arial" w:cs="Arial" w:eastAsia="Arial" w:hAnsi="Arial"/>
          <w:sz w:val="21"/>
          <w:szCs w:val="21"/>
          <w:color w:val="auto"/>
        </w:rPr>
      </w:pPr>
    </w:p>
    <w:p>
      <w:pPr>
        <w:ind w:left="-8" w:right="240" w:firstLine="8"/>
        <w:spacing w:after="0" w:line="277" w:lineRule="auto"/>
        <w:tabs>
          <w:tab w:leader="none" w:pos="2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72"/>
          </w:cols>
          <w:pgMar w:left="328" w:top="1428" w:right="399" w:bottom="1440" w:gutter="0" w:footer="0" w:header="0"/>
        </w:sectPr>
      </w:pPr>
    </w:p>
    <w:bookmarkStart w:id="105" w:name="page106"/>
    <w:bookmarkEnd w:id="105"/>
    <w:p>
      <w:pPr>
        <w:ind w:left="-8" w:right="60" w:firstLine="656"/>
        <w:spacing w:after="0" w:line="312" w:lineRule="auto"/>
        <w:tabs>
          <w:tab w:leader="none" w:pos="1285"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Closing Agreements</w:t>
      </w:r>
      <w:r>
        <w:rPr>
          <w:rFonts w:ascii="Arial" w:cs="Arial" w:eastAsia="Arial" w:hAnsi="Arial"/>
          <w:sz w:val="19"/>
          <w:szCs w:val="19"/>
          <w:color w:val="auto"/>
        </w:rPr>
        <w:t>. None of the Company or its Subsidiaries has received or applied for a material Tax ruling or entered into a material closing agreement pursuant to Section 7121 of the Code (or any predecessor provision or any similar provision of state, local or non-U.S. Law), in either case that would be binding upon such Person after the Closing Date.</w:t>
      </w:r>
    </w:p>
    <w:p>
      <w:pPr>
        <w:spacing w:after="0" w:line="160" w:lineRule="exact"/>
        <w:rPr>
          <w:rFonts w:ascii="Arial" w:cs="Arial" w:eastAsia="Arial" w:hAnsi="Arial"/>
          <w:sz w:val="19"/>
          <w:szCs w:val="19"/>
          <w:color w:val="auto"/>
        </w:rPr>
      </w:pPr>
    </w:p>
    <w:p>
      <w:pPr>
        <w:ind w:left="-8" w:right="40" w:firstLine="656"/>
        <w:spacing w:after="0" w:line="286" w:lineRule="auto"/>
        <w:tabs>
          <w:tab w:leader="none" w:pos="1283"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Certain Events</w:t>
      </w:r>
      <w:r>
        <w:rPr>
          <w:rFonts w:ascii="Arial" w:cs="Arial" w:eastAsia="Arial" w:hAnsi="Arial"/>
          <w:sz w:val="19"/>
          <w:szCs w:val="19"/>
          <w:color w:val="auto"/>
        </w:rPr>
        <w:t>. None of the Company or its Subsidiaries will be required to include any material item of income in, or exclude any material item of deduction from, taxable income for any taxable period (or portion thereof) ending after the Closing Date, as a result of any (i) change in, or use of an improper, method of accounting for a taxable period ending on or prior to the Closing Date under Section 481 of the Code (or any corresponding provision of state, local or non-U.S. Law),</w:t>
      </w:r>
    </w:p>
    <w:p>
      <w:pPr>
        <w:spacing w:after="0" w:line="2" w:lineRule="exact"/>
        <w:rPr>
          <w:rFonts w:ascii="Arial" w:cs="Arial" w:eastAsia="Arial" w:hAnsi="Arial"/>
          <w:sz w:val="19"/>
          <w:szCs w:val="19"/>
          <w:color w:val="auto"/>
        </w:rPr>
      </w:pPr>
    </w:p>
    <w:p>
      <w:pPr>
        <w:ind w:left="-8" w:right="120" w:firstLine="8"/>
        <w:spacing w:after="0" w:line="288" w:lineRule="auto"/>
        <w:tabs>
          <w:tab w:leader="none" w:pos="31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installment sale or open transaction disposition made on or prior to the Closing, (iii) gain recognition agreement entered into prior to Closing, (iv) prepaid amount received or deferred revenue accrued on or prior to the Closing Date, or (v) “closing agreement” as described in Section 7121 of the Code (or any corresponding or similar provision of state, local or non-U.S. law) executed on or prior to the Closing Date. None of the Company or its Subsidiaries will be required to pay any Tax in a taxable period (or portion thereof) after the Closing Date as a result of an election under Section 965(h) of the Code. There are no intercompany transactions or excess loss accounts, in each case described in Treasury Regulations under Section 1502 of the Code, as between the Company and its Subsidiaries that will be taken into account as a result of the Alternative Transaction.</w:t>
      </w:r>
    </w:p>
    <w:p>
      <w:pPr>
        <w:spacing w:after="0" w:line="198" w:lineRule="exact"/>
        <w:rPr>
          <w:rFonts w:ascii="Arial" w:cs="Arial" w:eastAsia="Arial" w:hAnsi="Arial"/>
          <w:sz w:val="19"/>
          <w:szCs w:val="19"/>
          <w:color w:val="auto"/>
        </w:rPr>
      </w:pPr>
    </w:p>
    <w:p>
      <w:pPr>
        <w:ind w:left="-8" w:right="80" w:firstLine="656"/>
        <w:spacing w:after="0" w:line="250" w:lineRule="auto"/>
        <w:tabs>
          <w:tab w:leader="none" w:pos="1285"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Listed Transactions</w:t>
      </w:r>
      <w:r>
        <w:rPr>
          <w:rFonts w:ascii="Arial" w:cs="Arial" w:eastAsia="Arial" w:hAnsi="Arial"/>
          <w:sz w:val="22"/>
          <w:szCs w:val="22"/>
          <w:color w:val="auto"/>
        </w:rPr>
        <w:t>. Neither the Company nor any of its Subsidiaries that is required to file a U.S. federal income Tax Return has participated within the last five (5) years in a “listed transaction” within the meaning of Treasury Regulations Section 1.6011-4(c) or (ii) any materially equivalent provision of any non-U.S. jurisdiction in which a material portion of the activities of the Company and its Subsidiaries, taken as a whole, is undertaken.</w:t>
      </w:r>
    </w:p>
    <w:p>
      <w:pPr>
        <w:spacing w:after="0" w:line="214" w:lineRule="exact"/>
        <w:rPr>
          <w:rFonts w:ascii="Arial" w:cs="Arial" w:eastAsia="Arial" w:hAnsi="Arial"/>
          <w:sz w:val="22"/>
          <w:szCs w:val="22"/>
          <w:color w:val="auto"/>
        </w:rPr>
      </w:pPr>
    </w:p>
    <w:p>
      <w:pPr>
        <w:ind w:left="-8" w:right="200" w:firstLine="656"/>
        <w:spacing w:after="0" w:line="263" w:lineRule="auto"/>
        <w:tabs>
          <w:tab w:leader="none" w:pos="1288"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Tax Liens</w:t>
      </w:r>
      <w:r>
        <w:rPr>
          <w:rFonts w:ascii="Arial" w:cs="Arial" w:eastAsia="Arial" w:hAnsi="Arial"/>
          <w:sz w:val="22"/>
          <w:szCs w:val="22"/>
          <w:color w:val="auto"/>
        </w:rPr>
        <w:t>. There are no Liens for material Taxes on any of the assets of the Company and its Subsidiaries, other than for Taxes not yet due and payable or that are not yet delinquent.</w:t>
      </w:r>
    </w:p>
    <w:p>
      <w:pPr>
        <w:spacing w:after="0" w:line="201" w:lineRule="exact"/>
        <w:rPr>
          <w:rFonts w:ascii="Arial" w:cs="Arial" w:eastAsia="Arial" w:hAnsi="Arial"/>
          <w:sz w:val="22"/>
          <w:szCs w:val="22"/>
          <w:color w:val="auto"/>
        </w:rPr>
      </w:pPr>
    </w:p>
    <w:p>
      <w:pPr>
        <w:ind w:left="-8" w:firstLine="656"/>
        <w:spacing w:after="0" w:line="261" w:lineRule="auto"/>
        <w:tabs>
          <w:tab w:leader="none" w:pos="1283"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Affiliated Group</w:t>
      </w:r>
      <w:r>
        <w:rPr>
          <w:rFonts w:ascii="Arial" w:cs="Arial" w:eastAsia="Arial" w:hAnsi="Arial"/>
          <w:sz w:val="21"/>
          <w:szCs w:val="21"/>
          <w:color w:val="auto"/>
        </w:rPr>
        <w:t>. Neither the Company nor any of its Subsidiaries (i) has been a member of an affiliated group as defined in Section 1504 of the Code or any affiliated, combined, consolidated, aggregate, unitary or other group under state, local or non-U.S. Law (other than such a group that the common parent of which is the Company or one of its Subsidiaries) or (ii) has any material liability for Taxes of any person (other than a member of a group the common parent of which is the Company or one of its Subsidiaries) under Section 1.1502-6 of the Treasury Regulations (or any similar provision of state, local or non-U.S. Law) as a transferee or successor, by contract or otherwise.</w:t>
      </w:r>
    </w:p>
    <w:p>
      <w:pPr>
        <w:spacing w:after="0" w:line="219" w:lineRule="exact"/>
        <w:rPr>
          <w:rFonts w:ascii="Arial" w:cs="Arial" w:eastAsia="Arial" w:hAnsi="Arial"/>
          <w:sz w:val="21"/>
          <w:szCs w:val="21"/>
          <w:color w:val="auto"/>
        </w:rPr>
      </w:pPr>
    </w:p>
    <w:p>
      <w:pPr>
        <w:ind w:left="-8" w:right="140" w:firstLine="656"/>
        <w:spacing w:after="0" w:line="250" w:lineRule="auto"/>
        <w:tabs>
          <w:tab w:leader="none" w:pos="1283"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Taxing Authorities</w:t>
      </w:r>
      <w:r>
        <w:rPr>
          <w:rFonts w:ascii="Arial" w:cs="Arial" w:eastAsia="Arial" w:hAnsi="Arial"/>
          <w:sz w:val="22"/>
          <w:szCs w:val="22"/>
          <w:color w:val="auto"/>
        </w:rPr>
        <w:t>. No written claims have ever been made by any Governmental Authority where the Company or a Subsidiary of the Company does not file Tax Returns that such Person is or may be subject to material taxation by, or required to file material Tax Returns in, that jurisdiction which claim has not been settled, withdrawn or otherwise resolved. Neither the Company nor any of its Subsidiaries has a permanent establishment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right="260" w:firstLine="8"/>
        <w:spacing w:after="0" w:line="277" w:lineRule="auto"/>
        <w:tabs>
          <w:tab w:leader="none" w:pos="2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92"/>
          </w:cols>
          <w:pgMar w:left="328" w:top="1428" w:right="379" w:bottom="1440" w:gutter="0" w:footer="0" w:header="0"/>
        </w:sectPr>
      </w:pPr>
    </w:p>
    <w:bookmarkStart w:id="106" w:name="page107"/>
    <w:bookmarkEnd w:id="106"/>
    <w:p>
      <w:pPr>
        <w:ind w:right="180"/>
        <w:spacing w:after="0" w:line="263" w:lineRule="auto"/>
        <w:rPr>
          <w:sz w:val="20"/>
          <w:szCs w:val="20"/>
          <w:color w:val="auto"/>
        </w:rPr>
      </w:pPr>
      <w:r>
        <w:rPr>
          <w:rFonts w:ascii="Arial" w:cs="Arial" w:eastAsia="Arial" w:hAnsi="Arial"/>
          <w:sz w:val="22"/>
          <w:szCs w:val="22"/>
          <w:color w:val="auto"/>
        </w:rPr>
        <w:t>(within the meaning of an applicable Tax treaty) or otherwise has an office or fixed place of business in a country other than the country in which it was organized or is domiciled for tax purposes.</w:t>
      </w:r>
    </w:p>
    <w:p>
      <w:pPr>
        <w:spacing w:after="0" w:line="202" w:lineRule="exact"/>
        <w:rPr>
          <w:sz w:val="20"/>
          <w:szCs w:val="20"/>
          <w:color w:val="auto"/>
        </w:rPr>
      </w:pPr>
    </w:p>
    <w:p>
      <w:pPr>
        <w:ind w:right="160" w:firstLine="656"/>
        <w:spacing w:after="0" w:line="250" w:lineRule="auto"/>
        <w:tabs>
          <w:tab w:leader="none" w:pos="1284"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Tax Agreements</w:t>
      </w:r>
      <w:r>
        <w:rPr>
          <w:rFonts w:ascii="Arial" w:cs="Arial" w:eastAsia="Arial" w:hAnsi="Arial"/>
          <w:sz w:val="22"/>
          <w:szCs w:val="22"/>
          <w:color w:val="auto"/>
        </w:rPr>
        <w:t>. Neither the Company nor any of its Subsidiaries is a party to any material Tax allocation, Tax sharing or Tax indemnity or similar agreements (other than agreements among any of the Company and the Company Subsidiaries and customary commercial agreements entered into in the ordinary course of business that are not primarily related to Taxes).</w:t>
      </w:r>
    </w:p>
    <w:p>
      <w:pPr>
        <w:spacing w:after="0" w:line="228" w:lineRule="exact"/>
        <w:rPr>
          <w:rFonts w:ascii="Arial" w:cs="Arial" w:eastAsia="Arial" w:hAnsi="Arial"/>
          <w:sz w:val="22"/>
          <w:szCs w:val="22"/>
          <w:color w:val="auto"/>
        </w:rPr>
      </w:pPr>
    </w:p>
    <w:p>
      <w:pPr>
        <w:ind w:right="80" w:firstLine="656"/>
        <w:spacing w:after="0" w:line="312" w:lineRule="auto"/>
        <w:tabs>
          <w:tab w:leader="none" w:pos="128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VAT</w:t>
      </w:r>
      <w:r>
        <w:rPr>
          <w:rFonts w:ascii="Arial" w:cs="Arial" w:eastAsia="Arial" w:hAnsi="Arial"/>
          <w:sz w:val="19"/>
          <w:szCs w:val="19"/>
          <w:color w:val="auto"/>
        </w:rPr>
        <w:t>. To the extent that each of the Company and its Subsidiaries is required to be registered for purposes of any material Tax, including goods and services Taxes and value-added Taxes (including VAT), such Person has made and maintained such registration, and complied with all other material requirements related to such registration, in each relevant jurisdiction.</w:t>
      </w:r>
    </w:p>
    <w:p>
      <w:pPr>
        <w:spacing w:after="0" w:line="160" w:lineRule="exact"/>
        <w:rPr>
          <w:rFonts w:ascii="Arial" w:cs="Arial" w:eastAsia="Arial" w:hAnsi="Arial"/>
          <w:sz w:val="19"/>
          <w:szCs w:val="19"/>
          <w:color w:val="auto"/>
        </w:rPr>
      </w:pPr>
    </w:p>
    <w:p>
      <w:pPr>
        <w:ind w:right="20" w:firstLine="656"/>
        <w:spacing w:after="0" w:line="292" w:lineRule="auto"/>
        <w:tabs>
          <w:tab w:leader="none" w:pos="129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CARES Act</w:t>
      </w:r>
      <w:r>
        <w:rPr>
          <w:rFonts w:ascii="Arial" w:cs="Arial" w:eastAsia="Arial" w:hAnsi="Arial"/>
          <w:sz w:val="19"/>
          <w:szCs w:val="19"/>
          <w:color w:val="auto"/>
        </w:rPr>
        <w:t>. Each of the Company and its Subsidiaries, to the extent applicable, has (i) properly complied with all legal requirements in order to defer the amount of the employer’s share of any “applicable employment taxes” under Section 2302 of the CARES Act (or any similar provision of state, local or non-U.S. Law), (ii) properly complied with all legal requirements and duly accounted for any available Tax credits under Sections 7001 through 7005 of the Families First Act and Section 2301 of the CARES Act, and (iii) not deferred any payroll Tax obligations (including those imposed by Sections 3101(a) and 3201 of the Code) pursuant to or in connection with the Memorandum on Deferring Payroll Tax Obligations in Light of the Ongoing COVID-19 Disaster, dated August 8, 2020, or any other provision of the CARES Act.</w:t>
      </w:r>
    </w:p>
    <w:p>
      <w:pPr>
        <w:spacing w:after="0" w:line="177" w:lineRule="exact"/>
        <w:rPr>
          <w:rFonts w:ascii="Arial" w:cs="Arial" w:eastAsia="Arial" w:hAnsi="Arial"/>
          <w:sz w:val="19"/>
          <w:szCs w:val="19"/>
          <w:color w:val="auto"/>
        </w:rPr>
      </w:pPr>
    </w:p>
    <w:p>
      <w:pPr>
        <w:ind w:right="460" w:firstLine="656"/>
        <w:spacing w:after="0" w:line="263" w:lineRule="auto"/>
        <w:tabs>
          <w:tab w:leader="none" w:pos="1284"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Tax Classification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2.17(l)</w:t>
      </w:r>
      <w:r>
        <w:rPr>
          <w:rFonts w:ascii="Arial" w:cs="Arial" w:eastAsia="Arial" w:hAnsi="Arial"/>
          <w:sz w:val="22"/>
          <w:szCs w:val="22"/>
          <w:color w:val="auto"/>
        </w:rPr>
        <w:t xml:space="preserve"> sets forth a list of the entity classification of the Company and each of its Subsidiaries for U.S. federal income Tax purposes.</w:t>
      </w:r>
    </w:p>
    <w:p>
      <w:pPr>
        <w:spacing w:after="0" w:line="175"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2.18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2.18</w:t>
      </w:r>
      <w:r>
        <w:rPr>
          <w:rFonts w:ascii="Arial" w:cs="Arial" w:eastAsia="Arial" w:hAnsi="Arial"/>
          <w:sz w:val="21"/>
          <w:szCs w:val="21"/>
          <w:color w:val="auto"/>
        </w:rPr>
        <w:t xml:space="preserve"> of the Company Disclosure Letter sets forth a list of all material insurance policies maintained by (or for the benefit of) the Company and its Subsidiaries as of the date hereof. Except as would not reasonably be expected to, individually or in the aggregate, be material to the Company and its Subsidiaries, taken as a whole, (a) all such insurance policies are in full force and effect and (b) the Company and its Subsidiaries are in compliance with all current property and liability insurance policies covering the Company and its Subsidiaries (and all premiums due and payable thereon have been paid in full on a timely basis), and as of the date hereof no written notice of cancellation, termination or revocation has been received by the Company or its Subsidiaries.</w:t>
      </w:r>
    </w:p>
    <w:p>
      <w:pPr>
        <w:spacing w:after="0" w:line="18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Finders’ Fees</w:t>
      </w:r>
      <w:r>
        <w:rPr>
          <w:rFonts w:ascii="Arial" w:cs="Arial" w:eastAsia="Arial" w:hAnsi="Arial"/>
          <w:sz w:val="19"/>
          <w:szCs w:val="19"/>
          <w:color w:val="auto"/>
        </w:rPr>
        <w:t>. Except for Moelis &amp; Company LLC, whose fees shall be paid by the Company or its Subsidiaries, no broker, finder, financial advisor or investment banker is entitled to any broker’s, finder’s, financial advisor’s or investment banker’s fee or commission or similar payment in connection with the transactions contemplated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80" w:firstLine="8"/>
        <w:spacing w:after="0" w:line="277"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8" w:right="359" w:bottom="1440" w:gutter="0" w:footer="0" w:header="0"/>
        </w:sectPr>
      </w:pPr>
    </w:p>
    <w:bookmarkStart w:id="107" w:name="page108"/>
    <w:bookmarkEnd w:id="107"/>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Agreement based upon arrangements made by or on behalf of the Company or any of its Subsidiaries for which the Company or any of its Subsidiaries may become liable.</w:t>
      </w:r>
    </w:p>
    <w:p>
      <w:pPr>
        <w:spacing w:after="0" w:line="17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Contracts with Affiliates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of the Company Disclosure Letter lists all contracts as of the date hereof to which (a) the Company or any of its Subsidiaries, on the one hand, and (b) Carlyle or Carlyle’s Affiliates or any of their respective, or the Company’s or its Subsidiaries’ respective, directors, officers or employees (this </w:t>
      </w:r>
      <w:r>
        <w:rPr>
          <w:rFonts w:ascii="Arial" w:cs="Arial" w:eastAsia="Arial" w:hAnsi="Arial"/>
          <w:sz w:val="19"/>
          <w:szCs w:val="19"/>
          <w:u w:val="single" w:color="auto"/>
          <w:color w:val="auto"/>
        </w:rPr>
        <w:t>clause (b)</w:t>
      </w:r>
      <w:r>
        <w:rPr>
          <w:rFonts w:ascii="Arial" w:cs="Arial" w:eastAsia="Arial" w:hAnsi="Arial"/>
          <w:sz w:val="19"/>
          <w:szCs w:val="19"/>
          <w:color w:val="auto"/>
        </w:rPr>
        <w:t>, each a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Related Party</w:t>
      </w:r>
      <w:r>
        <w:rPr>
          <w:rFonts w:ascii="Arial" w:cs="Arial" w:eastAsia="Arial" w:hAnsi="Arial"/>
          <w:sz w:val="19"/>
          <w:szCs w:val="19"/>
          <w:color w:val="auto"/>
        </w:rPr>
        <w:t>”) (other than any employment, severance, bonus, indemnification and similar arrangements concerning the compensation and indemnification of directors, officers or employees in the Ordinary Course of Business), on the other hand, are parties or are otherwise bound or affected (each such contract, an “</w:t>
      </w:r>
      <w:r>
        <w:rPr>
          <w:rFonts w:ascii="Arial" w:cs="Arial" w:eastAsia="Arial" w:hAnsi="Arial"/>
          <w:sz w:val="19"/>
          <w:szCs w:val="19"/>
          <w:u w:val="single" w:color="auto"/>
          <w:color w:val="auto"/>
        </w:rPr>
        <w:t>Affiliate Contract</w:t>
      </w:r>
      <w:r>
        <w:rPr>
          <w:rFonts w:ascii="Arial" w:cs="Arial" w:eastAsia="Arial" w:hAnsi="Arial"/>
          <w:sz w:val="19"/>
          <w:szCs w:val="19"/>
          <w:color w:val="auto"/>
        </w:rPr>
        <w:t>”).</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 xml:space="preserve">Section 2.21 </w:t>
      </w:r>
      <w:r>
        <w:rPr>
          <w:rFonts w:ascii="Arial" w:cs="Arial" w:eastAsia="Arial" w:hAnsi="Arial"/>
          <w:sz w:val="21"/>
          <w:szCs w:val="21"/>
          <w:u w:val="single" w:color="auto"/>
          <w:color w:val="auto"/>
        </w:rPr>
        <w:t>Customers and Vendors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of the Company Disclosure Letter sets forth a true, correct and complete list of (a) the fifteen (15) largest customers (each, a “</w:t>
      </w:r>
      <w:r>
        <w:rPr>
          <w:rFonts w:ascii="Arial" w:cs="Arial" w:eastAsia="Arial" w:hAnsi="Arial"/>
          <w:sz w:val="21"/>
          <w:szCs w:val="21"/>
          <w:u w:val="single" w:color="auto"/>
          <w:color w:val="auto"/>
        </w:rPr>
        <w:t>Material Customer</w:t>
      </w:r>
      <w:r>
        <w:rPr>
          <w:rFonts w:ascii="Arial" w:cs="Arial" w:eastAsia="Arial" w:hAnsi="Arial"/>
          <w:sz w:val="21"/>
          <w:szCs w:val="21"/>
          <w:color w:val="auto"/>
        </w:rPr>
        <w:t>”) of the Company and its Subsidiaries, taken as a whole, based on amounts invoiced to such customers during the twelve (12) months ended December 31, 2020 and during the twelve (12) months ended December 31, 2019, showing the approximate aggregate amount invoiced to each such Material Customer during each such period and (b) the fifteen (15) largest vendors (each, a “</w:t>
      </w:r>
      <w:r>
        <w:rPr>
          <w:rFonts w:ascii="Arial" w:cs="Arial" w:eastAsia="Arial" w:hAnsi="Arial"/>
          <w:sz w:val="21"/>
          <w:szCs w:val="21"/>
          <w:u w:val="single" w:color="auto"/>
          <w:color w:val="auto"/>
        </w:rPr>
        <w:t>Material Vendor</w:t>
      </w:r>
      <w:r>
        <w:rPr>
          <w:rFonts w:ascii="Arial" w:cs="Arial" w:eastAsia="Arial" w:hAnsi="Arial"/>
          <w:sz w:val="21"/>
          <w:szCs w:val="21"/>
          <w:color w:val="auto"/>
        </w:rPr>
        <w:t>”) of the Company and its Subsidiaries, taken as a whole, based on amounts paid by or on behalf of the Company and its Subsidiaries to such vendor (excluding any offsets) during the twelve (12) months ended December 31, 2020 and during the twelve (12) months ended December 31, 2019, showing the approximate aggregate amount paid to each such Material Vendor (excluding any offsets) during each such period. As of the date hereof, since December 31, 2020, no Material Customer or Material Vendor has canceled or otherwise terminated or otherwise materially and adversely modified, or, to the Knowledge of the Company, threatened in writing to cancel or otherwise terminate or otherwise materially and adversely modify, its relationship with the Company and its Subsidiaries.</w:t>
      </w:r>
    </w:p>
    <w:p>
      <w:pPr>
        <w:spacing w:after="0" w:line="191"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Ring-Fencing Sufficiency of Assets</w:t>
      </w:r>
      <w:r>
        <w:rPr>
          <w:rFonts w:ascii="Arial" w:cs="Arial" w:eastAsia="Arial" w:hAnsi="Arial"/>
          <w:sz w:val="19"/>
          <w:szCs w:val="19"/>
          <w:color w:val="auto"/>
        </w:rPr>
        <w:t xml:space="preserve">. Upon completion of the Pre-Closing Steps (including (a) the receipt of the benefits of the Commingled Contracts and (b) the receipt of any necessary third party consents), the Transferred Assets will include all of the computer and network equipment and information technology infrastructure (including switches, routers and servers), Software and other Intellectual Property (other than Trademarks) reasonably required for the ongoing conduct of the North America Enterprise Business immediately following the Closing in all material respects as the North America Enterprise Business is conducted as of the date of this Agreement, other than (i) generally commercially available third party Software and other generally commercially available information technology assets and (ii) other Software and information technology assets provided to the North America Enterprise Business and/or the Operating Business by the Remaining Business that are utilized in the North America Enterprise Business and/or the Operating Business but with respect to which the North America Enterprise Business and/or the Operating Business, as applicable, could reasonably be expected to obtain or create alternatives to such Software or other assets (with reasonable advance notice) without, individually or in the aggregate, significant disruption to the North America Enterprise Business or incurring costs, together with costs incurred obtaining the Software and other assets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in excess of $20 million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firstLine="8"/>
        <w:spacing w:after="0" w:line="277"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204"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aggregate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De Minimis Assets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is not a representation or warranty with respect to infringement or misappropriation of the Intellectual Property of any third Person.</w:t>
      </w:r>
    </w:p>
    <w:p>
      <w:pPr>
        <w:spacing w:after="0" w:line="175"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Section 2.23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xml:space="preserve">. Except for the representations and warranties expressly set forth in this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and the Ancillary Agreements to be entered into at or prior to the Closing, neither the Company nor any of its Affiliates nor any of their respective directors, officers, employees, stockholders, agents or representatives nor any other Person makes or shall be deemed to make any representation or warranty to Investor, express or implied, at law or in equity, on behalf of the Company or any of its Affiliates, and each of the Company and its Affiliates by this Agreement disclaims any such representation or warranty, whether by the Company, any Affiliate of the Company or any of their respective directors, officers, employees, stockholders, agents or representatives or any other Person, notwithstanding the delivery or disclosure to Investor, or any of its directors, officers, employees, stockholders, agents or representatives or any other Person of any documentation or other information by the Company or any Affiliate of the Company or any of their respective directors, officers, employees, stockholders, agents or representatives or any other Person with respect to any one or more of the foregoing.</w:t>
      </w:r>
    </w:p>
    <w:p>
      <w:pPr>
        <w:spacing w:after="0" w:line="159"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Article 3</w:t>
      </w:r>
    </w:p>
    <w:p>
      <w:pPr>
        <w:spacing w:after="0" w:line="260" w:lineRule="exact"/>
        <w:rPr>
          <w:sz w:val="20"/>
          <w:szCs w:val="20"/>
          <w:color w:val="auto"/>
        </w:rPr>
      </w:pPr>
    </w:p>
    <w:p>
      <w:pPr>
        <w:ind w:left="3800"/>
        <w:spacing w:after="0"/>
        <w:rPr>
          <w:sz w:val="20"/>
          <w:szCs w:val="20"/>
          <w:color w:val="auto"/>
        </w:rPr>
      </w:pPr>
      <w:r>
        <w:rPr>
          <w:rFonts w:ascii="Arial" w:cs="Arial" w:eastAsia="Arial" w:hAnsi="Arial"/>
          <w:sz w:val="22"/>
          <w:szCs w:val="22"/>
          <w:u w:val="single" w:color="auto"/>
          <w:color w:val="auto"/>
        </w:rPr>
        <w:t>Representations and Warranties of Carlyle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Carlyle represents and warrants to Investor as of the date of this Agreement and as of Closing as follows:</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Organization and Power</w:t>
      </w:r>
      <w:r>
        <w:rPr>
          <w:rFonts w:ascii="Arial" w:cs="Arial" w:eastAsia="Arial" w:hAnsi="Arial"/>
          <w:sz w:val="22"/>
          <w:szCs w:val="22"/>
          <w:color w:val="auto"/>
        </w:rPr>
        <w:t>. Carlyle is a limited partnership duly organized, validly existing and in good standing under the laws of the State of Delaware and has all requisite limited partnership power and authority to carry on its business as now conducted.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Authorization</w:t>
      </w:r>
      <w:r>
        <w:rPr>
          <w:rFonts w:ascii="Arial" w:cs="Arial" w:eastAsia="Arial" w:hAnsi="Arial"/>
          <w:sz w:val="22"/>
          <w:szCs w:val="22"/>
          <w:color w:val="auto"/>
        </w:rPr>
        <w:t>.</w:t>
      </w:r>
    </w:p>
    <w:p>
      <w:pPr>
        <w:spacing w:after="0" w:line="220" w:lineRule="exact"/>
        <w:rPr>
          <w:sz w:val="20"/>
          <w:szCs w:val="20"/>
          <w:color w:val="auto"/>
        </w:rPr>
      </w:pPr>
    </w:p>
    <w:p>
      <w:pPr>
        <w:ind w:right="60" w:firstLine="656"/>
        <w:spacing w:after="0" w:line="287" w:lineRule="auto"/>
        <w:tabs>
          <w:tab w:leader="none" w:pos="1293" w:val="left"/>
        </w:tabs>
        <w:numPr>
          <w:ilvl w:val="1"/>
          <w:numId w:val="89"/>
        </w:numPr>
        <w:rPr>
          <w:rFonts w:ascii="Arial" w:cs="Arial" w:eastAsia="Arial" w:hAnsi="Arial"/>
          <w:sz w:val="19"/>
          <w:szCs w:val="19"/>
          <w:color w:val="auto"/>
        </w:rPr>
      </w:pPr>
      <w:r>
        <w:rPr>
          <w:rFonts w:ascii="Arial" w:cs="Arial" w:eastAsia="Arial" w:hAnsi="Arial"/>
          <w:sz w:val="19"/>
          <w:szCs w:val="19"/>
          <w:color w:val="auto"/>
        </w:rPr>
        <w:t>Carlyle has all requisite limited partnership power and authority to execute and deliver this Agreement and the Ancillary Agreements to which Carlyle is (or will be) a party and to consummate the transactions contemplated hereby and thereby. Except with respect to the agreements to be negotiated and entered into as part of the SPAC Transaction (including the SPAC Definitive Agreements) and the transactions contemplated thereby, the execution, performance and delivery of this Agreement and the Ancillary Agreements to which Carlyle is (or will be) a party by Carlyle and the consummation of the transactions contemplated hereby and thereby by Carlyle have been duly authorized by all requisite corporate, limited liability company or other entity power action of Carlyle. This Agreement has been (and the execution, performance and delivery of each of the Ancillary Agreements to which Carlyle is a party will be) duly and validly executed and delivered by Carlyle and constitutes (and each such Ancillary Agreement when so executed and delivered by Carlyle will constitute) a valid, legal and binding agreement of Carlyle (assuming this Agreement has been, and the Ancillary Agreements to which Carlyle is a party will be, duly authorized, executed and delivered by the other parties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right="260" w:firstLine="8"/>
        <w:spacing w:after="0" w:line="277"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204" w:lineRule="exact"/>
        <w:rPr>
          <w:sz w:val="20"/>
          <w:szCs w:val="20"/>
          <w:color w:val="auto"/>
        </w:rPr>
      </w:pPr>
    </w:p>
    <w:p>
      <w:pPr>
        <w:jc w:val="both"/>
        <w:ind w:right="140"/>
        <w:spacing w:after="0" w:line="265" w:lineRule="auto"/>
        <w:rPr>
          <w:sz w:val="20"/>
          <w:szCs w:val="20"/>
          <w:color w:val="auto"/>
        </w:rPr>
      </w:pPr>
      <w:r>
        <w:rPr>
          <w:rFonts w:ascii="Arial" w:cs="Arial" w:eastAsia="Arial" w:hAnsi="Arial"/>
          <w:sz w:val="21"/>
          <w:szCs w:val="21"/>
          <w:color w:val="auto"/>
        </w:rPr>
        <w:t>thereto), enforceable against Carlyle in accordance with its terms, except (i) to the extent that enforceability may be limited by applicable bankruptcy, insolvency, fraudulent conveyance, reorganization, moratorium or other Laws affecting the enforcement of creditors’ rights generally and (ii) that the availability of equitable remedies, including specific performance, is subject to the discretion of the court before which any proceeding thereof may be brought.</w:t>
      </w:r>
    </w:p>
    <w:p>
      <w:pPr>
        <w:spacing w:after="0" w:line="175" w:lineRule="exact"/>
        <w:rPr>
          <w:sz w:val="20"/>
          <w:szCs w:val="20"/>
          <w:color w:val="auto"/>
        </w:rPr>
      </w:pPr>
    </w:p>
    <w:p>
      <w:pPr>
        <w:ind w:firstLine="656"/>
        <w:spacing w:after="0" w:line="290" w:lineRule="auto"/>
        <w:tabs>
          <w:tab w:leader="none" w:pos="1291"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Assuming the truth and accuracy of the Company’s representations and warranties contained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and Investor’s representations and warranties contained in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no material notices to, filings with or authorization, registration, declaration, consent or approval of any Governmental Authority is necessary for the execution, delivery or performance by Carlyle of this Agreement or the Ancillary Agreements to which Carlyle is a party or the consummation by Carlyle of the transactions contemplated hereby or thereby, except for (i) notices to, filings with or authorizations, registrations, declarations, consents or approvals of any Governmental Authority arising in connection with the SPAC Transaction or the identity of the SPAC or the investors participating in the PIPE Financing and (ii) compliance with and filings under the HSR Act and any other applicable Competition Law set forth 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the Company Disclosure Letter.</w:t>
      </w:r>
    </w:p>
    <w:p>
      <w:pPr>
        <w:spacing w:after="0" w:line="156"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The execution and delivery by Carlyle of this Agreement and the Ancillary Agreements to which Carlyle is (or will be) a party and the performance of Carlyle’s obligations hereunder and thereunder do not (a) conflict with or result in any violation or breach of any provision of any of the Organizational Documents of Carlyle, (b) assuming compliance with the matters referred to in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violate any provision of any applicable Law or (c) require any consent of or other action by any Person under, or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Carlyle is a party or by which Carlyle or any of its properties or assets may be bound, except in the case of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as would not reasonably be expected to be, individually or in the aggregate, materially adverse to Carlyle’s ability to consummate the transactions contemplated hereby.</w:t>
      </w:r>
    </w:p>
    <w:p>
      <w:pPr>
        <w:spacing w:after="0" w:line="159"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Litigation</w:t>
      </w:r>
      <w:r>
        <w:rPr>
          <w:rFonts w:ascii="Arial" w:cs="Arial" w:eastAsia="Arial" w:hAnsi="Arial"/>
          <w:sz w:val="22"/>
          <w:szCs w:val="22"/>
          <w:color w:val="auto"/>
        </w:rPr>
        <w:t>. As of the date hereof, there is no Litigation pending against, or, to the knowledge of Carlyle, threatened against or affecting, Carlyle before any court or arbitrator or any Governmental Authority which in any manner challenges or seeks to prevent, enjoin, alter or materially delay the transactions contemplated by this Agreement or the Ancillary Agreements.</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Finders’ Fees</w:t>
      </w:r>
      <w:r>
        <w:rPr>
          <w:rFonts w:ascii="Arial" w:cs="Arial" w:eastAsia="Arial" w:hAnsi="Arial"/>
          <w:sz w:val="19"/>
          <w:szCs w:val="19"/>
          <w:color w:val="auto"/>
        </w:rPr>
        <w:t>. Except for Moelis &amp; Company LLC, whose fees shall be paid by the Company or its Subsidiaries, no broker, finder, financial advisor or investment banker is entitled to any broker’s, finder’s, financial advisor’s or investment banker’s fee or commission or similar payment in connection with the transactions contemplated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40" w:firstLine="8"/>
        <w:spacing w:after="0" w:line="277"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80"/>
          </w:cols>
          <w:pgMar w:left="320" w:top="1440" w:right="399" w:bottom="1440" w:gutter="0" w:footer="0" w:header="0"/>
        </w:sectPr>
      </w:pPr>
    </w:p>
    <w:bookmarkStart w:id="110" w:name="page111"/>
    <w:bookmarkEnd w:id="110"/>
    <w:p>
      <w:pPr>
        <w:spacing w:after="0" w:line="204"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Agreement based upon arrangements made by or on behalf of Carlyle or any Affiliate of Carlyle for which the Company or any of its Subsidiaries may become liable.</w:t>
      </w:r>
    </w:p>
    <w:p>
      <w:pPr>
        <w:spacing w:after="0" w:line="17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xml:space="preserve">. Except for the representations and warranties expressly set forth in 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any representations and warranties of Carlyle set forth in the Ancillary Agreements to be entered into at or prior to the Closing, neither Carlyle, its Affiliates or any of Carlyle’s and its Affiliates’ respective directors, officers, employees, stockholders, agents, representatives or lenders or any other Person makes or shall be deemed to make any representation or warranty to Investor or any of its Affiliates or any of their respective directors, officers, employees, stockholders, agents or representatives, express or implied, at law or in equity, on behalf of Carlyle or any of its Affiliates, and Carlyle, its Affiliates and any of Carlyle’s and its Affiliates’ respective directors, officers, employees, stockholders, agents, representatives or lenders by this Agreement disclaim any such representation or warranty, whether by Carlyle, its Affiliates or any of Carlyle’s and its Affiliates’ respective directors, officers, employees, stockholders, agents, representatives or lenders or any other Person, notwithstanding the delivery or disclosure to Investor or any of its Affiliates or any of their respective directors, officers, employees, stockholders, agents or representatives or any other Person of any documentation or other information by Carlyle, its Affiliates or any of Carlyle’s and its Affiliates’ respective directors, officers, employees, stockholders, agents, representatives or lenders or any other Person with respect to any one or more of the foregoing.</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4</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 of Investor</w:t>
      </w:r>
    </w:p>
    <w:p>
      <w:pPr>
        <w:spacing w:after="0" w:line="220"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Investor represents and warrants to Carlyle and the Company as of the date of this Agreement and as of Closing as follows:</w:t>
      </w:r>
    </w:p>
    <w:p>
      <w:pPr>
        <w:spacing w:after="0" w:line="175"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Organization and Power</w:t>
      </w:r>
      <w:r>
        <w:rPr>
          <w:rFonts w:ascii="Arial" w:cs="Arial" w:eastAsia="Arial" w:hAnsi="Arial"/>
          <w:sz w:val="19"/>
          <w:szCs w:val="19"/>
          <w:color w:val="auto"/>
        </w:rPr>
        <w:t>. Investor is a corporation duly organized, validly existing and in good standing under the laws of the State of Delaware and has all requisite corporate power and authority to carry on its business as now conducted.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Authorization</w:t>
      </w:r>
      <w:r>
        <w:rPr>
          <w:rFonts w:ascii="Arial" w:cs="Arial" w:eastAsia="Arial" w:hAnsi="Arial"/>
          <w:sz w:val="22"/>
          <w:szCs w:val="22"/>
          <w:color w:val="auto"/>
        </w:rPr>
        <w:t>.</w:t>
      </w:r>
    </w:p>
    <w:p>
      <w:pPr>
        <w:spacing w:after="0" w:line="220" w:lineRule="exact"/>
        <w:rPr>
          <w:sz w:val="20"/>
          <w:szCs w:val="20"/>
          <w:color w:val="auto"/>
        </w:rPr>
      </w:pPr>
    </w:p>
    <w:p>
      <w:pPr>
        <w:ind w:right="220" w:firstLine="656"/>
        <w:spacing w:after="0" w:line="259" w:lineRule="auto"/>
        <w:tabs>
          <w:tab w:leader="none" w:pos="1293" w:val="left"/>
        </w:tabs>
        <w:numPr>
          <w:ilvl w:val="1"/>
          <w:numId w:val="92"/>
        </w:numPr>
        <w:rPr>
          <w:rFonts w:ascii="Arial" w:cs="Arial" w:eastAsia="Arial" w:hAnsi="Arial"/>
          <w:sz w:val="21"/>
          <w:szCs w:val="21"/>
          <w:color w:val="auto"/>
        </w:rPr>
      </w:pPr>
      <w:r>
        <w:rPr>
          <w:rFonts w:ascii="Arial" w:cs="Arial" w:eastAsia="Arial" w:hAnsi="Arial"/>
          <w:sz w:val="21"/>
          <w:szCs w:val="21"/>
          <w:color w:val="auto"/>
        </w:rPr>
        <w:t>Investor has all requisite corporate power and authority to execute and deliver this Agreement and the Ancillary Agreements to which Investor or any of its Affiliates is (or will be) a party and to consummate the transactions contemplated hereby and thereby. Except with respect to the agreements to be negotiated and entered into as part of the SPAC Transaction (including the SPAC Definitive Agreements), the execution, performance and delivery of this Agreement and the Ancillary Agreements to which Investor or any of its Affiliates is (or will be) a party by Investor or any of its Affiliates and the consummation of the transactions contemplated hereby and thereby by Investor or any Affiliate of Investor, as applicable, have been duly authorized by all requisite corporate, limited liability company or other entity power action of Investor and/or its applicable Affiliates. This Agreement has been (and the execution, performance and delivery of each of the Ancillary Agreements to which Investor or any of its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6" w:lineRule="exact"/>
        <w:rPr>
          <w:rFonts w:ascii="Arial" w:cs="Arial" w:eastAsia="Arial" w:hAnsi="Arial"/>
          <w:sz w:val="21"/>
          <w:szCs w:val="21"/>
          <w:color w:val="auto"/>
        </w:rPr>
      </w:pPr>
    </w:p>
    <w:p>
      <w:pPr>
        <w:ind w:right="280" w:firstLine="8"/>
        <w:spacing w:after="0" w:line="277"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204"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Affiliates is a party will be) duly and validly executed and delivered by Investor and/or its applicable Affiliates and constitutes (and each such Ancillary Agreement when so executed and delivered by Investor and/or its applicable Affiliates will constitute) a valid, legal and binding agreement of Investor (and in the case of Ancillary Agreements, Investor or its Affiliates party thereto) (assuming this Agreement has been, and the Ancillary Agreements to which Investor or its applicable Affiliates is a party will be, duly authorized, executed and delivered by the other parties thereto), enforceable against Investor (and in the case of the Ancillary Agreements, Investor or its Affiliates party thereto) in accordance with its terms, except (i) to the extent that enforceability may be limited by applicable bankruptcy, insolvency, fraudulent conveyance, reorganization, moratorium or other Laws affecting the enforcement of creditors’ rights generally and (ii) that the availability of equitable remedies, including specific performance, is subject to the discretion of the court before which any proceeding thereof may be brought.</w:t>
      </w:r>
    </w:p>
    <w:p>
      <w:pPr>
        <w:spacing w:after="0" w:line="157" w:lineRule="exact"/>
        <w:rPr>
          <w:sz w:val="20"/>
          <w:szCs w:val="20"/>
          <w:color w:val="auto"/>
        </w:rPr>
      </w:pPr>
    </w:p>
    <w:p>
      <w:pPr>
        <w:ind w:right="60" w:firstLine="656"/>
        <w:spacing w:after="0" w:line="259" w:lineRule="auto"/>
        <w:tabs>
          <w:tab w:leader="none" w:pos="1291"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Assuming the truth and accuracy of the Company’s representations and warranties contained in </w:t>
      </w:r>
      <w:r>
        <w:rPr>
          <w:rFonts w:ascii="Arial" w:cs="Arial" w:eastAsia="Arial" w:hAnsi="Arial"/>
          <w:sz w:val="21"/>
          <w:szCs w:val="21"/>
          <w:u w:val="single" w:color="auto"/>
          <w:color w:val="auto"/>
        </w:rPr>
        <w:t>Section 2.2(b)</w:t>
      </w:r>
      <w:r>
        <w:rPr>
          <w:rFonts w:ascii="Arial" w:cs="Arial" w:eastAsia="Arial" w:hAnsi="Arial"/>
          <w:sz w:val="21"/>
          <w:szCs w:val="21"/>
          <w:color w:val="auto"/>
        </w:rPr>
        <w:t xml:space="preserve"> and Carlyle’s representations and warranties contained in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no material notices to, filings with or authorization, registration, declaration, consent or approval of any Governmental Authority is necessary for the execution, delivery or performance by Investor or any of its Affiliates of this Agreement or the Ancillary Agreements to which Investor or any of its Affiliates is a party or the consummation by Investor of the transactions contemplated hereby or thereby, except for (i) notices to, filings with or authorizations, registrations, declarations, consents or approvals of any Governmental Authority arising in connection with the SPAC Transaction or the identity of the SPAC or the investors participating in the PIPE Financing and (ii) compliance with and filings under the HSR Act and any other applicable Competition Law set forth on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of the Company Disclosure Letter.</w:t>
      </w:r>
    </w:p>
    <w:p>
      <w:pPr>
        <w:spacing w:after="0" w:line="17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The execution and delivery by Investor and its Affiliates of this Agreement and the Ancillary Agreements to which Investor or any of its Affiliates is (or will be) a party and the performance of Investor’s or such of Investor’s Affiliate’s obligations hereunder and thereunder do not (a) conflict with or result in any violation or breach of any provision of any of the Organizational Documents of Investor or any of its applicable Affiliates, (b) assuming compliance with the matters referred to in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violate any provision of any applicable Law or (c) require any consent of or other action by any Person under, or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Investor or any of its Affiliates is a party or by which any of them or any of their respective properties or assets may be bound, except in the case of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as would not reasonably be expected to be, individually or in the aggregate, materially adverse to Investor’s and its applicable Affiliates’ ability to consummate the transactions contemplated hereby.</w:t>
      </w:r>
    </w:p>
    <w:p>
      <w:pPr>
        <w:spacing w:after="0" w:line="16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Availability of Funds</w:t>
      </w:r>
      <w:r>
        <w:rPr>
          <w:rFonts w:ascii="Arial" w:cs="Arial" w:eastAsia="Arial" w:hAnsi="Arial"/>
          <w:sz w:val="22"/>
          <w:szCs w:val="22"/>
          <w:color w:val="auto"/>
        </w:rPr>
        <w:t>. Investor has available and will have available at Closing sufficient cash in immediately available funds to pay the Purchase Price and to pay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00" w:firstLine="8"/>
        <w:spacing w:after="0" w:line="277"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and all other amounts payable by Investor pursuant to this Agreement and to effect the transactions contemplated hereby.</w:t>
      </w:r>
    </w:p>
    <w:p>
      <w:pPr>
        <w:spacing w:after="0" w:line="254"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Purchase for Investment</w:t>
      </w:r>
      <w:r>
        <w:rPr>
          <w:rFonts w:ascii="Arial" w:cs="Arial" w:eastAsia="Arial" w:hAnsi="Arial"/>
          <w:sz w:val="19"/>
          <w:szCs w:val="19"/>
          <w:color w:val="auto"/>
        </w:rPr>
        <w:t>. Investor is purchasing the New Shares for investment for its own account and not with a view to, or for sale in connection with, any distribution thereof. Investor (either alone or together with its advisors) has sufficient knowledge and experience in financial and business matters so as to be capable of evaluating the merits and risks of its investment in the New Shares and is capable of bearing the economic risks of such investment. Investor acknowledges that the New Shares have not been registered under the Securities Act or any state securities Laws, and agrees that the New Shares may not be sold, transferred, offered for sale, pledged, hypothecated or otherwise disposed of without registration under the Securities Act, except pursuant to an exemption from such registration available under the Securities Act, and without compliance with foreign securities Laws, in each case, to the extent applicable.</w:t>
      </w:r>
    </w:p>
    <w:p>
      <w:pPr>
        <w:spacing w:after="0" w:line="15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Litigation</w:t>
      </w:r>
      <w:r>
        <w:rPr>
          <w:rFonts w:ascii="Arial" w:cs="Arial" w:eastAsia="Arial" w:hAnsi="Arial"/>
          <w:sz w:val="22"/>
          <w:szCs w:val="22"/>
          <w:color w:val="auto"/>
        </w:rPr>
        <w:t>. As of the date hereof, there is no Litigation pending against, or, to the knowledge of Investor, threatened against or affecting, Investor before any court or arbitrator or any Governmental Authority which in any manner challenges or seeks to prevent, enjoin, alter or materially delay the transactions contemplated by this Agreement or the Ancillary Agreements.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Finders’ Fees</w:t>
      </w:r>
      <w:r>
        <w:rPr>
          <w:rFonts w:ascii="Arial" w:cs="Arial" w:eastAsia="Arial" w:hAnsi="Arial"/>
          <w:sz w:val="19"/>
          <w:szCs w:val="19"/>
          <w:color w:val="auto"/>
        </w:rPr>
        <w:t>. Except for Centerview Partners LLC, whose fees and expenses will be paid by the Company if the Closing occurs (and otherwise will be paid by Investor), no broker, finder, financial advisor or investment banker is entitled to any brokerage, finder’s, financial advisor’s or investment banker’s fee or commission or similar payment in connection with the transactions contemplated by this Agreement based upon arrangements made by and on behalf of Investor or any of its Affiliates for which Company or Carlyle or any of their respective Affiliates may become liable.</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No Additional Representations and Warranties; Inspection</w:t>
      </w:r>
      <w:r>
        <w:rPr>
          <w:rFonts w:ascii="Arial" w:cs="Arial" w:eastAsia="Arial" w:hAnsi="Arial"/>
          <w:sz w:val="19"/>
          <w:szCs w:val="19"/>
          <w:color w:val="auto"/>
        </w:rPr>
        <w:t xml:space="preserve">. Investor acknowledges and agrees that it (a) has conducted its own independent review and analysis of, and, based thereon, has formed an independent judgment concerning, the business, assets, condition, operations and prospects of the Company and its Subsidiaries and (b) has been furnished with or given access to such information about the Company and its Subsidiaries and their respective businesses and operations as it has reasonably requested to form such independent judgment. In entering into this Agreement, Investor has relied solely upon its own investigation and analysis and the representations and warranties set forth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in the Ancillary Agreements, and Investor acknowledges that other than the representations and warranties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in the Ancillary Agreements (i) neither the Company, Carlyle or any of their respective Affiliates nor any of their respective directors, officers, employees, stockholders, agents or representatives makes or has made any representation or warranty, either express or implied, at law or in equity, (A) as to the accuracy or completeness of any of the information provided or made available to Investor, its Affiliates or any of Investor’s and its Affiliates’ respective directors, officers, employees, stockholders, agents, representatives or lenders or any other Person prior to the execution of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firstLine="8"/>
        <w:spacing w:after="0" w:line="277"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204" w:lineRule="exact"/>
        <w:rPr>
          <w:sz w:val="20"/>
          <w:szCs w:val="20"/>
          <w:color w:val="auto"/>
        </w:rPr>
      </w:pPr>
    </w:p>
    <w:p>
      <w:pPr>
        <w:ind w:right="20" w:firstLine="8"/>
        <w:spacing w:after="0" w:line="289" w:lineRule="auto"/>
        <w:tabs>
          <w:tab w:leader="none" w:pos="342"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with respect to any projections, forecasts, estimates, plans or budgets of future revenues, expenses or expenditures, future results of operations (or any component thereof), future cash flows (or any component thereof) or future financial condition (or any component thereof) of the Company, the Company’s Subsidiaries or their respective businesses heretofore or hereafter delivered to or made available to Investor, its Affiliates or any of Investor’s and its Affiliates’ respective directors, officers, employees, stockholders, agents, representatives or lenders or any other Person and (ii) Investor has not been induced by or relied upon any representation, warranty or other statement, express or implied, made by the Company, Carlyle or any of their respective Affiliates or any of their respective directors, officers, employees, stockholders, agents or representatives or any other Person, except in the case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for the representations and warranties set forth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the Ancillary Agreements to be entered into at or prior to the Closing.</w:t>
      </w:r>
    </w:p>
    <w:p>
      <w:pPr>
        <w:spacing w:after="0" w:line="157"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xml:space="preserve">. Except for the representations and warranties expressly set forth in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and any representations and warranties of Investor set forth in the Ancillary Agreements to be entered into at or prior to the Closing, neither Investor, its Affiliates or any of Investor’s and its Affiliates’ respective directors, officers, employees, stockholders, agents, representatives or lenders or any other Person makes or shall be deemed to make any representation or warranty to the Company, Carlyle or any of their respective Affiliates or any of their respective directors, officers, employees, stockholders, agents or representatives, express or implied, at law or in equity, on behalf of Investor or any of its Affiliates, and Investor, its Affiliates and any of Investor’s and its Affiliates’ respective directors, officers, employees, stockholders, agents, representatives or lenders by this Agreement disclaim any such representation or warranty, whether by Investor, its Affiliates or any of Investor’s and its Affiliates’ respective directors, officers, employees, stockholders, agents, representatives or lenders or any other Person, notwithstanding the delivery or disclosure to the Company, Carlyle or any of their respective Affiliates or any of their respective directors, officers, employees, stockholders, agents or representatives or any other Person of any documentation or other information by Investor, its Affiliates or any of Investor’s and its Affiliates’ respective directors, officers, employees, stockholders, agents, representatives or lenders or any other Person with respect to any one or more of the foregoing.</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5</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Certain Covenants</w:t>
      </w:r>
    </w:p>
    <w:p>
      <w:pPr>
        <w:spacing w:after="0" w:line="220" w:lineRule="exact"/>
        <w:rPr>
          <w:sz w:val="20"/>
          <w:szCs w:val="20"/>
          <w:color w:val="auto"/>
        </w:rPr>
      </w:pPr>
    </w:p>
    <w:p>
      <w:pPr>
        <w:ind w:right="400" w:firstLine="648"/>
        <w:spacing w:after="0" w:line="288"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Conduct of the Business</w:t>
      </w:r>
      <w:r>
        <w:rPr>
          <w:rFonts w:ascii="Arial" w:cs="Arial" w:eastAsia="Arial" w:hAnsi="Arial"/>
          <w:sz w:val="19"/>
          <w:szCs w:val="19"/>
          <w:color w:val="auto"/>
        </w:rPr>
        <w:t xml:space="preserve">. From the date hereof until the earlier of the Closing or the termination of this Agreement in accordance with its terms, except (i) as required by Law, (ii) pursuant to any COVID-19 Measures, (iii) as expressly set forth in, or required by, this Agreement (including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u w:val="single" w:color="auto"/>
          <w:color w:val="auto"/>
        </w:rPr>
        <w:t>5.10</w:t>
      </w:r>
      <w:r>
        <w:rPr>
          <w:rFonts w:ascii="Arial" w:cs="Arial" w:eastAsia="Arial" w:hAnsi="Arial"/>
          <w:sz w:val="19"/>
          <w:szCs w:val="19"/>
          <w:color w:val="auto"/>
        </w:rPr>
        <w:t xml:space="preserve">) or as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Company Disclosure Letter, (iv) as expressly set forth in the go-forward business plan of the Company and its Subsidiaries upon agreement in writing of such plan by Investor and the Company or (v) as otherwise consented to in writing by Investor, which consent shall not be unreasonably conditioned, withheld or delayed, the Company shall, and shall cause each of its Subsidiaries to, as applicable, (a) use commercially reasonable efforts to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00" w:firstLine="8"/>
        <w:spacing w:after="0" w:line="277"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the business of the Company and its Subsidiaries to be conducted in all material respects in the Ordinary Course of Business, (b) use commercially reasonable efforts to preserve intact the Company’s and its Subsidiaries’ business operations, business relationships with Material Customers and Material Vendors, and (c) not permit:</w:t>
      </w:r>
    </w:p>
    <w:p>
      <w:pPr>
        <w:spacing w:after="0" w:line="185" w:lineRule="exact"/>
        <w:rPr>
          <w:sz w:val="20"/>
          <w:szCs w:val="20"/>
          <w:color w:val="auto"/>
        </w:rPr>
      </w:pPr>
    </w:p>
    <w:p>
      <w:pPr>
        <w:ind w:left="1300" w:hanging="644"/>
        <w:spacing w:after="0"/>
        <w:tabs>
          <w:tab w:leader="none" w:pos="13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Company to amend its certificate of incorporation or by-laws;</w:t>
      </w:r>
    </w:p>
    <w:p>
      <w:pPr>
        <w:spacing w:after="0" w:line="219" w:lineRule="exact"/>
        <w:rPr>
          <w:rFonts w:ascii="Arial" w:cs="Arial" w:eastAsia="Arial" w:hAnsi="Arial"/>
          <w:sz w:val="22"/>
          <w:szCs w:val="22"/>
          <w:color w:val="auto"/>
        </w:rPr>
      </w:pPr>
    </w:p>
    <w:p>
      <w:pPr>
        <w:ind w:firstLine="656"/>
        <w:spacing w:after="0" w:line="290" w:lineRule="auto"/>
        <w:tabs>
          <w:tab w:leader="none" w:pos="1291"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Company or any of its Subsidiaries to authorize for issuance, issue, pledge, encumber, transfer, sell or grant options, warrants or rights to purchase or subscribe to, or enter into any arrangement or contract with respect to the issuance, pledge, encumbrance, transfer, sale or grant of (i) any Company Equity Interests or Subsidiary Equity Interests or (ii) any security convertible into or exchangeable or exercisable for any Company Equity Interests or Subsidiary Equity Interests, in each case other than, in the Ordinary Course of Business, (A) issuances of Options or RSUs (excluding any performance-based RSUs) to employees, officers or directors (and not including any Person employed or affiliated with Carlyle and its Affiliates) pursuant to the Incentive Plan or other employee stock option, employee stock purchase or similar equity-based plans approved by Investor and the Company’s board of directors or (B) issuances of Subsidiary Equity Interests to the Company or any of its Subsidiaries;</w:t>
      </w:r>
    </w:p>
    <w:p>
      <w:pPr>
        <w:spacing w:after="0" w:line="182" w:lineRule="exact"/>
        <w:rPr>
          <w:rFonts w:ascii="Arial" w:cs="Arial" w:eastAsia="Arial" w:hAnsi="Arial"/>
          <w:sz w:val="19"/>
          <w:szCs w:val="19"/>
          <w:color w:val="auto"/>
        </w:rPr>
      </w:pPr>
    </w:p>
    <w:p>
      <w:pPr>
        <w:ind w:right="120" w:firstLine="656"/>
        <w:spacing w:after="0" w:line="263" w:lineRule="auto"/>
        <w:tabs>
          <w:tab w:leader="none" w:pos="1293" w:val="left"/>
        </w:tabs>
        <w:numPr>
          <w:ilvl w:val="1"/>
          <w:numId w:val="98"/>
        </w:numPr>
        <w:rPr>
          <w:rFonts w:ascii="Arial" w:cs="Arial" w:eastAsia="Arial" w:hAnsi="Arial"/>
          <w:sz w:val="21"/>
          <w:szCs w:val="21"/>
          <w:color w:val="auto"/>
        </w:rPr>
      </w:pPr>
      <w:r>
        <w:rPr>
          <w:rFonts w:ascii="Arial" w:cs="Arial" w:eastAsia="Arial" w:hAnsi="Arial"/>
          <w:sz w:val="21"/>
          <w:szCs w:val="21"/>
          <w:color w:val="auto"/>
        </w:rPr>
        <w:t>the Company or any Subsidiary to redeem, repurchase or otherwise acquire any (i) Company Equity Interests or non-wholly owned Subsidiary Equity Interests (other than, in the Ordinary Course of Business, customary repurchases of management equity at a price no greater than fair market value) or (ii) any indebtedness for borrowed money of the Company or any Subsidiary (other than amortization payments under the Credit Facilities or repayments under the Company’s and its Subsidiaries’ revolving credit facility under its Credit Facilities);</w:t>
      </w:r>
    </w:p>
    <w:p>
      <w:pPr>
        <w:spacing w:after="0" w:line="215" w:lineRule="exact"/>
        <w:rPr>
          <w:rFonts w:ascii="Arial" w:cs="Arial" w:eastAsia="Arial" w:hAnsi="Arial"/>
          <w:sz w:val="21"/>
          <w:szCs w:val="21"/>
          <w:color w:val="auto"/>
        </w:rPr>
      </w:pPr>
    </w:p>
    <w:p>
      <w:pPr>
        <w:ind w:right="60" w:firstLine="656"/>
        <w:spacing w:after="0" w:line="253" w:lineRule="auto"/>
        <w:tabs>
          <w:tab w:leader="none" w:pos="1291"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Company to appoint or change the Company’s independent public accountants or auditors or change any significant accounting policy of the Company (other than as required by any accounting pronouncements or interpretations under GAAP issued from and after the date hereof);</w:t>
      </w:r>
    </w:p>
    <w:p>
      <w:pPr>
        <w:spacing w:after="0" w:line="212" w:lineRule="exact"/>
        <w:rPr>
          <w:rFonts w:ascii="Arial" w:cs="Arial" w:eastAsia="Arial" w:hAnsi="Arial"/>
          <w:sz w:val="22"/>
          <w:szCs w:val="22"/>
          <w:color w:val="auto"/>
        </w:rPr>
      </w:pPr>
    </w:p>
    <w:p>
      <w:pPr>
        <w:ind w:left="1300" w:hanging="644"/>
        <w:spacing w:after="0"/>
        <w:tabs>
          <w:tab w:leader="none" w:pos="13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change to the Company’s entity classification in effect as of the date hereof;</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material alteration to the lines of business of the Company and its Subsidiaries;</w:t>
      </w:r>
    </w:p>
    <w:p>
      <w:pPr>
        <w:spacing w:after="0" w:line="260" w:lineRule="exact"/>
        <w:rPr>
          <w:rFonts w:ascii="Arial" w:cs="Arial" w:eastAsia="Arial" w:hAnsi="Arial"/>
          <w:sz w:val="22"/>
          <w:szCs w:val="22"/>
          <w:color w:val="auto"/>
        </w:rPr>
      </w:pPr>
    </w:p>
    <w:p>
      <w:pPr>
        <w:ind w:right="520" w:firstLine="656"/>
        <w:spacing w:after="0" w:line="287" w:lineRule="auto"/>
        <w:tabs>
          <w:tab w:leader="none" w:pos="1291" w:val="left"/>
        </w:tabs>
        <w:numPr>
          <w:ilvl w:val="1"/>
          <w:numId w:val="98"/>
        </w:numPr>
        <w:rPr>
          <w:rFonts w:ascii="Arial" w:cs="Arial" w:eastAsia="Arial" w:hAnsi="Arial"/>
          <w:sz w:val="21"/>
          <w:szCs w:val="21"/>
          <w:color w:val="auto"/>
        </w:rPr>
      </w:pPr>
      <w:r>
        <w:rPr>
          <w:rFonts w:ascii="Arial" w:cs="Arial" w:eastAsia="Arial" w:hAnsi="Arial"/>
          <w:sz w:val="21"/>
          <w:szCs w:val="21"/>
          <w:color w:val="auto"/>
        </w:rPr>
        <w:t>the Company or any of its Subsidiaries to adopt any plan of liquidation, dissolution or winding up or file any voluntary petition for bankruptcy, receivership or similar proceeding or adopt a plan of reorganization;</w:t>
      </w:r>
    </w:p>
    <w:p>
      <w:pPr>
        <w:spacing w:after="0" w:line="178" w:lineRule="exact"/>
        <w:rPr>
          <w:rFonts w:ascii="Arial" w:cs="Arial" w:eastAsia="Arial" w:hAnsi="Arial"/>
          <w:sz w:val="21"/>
          <w:szCs w:val="21"/>
          <w:color w:val="auto"/>
        </w:rPr>
      </w:pPr>
    </w:p>
    <w:p>
      <w:pPr>
        <w:ind w:right="260" w:firstLine="656"/>
        <w:spacing w:after="0" w:line="250" w:lineRule="auto"/>
        <w:tabs>
          <w:tab w:leader="none" w:pos="1291"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Company or any of its Subsidiaries to incur, create, assume or otherwise become liable for any indebtedness for borrowed money in excess of $10,000,000 (individually or in the aggregate) (other than (x) amounts drawn under the Company’s and its Subsidiaries’ revolving credit facility under its Credit Facilities up to an amount equal to amounts repaid under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right="280" w:firstLine="8"/>
        <w:spacing w:after="0" w:line="277"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15" w:name="page116"/>
    <w:bookmarkEnd w:id="115"/>
    <w:p>
      <w:pPr>
        <w:ind w:right="580"/>
        <w:spacing w:after="0" w:line="263" w:lineRule="auto"/>
        <w:rPr>
          <w:sz w:val="20"/>
          <w:szCs w:val="20"/>
          <w:color w:val="auto"/>
        </w:rPr>
      </w:pPr>
      <w:r>
        <w:rPr>
          <w:rFonts w:ascii="Arial" w:cs="Arial" w:eastAsia="Arial" w:hAnsi="Arial"/>
          <w:sz w:val="22"/>
          <w:szCs w:val="22"/>
          <w:color w:val="auto"/>
        </w:rPr>
        <w:t>such revolving credit facility by the Company and its Subsidiaries after the date hereof and (y) inter-company indebtedness among or between the Company and/or its Subsidiaries);</w:t>
      </w:r>
    </w:p>
    <w:p>
      <w:pPr>
        <w:spacing w:after="0" w:line="202" w:lineRule="exact"/>
        <w:rPr>
          <w:sz w:val="20"/>
          <w:szCs w:val="20"/>
          <w:color w:val="auto"/>
        </w:rPr>
      </w:pPr>
    </w:p>
    <w:p>
      <w:pPr>
        <w:ind w:right="280" w:firstLine="656"/>
        <w:spacing w:after="0" w:line="294" w:lineRule="auto"/>
        <w:tabs>
          <w:tab w:leader="none" w:pos="128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Company or any Subsidiary to make, change or revoke any material election concerning Taxes, adopt or change any material accounting method concerning Taxes, change any Tax accounting period, amend any material Tax Return, enter into any material Tax closing agreement, settle or compromise any material Tax proceeding, fail to pay any material Tax when due (including any material estimated Tax payments), surrender any claim for a refund of a material amount of Taxes, waive or extend the statute of limitations in respect of any material amount of Taxes, or prepare any material Tax Return in a manner inconsistent in any material respect with applicable past practices;</w:t>
      </w:r>
    </w:p>
    <w:p>
      <w:pPr>
        <w:spacing w:after="0" w:line="189" w:lineRule="exact"/>
        <w:rPr>
          <w:rFonts w:ascii="Arial" w:cs="Arial" w:eastAsia="Arial" w:hAnsi="Arial"/>
          <w:sz w:val="19"/>
          <w:szCs w:val="19"/>
          <w:color w:val="auto"/>
        </w:rPr>
      </w:pPr>
    </w:p>
    <w:p>
      <w:pPr>
        <w:ind w:right="440" w:firstLine="656"/>
        <w:spacing w:after="0" w:line="253" w:lineRule="auto"/>
        <w:tabs>
          <w:tab w:leader="none" w:pos="1284"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Company or any of its Subsidiaries to enter into any contract that would restrict any equity holder of the Company (or any Affiliate of such equity holder, other the Company and its Subsidiaries) from entering into or continuing to operate any line of business;</w:t>
      </w:r>
    </w:p>
    <w:p>
      <w:pPr>
        <w:spacing w:after="0" w:line="212" w:lineRule="exact"/>
        <w:rPr>
          <w:rFonts w:ascii="Arial" w:cs="Arial" w:eastAsia="Arial" w:hAnsi="Arial"/>
          <w:sz w:val="22"/>
          <w:szCs w:val="22"/>
          <w:color w:val="auto"/>
        </w:rPr>
      </w:pPr>
    </w:p>
    <w:p>
      <w:pPr>
        <w:ind w:right="320" w:firstLine="656"/>
        <w:spacing w:after="0" w:line="253" w:lineRule="auto"/>
        <w:tabs>
          <w:tab w:leader="none" w:pos="1291"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Company or any of its Subsidiaries to enter into any Affiliate Contract, other than commercial agreements between the Company and its Subsidiaries, on the one hand, and portfolio companies of Carlyle and its Affiliates, on the other hand, entered into in the Ordinary Course of Business on an arms’ length basis;</w:t>
      </w:r>
    </w:p>
    <w:p>
      <w:pPr>
        <w:spacing w:after="0" w:line="212" w:lineRule="exact"/>
        <w:rPr>
          <w:rFonts w:ascii="Arial" w:cs="Arial" w:eastAsia="Arial" w:hAnsi="Arial"/>
          <w:sz w:val="22"/>
          <w:szCs w:val="22"/>
          <w:color w:val="auto"/>
        </w:rPr>
      </w:pPr>
    </w:p>
    <w:p>
      <w:pPr>
        <w:ind w:right="120" w:firstLine="656"/>
        <w:spacing w:after="0" w:line="343" w:lineRule="auto"/>
        <w:tabs>
          <w:tab w:leader="none" w:pos="128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sale, assignment, transfer, conveyance, license, lease or other disposal of any properties, rights or assets of the Company or its Subsidiaries in excess of $10,000,000, in each case other than in the Ordinary Course of Business;</w:t>
      </w:r>
    </w:p>
    <w:p>
      <w:pPr>
        <w:spacing w:after="0" w:line="144" w:lineRule="exact"/>
        <w:rPr>
          <w:rFonts w:ascii="Arial" w:cs="Arial" w:eastAsia="Arial" w:hAnsi="Arial"/>
          <w:sz w:val="19"/>
          <w:szCs w:val="19"/>
          <w:color w:val="auto"/>
        </w:rPr>
      </w:pPr>
    </w:p>
    <w:p>
      <w:pPr>
        <w:ind w:right="120" w:firstLine="656"/>
        <w:spacing w:after="0" w:line="263" w:lineRule="auto"/>
        <w:tabs>
          <w:tab w:leader="none" w:pos="1284"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license of any material Owned Intellectual Property, except for non-exclusive licenses granted to customers in the Ordinary Course of Business;</w:t>
      </w:r>
    </w:p>
    <w:p>
      <w:pPr>
        <w:spacing w:after="0" w:line="201" w:lineRule="exact"/>
        <w:rPr>
          <w:rFonts w:ascii="Arial" w:cs="Arial" w:eastAsia="Arial" w:hAnsi="Arial"/>
          <w:sz w:val="22"/>
          <w:szCs w:val="22"/>
          <w:color w:val="auto"/>
        </w:rPr>
      </w:pPr>
    </w:p>
    <w:p>
      <w:pPr>
        <w:ind w:right="40" w:firstLine="656"/>
        <w:spacing w:after="0" w:line="253" w:lineRule="auto"/>
        <w:tabs>
          <w:tab w:leader="none" w:pos="1291" w:val="left"/>
        </w:tabs>
        <w:numPr>
          <w:ilvl w:val="0"/>
          <w:numId w:val="99"/>
        </w:numPr>
        <w:rPr>
          <w:rFonts w:ascii="Arial" w:cs="Arial" w:eastAsia="Arial" w:hAnsi="Arial"/>
          <w:sz w:val="22"/>
          <w:szCs w:val="22"/>
          <w:color w:val="auto"/>
        </w:rPr>
      </w:pPr>
      <w:r>
        <w:rPr>
          <w:rFonts w:ascii="Arial" w:cs="Arial" w:eastAsia="Arial" w:hAnsi="Arial"/>
          <w:sz w:val="22"/>
          <w:szCs w:val="22"/>
          <w:color w:val="auto"/>
        </w:rPr>
        <w:t>abandonment or permission to lapse of any material Owned Intellectual Property (other than (i) expiration of patents at the end of their statutory term or (ii) in the Ordinary Course of Business patent or Trademark prosecution), in each case without prior consultation with Investor;</w:t>
      </w:r>
    </w:p>
    <w:p>
      <w:pPr>
        <w:spacing w:after="0" w:line="212" w:lineRule="exact"/>
        <w:rPr>
          <w:rFonts w:ascii="Arial" w:cs="Arial" w:eastAsia="Arial" w:hAnsi="Arial"/>
          <w:sz w:val="22"/>
          <w:szCs w:val="22"/>
          <w:color w:val="auto"/>
        </w:rPr>
      </w:pPr>
    </w:p>
    <w:p>
      <w:pPr>
        <w:ind w:firstLine="656"/>
        <w:spacing w:after="0" w:line="288" w:lineRule="auto"/>
        <w:tabs>
          <w:tab w:leader="none" w:pos="1291"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settlement or compromise of any Litigation (whether or not commenced prior to the date of this Agreement) (i) without prior consultation with Investor, involving the payment of, or an agreement to pay over time, in cash, notes or other property, in the aggregate, an amount in excess of $5,000,000 (in each case, (x) exclusive of costs, interest and attorneys’ fees and</w:t>
      </w:r>
    </w:p>
    <w:p>
      <w:pPr>
        <w:spacing w:after="0" w:line="1"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excluding amounts actually paid by insurance), (ii) which will require Investor to satisfy any non-</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obligation,</w:t>
      </w:r>
    </w:p>
    <w:p>
      <w:pPr>
        <w:spacing w:after="0" w:line="15" w:lineRule="exact"/>
        <w:rPr>
          <w:rFonts w:ascii="Arial" w:cs="Arial" w:eastAsia="Arial" w:hAnsi="Arial"/>
          <w:sz w:val="21"/>
          <w:szCs w:val="21"/>
          <w:color w:val="auto"/>
        </w:rPr>
      </w:pPr>
    </w:p>
    <w:p>
      <w:pPr>
        <w:ind w:right="140" w:firstLine="8"/>
        <w:spacing w:after="0" w:line="244" w:lineRule="auto"/>
        <w:tabs>
          <w:tab w:leader="none" w:pos="37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which imposes any equitable or injunctive relief that, if granted, would impose material conditions on or restrict in any material manner Investor or any of its Affiliates or, without prior consultation with Investor, the Company, (iv) without prior consultation with Investor, alleging criminal conduct by the Company or any of its Subsidiaries or any of their respective directors, officers or employees or (v) without prior consultation with Investor, that would reasonably be expected to be material to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firstLine="8"/>
        <w:spacing w:after="0" w:line="277"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28" w:right="339" w:bottom="1440" w:gutter="0" w:footer="0" w:header="0"/>
        </w:sectPr>
      </w:pPr>
    </w:p>
    <w:bookmarkStart w:id="116" w:name="page117"/>
    <w:bookmarkEnd w:id="116"/>
    <w:p>
      <w:pPr>
        <w:spacing w:after="0" w:line="231" w:lineRule="exact"/>
        <w:rPr>
          <w:sz w:val="20"/>
          <w:szCs w:val="20"/>
          <w:color w:val="auto"/>
        </w:rPr>
      </w:pPr>
    </w:p>
    <w:p>
      <w:pPr>
        <w:ind w:left="-8" w:right="40" w:firstLine="656"/>
        <w:spacing w:after="0" w:line="253" w:lineRule="auto"/>
        <w:tabs>
          <w:tab w:leader="none" w:pos="128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Company or any Subsidiary to acquire by merger, consolidation, acquisition of stock or assets or otherwise, or make any investment in, any assets, Person or business or division thereof, in each case for a purchase price in excess of $10,000,000;</w:t>
      </w:r>
    </w:p>
    <w:p>
      <w:pPr>
        <w:spacing w:after="0" w:line="212" w:lineRule="exact"/>
        <w:rPr>
          <w:rFonts w:ascii="Arial" w:cs="Arial" w:eastAsia="Arial" w:hAnsi="Arial"/>
          <w:sz w:val="22"/>
          <w:szCs w:val="22"/>
          <w:color w:val="auto"/>
        </w:rPr>
      </w:pPr>
    </w:p>
    <w:p>
      <w:pPr>
        <w:ind w:left="-8" w:right="40" w:firstLine="656"/>
        <w:spacing w:after="0" w:line="343" w:lineRule="auto"/>
        <w:tabs>
          <w:tab w:leader="none" w:pos="128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creation of any Lien upon any Transferred Assets that would prevent the substantial consummation of the Pre-Closing Steps in accordance with the terms hereof with respect to such Transferred Asset in connection with the Closing;</w:t>
      </w:r>
    </w:p>
    <w:p>
      <w:pPr>
        <w:spacing w:after="0" w:line="144" w:lineRule="exact"/>
        <w:rPr>
          <w:rFonts w:ascii="Arial" w:cs="Arial" w:eastAsia="Arial" w:hAnsi="Arial"/>
          <w:sz w:val="19"/>
          <w:szCs w:val="19"/>
          <w:color w:val="auto"/>
        </w:rPr>
      </w:pPr>
    </w:p>
    <w:p>
      <w:pPr>
        <w:ind w:left="1292" w:hanging="644"/>
        <w:spacing w:after="0"/>
        <w:tabs>
          <w:tab w:leader="none" w:pos="1292"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Leakage;</w:t>
      </w:r>
    </w:p>
    <w:p>
      <w:pPr>
        <w:spacing w:after="0" w:line="246" w:lineRule="exact"/>
        <w:rPr>
          <w:rFonts w:ascii="Arial" w:cs="Arial" w:eastAsia="Arial" w:hAnsi="Arial"/>
          <w:sz w:val="22"/>
          <w:szCs w:val="22"/>
          <w:color w:val="auto"/>
        </w:rPr>
      </w:pPr>
    </w:p>
    <w:p>
      <w:pPr>
        <w:ind w:left="-8" w:right="100" w:firstLine="656"/>
        <w:spacing w:after="0" w:line="250" w:lineRule="auto"/>
        <w:tabs>
          <w:tab w:leader="none" w:pos="128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except as required by applicable Law or the terms of any existing CBA, the Company or any Subsidiary to negotiate, modify, extend, or enter into any CBA or recognize or certify any labor union, labor organization, works council, or group of employees as the bargaining representative for any employees of the Company or its Subsidiaries, in each case without prior consultation with Investor;</w:t>
      </w:r>
    </w:p>
    <w:p>
      <w:pPr>
        <w:spacing w:after="0" w:line="214" w:lineRule="exact"/>
        <w:rPr>
          <w:rFonts w:ascii="Arial" w:cs="Arial" w:eastAsia="Arial" w:hAnsi="Arial"/>
          <w:sz w:val="22"/>
          <w:szCs w:val="22"/>
          <w:color w:val="auto"/>
        </w:rPr>
      </w:pPr>
    </w:p>
    <w:p>
      <w:pPr>
        <w:ind w:left="-8" w:right="100" w:firstLine="656"/>
        <w:spacing w:after="0" w:line="253" w:lineRule="auto"/>
        <w:tabs>
          <w:tab w:leader="none" w:pos="127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Company or any Subsidiary to implement or announce any employee layoffs, plant closings, reductions in force, furloughs, temporary layoffs, salary or wage reductions, work schedule changes or other such actions that could implicate the WARN Act, in each case without prior consultation with Investor;</w:t>
      </w:r>
    </w:p>
    <w:p>
      <w:pPr>
        <w:spacing w:after="0" w:line="225" w:lineRule="exact"/>
        <w:rPr>
          <w:rFonts w:ascii="Arial" w:cs="Arial" w:eastAsia="Arial" w:hAnsi="Arial"/>
          <w:sz w:val="22"/>
          <w:szCs w:val="22"/>
          <w:color w:val="auto"/>
        </w:rPr>
      </w:pPr>
    </w:p>
    <w:p>
      <w:pPr>
        <w:ind w:left="-8" w:firstLine="656"/>
        <w:spacing w:after="0" w:line="297" w:lineRule="auto"/>
        <w:tabs>
          <w:tab w:leader="none" w:pos="128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except as required by the existing terms of a Company Benefit Plan set forth on </w:t>
      </w:r>
      <w:r>
        <w:rPr>
          <w:rFonts w:ascii="Arial" w:cs="Arial" w:eastAsia="Arial" w:hAnsi="Arial"/>
          <w:sz w:val="19"/>
          <w:szCs w:val="19"/>
          <w:u w:val="single" w:color="auto"/>
          <w:color w:val="auto"/>
        </w:rPr>
        <w:t>Schedule 2.16(a)</w:t>
      </w:r>
      <w:r>
        <w:rPr>
          <w:rFonts w:ascii="Arial" w:cs="Arial" w:eastAsia="Arial" w:hAnsi="Arial"/>
          <w:sz w:val="19"/>
          <w:szCs w:val="19"/>
          <w:color w:val="auto"/>
        </w:rPr>
        <w:t xml:space="preserve"> in effect as of the date hereof, the Company or any of its Subsidiaries to (i) accelerate or commit to accelerate the funding, payment or vesting of, or materially increase or decrease the compensation or benefits payable or to become payable to any current or former officer, director or other member of senior management of the Company and its Subsidiaries, or (ii) establish, adopt, enter into, terminate or materially amend any Company Benefit Plan, in each case without prior consultation with Investor;</w:t>
      </w:r>
    </w:p>
    <w:p>
      <w:pPr>
        <w:spacing w:after="0" w:line="173" w:lineRule="exact"/>
        <w:rPr>
          <w:rFonts w:ascii="Arial" w:cs="Arial" w:eastAsia="Arial" w:hAnsi="Arial"/>
          <w:sz w:val="19"/>
          <w:szCs w:val="19"/>
          <w:color w:val="auto"/>
        </w:rPr>
      </w:pPr>
    </w:p>
    <w:p>
      <w:pPr>
        <w:ind w:left="-8" w:right="60" w:firstLine="656"/>
        <w:spacing w:after="0" w:line="289" w:lineRule="auto"/>
        <w:tabs>
          <w:tab w:leader="none" w:pos="128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(i) the amendment or modification in any material respect or termination (excluding terminations upon expiration of the term thereof in accordance with the terms thereof, so long as the Company or its applicable Subsidiary does not have the unilateral right to renew or extend the term of such Material Contract) of any (A) contract with AT&amp;T, T-Mobile (Sprint) or Verizon that is a Material Contract or Carrier Contract or (B) Material Contract of the type set forth in </w:t>
      </w:r>
      <w:r>
        <w:rPr>
          <w:rFonts w:ascii="Arial" w:cs="Arial" w:eastAsia="Arial" w:hAnsi="Arial"/>
          <w:sz w:val="19"/>
          <w:szCs w:val="19"/>
          <w:u w:val="single" w:color="auto"/>
          <w:color w:val="auto"/>
        </w:rPr>
        <w:t>Section 2.9(a)(vi)</w:t>
      </w:r>
      <w:r>
        <w:rPr>
          <w:rFonts w:ascii="Arial" w:cs="Arial" w:eastAsia="Arial" w:hAnsi="Arial"/>
          <w:sz w:val="19"/>
          <w:szCs w:val="19"/>
          <w:color w:val="auto"/>
        </w:rPr>
        <w:t xml:space="preserve">, or (ii) adoption or entering into a new contract that would have been (A) a contract with AT&amp;T, T-Mobile (Sprint) or Verizon that is a Material Contract or Carrier Contract or (B) a Material Contract of the type set forth in </w:t>
      </w:r>
      <w:r>
        <w:rPr>
          <w:rFonts w:ascii="Arial" w:cs="Arial" w:eastAsia="Arial" w:hAnsi="Arial"/>
          <w:sz w:val="19"/>
          <w:szCs w:val="19"/>
          <w:u w:val="single" w:color="auto"/>
          <w:color w:val="auto"/>
        </w:rPr>
        <w:t>Section 2.9(a)(vi)</w:t>
      </w:r>
      <w:r>
        <w:rPr>
          <w:rFonts w:ascii="Arial" w:cs="Arial" w:eastAsia="Arial" w:hAnsi="Arial"/>
          <w:sz w:val="19"/>
          <w:szCs w:val="19"/>
          <w:color w:val="auto"/>
        </w:rPr>
        <w:t xml:space="preserve">, if adopted or entered into prior to the date hereof, except in the case of each of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in the Ordinary Course of Business (which shall include renewals consistent with the terms thereof but shall not including Contracts of the type set forth in </w:t>
      </w:r>
      <w:r>
        <w:rPr>
          <w:rFonts w:ascii="Arial" w:cs="Arial" w:eastAsia="Arial" w:hAnsi="Arial"/>
          <w:sz w:val="19"/>
          <w:szCs w:val="19"/>
          <w:u w:val="single" w:color="auto"/>
          <w:color w:val="auto"/>
        </w:rPr>
        <w:t>Section 2.9(a)(vi)</w:t>
      </w:r>
      <w:r>
        <w:rPr>
          <w:rFonts w:ascii="Arial" w:cs="Arial" w:eastAsia="Arial" w:hAnsi="Arial"/>
          <w:sz w:val="19"/>
          <w:szCs w:val="19"/>
          <w:color w:val="auto"/>
        </w:rPr>
        <w:t xml:space="preserve"> to the extent purporting to bind direct or indirect equity holders of the Company); or</w:t>
      </w:r>
    </w:p>
    <w:p>
      <w:pPr>
        <w:spacing w:after="0" w:line="183" w:lineRule="exact"/>
        <w:rPr>
          <w:rFonts w:ascii="Arial" w:cs="Arial" w:eastAsia="Arial" w:hAnsi="Arial"/>
          <w:sz w:val="19"/>
          <w:szCs w:val="19"/>
          <w:color w:val="auto"/>
        </w:rPr>
      </w:pPr>
    </w:p>
    <w:p>
      <w:pPr>
        <w:ind w:left="1292" w:hanging="644"/>
        <w:spacing w:after="0"/>
        <w:tabs>
          <w:tab w:leader="none" w:pos="1292"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agreement or commitment by the Company or its Subsidiaries to do any of the foregoing.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ind w:left="-8" w:right="240" w:firstLine="8"/>
        <w:spacing w:after="0" w:line="277" w:lineRule="auto"/>
        <w:tabs>
          <w:tab w:leader="none" w:pos="2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72"/>
          </w:cols>
          <w:pgMar w:left="328" w:top="1440" w:right="399" w:bottom="1440" w:gutter="0" w:footer="0" w:header="0"/>
        </w:sectPr>
      </w:pPr>
    </w:p>
    <w:bookmarkStart w:id="117" w:name="page118"/>
    <w:bookmarkEnd w:id="117"/>
    <w:p>
      <w:pPr>
        <w:spacing w:after="0" w:line="20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Governmental Approvals</w:t>
      </w:r>
      <w:r>
        <w:rPr>
          <w:rFonts w:ascii="Arial" w:cs="Arial" w:eastAsia="Arial" w:hAnsi="Arial"/>
          <w:sz w:val="22"/>
          <w:szCs w:val="22"/>
          <w:color w:val="auto"/>
        </w:rPr>
        <w:t>.</w:t>
      </w:r>
    </w:p>
    <w:p>
      <w:pPr>
        <w:spacing w:after="0" w:line="220" w:lineRule="exact"/>
        <w:rPr>
          <w:sz w:val="20"/>
          <w:szCs w:val="20"/>
          <w:color w:val="auto"/>
        </w:rPr>
      </w:pPr>
    </w:p>
    <w:p>
      <w:pPr>
        <w:ind w:left="-8" w:firstLine="656"/>
        <w:spacing w:after="0" w:line="283" w:lineRule="auto"/>
        <w:tabs>
          <w:tab w:leader="none" w:pos="1285"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herein provided, each party shall, and Investor and the Company shall cause their respective Affiliates to, use reasonable best efforts to take, or cause to be taken, all actions and to do, or cause to be done, all things reasonably necessary, proper or advisable to consummate and make effective as promptly as practicable, and in any event prior to the End Date, the transactions contemplated by this Agreement (including the satisfaction, but not waiver, of the conditions precedent set forth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Each party shall, and Investor and the Company shall cause their respective Affiliates to, use reasonable best efforts to promptly obtain consents of all Governmental Authorities necessary, proper or advisable to consummate the transactions contemplated by this Agreement and the Ancillary Agreements. Each party shall make or cause to be made as promptly as practicable (and to the extent necessary cause its Affiliates to make) any filings pursuant to the HSR Act and all other filings (or where applicable, drafts thereof) required by applicable Competition Laws for the jurisdictions set forth 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the Company Disclosure Letter with respect to the transactions contemplated by this Agreement. Without limiting the foregoing: (i) with respect to any initial filings to be made in connection with this Agreement in the jurisdictions set forth 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the Company Disclosure Letter, the parties shall (x) make such filings as promptly as practicable after the date hereof, and (y) cause such filings to cover to the extent permissible by applicable Law both the potential SPAC Transaction and the potential Alternative Transaction assuming a Purchase Price equal to $750 million and an Investor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Company ownership percentage immediately following consummation of the SPAC Transaction or the Alternative Transaction of up to [*]%; (ii) with respect to (x) any filing pursuant to the HSR Act and (y) additional filings (if any) to be made by any of the parties following the signing of SPAC Definitive Agreements, the parties shall make such filings within the timelines agreed in the SPAC Definitive Agreements; and (iii) with respect to additional filings (if any) to be made by any of the parties following the making of an Alternative Transaction Election, as promptly as practicable upon (and with respect to any filing under the HSR Act, in any event within ten (10) Business Days after), delivery of an Alternative Transaction Election Notice. The parties shall resubmit any such filings as soon as is reasonably practicable in the event such filings are rejected for any reason whatsoever by the relevant Governmental Authority. Each party shall make (and to the extent necessary cause its Affiliates to make) an appropriate response as promptly as practicable to any Governmental Authority requests for information and documentary material that may be made in connection with this Agreement and the Ancillary Agreements or the consummation of the transactions contemplated hereby or thereby (including, pursuant to the HSR Act, other Competition Laws or other applicable Laws). Each party and its respective Affiliates shall not extend any waiting period or comparable period under the HSR Act or other Competition Laws or enter into any agreement with any Governmental Authority not to consummate the transactions contemplated hereby, except with the prior written consent of the other parties hereto (which consent shall not be unreasonably withheld, delayed, or conditioned). Each party shall, and Investor and the Company shall cause their respective Affiliates to, take and permit all actions that are necessary or reasonably advisable to (1) satisfy the conditions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(2) consummate the SPAC Transaction or the Alternative Transaction, as applicable, and (3) in the case of each of </w:t>
      </w:r>
      <w:r>
        <w:rPr>
          <w:rFonts w:ascii="Arial" w:cs="Arial" w:eastAsia="Arial" w:hAnsi="Arial"/>
          <w:sz w:val="19"/>
          <w:szCs w:val="19"/>
          <w:u w:val="single" w:color="auto"/>
          <w:color w:val="auto"/>
        </w:rPr>
        <w:t>clauses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w:t>
      </w:r>
      <w:r>
        <w:rPr>
          <w:rFonts w:ascii="Arial" w:cs="Arial" w:eastAsia="Arial" w:hAnsi="Arial"/>
          <w:sz w:val="19"/>
          <w:szCs w:val="19"/>
          <w:color w:val="auto"/>
        </w:rPr>
        <w:t>, obtain any applicable consents from Governmental Authorities in connection therewith, in each case, as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5" w:lineRule="exact"/>
        <w:rPr>
          <w:rFonts w:ascii="Arial" w:cs="Arial" w:eastAsia="Arial" w:hAnsi="Arial"/>
          <w:sz w:val="19"/>
          <w:szCs w:val="19"/>
          <w:color w:val="auto"/>
        </w:rPr>
      </w:pPr>
    </w:p>
    <w:p>
      <w:pPr>
        <w:ind w:left="-8" w:right="280" w:firstLine="8"/>
        <w:spacing w:after="0" w:line="277" w:lineRule="auto"/>
        <w:tabs>
          <w:tab w:leader="none" w:pos="2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12"/>
          </w:cols>
          <w:pgMar w:left="328" w:top="1440" w:right="359" w:bottom="1440" w:gutter="0" w:footer="0" w:header="0"/>
        </w:sectPr>
      </w:pPr>
    </w:p>
    <w:bookmarkStart w:id="118" w:name="page119"/>
    <w:bookmarkEnd w:id="118"/>
    <w:p>
      <w:pPr>
        <w:spacing w:after="0" w:line="204"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 xml:space="preserve">promptly as practicable and in any event before the End Date, so long as any such actions would not constitute a Substantial Detriment. Each party shall, and Investor and the Company shall cause their respective Affiliates to, not take any action that would reasonably be expected to prevent obtaining any applicable consents from Governmental Authorities in connection with the satisfaction of the conditions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88" w:lineRule="exact"/>
        <w:rPr>
          <w:sz w:val="20"/>
          <w:szCs w:val="20"/>
          <w:color w:val="auto"/>
        </w:rPr>
      </w:pPr>
    </w:p>
    <w:p>
      <w:pPr>
        <w:ind w:right="40" w:firstLine="656"/>
        <w:spacing w:after="0" w:line="283" w:lineRule="auto"/>
        <w:tabs>
          <w:tab w:leader="none" w:pos="129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Each party will promptly notify the other parties hereto of any written communication to or from any Governmental Authority regarding any of the transactions contemplated hereby, and, subject to applicable Law, shall (i) permit the other parties hereto to review in advance any proposed written communication to any such Governmental Authority, and consider in good faith and incorporate the other party’s reasonable comments, (ii) not agree to participate in any substantive meeting or discussion with any such Governmental Authority in respect of any filing, investigation or inquiry concerning this Agreement or the transactions contemplated hereby unless it consults with the other party hereto in advance and, to the extent permitted by such Governmental Authority, gives the other party the opportunity to attend, and (iii) furnish the other party with copies of all correspondence, filings and written communications (and summaries of any oral communications in which the other party does not participate) between them and their Affiliates and their respective representatives on one hand and any such Governmental Authority or its respective staff on the other hand, with respect to this Agreement and the transactions contemplated hereby. The parties shall consult with each other prior to taking any material position in discussions with or filings to be submitted to any Governmental Authority. Any information that a party provides to another party pursuant to this </w:t>
      </w:r>
      <w:r>
        <w:rPr>
          <w:rFonts w:ascii="Arial" w:cs="Arial" w:eastAsia="Arial" w:hAnsi="Arial"/>
          <w:sz w:val="19"/>
          <w:szCs w:val="19"/>
          <w:u w:val="single" w:color="auto"/>
          <w:color w:val="auto"/>
        </w:rPr>
        <w:t>Section</w:t>
      </w:r>
    </w:p>
    <w:p>
      <w:pPr>
        <w:spacing w:after="0" w:line="4" w:lineRule="exact"/>
        <w:rPr>
          <w:rFonts w:ascii="Arial" w:cs="Arial" w:eastAsia="Arial" w:hAnsi="Arial"/>
          <w:sz w:val="19"/>
          <w:szCs w:val="19"/>
          <w:color w:val="auto"/>
        </w:rPr>
      </w:pPr>
    </w:p>
    <w:p>
      <w:pPr>
        <w:ind w:right="100"/>
        <w:spacing w:after="0" w:line="246" w:lineRule="auto"/>
        <w:rPr>
          <w:rFonts w:ascii="Arial" w:cs="Arial" w:eastAsia="Arial" w:hAnsi="Arial"/>
          <w:sz w:val="19"/>
          <w:szCs w:val="19"/>
          <w:color w:val="auto"/>
        </w:rPr>
      </w:pPr>
      <w:r>
        <w:rPr>
          <w:rFonts w:ascii="Arial" w:cs="Arial" w:eastAsia="Arial" w:hAnsi="Arial"/>
          <w:sz w:val="22"/>
          <w:szCs w:val="22"/>
          <w:u w:val="single" w:color="auto"/>
          <w:color w:val="auto"/>
        </w:rPr>
        <w:t>5.2(b)</w:t>
      </w:r>
      <w:r>
        <w:rPr>
          <w:rFonts w:ascii="Arial" w:cs="Arial" w:eastAsia="Arial" w:hAnsi="Arial"/>
          <w:sz w:val="22"/>
          <w:szCs w:val="22"/>
          <w:color w:val="auto"/>
        </w:rPr>
        <w:t xml:space="preserve"> may be redacted as necessary to address legal privilege or confidentiality concerns or to comply with applicable Law, and may be designated as “outside antitrust counsel only.”</w:t>
      </w:r>
    </w:p>
    <w:p>
      <w:pPr>
        <w:spacing w:after="0" w:line="219" w:lineRule="exact"/>
        <w:rPr>
          <w:rFonts w:ascii="Arial" w:cs="Arial" w:eastAsia="Arial" w:hAnsi="Arial"/>
          <w:sz w:val="19"/>
          <w:szCs w:val="19"/>
          <w:color w:val="auto"/>
        </w:rPr>
      </w:pPr>
    </w:p>
    <w:p>
      <w:pPr>
        <w:ind w:right="20" w:firstLine="656"/>
        <w:spacing w:after="0" w:line="292" w:lineRule="auto"/>
        <w:tabs>
          <w:tab w:leader="none" w:pos="129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In the event any claim, action, suit, investigation or other proceeding by any Governmental Authority or other Person is commenced which questions the validity or legality of the transactions contemplated hereby or seeks damages in connection therewith, the parties hereto agree to cooperate and use reasonable best efforts to defend against such claim, action, suit, investigation or other proceeding and, if an injunction or other order is issued in any such action, suit or other proceeding, to use reasonable best efforts to have such injunction or other order lifted, and to cooperate reasonably regarding any other impediment to the consummation of the transactions contemplated hereby, in each case, in order to permit the consummation of the transactions contemplated hereby to occur as promptly as practicable (and in any event prior to the End Date).</w:t>
      </w:r>
    </w:p>
    <w:p>
      <w:pPr>
        <w:spacing w:after="0" w:line="191" w:lineRule="exact"/>
        <w:rPr>
          <w:rFonts w:ascii="Arial" w:cs="Arial" w:eastAsia="Arial" w:hAnsi="Arial"/>
          <w:sz w:val="19"/>
          <w:szCs w:val="19"/>
          <w:color w:val="auto"/>
        </w:rPr>
      </w:pPr>
    </w:p>
    <w:p>
      <w:pPr>
        <w:ind w:firstLine="656"/>
        <w:spacing w:after="0" w:line="294" w:lineRule="auto"/>
        <w:tabs>
          <w:tab w:leader="none" w:pos="129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Without limiting in any respect Investor’s obligations under this </w:t>
      </w:r>
      <w:r>
        <w:rPr>
          <w:rFonts w:ascii="Arial" w:cs="Arial" w:eastAsia="Arial" w:hAnsi="Arial"/>
          <w:sz w:val="19"/>
          <w:szCs w:val="19"/>
          <w:u w:val="single" w:color="auto"/>
          <w:color w:val="auto"/>
        </w:rPr>
        <w:t>Section 5.2</w:t>
      </w:r>
      <w:r>
        <w:rPr>
          <w:rFonts w:ascii="Arial" w:cs="Arial" w:eastAsia="Arial" w:hAnsi="Arial"/>
          <w:sz w:val="19"/>
          <w:szCs w:val="19"/>
          <w:color w:val="auto"/>
        </w:rPr>
        <w:t>, Investor shall have the right to direct, devise and implement the strategy for obtaining all consents of Governmental Authorities necessary, proper or advisable to consummate the transactions contemplated by this Agreement and the Ancillary Agreements as promptly as practicable, including (i) responding to any request from, or inquiry or investigation by, any Governmental Authority pursuant to any Competition Law (including directing the timing, nature and substance of all such responses), (ii) leading all meetings and communications (including any negotiations) with any such Governmental Authority, (iii) determining when (if at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right="260" w:firstLine="8"/>
        <w:spacing w:after="0" w:line="277"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119" w:name="page120"/>
    <w:bookmarkEnd w:id="119"/>
    <w:p>
      <w:pPr>
        <w:ind w:right="60"/>
        <w:spacing w:after="0" w:line="288" w:lineRule="auto"/>
        <w:rPr>
          <w:sz w:val="20"/>
          <w:szCs w:val="20"/>
          <w:color w:val="auto"/>
        </w:rPr>
      </w:pPr>
      <w:r>
        <w:rPr>
          <w:rFonts w:ascii="Arial" w:cs="Arial" w:eastAsia="Arial" w:hAnsi="Arial"/>
          <w:sz w:val="19"/>
          <w:szCs w:val="19"/>
          <w:color w:val="auto"/>
        </w:rPr>
        <w:t xml:space="preserve">all, but subject to Investor’s obligations in this Agreement, including the last two sentences of </w:t>
      </w:r>
      <w:r>
        <w:rPr>
          <w:rFonts w:ascii="Arial" w:cs="Arial" w:eastAsia="Arial" w:hAnsi="Arial"/>
          <w:sz w:val="19"/>
          <w:szCs w:val="19"/>
          <w:u w:val="single" w:color="auto"/>
          <w:color w:val="auto"/>
        </w:rPr>
        <w:t>Section 5.2(a)</w:t>
      </w:r>
      <w:r>
        <w:rPr>
          <w:rFonts w:ascii="Arial" w:cs="Arial" w:eastAsia="Arial" w:hAnsi="Arial"/>
          <w:sz w:val="19"/>
          <w:szCs w:val="19"/>
          <w:color w:val="auto"/>
        </w:rPr>
        <w:t>) to discuss, offer, or agree to any divestiture, sale, licensing, holding separate or other disposition of any asset or business, or any behavioral or conduct restriction or other alteration to the business or operations of Investor, the Company, or any of their respective Affiliates,</w:t>
      </w:r>
    </w:p>
    <w:p>
      <w:pPr>
        <w:spacing w:after="0" w:line="1" w:lineRule="exact"/>
        <w:rPr>
          <w:sz w:val="20"/>
          <w:szCs w:val="20"/>
          <w:color w:val="auto"/>
        </w:rPr>
      </w:pPr>
    </w:p>
    <w:p>
      <w:pPr>
        <w:ind w:right="100" w:firstLine="8"/>
        <w:spacing w:after="0" w:line="243" w:lineRule="auto"/>
        <w:tabs>
          <w:tab w:leader="none" w:pos="36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controlling the defense and settlement of any litigation, action, suit, investigation or proceeding brought by or before any Governmental Authority pursuant to any Competition Law and (v) Investor entering into any voluntary agreement with any Governmental Authority (subject to Investor’s obligations in this Agreement, including the last two sentences of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Investor shall consult with the Company and Carlyle in a reasonable manner and consider in good faith the views and comments of the Company and Carlyle in connection with the foregoing and (y) notwithstanding the foregoing, the parties shall have joint decision making authority with respect to the remedies contemplated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the definition of Substantial Detriment.</w:t>
      </w:r>
    </w:p>
    <w:p>
      <w:pPr>
        <w:spacing w:after="0" w:line="227" w:lineRule="exact"/>
        <w:rPr>
          <w:rFonts w:ascii="Arial" w:cs="Arial" w:eastAsia="Arial" w:hAnsi="Arial"/>
          <w:sz w:val="22"/>
          <w:szCs w:val="22"/>
          <w:color w:val="auto"/>
        </w:rPr>
      </w:pPr>
    </w:p>
    <w:p>
      <w:pPr>
        <w:ind w:right="100" w:firstLine="656"/>
        <w:spacing w:after="0" w:line="294" w:lineRule="auto"/>
        <w:tabs>
          <w:tab w:leader="none" w:pos="129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Carlyle shall not Transfer, prior to the earlier of the Closing and the termination of this Agreement in accordance with its terms, any Company Equity Interest, other than to one or more of its Affiliates that, in the case of a direct Transfer of Company Equity Interests, agrees in writing to be to be bound by this Agreement and, if applicable, any Ancillary Agreement as if an original party hereto and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Transfer shall not relieve Carlyle of its obligations pursuant to this Agreement. For the avoidance of doubt, from and following the Closing, Carlyle’s and Investor’s respective rights to Transfer Company Equity Interests shall be as set forth in, and subject to, the terms of the Stockholders Agreement.</w:t>
      </w:r>
    </w:p>
    <w:p>
      <w:pPr>
        <w:spacing w:after="0" w:line="149"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Neither Investor, Carlyle nor the Company shall make, or permit any of their respective Affiliates or representatives to make, any public announcement in respect of this Agreement, the Ancillary Agreements or the transactions contemplated hereby or thereby without the prior written consent of the other party (which consent shall not be unreasonably withheld, conditioned or delayed), except as may be required (a) to obtain consents and approvals, and to provide such notices and make such filings, as necessary, proper or reasonably advisable to consummate the transactions contemplated by this Agreement and the Ancillary Agreements, (b) by Law, rule (including rules of any applicable stock exchange) or regulation applicable to Investor, Carlyle or the Company or any of their respective Affiliates (and only to the extent so required) or (c) in the case of the Company, pursuant to internal announcements to employees;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the case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that any such disclosure is generally consistent with the parties’ prior public disclosures regarding the transactions contemplated hereby. It is understood that the foregoing shall not restrict (i) the Company or its Affiliates from making disclosure as they deem reasonably appropriate (A) in discussions with counterparties or potential counterparties to any aspect of the SPAC Transaction or the Alternative Transaction in connection with effectuating the transactions contemplated by this Agreement and the Ancillary Agreements, (B) to counterparties on a confidential basis in connection with matters contemplated by Item 1 of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Company Disclosure Letter or (C) pursuant to their reporting obligations under the Credit Facilities or the terms of any other indebtedness of the Company or its Affiliates or (ii) Carlyle and its Affiliates and affiliated funds and management entities from providing information (customary in manner and scope) 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80" w:firstLine="8"/>
        <w:spacing w:after="0" w:line="277"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8" w:right="359" w:bottom="1440" w:gutter="0" w:footer="0" w:header="0"/>
        </w:sectPr>
      </w:pPr>
    </w:p>
    <w:bookmarkStart w:id="120" w:name="page121"/>
    <w:bookmarkEnd w:id="120"/>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respective current or prospective investors, limited partners and financing sources (and their respective advisors).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Access to Information; Confidentiality</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92" w:lineRule="auto"/>
        <w:tabs>
          <w:tab w:leader="none" w:pos="129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From the date hereof until the earlier of the Closing Date or the termination of this Agreement in accordance with its terms, upon reasonable notice, the Company shall provide to Investor and its authorized representatives during normal business hours reasonable access to all books and records, facilities and employees of the Company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access shall be conducted at Investor’s expense, in accordance with applicable Law (including any applicable Law relating to antitrust, competition, employment or privacy issues) and any COVID-19 Measures, under the supervision of the Company’s or its Subsidiaries’ personnel and in such a manner as to maintain confidentiality and not to unreasonably interfere with the normal operations of the Company and its Subsidiaries and their businesses.</w:t>
      </w:r>
    </w:p>
    <w:p>
      <w:pPr>
        <w:spacing w:after="0" w:line="150" w:lineRule="exact"/>
        <w:rPr>
          <w:rFonts w:ascii="Arial" w:cs="Arial" w:eastAsia="Arial" w:hAnsi="Arial"/>
          <w:sz w:val="19"/>
          <w:szCs w:val="19"/>
          <w:color w:val="auto"/>
        </w:rPr>
      </w:pPr>
    </w:p>
    <w:p>
      <w:pPr>
        <w:ind w:right="40" w:firstLine="656"/>
        <w:spacing w:after="0" w:line="287"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the Company may withhold any document (or portions thereof) or information (i) that is subject to the terms of a non-disclosure agreement with a third party, (ii) that may constitute privileged attorney-client communications or attorney work product and the transfer of which, or the provision of access to which, as reasonably determined by such party’s counsel, constitutes a waiver of any such privilege, (iii) if the provision of access to such document (or portion thereof) or information, as reasonably determined by such party’s counsel, would reasonably be expected to conflict with applicable Laws or (iv) relating to the sale process regarding the Enterprise Business or any alternative transaction with respect to all or a portion of the Enterprise Business, bids received from others in connection with such sale process or alternative transactions and information and analysis (including financial analysis) relating to such bids or alternative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to the extent permitted by Law and reasonably practicable, the Company shall inform Investor of the general nature of the information being withheld and, upon Investor’s request, reasonably cooperate with Investor to provide such information in a manner that would not violate such contracts, fiduciary duty or Law or result in a loss of privilege.</w:t>
      </w:r>
    </w:p>
    <w:p>
      <w:pPr>
        <w:spacing w:after="0" w:line="185" w:lineRule="exact"/>
        <w:rPr>
          <w:rFonts w:ascii="Arial" w:cs="Arial" w:eastAsia="Arial" w:hAnsi="Arial"/>
          <w:sz w:val="19"/>
          <w:szCs w:val="19"/>
          <w:color w:val="auto"/>
        </w:rPr>
      </w:pPr>
    </w:p>
    <w:p>
      <w:pPr>
        <w:ind w:right="20" w:firstLine="656"/>
        <w:spacing w:after="0" w:line="253" w:lineRule="auto"/>
        <w:tabs>
          <w:tab w:leader="none" w:pos="129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All information provided to Investor pursuant to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shall be held by Investor as confidential under the terms of the Confidentiality Agreement and shall be subject to the Confidentiality Agreement, the applicable terms of which are incorporated herein by reference.</w:t>
      </w:r>
    </w:p>
    <w:p>
      <w:pPr>
        <w:spacing w:after="0" w:line="185" w:lineRule="exact"/>
        <w:rPr>
          <w:sz w:val="20"/>
          <w:szCs w:val="20"/>
          <w:color w:val="auto"/>
        </w:rPr>
      </w:pPr>
    </w:p>
    <w:p>
      <w:pPr>
        <w:ind w:right="140" w:firstLine="648"/>
        <w:spacing w:after="0" w:line="246"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xml:space="preserve">. The Company shall cause all Affiliate Contracts to be settled or terminated prior to the Closing without any Liability on the part of the Company or any of its Affiliates (including Liability arising from such termination), except for this Agreement, the Ancillary Agreements, as contemplated by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and those contracts or other transactions set forth on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of the Company Disclosure Letter. If an Alternative Transaction Election has been made, at Carlyle’s option in lieu of termination, Carlyle and the Company will cause, with effect from the Closing Date, (a) the “Annual Consulting Fee” under and as defined in the Amended and Restated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00" w:firstLine="8"/>
        <w:spacing w:after="0" w:line="277"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4"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Services Agreement, dated February 22, 2021 (the “</w:t>
      </w:r>
      <w:r>
        <w:rPr>
          <w:rFonts w:ascii="Arial" w:cs="Arial" w:eastAsia="Arial" w:hAnsi="Arial"/>
          <w:sz w:val="22"/>
          <w:szCs w:val="22"/>
          <w:u w:val="single" w:color="auto"/>
          <w:color w:val="auto"/>
        </w:rPr>
        <w:t>Management Agreement</w:t>
      </w:r>
      <w:r>
        <w:rPr>
          <w:rFonts w:ascii="Arial" w:cs="Arial" w:eastAsia="Arial" w:hAnsi="Arial"/>
          <w:sz w:val="22"/>
          <w:szCs w:val="22"/>
          <w:color w:val="auto"/>
        </w:rPr>
        <w:t xml:space="preserve">”), by and among Syniverse Holdings, Inc., TC Group V, L.L.C. and Carlyle Investment Management L.L.C., to be shared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between an Affiliate of Carlyle and Investor, based on their respective equity ownership of the Company and (b) the Management Agreement to be otherwise amended (i) to delete Section 3(b) of the Management Agreement in its entirety and (ii) as contemplated by the proviso to Item 1 of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of the Company Disclosure Letter.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SPAC Transaction</w:t>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tabs>
          <w:tab w:leader="none" w:pos="13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Company, Investor and Carlyle shall use their reasonable best efforts, acting reasonably and in good faith, to:</w:t>
      </w:r>
    </w:p>
    <w:p>
      <w:pPr>
        <w:spacing w:after="0" w:line="254" w:lineRule="exact"/>
        <w:rPr>
          <w:rFonts w:ascii="Arial" w:cs="Arial" w:eastAsia="Arial" w:hAnsi="Arial"/>
          <w:sz w:val="19"/>
          <w:szCs w:val="19"/>
          <w:color w:val="auto"/>
        </w:rPr>
      </w:pPr>
    </w:p>
    <w:p>
      <w:pPr>
        <w:ind w:left="660" w:right="660" w:firstLine="644"/>
        <w:spacing w:after="0" w:line="263" w:lineRule="auto"/>
        <w:tabs>
          <w:tab w:leader="none" w:pos="1944" w:val="left"/>
        </w:tabs>
        <w:numPr>
          <w:ilvl w:val="2"/>
          <w:numId w:val="110"/>
        </w:numPr>
        <w:rPr>
          <w:rFonts w:ascii="Arial" w:cs="Arial" w:eastAsia="Arial" w:hAnsi="Arial"/>
          <w:sz w:val="22"/>
          <w:szCs w:val="22"/>
          <w:color w:val="auto"/>
        </w:rPr>
      </w:pPr>
      <w:r>
        <w:rPr>
          <w:rFonts w:ascii="Arial" w:cs="Arial" w:eastAsia="Arial" w:hAnsi="Arial"/>
          <w:sz w:val="22"/>
          <w:szCs w:val="22"/>
          <w:color w:val="auto"/>
        </w:rPr>
        <w:t>identify and select a SPAC with which to enter into definitive negotiations with respect to the SPAC Transaction (the “</w:t>
      </w:r>
      <w:r>
        <w:rPr>
          <w:rFonts w:ascii="Arial" w:cs="Arial" w:eastAsia="Arial" w:hAnsi="Arial"/>
          <w:sz w:val="22"/>
          <w:szCs w:val="22"/>
          <w:u w:val="single" w:color="auto"/>
          <w:color w:val="auto"/>
        </w:rPr>
        <w:t>SPAC Selection</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660" w:right="80" w:firstLine="644"/>
        <w:spacing w:after="0" w:line="302" w:lineRule="auto"/>
        <w:tabs>
          <w:tab w:leader="none" w:pos="195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together with the selected SPAC, identify one or more investors acceptable to each of the Company, Investor and Carlyle, to provide incremental common equity financing (the “</w:t>
      </w:r>
      <w:r>
        <w:rPr>
          <w:rFonts w:ascii="Arial" w:cs="Arial" w:eastAsia="Arial" w:hAnsi="Arial"/>
          <w:sz w:val="19"/>
          <w:szCs w:val="19"/>
          <w:u w:val="single" w:color="auto"/>
          <w:color w:val="auto"/>
        </w:rPr>
        <w:t>PIPE Financing</w:t>
      </w:r>
      <w:r>
        <w:rPr>
          <w:rFonts w:ascii="Arial" w:cs="Arial" w:eastAsia="Arial" w:hAnsi="Arial"/>
          <w:sz w:val="19"/>
          <w:szCs w:val="19"/>
          <w:color w:val="auto"/>
        </w:rPr>
        <w:t xml:space="preserve">”) such that the SPAC will have no less than $250 million in such committed common equity financing with respect to the PIPE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Investor shall not unreasonably withhold, delay or condition its consent to any such investor;</w:t>
      </w:r>
    </w:p>
    <w:p>
      <w:pPr>
        <w:spacing w:after="0" w:line="182" w:lineRule="exact"/>
        <w:rPr>
          <w:rFonts w:ascii="Arial" w:cs="Arial" w:eastAsia="Arial" w:hAnsi="Arial"/>
          <w:sz w:val="19"/>
          <w:szCs w:val="19"/>
          <w:color w:val="auto"/>
        </w:rPr>
      </w:pPr>
    </w:p>
    <w:p>
      <w:pPr>
        <w:ind w:left="660" w:firstLine="644"/>
        <w:spacing w:after="0" w:line="286" w:lineRule="auto"/>
        <w:tabs>
          <w:tab w:leader="none" w:pos="1956" w:val="left"/>
        </w:tabs>
        <w:numPr>
          <w:ilvl w:val="2"/>
          <w:numId w:val="110"/>
        </w:numPr>
        <w:rPr>
          <w:rFonts w:ascii="Arial" w:cs="Arial" w:eastAsia="Arial" w:hAnsi="Arial"/>
          <w:sz w:val="19"/>
          <w:szCs w:val="19"/>
          <w:color w:val="auto"/>
        </w:rPr>
      </w:pPr>
      <w:r>
        <w:rPr>
          <w:rFonts w:ascii="Arial" w:cs="Arial" w:eastAsia="Arial" w:hAnsi="Arial"/>
          <w:sz w:val="19"/>
          <w:szCs w:val="19"/>
          <w:color w:val="auto"/>
        </w:rPr>
        <w:t>negotiate and enter into definitive transaction documents (the “</w:t>
      </w:r>
      <w:r>
        <w:rPr>
          <w:rFonts w:ascii="Arial" w:cs="Arial" w:eastAsia="Arial" w:hAnsi="Arial"/>
          <w:sz w:val="19"/>
          <w:szCs w:val="19"/>
          <w:u w:val="single" w:color="auto"/>
          <w:color w:val="auto"/>
        </w:rPr>
        <w:t>SPAC Definitive Agreements</w:t>
      </w:r>
      <w:r>
        <w:rPr>
          <w:rFonts w:ascii="Arial" w:cs="Arial" w:eastAsia="Arial" w:hAnsi="Arial"/>
          <w:sz w:val="19"/>
          <w:szCs w:val="19"/>
          <w:color w:val="auto"/>
        </w:rPr>
        <w:t xml:space="preserve">”) with respect to (A) the SPAC Merger, on terms (x) consistent with those in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(y) that include a Company enterprise value of at least $[*] (or such lower valuation as, notwithstanding any other provision hereof, may be agreed by the Company and Carlyle in their sole discretion) and (z) otherwise acceptable to the Company, Carlyle and Investor (including with respect to Tax and structuring-related matters), (B) the post-SPAC Merger equity governance arrangements, on terms consistent with those indicated in the Stockholders Agreement and otherwise acceptable to the Company, Carlyle and Investor, (C) the PIPE Financing, on terms acceptable to the Company, Carlyle and Investor, and (D) the SPAC Transaction Debt Financing Commitments, on terms consistent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otherwise acceptable to the Company, Carlyle and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Investor shall not unreasonably withhold, delay or condition its consent to the terms of the PIPE Financing or the SPAC Transaction Refinancing (including the SPAC Transaction Debt Financing Commitments) and (2) notwithstanding anything to the contrary set forth herein, in connection with the SPAC Transaction and SPAC Definitive Agreements, the parties may by mutual agreement determine that the Investment by Investor contemplated hereby should instead be in respect of equity interests in the SPAC or in a new holding company formed for the purpose of becoming the resulting public parent company in the SPAC Transaction, and the terms of this Agreement shall be deemed to be modified (and shall be interpreted) accordingly, </w:t>
      </w:r>
      <w:r>
        <w:rPr>
          <w:rFonts w:ascii="Arial" w:cs="Arial" w:eastAsia="Arial" w:hAnsi="Arial"/>
          <w:sz w:val="19"/>
          <w:szCs w:val="19"/>
          <w:i w:val="1"/>
          <w:iCs w:val="1"/>
          <w:color w:val="auto"/>
        </w:rPr>
        <w:t>mutatis mutandis</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right="300" w:firstLine="8"/>
        <w:spacing w:after="0" w:line="277"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22" w:name="page123"/>
    <w:bookmarkEnd w:id="122"/>
    <w:p>
      <w:pPr>
        <w:ind w:left="652" w:right="540" w:firstLine="644"/>
        <w:spacing w:after="0" w:line="253" w:lineRule="auto"/>
        <w:tabs>
          <w:tab w:leader="none" w:pos="1936"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prior to Closing, finalize any remaining agreements contemplated by or in connection with the SPAC Transaction (including with respect to the SPAC Transaction Refinancing) and at the Closing, and subject to the conditions set forth in </w:t>
      </w:r>
      <w:r>
        <w:rPr>
          <w:rFonts w:ascii="Arial" w:cs="Arial" w:eastAsia="Arial" w:hAnsi="Arial"/>
          <w:sz w:val="22"/>
          <w:szCs w:val="22"/>
          <w:u w:val="single" w:color="auto"/>
          <w:color w:val="auto"/>
        </w:rPr>
        <w:t>Article 7</w:t>
      </w:r>
      <w:r>
        <w:rPr>
          <w:rFonts w:ascii="Arial" w:cs="Arial" w:eastAsia="Arial" w:hAnsi="Arial"/>
          <w:sz w:val="22"/>
          <w:szCs w:val="22"/>
          <w:color w:val="auto"/>
        </w:rPr>
        <w:t>, consummate the SPAC Transaction.</w:t>
      </w:r>
    </w:p>
    <w:p>
      <w:pPr>
        <w:spacing w:after="0" w:line="185" w:lineRule="exact"/>
        <w:rPr>
          <w:rFonts w:ascii="Arial" w:cs="Arial" w:eastAsia="Arial" w:hAnsi="Arial"/>
          <w:sz w:val="22"/>
          <w:szCs w:val="22"/>
          <w:color w:val="auto"/>
        </w:rPr>
      </w:pPr>
    </w:p>
    <w:p>
      <w:pPr>
        <w:jc w:val="both"/>
        <w:ind w:left="-8" w:right="80" w:firstLine="656"/>
        <w:spacing w:after="0" w:line="253" w:lineRule="auto"/>
        <w:tabs>
          <w:tab w:leader="none" w:pos="128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Company, Investor and Carlyle shall use their reasonable best efforts, acting reasonably and in good faith, to cause the definitive agreements with respect to the SPAC Merger to provide for the following use of SPAC Transaction Proceeds and the Investment Amount:</w:t>
      </w:r>
    </w:p>
    <w:p>
      <w:pPr>
        <w:spacing w:after="0" w:line="185" w:lineRule="exact"/>
        <w:rPr>
          <w:rFonts w:ascii="Arial" w:cs="Arial" w:eastAsia="Arial" w:hAnsi="Arial"/>
          <w:sz w:val="22"/>
          <w:szCs w:val="22"/>
          <w:color w:val="auto"/>
        </w:rPr>
      </w:pPr>
    </w:p>
    <w:p>
      <w:pPr>
        <w:ind w:left="652" w:firstLine="644"/>
        <w:spacing w:after="0" w:line="253" w:lineRule="auto"/>
        <w:tabs>
          <w:tab w:leader="none" w:pos="1936" w:val="left"/>
        </w:tabs>
        <w:numPr>
          <w:ilvl w:val="1"/>
          <w:numId w:val="112"/>
        </w:numPr>
        <w:rPr>
          <w:rFonts w:ascii="Arial" w:cs="Arial" w:eastAsia="Arial" w:hAnsi="Arial"/>
          <w:sz w:val="22"/>
          <w:szCs w:val="22"/>
          <w:color w:val="auto"/>
        </w:rPr>
      </w:pPr>
      <w:r>
        <w:rPr>
          <w:rFonts w:ascii="Arial" w:cs="Arial" w:eastAsia="Arial" w:hAnsi="Arial"/>
          <w:sz w:val="22"/>
          <w:szCs w:val="22"/>
          <w:color w:val="auto"/>
        </w:rPr>
        <w:t>first, to pay, or reimburse, the Company, Carlyle, Investor and the SPAC for their respective reasonable and documented expenses incurred in connection with the transactions contemplated by this Agreement (including the SPAC Transaction and the Alternative Transaction);</w:t>
      </w:r>
    </w:p>
    <w:p>
      <w:pPr>
        <w:spacing w:after="0" w:line="212" w:lineRule="exact"/>
        <w:rPr>
          <w:rFonts w:ascii="Arial" w:cs="Arial" w:eastAsia="Arial" w:hAnsi="Arial"/>
          <w:sz w:val="22"/>
          <w:szCs w:val="22"/>
          <w:color w:val="auto"/>
        </w:rPr>
      </w:pPr>
    </w:p>
    <w:p>
      <w:pPr>
        <w:ind w:left="652" w:right="380" w:firstLine="644"/>
        <w:spacing w:after="0" w:line="253" w:lineRule="auto"/>
        <w:tabs>
          <w:tab w:leader="none" w:pos="1942" w:val="left"/>
        </w:tabs>
        <w:numPr>
          <w:ilvl w:val="1"/>
          <w:numId w:val="112"/>
        </w:numPr>
        <w:rPr>
          <w:rFonts w:ascii="Arial" w:cs="Arial" w:eastAsia="Arial" w:hAnsi="Arial"/>
          <w:sz w:val="22"/>
          <w:szCs w:val="22"/>
          <w:color w:val="auto"/>
        </w:rPr>
      </w:pPr>
      <w:r>
        <w:rPr>
          <w:rFonts w:ascii="Arial" w:cs="Arial" w:eastAsia="Arial" w:hAnsi="Arial"/>
          <w:sz w:val="22"/>
          <w:szCs w:val="22"/>
          <w:color w:val="auto"/>
        </w:rPr>
        <w:t xml:space="preserve">second, to repay an amount equal to (A) the Company’s outstanding indebtedness under the Credit Facilities,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net proceeds from the SPAC Transaction Refinancing (the amount in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together with the amount in </w:t>
      </w:r>
      <w:r>
        <w:rPr>
          <w:rFonts w:ascii="Arial" w:cs="Arial" w:eastAsia="Arial" w:hAnsi="Arial"/>
          <w:sz w:val="22"/>
          <w:szCs w:val="22"/>
          <w:u w:val="single" w:color="auto"/>
          <w:color w:val="auto"/>
        </w:rPr>
        <w:t>clause (i)</w:t>
      </w:r>
      <w:r>
        <w:rPr>
          <w:rFonts w:ascii="Arial" w:cs="Arial" w:eastAsia="Arial" w:hAnsi="Arial"/>
          <w:sz w:val="22"/>
          <w:szCs w:val="22"/>
          <w:color w:val="auto"/>
        </w:rPr>
        <w:t>, the “</w:t>
      </w:r>
      <w:r>
        <w:rPr>
          <w:rFonts w:ascii="Arial" w:cs="Arial" w:eastAsia="Arial" w:hAnsi="Arial"/>
          <w:sz w:val="22"/>
          <w:szCs w:val="22"/>
          <w:u w:val="single" w:color="auto"/>
          <w:color w:val="auto"/>
        </w:rPr>
        <w:t>Minimum Total Cash Amount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652" w:right="120" w:firstLine="644"/>
        <w:spacing w:after="0" w:line="343" w:lineRule="auto"/>
        <w:tabs>
          <w:tab w:leader="none" w:pos="194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third, but only to the extent the SPAC Transaction Proceeds exceed $250 million, at Investor’s election, to reduce the Investment Amount by up to an amount equal to the lesser of (A) such excess and (B) $250 million; and</w:t>
      </w:r>
    </w:p>
    <w:p>
      <w:pPr>
        <w:spacing w:after="0" w:line="131" w:lineRule="exact"/>
        <w:rPr>
          <w:rFonts w:ascii="Arial" w:cs="Arial" w:eastAsia="Arial" w:hAnsi="Arial"/>
          <w:sz w:val="19"/>
          <w:szCs w:val="19"/>
          <w:color w:val="auto"/>
        </w:rPr>
      </w:pPr>
    </w:p>
    <w:p>
      <w:pPr>
        <w:ind w:left="652" w:right="40" w:firstLine="644"/>
        <w:spacing w:after="0" w:line="247" w:lineRule="auto"/>
        <w:tabs>
          <w:tab w:leader="none" w:pos="1936" w:val="left"/>
        </w:tabs>
        <w:numPr>
          <w:ilvl w:val="1"/>
          <w:numId w:val="112"/>
        </w:numPr>
        <w:rPr>
          <w:rFonts w:ascii="Arial" w:cs="Arial" w:eastAsia="Arial" w:hAnsi="Arial"/>
          <w:sz w:val="22"/>
          <w:szCs w:val="22"/>
          <w:color w:val="auto"/>
        </w:rPr>
      </w:pPr>
      <w:r>
        <w:rPr>
          <w:rFonts w:ascii="Arial" w:cs="Arial" w:eastAsia="Arial" w:hAnsi="Arial"/>
          <w:sz w:val="22"/>
          <w:szCs w:val="22"/>
          <w:color w:val="auto"/>
        </w:rPr>
        <w:t xml:space="preserve">fourth, any remaining amounts, at the Company’s election, (A) to the Company’s balance sheet for general corporate purposes and/or (B) to,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in proportion to their relative post-Closing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equity interests in the Company (prior to the application of proceeds pursuant to this </w:t>
      </w:r>
      <w:r>
        <w:rPr>
          <w:rFonts w:ascii="Arial" w:cs="Arial" w:eastAsia="Arial" w:hAnsi="Arial"/>
          <w:sz w:val="22"/>
          <w:szCs w:val="22"/>
          <w:u w:val="single" w:color="auto"/>
          <w:color w:val="auto"/>
        </w:rPr>
        <w:t>clause (iv)</w:t>
      </w:r>
      <w:r>
        <w:rPr>
          <w:rFonts w:ascii="Arial" w:cs="Arial" w:eastAsia="Arial" w:hAnsi="Arial"/>
          <w:sz w:val="22"/>
          <w:szCs w:val="22"/>
          <w:color w:val="auto"/>
        </w:rPr>
        <w:t xml:space="preserve">), (1) further reduce the Investment Amount (the actual amount of any such reduction to the Investment Amount pursuant to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clause (iv)</w:t>
      </w:r>
      <w:r>
        <w:rPr>
          <w:rFonts w:ascii="Arial" w:cs="Arial" w:eastAsia="Arial" w:hAnsi="Arial"/>
          <w:sz w:val="22"/>
          <w:szCs w:val="22"/>
          <w:color w:val="auto"/>
        </w:rPr>
        <w:t>, the “</w:t>
      </w:r>
      <w:r>
        <w:rPr>
          <w:rFonts w:ascii="Arial" w:cs="Arial" w:eastAsia="Arial" w:hAnsi="Arial"/>
          <w:sz w:val="22"/>
          <w:szCs w:val="22"/>
          <w:u w:val="single" w:color="auto"/>
          <w:color w:val="auto"/>
        </w:rPr>
        <w:t>SPAC Reduction Amount</w:t>
      </w:r>
      <w:r>
        <w:rPr>
          <w:rFonts w:ascii="Arial" w:cs="Arial" w:eastAsia="Arial" w:hAnsi="Arial"/>
          <w:sz w:val="22"/>
          <w:szCs w:val="22"/>
          <w:color w:val="auto"/>
        </w:rPr>
        <w:t>”) and (2) repurchase or otherwise redeem equity of the Company from the pre-Closing shareholders of the Company.</w:t>
      </w:r>
    </w:p>
    <w:p>
      <w:pPr>
        <w:spacing w:after="0" w:line="192" w:lineRule="exact"/>
        <w:rPr>
          <w:rFonts w:ascii="Arial" w:cs="Arial" w:eastAsia="Arial" w:hAnsi="Arial"/>
          <w:sz w:val="22"/>
          <w:szCs w:val="22"/>
          <w:color w:val="auto"/>
        </w:rPr>
      </w:pPr>
    </w:p>
    <w:p>
      <w:pPr>
        <w:ind w:left="-8" w:right="40" w:firstLine="656"/>
        <w:spacing w:after="0" w:line="248" w:lineRule="auto"/>
        <w:tabs>
          <w:tab w:leader="none" w:pos="128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connection with the entry into a SPAC Transaction (including with respect to the SPAC Selection, the PIPE Financing and the SPAC Definitive Agreements), the parties’ duties to use their reasonable best efforts, and to act reasonably and in good faith, shall not require Investor or Carlyle to agree to any term or condition that would have a material disproportionate adverse effect on such party relative to the other such party taking into account the terms and conditions of this Agreement, the Stockholders Agreement and the Wholesale Agreement.</w:t>
      </w:r>
    </w:p>
    <w:p>
      <w:pPr>
        <w:spacing w:after="0" w:line="19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Alternative Transaction; Pre-Closing Steps</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 w:right="280" w:firstLine="8"/>
        <w:spacing w:after="0" w:line="277" w:lineRule="auto"/>
        <w:tabs>
          <w:tab w:leader="none" w:pos="2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12"/>
          </w:cols>
          <w:pgMar w:left="328" w:top="1428" w:right="359" w:bottom="1440" w:gutter="0" w:footer="0" w:header="0"/>
        </w:sectPr>
      </w:pPr>
    </w:p>
    <w:bookmarkStart w:id="123" w:name="page124"/>
    <w:bookmarkEnd w:id="123"/>
    <w:p>
      <w:pPr>
        <w:spacing w:after="0" w:line="204" w:lineRule="exact"/>
        <w:rPr>
          <w:sz w:val="20"/>
          <w:szCs w:val="20"/>
          <w:color w:val="auto"/>
        </w:rPr>
      </w:pPr>
    </w:p>
    <w:p>
      <w:pPr>
        <w:ind w:left="-8" w:firstLine="656"/>
        <w:spacing w:after="0" w:line="261" w:lineRule="auto"/>
        <w:tabs>
          <w:tab w:leader="none" w:pos="1285" w:val="left"/>
        </w:tabs>
        <w:numPr>
          <w:ilvl w:val="1"/>
          <w:numId w:val="11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(including </w:t>
      </w:r>
      <w:r>
        <w:rPr>
          <w:rFonts w:ascii="Arial" w:cs="Arial" w:eastAsia="Arial" w:hAnsi="Arial"/>
          <w:sz w:val="21"/>
          <w:szCs w:val="21"/>
          <w:u w:val="single" w:color="auto"/>
          <w:color w:val="auto"/>
        </w:rPr>
        <w:t>Section 5.6</w:t>
      </w:r>
      <w:r>
        <w:rPr>
          <w:rFonts w:ascii="Arial" w:cs="Arial" w:eastAsia="Arial" w:hAnsi="Arial"/>
          <w:sz w:val="21"/>
          <w:szCs w:val="21"/>
          <w:color w:val="auto"/>
        </w:rPr>
        <w:t>), in the event of the occurrence of any of the following events, the Company may, in its sole discretion by providing written notice to Investor (the “</w:t>
      </w:r>
      <w:r>
        <w:rPr>
          <w:rFonts w:ascii="Arial" w:cs="Arial" w:eastAsia="Arial" w:hAnsi="Arial"/>
          <w:sz w:val="21"/>
          <w:szCs w:val="21"/>
          <w:u w:val="single" w:color="auto"/>
          <w:color w:val="auto"/>
        </w:rPr>
        <w:t>Alternative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Transaction Election Notice</w:t>
      </w:r>
      <w:r>
        <w:rPr>
          <w:rFonts w:ascii="Arial" w:cs="Arial" w:eastAsia="Arial" w:hAnsi="Arial"/>
          <w:sz w:val="21"/>
          <w:szCs w:val="21"/>
          <w:color w:val="auto"/>
        </w:rPr>
        <w:t>”), elect to cause the parties to cease pursuing the SPAC Transaction and instead consummate the Alternative Transaction (an “</w:t>
      </w:r>
      <w:r>
        <w:rPr>
          <w:rFonts w:ascii="Arial" w:cs="Arial" w:eastAsia="Arial" w:hAnsi="Arial"/>
          <w:sz w:val="21"/>
          <w:szCs w:val="21"/>
          <w:u w:val="single" w:color="auto"/>
          <w:color w:val="auto"/>
        </w:rPr>
        <w:t>Alternative Transaction Election</w:t>
      </w:r>
      <w:r>
        <w:rPr>
          <w:rFonts w:ascii="Arial" w:cs="Arial" w:eastAsia="Arial" w:hAnsi="Arial"/>
          <w:sz w:val="21"/>
          <w:szCs w:val="21"/>
          <w:color w:val="auto"/>
        </w:rPr>
        <w:t xml:space="preserve">”) on the terms and conditions set forth in this Agreement (including this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in each case provided that the Company and Carlyle have complied in all material respects with their respective obligations pursuant to </w:t>
      </w:r>
      <w:r>
        <w:rPr>
          <w:rFonts w:ascii="Arial" w:cs="Arial" w:eastAsia="Arial" w:hAnsi="Arial"/>
          <w:sz w:val="21"/>
          <w:szCs w:val="21"/>
          <w:u w:val="single" w:color="auto"/>
          <w:color w:val="auto"/>
        </w:rPr>
        <w:t>Section 5.6</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1932" w:hanging="636"/>
        <w:spacing w:after="0"/>
        <w:tabs>
          <w:tab w:leader="none" w:pos="1932" w:val="left"/>
        </w:tabs>
        <w:numPr>
          <w:ilvl w:val="2"/>
          <w:numId w:val="114"/>
        </w:numPr>
        <w:rPr>
          <w:rFonts w:ascii="Arial" w:cs="Arial" w:eastAsia="Arial" w:hAnsi="Arial"/>
          <w:sz w:val="19"/>
          <w:szCs w:val="19"/>
          <w:color w:val="auto"/>
        </w:rPr>
      </w:pPr>
      <w:r>
        <w:rPr>
          <w:rFonts w:ascii="Arial" w:cs="Arial" w:eastAsia="Arial" w:hAnsi="Arial"/>
          <w:sz w:val="19"/>
          <w:szCs w:val="19"/>
          <w:color w:val="auto"/>
        </w:rPr>
        <w:t>the Company and Investor have not completed the SPAC Selection within six (6) weeks of the date of this</w:t>
      </w:r>
    </w:p>
    <w:p>
      <w:pPr>
        <w:spacing w:after="0" w:line="55"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left="652" w:right="60" w:firstLine="644"/>
        <w:spacing w:after="0" w:line="263" w:lineRule="auto"/>
        <w:tabs>
          <w:tab w:leader="none" w:pos="1942" w:val="left"/>
        </w:tabs>
        <w:numPr>
          <w:ilvl w:val="2"/>
          <w:numId w:val="114"/>
        </w:numPr>
        <w:rPr>
          <w:rFonts w:ascii="Arial" w:cs="Arial" w:eastAsia="Arial" w:hAnsi="Arial"/>
          <w:sz w:val="22"/>
          <w:szCs w:val="22"/>
          <w:color w:val="auto"/>
        </w:rPr>
      </w:pPr>
      <w:r>
        <w:rPr>
          <w:rFonts w:ascii="Arial" w:cs="Arial" w:eastAsia="Arial" w:hAnsi="Arial"/>
          <w:sz w:val="22"/>
          <w:szCs w:val="22"/>
          <w:color w:val="auto"/>
        </w:rPr>
        <w:t>the SPAC Definitive Agreements have not been entered into within six (6) weeks following the date of the SPAC Selection; or</w:t>
      </w:r>
    </w:p>
    <w:p>
      <w:pPr>
        <w:spacing w:after="0" w:line="201" w:lineRule="exact"/>
        <w:rPr>
          <w:rFonts w:ascii="Arial" w:cs="Arial" w:eastAsia="Arial" w:hAnsi="Arial"/>
          <w:sz w:val="22"/>
          <w:szCs w:val="22"/>
          <w:color w:val="auto"/>
        </w:rPr>
      </w:pPr>
    </w:p>
    <w:p>
      <w:pPr>
        <w:ind w:left="1952" w:hanging="656"/>
        <w:spacing w:after="0"/>
        <w:tabs>
          <w:tab w:leader="none" w:pos="1952" w:val="left"/>
        </w:tabs>
        <w:numPr>
          <w:ilvl w:val="2"/>
          <w:numId w:val="114"/>
        </w:numPr>
        <w:rPr>
          <w:rFonts w:ascii="Arial" w:cs="Arial" w:eastAsia="Arial" w:hAnsi="Arial"/>
          <w:sz w:val="21"/>
          <w:szCs w:val="21"/>
          <w:color w:val="auto"/>
        </w:rPr>
      </w:pPr>
      <w:r>
        <w:rPr>
          <w:rFonts w:ascii="Arial" w:cs="Arial" w:eastAsia="Arial" w:hAnsi="Arial"/>
          <w:sz w:val="21"/>
          <w:szCs w:val="21"/>
          <w:color w:val="auto"/>
        </w:rPr>
        <w:t>the SPAC Definitive Agreements are terminated prior to consummation of the SPAC Transaction.</w:t>
      </w:r>
    </w:p>
    <w:p>
      <w:pPr>
        <w:spacing w:after="0" w:line="231" w:lineRule="exact"/>
        <w:rPr>
          <w:rFonts w:ascii="Arial" w:cs="Arial" w:eastAsia="Arial" w:hAnsi="Arial"/>
          <w:sz w:val="21"/>
          <w:szCs w:val="21"/>
          <w:color w:val="auto"/>
        </w:rPr>
      </w:pPr>
    </w:p>
    <w:p>
      <w:pPr>
        <w:ind w:left="1292" w:hanging="644"/>
        <w:spacing w:after="0"/>
        <w:tabs>
          <w:tab w:leader="none" w:pos="12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Upon an Alternative Transaction Election, the Company will (and will cause its Subsidiaries to):</w:t>
      </w:r>
    </w:p>
    <w:p>
      <w:pPr>
        <w:spacing w:after="0" w:line="219" w:lineRule="exact"/>
        <w:rPr>
          <w:rFonts w:ascii="Arial" w:cs="Arial" w:eastAsia="Arial" w:hAnsi="Arial"/>
          <w:sz w:val="22"/>
          <w:szCs w:val="22"/>
          <w:color w:val="auto"/>
        </w:rPr>
      </w:pPr>
    </w:p>
    <w:p>
      <w:pPr>
        <w:ind w:left="652" w:right="40" w:firstLine="644"/>
        <w:spacing w:after="0" w:line="290" w:lineRule="auto"/>
        <w:tabs>
          <w:tab w:leader="none" w:pos="1936" w:val="left"/>
        </w:tabs>
        <w:numPr>
          <w:ilvl w:val="2"/>
          <w:numId w:val="114"/>
        </w:numPr>
        <w:rPr>
          <w:rFonts w:ascii="Arial" w:cs="Arial" w:eastAsia="Arial" w:hAnsi="Arial"/>
          <w:sz w:val="19"/>
          <w:szCs w:val="19"/>
          <w:color w:val="auto"/>
        </w:rPr>
      </w:pPr>
      <w:r>
        <w:rPr>
          <w:rFonts w:ascii="Arial" w:cs="Arial" w:eastAsia="Arial" w:hAnsi="Arial"/>
          <w:sz w:val="19"/>
          <w:szCs w:val="19"/>
          <w:color w:val="auto"/>
        </w:rPr>
        <w:t>if Investor delivers to the Company a written request (a “</w:t>
      </w:r>
      <w:r>
        <w:rPr>
          <w:rFonts w:ascii="Arial" w:cs="Arial" w:eastAsia="Arial" w:hAnsi="Arial"/>
          <w:sz w:val="19"/>
          <w:szCs w:val="19"/>
          <w:u w:val="single" w:color="auto"/>
          <w:color w:val="auto"/>
        </w:rPr>
        <w:t>Ring-Fencing Election</w:t>
      </w:r>
      <w:r>
        <w:rPr>
          <w:rFonts w:ascii="Arial" w:cs="Arial" w:eastAsia="Arial" w:hAnsi="Arial"/>
          <w:sz w:val="19"/>
          <w:szCs w:val="19"/>
          <w:color w:val="auto"/>
        </w:rPr>
        <w:t xml:space="preserve">”) within ten (10) Business Days following the delivery of an Alternative Transaction Election Notice, take all actions reasonably necessary to effect and carry out the steps (and comply with the covenants and obligations set forth in)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(such steps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the “</w:t>
      </w:r>
      <w:r>
        <w:rPr>
          <w:rFonts w:ascii="Arial" w:cs="Arial" w:eastAsia="Arial" w:hAnsi="Arial"/>
          <w:sz w:val="19"/>
          <w:szCs w:val="19"/>
          <w:u w:val="single" w:color="auto"/>
          <w:color w:val="auto"/>
        </w:rPr>
        <w:t>Pre-Closing Steps</w:t>
      </w:r>
      <w:r>
        <w:rPr>
          <w:rFonts w:ascii="Arial" w:cs="Arial" w:eastAsia="Arial" w:hAnsi="Arial"/>
          <w:sz w:val="19"/>
          <w:szCs w:val="19"/>
          <w:color w:val="auto"/>
        </w:rPr>
        <w:t>”), to separate (A) the business of the Company and its Subsidiaries consisting of the Enterprise Transferred Assets and the Enterprise Assumed Liabilities (the “</w:t>
      </w:r>
      <w:r>
        <w:rPr>
          <w:rFonts w:ascii="Arial" w:cs="Arial" w:eastAsia="Arial" w:hAnsi="Arial"/>
          <w:sz w:val="19"/>
          <w:szCs w:val="19"/>
          <w:u w:val="single" w:color="auto"/>
          <w:color w:val="auto"/>
        </w:rPr>
        <w:t>North America Enterprise Business</w:t>
      </w:r>
      <w:r>
        <w:rPr>
          <w:rFonts w:ascii="Arial" w:cs="Arial" w:eastAsia="Arial" w:hAnsi="Arial"/>
          <w:sz w:val="19"/>
          <w:szCs w:val="19"/>
          <w:color w:val="auto"/>
        </w:rPr>
        <w:t>”) and the business of the Company and its Subsidiaries consisting of the Operating Transferred Assets and the Operating Assumed Liabilities (the “</w:t>
      </w:r>
      <w:r>
        <w:rPr>
          <w:rFonts w:ascii="Arial" w:cs="Arial" w:eastAsia="Arial" w:hAnsi="Arial"/>
          <w:sz w:val="19"/>
          <w:szCs w:val="19"/>
          <w:u w:val="single" w:color="auto"/>
          <w:color w:val="auto"/>
        </w:rPr>
        <w:t>Operating Business</w:t>
      </w:r>
      <w:r>
        <w:rPr>
          <w:rFonts w:ascii="Arial" w:cs="Arial" w:eastAsia="Arial" w:hAnsi="Arial"/>
          <w:sz w:val="19"/>
          <w:szCs w:val="19"/>
          <w:color w:val="auto"/>
        </w:rPr>
        <w:t>”) from (B) the business of the Company and its Subsidiaries consisting of the Excluded Assets and the Retained Liabilities (the “</w:t>
      </w:r>
      <w:r>
        <w:rPr>
          <w:rFonts w:ascii="Arial" w:cs="Arial" w:eastAsia="Arial" w:hAnsi="Arial"/>
          <w:sz w:val="19"/>
          <w:szCs w:val="19"/>
          <w:u w:val="single" w:color="auto"/>
          <w:color w:val="auto"/>
        </w:rPr>
        <w:t>Remaining Business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652" w:right="260" w:firstLine="644"/>
        <w:spacing w:after="0" w:line="286" w:lineRule="auto"/>
        <w:tabs>
          <w:tab w:leader="none" w:pos="1942" w:val="left"/>
        </w:tabs>
        <w:numPr>
          <w:ilvl w:val="2"/>
          <w:numId w:val="114"/>
        </w:numPr>
        <w:rPr>
          <w:rFonts w:ascii="Arial" w:cs="Arial" w:eastAsia="Arial" w:hAnsi="Arial"/>
          <w:sz w:val="19"/>
          <w:szCs w:val="19"/>
          <w:color w:val="auto"/>
        </w:rPr>
      </w:pPr>
      <w:r>
        <w:rPr>
          <w:rFonts w:ascii="Arial" w:cs="Arial" w:eastAsia="Arial" w:hAnsi="Arial"/>
          <w:sz w:val="19"/>
          <w:szCs w:val="19"/>
          <w:color w:val="auto"/>
        </w:rPr>
        <w:t>use reasonable best efforts to identify and negotiate and enter into definitive transaction documents with one or more investors to provide preferred non-convertible equity financing to the Company (the “</w:t>
      </w:r>
      <w:r>
        <w:rPr>
          <w:rFonts w:ascii="Arial" w:cs="Arial" w:eastAsia="Arial" w:hAnsi="Arial"/>
          <w:sz w:val="19"/>
          <w:szCs w:val="19"/>
          <w:u w:val="single" w:color="auto"/>
          <w:color w:val="auto"/>
        </w:rPr>
        <w:t>Third-Party 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on terms no less favorable to the Company than those set forth on </w:t>
      </w:r>
      <w:r>
        <w:rPr>
          <w:rFonts w:ascii="Arial" w:cs="Arial" w:eastAsia="Arial" w:hAnsi="Arial"/>
          <w:sz w:val="19"/>
          <w:szCs w:val="19"/>
          <w:u w:val="single" w:color="auto"/>
          <w:color w:val="auto"/>
        </w:rPr>
        <w:t>Part 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(unless otherwise agreed by the Company and Investor) and otherwise acceptable to the Company and in no less than an amount equal to</w:t>
      </w:r>
    </w:p>
    <w:p>
      <w:pPr>
        <w:spacing w:after="0" w:line="2" w:lineRule="exact"/>
        <w:rPr>
          <w:rFonts w:ascii="Arial" w:cs="Arial" w:eastAsia="Arial" w:hAnsi="Arial"/>
          <w:sz w:val="19"/>
          <w:szCs w:val="19"/>
          <w:color w:val="auto"/>
        </w:rPr>
      </w:pPr>
    </w:p>
    <w:p>
      <w:pPr>
        <w:ind w:left="652" w:right="20"/>
        <w:spacing w:after="0" w:line="292" w:lineRule="auto"/>
        <w:rPr>
          <w:rFonts w:ascii="Arial" w:cs="Arial" w:eastAsia="Arial" w:hAnsi="Arial"/>
          <w:sz w:val="19"/>
          <w:szCs w:val="19"/>
          <w:color w:val="auto"/>
        </w:rPr>
      </w:pPr>
      <w:r>
        <w:rPr>
          <w:rFonts w:ascii="Arial" w:cs="Arial" w:eastAsia="Arial" w:hAnsi="Arial"/>
          <w:sz w:val="19"/>
          <w:szCs w:val="19"/>
          <w:color w:val="auto"/>
        </w:rPr>
        <w:t xml:space="preserve">(A) the sum of the amounts in </w:t>
      </w:r>
      <w:r>
        <w:rPr>
          <w:rFonts w:ascii="Arial" w:cs="Arial" w:eastAsia="Arial" w:hAnsi="Arial"/>
          <w:sz w:val="19"/>
          <w:szCs w:val="19"/>
          <w:u w:val="single" w:color="auto"/>
          <w:color w:val="auto"/>
        </w:rPr>
        <w:t>Section 5.7(c)(i)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5.7(c)(ii)</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$750 million, </w:t>
      </w:r>
      <w:r>
        <w:rPr>
          <w:rFonts w:ascii="Arial" w:cs="Arial" w:eastAsia="Arial" w:hAnsi="Arial"/>
          <w:sz w:val="19"/>
          <w:szCs w:val="19"/>
          <w:i w:val="1"/>
          <w:iCs w:val="1"/>
          <w:color w:val="auto"/>
        </w:rPr>
        <w:t>minus</w:t>
      </w:r>
      <w:r>
        <w:rPr>
          <w:rFonts w:ascii="Arial" w:cs="Arial" w:eastAsia="Arial" w:hAnsi="Arial"/>
          <w:sz w:val="19"/>
          <w:szCs w:val="19"/>
          <w:color w:val="auto"/>
        </w:rPr>
        <w:t xml:space="preserve"> (C) an amount equal to the greater of (1) (x) cash available on the Company’s balance sheet, </w:t>
      </w:r>
      <w:r>
        <w:rPr>
          <w:rFonts w:ascii="Arial" w:cs="Arial" w:eastAsia="Arial" w:hAnsi="Arial"/>
          <w:sz w:val="19"/>
          <w:szCs w:val="19"/>
          <w:i w:val="1"/>
          <w:iCs w:val="1"/>
          <w:color w:val="auto"/>
        </w:rPr>
        <w:t>minus</w:t>
      </w:r>
      <w:r>
        <w:rPr>
          <w:rFonts w:ascii="Arial" w:cs="Arial" w:eastAsia="Arial" w:hAnsi="Arial"/>
          <w:sz w:val="19"/>
          <w:szCs w:val="19"/>
          <w:color w:val="auto"/>
        </w:rPr>
        <w:t xml:space="preserve"> (y) $50 million and (2) $0 (such amount, the “</w:t>
      </w:r>
      <w:r>
        <w:rPr>
          <w:rFonts w:ascii="Arial" w:cs="Arial" w:eastAsia="Arial" w:hAnsi="Arial"/>
          <w:sz w:val="19"/>
          <w:szCs w:val="19"/>
          <w:u w:val="single" w:color="auto"/>
          <w:color w:val="auto"/>
        </w:rPr>
        <w:t>Necessary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Investor’s consent the Third-Party Equity Investment shall not be provided by any Person listed on </w:t>
      </w:r>
      <w:r>
        <w:rPr>
          <w:rFonts w:ascii="Arial" w:cs="Arial" w:eastAsia="Arial" w:hAnsi="Arial"/>
          <w:sz w:val="19"/>
          <w:szCs w:val="19"/>
          <w:u w:val="single" w:color="auto"/>
          <w:color w:val="auto"/>
        </w:rPr>
        <w:t>Part 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or any activist investor listed, at the time of entry into such definitive transaction documents, on the SharkWatch 50 (or any successor list thereto);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3" w:lineRule="exact"/>
        <w:rPr>
          <w:rFonts w:ascii="Arial" w:cs="Arial" w:eastAsia="Arial" w:hAnsi="Arial"/>
          <w:sz w:val="19"/>
          <w:szCs w:val="19"/>
          <w:color w:val="auto"/>
        </w:rPr>
      </w:pPr>
    </w:p>
    <w:p>
      <w:pPr>
        <w:ind w:left="-8" w:right="260" w:firstLine="8"/>
        <w:spacing w:after="0" w:line="277" w:lineRule="auto"/>
        <w:tabs>
          <w:tab w:leader="none" w:pos="2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92"/>
          </w:cols>
          <w:pgMar w:left="328" w:top="1440" w:right="379" w:bottom="1440" w:gutter="0" w:footer="0" w:header="0"/>
        </w:sectPr>
      </w:pPr>
    </w:p>
    <w:bookmarkStart w:id="124" w:name="page125"/>
    <w:bookmarkEnd w:id="124"/>
    <w:p>
      <w:pPr>
        <w:ind w:left="652" w:right="180" w:firstLine="644"/>
        <w:spacing w:after="0" w:line="343" w:lineRule="auto"/>
        <w:tabs>
          <w:tab w:leader="none" w:pos="194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use reasonable best efforts to negotiate and enter into definitive transaction documents with respect to the Alternative Transaction Refinancing, on terms consistent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acceptable to the Company.</w:t>
      </w:r>
    </w:p>
    <w:p>
      <w:pPr>
        <w:spacing w:after="0" w:line="104" w:lineRule="exact"/>
        <w:rPr>
          <w:rFonts w:ascii="Arial" w:cs="Arial" w:eastAsia="Arial" w:hAnsi="Arial"/>
          <w:sz w:val="19"/>
          <w:szCs w:val="19"/>
          <w:color w:val="auto"/>
        </w:rPr>
      </w:pPr>
    </w:p>
    <w:p>
      <w:pPr>
        <w:ind w:left="-8" w:right="160" w:firstLine="656"/>
        <w:spacing w:after="0" w:line="263" w:lineRule="auto"/>
        <w:tabs>
          <w:tab w:leader="none" w:pos="128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proceeds from the Third-Party Equity Investment and the Investment Amount shall be applied at the Closing of the Alternative Transaction in the following order:</w:t>
      </w:r>
    </w:p>
    <w:p>
      <w:pPr>
        <w:spacing w:after="0" w:line="174" w:lineRule="exact"/>
        <w:rPr>
          <w:rFonts w:ascii="Arial" w:cs="Arial" w:eastAsia="Arial" w:hAnsi="Arial"/>
          <w:sz w:val="22"/>
          <w:szCs w:val="22"/>
          <w:color w:val="auto"/>
        </w:rPr>
      </w:pPr>
    </w:p>
    <w:p>
      <w:pPr>
        <w:ind w:left="652" w:right="720" w:firstLine="644"/>
        <w:spacing w:after="0" w:line="253" w:lineRule="auto"/>
        <w:tabs>
          <w:tab w:leader="none" w:pos="193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first, to pay, or reimburse, the Company, Carlyle and Investor for their respective reasonable and documented expenses incurred in connection with the transactions contemplated by this Agreement (including the Alternative Transaction);</w:t>
      </w:r>
    </w:p>
    <w:p>
      <w:pPr>
        <w:spacing w:after="0" w:line="185" w:lineRule="exact"/>
        <w:rPr>
          <w:sz w:val="20"/>
          <w:szCs w:val="20"/>
          <w:color w:val="auto"/>
        </w:rPr>
      </w:pPr>
    </w:p>
    <w:p>
      <w:pPr>
        <w:ind w:left="652" w:right="780" w:firstLine="644"/>
        <w:spacing w:after="0" w:line="287" w:lineRule="auto"/>
        <w:tabs>
          <w:tab w:leader="none" w:pos="194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second, to repay an amount equal to (A) the Company’s outstanding indebtedness under the Credit Facilities,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the net proceeds from the Alternative Transaction Refinancing; and</w:t>
      </w:r>
    </w:p>
    <w:p>
      <w:pPr>
        <w:spacing w:after="0" w:line="178" w:lineRule="exact"/>
        <w:rPr>
          <w:rFonts w:ascii="Arial" w:cs="Arial" w:eastAsia="Arial" w:hAnsi="Arial"/>
          <w:sz w:val="21"/>
          <w:szCs w:val="21"/>
          <w:color w:val="auto"/>
        </w:rPr>
      </w:pPr>
    </w:p>
    <w:p>
      <w:pPr>
        <w:ind w:left="1952" w:hanging="656"/>
        <w:spacing w:after="0"/>
        <w:tabs>
          <w:tab w:leader="none" w:pos="195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third, to the Company’s balance sheet for general corporate purposes;</w:t>
      </w:r>
    </w:p>
    <w:p>
      <w:pPr>
        <w:spacing w:after="0" w:line="220" w:lineRule="exact"/>
        <w:rPr>
          <w:sz w:val="20"/>
          <w:szCs w:val="20"/>
          <w:color w:val="auto"/>
        </w:rPr>
      </w:pPr>
    </w:p>
    <w:p>
      <w:pPr>
        <w:ind w:left="652" w:right="20" w:firstLine="648"/>
        <w:spacing w:after="0" w:line="26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the Company elects, in its discretion, to accept proceeds from the Third-Party Equity Investment in excess of the Necessary Amount, at Investor’s election, (x) up to 100% (as determined by Investor) of any proceeds from the Third-Party Equity Investment in excess of the Necessary Amount shall reduce the Investment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such reduction pursuant to this </w:t>
      </w:r>
      <w:r>
        <w:rPr>
          <w:rFonts w:ascii="Arial" w:cs="Arial" w:eastAsia="Arial" w:hAnsi="Arial"/>
          <w:sz w:val="21"/>
          <w:szCs w:val="21"/>
          <w:u w:val="single" w:color="auto"/>
          <w:color w:val="auto"/>
        </w:rPr>
        <w:t>clause (x)</w:t>
      </w:r>
      <w:r>
        <w:rPr>
          <w:rFonts w:ascii="Arial" w:cs="Arial" w:eastAsia="Arial" w:hAnsi="Arial"/>
          <w:sz w:val="21"/>
          <w:szCs w:val="21"/>
          <w:color w:val="auto"/>
        </w:rPr>
        <w:t xml:space="preserve"> shall not exceed $250 million) (the amount of such reduction pursuant to this </w:t>
      </w:r>
      <w:r>
        <w:rPr>
          <w:rFonts w:ascii="Arial" w:cs="Arial" w:eastAsia="Arial" w:hAnsi="Arial"/>
          <w:sz w:val="21"/>
          <w:szCs w:val="21"/>
          <w:u w:val="single" w:color="auto"/>
          <w:color w:val="auto"/>
        </w:rPr>
        <w:t>clause (x)</w:t>
      </w:r>
      <w:r>
        <w:rPr>
          <w:rFonts w:ascii="Arial" w:cs="Arial" w:eastAsia="Arial" w:hAnsi="Arial"/>
          <w:sz w:val="21"/>
          <w:szCs w:val="21"/>
          <w:color w:val="auto"/>
        </w:rPr>
        <w:t>, the “</w:t>
      </w:r>
      <w:r>
        <w:rPr>
          <w:rFonts w:ascii="Arial" w:cs="Arial" w:eastAsia="Arial" w:hAnsi="Arial"/>
          <w:sz w:val="21"/>
          <w:szCs w:val="21"/>
          <w:u w:val="single" w:color="auto"/>
          <w:color w:val="auto"/>
        </w:rPr>
        <w:t>Alternative Reduction Amount</w:t>
      </w:r>
      <w:r>
        <w:rPr>
          <w:rFonts w:ascii="Arial" w:cs="Arial" w:eastAsia="Arial" w:hAnsi="Arial"/>
          <w:sz w:val="21"/>
          <w:szCs w:val="21"/>
          <w:color w:val="auto"/>
        </w:rPr>
        <w:t xml:space="preserve">”) and (y) the remaining portion of such proceeds from the Third-Party Equity Investment (after giving effect to </w:t>
      </w:r>
      <w:r>
        <w:rPr>
          <w:rFonts w:ascii="Arial" w:cs="Arial" w:eastAsia="Arial" w:hAnsi="Arial"/>
          <w:sz w:val="21"/>
          <w:szCs w:val="21"/>
          <w:u w:val="single" w:color="auto"/>
          <w:color w:val="auto"/>
        </w:rPr>
        <w:t>clause (x)</w:t>
      </w:r>
      <w:r>
        <w:rPr>
          <w:rFonts w:ascii="Arial" w:cs="Arial" w:eastAsia="Arial" w:hAnsi="Arial"/>
          <w:sz w:val="21"/>
          <w:szCs w:val="21"/>
          <w:color w:val="auto"/>
        </w:rPr>
        <w:t>) shall be used to further repay or redeem the Company’s outstanding indebtedness.</w:t>
      </w:r>
    </w:p>
    <w:p>
      <w:pPr>
        <w:spacing w:after="0" w:line="180" w:lineRule="exact"/>
        <w:rPr>
          <w:sz w:val="20"/>
          <w:szCs w:val="20"/>
          <w:color w:val="auto"/>
        </w:rPr>
      </w:pPr>
    </w:p>
    <w:p>
      <w:pPr>
        <w:ind w:left="-8" w:right="200" w:firstLine="656"/>
        <w:spacing w:after="0" w:line="287" w:lineRule="auto"/>
        <w:tabs>
          <w:tab w:leader="none" w:pos="1283"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Investor acknowledges and agrees that none of the representations and warranties in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shall be deemed to have been breached solely as a result of any of the actions contemplated by the Pre-Closing Steps.</w:t>
      </w:r>
    </w:p>
    <w:p>
      <w:pPr>
        <w:spacing w:after="0" w:line="151" w:lineRule="exact"/>
        <w:rPr>
          <w:sz w:val="20"/>
          <w:szCs w:val="20"/>
          <w:color w:val="auto"/>
        </w:rPr>
      </w:pPr>
    </w:p>
    <w:p>
      <w:pPr>
        <w:ind w:left="652"/>
        <w:spacing w:after="0"/>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Third-Party Consents; Commingled Contracts; Wrong-Pockets</w:t>
      </w:r>
      <w:r>
        <w:rPr>
          <w:rFonts w:ascii="Arial" w:cs="Arial" w:eastAsia="Arial" w:hAnsi="Arial"/>
          <w:sz w:val="22"/>
          <w:szCs w:val="22"/>
          <w:color w:val="auto"/>
        </w:rPr>
        <w:t>.</w:t>
      </w:r>
    </w:p>
    <w:p>
      <w:pPr>
        <w:spacing w:after="0" w:line="220" w:lineRule="exact"/>
        <w:rPr>
          <w:sz w:val="20"/>
          <w:szCs w:val="20"/>
          <w:color w:val="auto"/>
        </w:rPr>
      </w:pPr>
    </w:p>
    <w:p>
      <w:pPr>
        <w:ind w:left="-8" w:firstLine="656"/>
        <w:spacing w:after="0" w:line="288" w:lineRule="auto"/>
        <w:tabs>
          <w:tab w:leader="none" w:pos="1285"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Third Party Consents</w:t>
      </w:r>
      <w:r>
        <w:rPr>
          <w:rFonts w:ascii="Arial" w:cs="Arial" w:eastAsia="Arial" w:hAnsi="Arial"/>
          <w:sz w:val="19"/>
          <w:szCs w:val="19"/>
          <w:color w:val="auto"/>
        </w:rPr>
        <w:t xml:space="preserve">. Notwithstanding anything to the contrary in this Agreement (including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if any third-party consent, approval or other action (other than any consent, approval or action from any Governmental Authority) necessary for the consummation of the transactions contemplated hereby (including, if applicable, the consummation of the Pre-Closing Steps) is not obtained or does not occur, as the case may be, prior to the Closing or the transfer of any Transferred Assets or Excluded Assets pursuant to the Pre-Closing Steps cannot be completed due to the fact that such transfer would violate applicable Law (including with respect to any Commingled Contract), the Closing shall (subject to the satisfaction or waiver of the conditions set forth in </w:t>
      </w:r>
      <w:r>
        <w:rPr>
          <w:rFonts w:ascii="Arial" w:cs="Arial" w:eastAsia="Arial" w:hAnsi="Arial"/>
          <w:sz w:val="19"/>
          <w:szCs w:val="19"/>
          <w:u w:val="single" w:color="auto"/>
          <w:color w:val="auto"/>
        </w:rPr>
        <w:t>Article 7</w:t>
      </w:r>
      <w:r>
        <w:rPr>
          <w:rFonts w:ascii="Arial" w:cs="Arial" w:eastAsia="Arial" w:hAnsi="Arial"/>
          <w:sz w:val="19"/>
          <w:szCs w:val="19"/>
          <w:color w:val="auto"/>
        </w:rPr>
        <w:t>) nonetheless take place on the terms set forth herein and, thereafter until such consent, approval or other action is obtained or occurs, as the case may be, or such transfer would no longer violate applicable Law, (i) the Company shall, and shall cause each of its Subsidiaries to use its reasonable best efforts to obtain or effect, as the case may be, such consent, approval or other action or effectuate such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8" w:right="300" w:firstLine="8"/>
        <w:spacing w:after="0" w:line="277" w:lineRule="auto"/>
        <w:tabs>
          <w:tab w:leader="none" w:pos="2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32"/>
          </w:cols>
          <w:pgMar w:left="328" w:top="1428" w:right="339" w:bottom="1440" w:gutter="0" w:footer="0" w:header="0"/>
        </w:sectPr>
      </w:pPr>
    </w:p>
    <w:bookmarkStart w:id="125" w:name="page126"/>
    <w:bookmarkEnd w:id="125"/>
    <w:p>
      <w:pPr>
        <w:spacing w:after="0" w:line="20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transfer in compliance with applicable Law, as promptly as practicable and (ii) the Company shall, and shall cause its Subsidiaries to, enter into alternative arrangements (which may include a subcontract, sublicense, back-to-back agreement or arrangement, nominee and holdback agreement or arrangement or similar arrangement) under which (A) the North America Enterprise Business, the Operating Business or the Remaining Business, as applicable, shall obtain the economic claims, rights and benefits under any Transferred Asset or Excluded Asset, as applicable, with respect to which such consent has not been obtained and (B) the North America Enterprise Business, the Operating Business or the Remaining Business, as applicable, shall assume any related economic burden with respect such Transferred Asset or Excluded Assets, including any Taxes. Notwithstanding any other provisions of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any efforts referred to in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shall not require the payment of any consideration (monetary or otherwise) or the concession or provision of any material right or the incurrence of any material Tax cost, other than the payment of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costs and expenses, in connection with obtaining or seeking to obtain any consent, approval or other action required to transfer any Transferred Asset or Excluded Asset.</w:t>
      </w:r>
    </w:p>
    <w:p>
      <w:pPr>
        <w:spacing w:after="0" w:line="163" w:lineRule="exact"/>
        <w:rPr>
          <w:sz w:val="20"/>
          <w:szCs w:val="20"/>
          <w:color w:val="auto"/>
        </w:rPr>
      </w:pPr>
    </w:p>
    <w:p>
      <w:pPr>
        <w:ind w:firstLine="656"/>
        <w:spacing w:after="0" w:line="285" w:lineRule="auto"/>
        <w:tabs>
          <w:tab w:leader="none" w:pos="1291"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Commingled Contracts</w:t>
      </w:r>
      <w:r>
        <w:rPr>
          <w:rFonts w:ascii="Arial" w:cs="Arial" w:eastAsia="Arial" w:hAnsi="Arial"/>
          <w:sz w:val="19"/>
          <w:szCs w:val="19"/>
          <w:color w:val="auto"/>
        </w:rPr>
        <w:t>. The Company and Investor acknowledge that the Company and its Affiliates are parties to contracts a portion of the rights and obligations of which relate to the North America Enterprise Business and/or the Operating Business and a portion of the rights and obligations of which relate to the Remaining Business (each such contract, a “</w:t>
      </w:r>
      <w:r>
        <w:rPr>
          <w:rFonts w:ascii="Arial" w:cs="Arial" w:eastAsia="Arial" w:hAnsi="Arial"/>
          <w:sz w:val="19"/>
          <w:szCs w:val="19"/>
          <w:u w:val="single" w:color="auto"/>
          <w:color w:val="auto"/>
        </w:rPr>
        <w:t>Commingled Contract</w:t>
      </w:r>
      <w:r>
        <w:rPr>
          <w:rFonts w:ascii="Arial" w:cs="Arial" w:eastAsia="Arial" w:hAnsi="Arial"/>
          <w:sz w:val="19"/>
          <w:szCs w:val="19"/>
          <w:color w:val="auto"/>
        </w:rPr>
        <w:t xml:space="preserve">”). The Company shall, and shall cause its Subsidiaries to, (i) notify the third party that is the counterparty to each Commingled Contract, (ii) use their respective reasonable best efforts to cause the applicable Commingled Contract to be apportioned (including by obtaining the consent of such counterparty to enter into a new contract or amendment, splitting or assigning in relevant part such Commingled Contract) between (A) the North America Enterprise Business or, with respect to the Operating Transferred Business Contracts, the Operating Business, and (B) the Remaining Business, pursuant to which (1) the North America Enterprise Business will assume all of the rights and obligations under such Commingled Contract that relate to the North America Enterprise Business, (2) the Operating Business will assume all of the rights and obligations under the Operating Transferred Business Contracts that relate to the Operating Business, and (3) the Remaining Business will assume all of the rights and obligations under such Commingled Contract that relate to the Remaining Business, and (iii) use their respective reasonable best efforts to cause the applicable counterparty to release (A) the North America Enterprise Business and/or the Operating Business from the obligations of the Remaining Business under the portion of the Commingled Contract apportioned to the Remaining Business and (B) the Remaining Business from the obligations of the North America Enterprise Business and/or the Operating Business under the portion of the Commingled Contract apportioned to the North America Enterprise Business and/or the Operating Business. For the avoidance of doubt,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only apply if an Alternative Transaction Election has been made and Investor has made a Ring-Fencing Election in accordance with </w:t>
      </w:r>
      <w:r>
        <w:rPr>
          <w:rFonts w:ascii="Arial" w:cs="Arial" w:eastAsia="Arial" w:hAnsi="Arial"/>
          <w:sz w:val="19"/>
          <w:szCs w:val="19"/>
          <w:u w:val="single" w:color="auto"/>
          <w:color w:val="auto"/>
        </w:rPr>
        <w:t>Section 5.7(b)(i)</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ind w:left="1300" w:hanging="644"/>
        <w:spacing w:after="0"/>
        <w:tabs>
          <w:tab w:leader="none" w:pos="1300"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Wrong-Pockets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right="280" w:firstLine="8"/>
        <w:spacing w:after="0" w:line="277"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204" w:lineRule="exact"/>
        <w:rPr>
          <w:sz w:val="20"/>
          <w:szCs w:val="20"/>
          <w:color w:val="auto"/>
        </w:rPr>
      </w:pPr>
    </w:p>
    <w:p>
      <w:pPr>
        <w:ind w:left="660" w:right="60" w:firstLine="644"/>
        <w:spacing w:after="0" w:line="289" w:lineRule="auto"/>
        <w:tabs>
          <w:tab w:leader="none" w:pos="1944"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If, following Closing, (i) the Company or any of its Subsidiaries (excluding the Transferred Entities) receives a payment with respect to any Transferred Asset or (ii) the Company or its Subsidiaries (including the Transferred Entities) or Investor becomes aware that any Transferred Asset remains with, or has been transferred to, the Company or any of its Subsidiaries (excluding the Transferred Entities), the Company shall (A) reimburse, or cause the relevant Subsidiary of the Company (excluding the Transferred Entities) to reimburse the relevant Transferred Entity (or such other Transferred Entity nominated by the Company) the amount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or (B) promptly execute and/or cause the relevant Subsidiary of the Company (including the Transferred Entities) to execute, such documents as may be reasonably necessary to procure the transfer of any such Transferred Asset from the Company or its Subsidiary (excluding the Transferred Entities) to a Transferred Entity nominated by the Company.</w:t>
      </w:r>
    </w:p>
    <w:p>
      <w:pPr>
        <w:spacing w:after="0" w:line="156" w:lineRule="exact"/>
        <w:rPr>
          <w:rFonts w:ascii="Arial" w:cs="Arial" w:eastAsia="Arial" w:hAnsi="Arial"/>
          <w:sz w:val="19"/>
          <w:szCs w:val="19"/>
          <w:color w:val="auto"/>
        </w:rPr>
      </w:pPr>
    </w:p>
    <w:p>
      <w:pPr>
        <w:ind w:left="1940" w:hanging="636"/>
        <w:spacing w:after="0"/>
        <w:tabs>
          <w:tab w:leader="none" w:pos="194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If, following Closing, (i) any Transferred Entity receives a payment with respect to an Excluded Asset or</w:t>
      </w:r>
    </w:p>
    <w:p>
      <w:pPr>
        <w:spacing w:after="0" w:line="55" w:lineRule="exact"/>
        <w:rPr>
          <w:rFonts w:ascii="Arial" w:cs="Arial" w:eastAsia="Arial" w:hAnsi="Arial"/>
          <w:sz w:val="19"/>
          <w:szCs w:val="19"/>
          <w:color w:val="auto"/>
        </w:rPr>
      </w:pPr>
    </w:p>
    <w:p>
      <w:pPr>
        <w:ind w:left="660" w:hanging="4"/>
        <w:spacing w:after="0" w:line="257" w:lineRule="auto"/>
        <w:tabs>
          <w:tab w:leader="none" w:pos="97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the Company or its Subsidiaries (including the Transferred Entities) becomes aware that any Excluded Asset has been transferred to, or remains with, the Transferred Entities, the Company shall (A) cause the relevant Transferred Entity to reimburse the Company or the relevant Subsidiary of the Company (excluding the Transferred Entities) the amount referred to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 or (B) promptly execute and/or cause the relevant Subsidiary of the Company (including the Transferred Entities) to execute such documents as may be reasonably necessary to procure the transfer of any such Excluded Asset from the Transferred Entity to the Company or a Subsidiary of the Company nominated by the Company (other than the Transferred Entities).</w:t>
      </w:r>
    </w:p>
    <w:p>
      <w:pPr>
        <w:spacing w:after="0" w:line="210" w:lineRule="exact"/>
        <w:rPr>
          <w:rFonts w:ascii="Arial" w:cs="Arial" w:eastAsia="Arial" w:hAnsi="Arial"/>
          <w:sz w:val="21"/>
          <w:szCs w:val="21"/>
          <w:color w:val="auto"/>
        </w:rPr>
      </w:pPr>
    </w:p>
    <w:p>
      <w:pPr>
        <w:ind w:left="660" w:right="100" w:firstLine="644"/>
        <w:spacing w:after="0" w:line="287" w:lineRule="auto"/>
        <w:tabs>
          <w:tab w:leader="none" w:pos="1956" w:val="left"/>
        </w:tabs>
        <w:numPr>
          <w:ilvl w:val="1"/>
          <w:numId w:val="122"/>
        </w:numPr>
        <w:rPr>
          <w:rFonts w:ascii="Arial" w:cs="Arial" w:eastAsia="Arial" w:hAnsi="Arial"/>
          <w:sz w:val="21"/>
          <w:szCs w:val="21"/>
          <w:color w:val="auto"/>
        </w:rPr>
      </w:pPr>
      <w:r>
        <w:rPr>
          <w:rFonts w:ascii="Arial" w:cs="Arial" w:eastAsia="Arial" w:hAnsi="Arial"/>
          <w:sz w:val="21"/>
          <w:szCs w:val="21"/>
          <w:color w:val="auto"/>
        </w:rPr>
        <w:t xml:space="preserve">For the avoidance of doubt, this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shall only apply if an Alternative Transaction Election has been made and Investor has made a Ring-Fencing Election in accordance with </w:t>
      </w:r>
      <w:r>
        <w:rPr>
          <w:rFonts w:ascii="Arial" w:cs="Arial" w:eastAsia="Arial" w:hAnsi="Arial"/>
          <w:sz w:val="21"/>
          <w:szCs w:val="21"/>
          <w:u w:val="single" w:color="auto"/>
          <w:color w:val="auto"/>
        </w:rPr>
        <w:t>Section 5.7(b)(i)</w:t>
      </w:r>
      <w:r>
        <w:rPr>
          <w:rFonts w:ascii="Arial" w:cs="Arial" w:eastAsia="Arial" w:hAnsi="Arial"/>
          <w:sz w:val="21"/>
          <w:szCs w:val="21"/>
          <w:color w:val="auto"/>
        </w:rPr>
        <w:t>.</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 xml:space="preserve">Section 5.9 </w:t>
      </w:r>
      <w:r>
        <w:rPr>
          <w:rFonts w:ascii="Arial" w:cs="Arial" w:eastAsia="Arial" w:hAnsi="Arial"/>
          <w:sz w:val="21"/>
          <w:szCs w:val="21"/>
          <w:u w:val="single" w:color="auto"/>
          <w:color w:val="auto"/>
        </w:rPr>
        <w:t>Ancillary Agreements</w:t>
      </w:r>
      <w:r>
        <w:rPr>
          <w:rFonts w:ascii="Arial" w:cs="Arial" w:eastAsia="Arial" w:hAnsi="Arial"/>
          <w:sz w:val="21"/>
          <w:szCs w:val="21"/>
          <w:color w:val="auto"/>
        </w:rPr>
        <w:t xml:space="preserve">. The Company, Carlyle and Investor shall, or the Company and Investor shall cause their respective Affiliates to, as applicable, at or prior to the Closing enter into the Ancillary Agreements, it being understood and agreed that in the event that a Ring-Fencing Election in accordance with </w:t>
      </w:r>
      <w:r>
        <w:rPr>
          <w:rFonts w:ascii="Arial" w:cs="Arial" w:eastAsia="Arial" w:hAnsi="Arial"/>
          <w:sz w:val="21"/>
          <w:szCs w:val="21"/>
          <w:u w:val="single" w:color="auto"/>
          <w:color w:val="auto"/>
        </w:rPr>
        <w:t>Section 5.7(b)(i)</w:t>
      </w:r>
      <w:r>
        <w:rPr>
          <w:rFonts w:ascii="Arial" w:cs="Arial" w:eastAsia="Arial" w:hAnsi="Arial"/>
          <w:sz w:val="21"/>
          <w:szCs w:val="21"/>
          <w:color w:val="auto"/>
        </w:rPr>
        <w:t xml:space="preserve"> has been made, the entity that shall enter into the Wholesale Agreement on behalf of the Company and its Affiliates shall be an entity that is not a member of the Remaining Business that is selected by the Company in good faith and with the prior consent of Investor (such consent not to be unreasonably withheld, delayed or conditioned). (a) If an Alternative Transaction Election has been made, then at or prior to the Closing the parties shall cause the amendments to the Company’s certificate of incorporation contemplated by the Organizational Document Amendments to be filed with the State of Delaware (and shall cause the by-laws of the Company to be amended as contemplated by the Organization Document Amendments), and (b) if an Alternative Transaction Election has not been made, then the parties shall use reasonable best efforts to cause the SPAC Definitive Agreements to provide for, in connection with the Closing, the filing of an amendment to the SPAC’s certificate of incorporation with the State of Delaware containing, among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firstLine="8"/>
        <w:spacing w:after="0" w:line="277"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4" w:lineRule="exact"/>
        <w:rPr>
          <w:sz w:val="20"/>
          <w:szCs w:val="20"/>
          <w:color w:val="auto"/>
        </w:rPr>
      </w:pPr>
    </w:p>
    <w:p>
      <w:pPr>
        <w:ind w:right="660"/>
        <w:spacing w:after="0" w:line="343" w:lineRule="auto"/>
        <w:rPr>
          <w:sz w:val="20"/>
          <w:szCs w:val="20"/>
          <w:color w:val="auto"/>
        </w:rPr>
      </w:pPr>
      <w:r>
        <w:rPr>
          <w:rFonts w:ascii="Arial" w:cs="Arial" w:eastAsia="Arial" w:hAnsi="Arial"/>
          <w:sz w:val="19"/>
          <w:szCs w:val="19"/>
          <w:color w:val="auto"/>
        </w:rPr>
        <w:t>the amendments contemplated by the Organizational Document Amendments (and for, in connection with the Closing, the amendment of the by-laws of the SPAC as contemplated by the Organization Document Amendments).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Debt Financing</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5" w:lineRule="auto"/>
        <w:tabs>
          <w:tab w:leader="none" w:pos="129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In connection with the SPAC Transaction, the Company shall use reasonable best efforts to obtain, concurrently with the entry into the other SPAC Definitive Agreements, debt financing commitments (such commitments, the “</w:t>
      </w:r>
      <w:r>
        <w:rPr>
          <w:rFonts w:ascii="Arial" w:cs="Arial" w:eastAsia="Arial" w:hAnsi="Arial"/>
          <w:sz w:val="19"/>
          <w:szCs w:val="19"/>
          <w:u w:val="single" w:color="auto"/>
          <w:color w:val="auto"/>
        </w:rPr>
        <w:t>SPAC</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 Debt Financing Commitments</w:t>
      </w:r>
      <w:r>
        <w:rPr>
          <w:rFonts w:ascii="Arial" w:cs="Arial" w:eastAsia="Arial" w:hAnsi="Arial"/>
          <w:sz w:val="19"/>
          <w:szCs w:val="19"/>
          <w:color w:val="auto"/>
        </w:rPr>
        <w:t>”), the proceeds of which will be used to (x) refinance a portion of the outstanding indebtedness of the Company and its Subsidiaries under the Credit Facilities in an amount necessary to achieve the applicable ratio as described below, (y) pay fees, closing payments and expenses related to the SPAC Transaction and the financing contemplated by the SPAC Transaction Debt Financing Commitments and (z) fund the working capital requirements and other general corporate purposes (including acquisitions and investments) of the Company and its Subsidiaries (the “</w:t>
      </w:r>
      <w:r>
        <w:rPr>
          <w:rFonts w:ascii="Arial" w:cs="Arial" w:eastAsia="Arial" w:hAnsi="Arial"/>
          <w:sz w:val="19"/>
          <w:szCs w:val="19"/>
          <w:u w:val="single" w:color="auto"/>
          <w:color w:val="auto"/>
        </w:rPr>
        <w:t>SPAC Transaction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Refinancing</w:t>
      </w:r>
      <w:r>
        <w:rPr>
          <w:rFonts w:ascii="Arial" w:cs="Arial" w:eastAsia="Arial" w:hAnsi="Arial"/>
          <w:sz w:val="19"/>
          <w:szCs w:val="19"/>
          <w:color w:val="auto"/>
        </w:rPr>
        <w:t xml:space="preserve">”). The terms of the SPAC Transaction Refinancing shall (i) be consistent with then-existing market terms for debt commitments for companies in a similar business to the Company and its Subsidiaries and with substantially similar credit ratings to the Company and its Subsidiaries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the SPAC Transaction (including the SPAC Transaction Refinancing), (ii) provide for debt financing in an aggregate amount such that the Consolidated Total Debt Ratio of the borrower and its restricted subsidiaries under the SPAC Transaction Refinancing on a Pro Forma Basis (as defined in the First Lien Credit Agreement) after giving effect to the SPAC Transaction (including the SPAC Transaction Refinancing and the PIPE Financing) is equal to or less than [*] times and (iii) be acceptable to the Company, Carlyle and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Investor shall not unreasonably withhold, delay or condition its consent to the terms of the SPAC Transaction Refinancing. In connection with the SPAC Transaction, the Company shall use its reasonable best efforts to consummate on or prior to the Closing Date the SPAC Transaction Refinancing on terms no less favorable to the Company than those set forth in the SPAC Transaction Debt Financing Commitments, except as agreed by the Company, Carlyle and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Investor shall not unreasonably withhold, delay or condition its consent.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60" w:firstLine="656"/>
        <w:spacing w:after="0" w:line="288" w:lineRule="auto"/>
        <w:tabs>
          <w:tab w:leader="none" w:pos="1291"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In connection with the Alternative Transaction, the Company shall use reasonable best efforts to consummate, on or prior to the Closing Date, a refinancing of the Credit Facilities, the proceeds of which will be used to (x) refinance a portion of the outstanding indebtedness of the Company and its Subsidiaries under the Credit Facilities in an amount necessary to achieve the applicable ratio as described below, (y) pay fees, closing payments and expenses related to the Alternative Transaction and such refinancing and (z) fund the working capital requirements and other general corporate purposes (including acquisitions and investments) of the Company and its Subsidiaries (the “</w:t>
      </w:r>
      <w:r>
        <w:rPr>
          <w:rFonts w:ascii="Arial" w:cs="Arial" w:eastAsia="Arial" w:hAnsi="Arial"/>
          <w:sz w:val="19"/>
          <w:szCs w:val="19"/>
          <w:u w:val="single" w:color="auto"/>
          <w:color w:val="auto"/>
        </w:rPr>
        <w:t>Alternative Transaction Refinancing</w:t>
      </w:r>
      <w:r>
        <w:rPr>
          <w:rFonts w:ascii="Arial" w:cs="Arial" w:eastAsia="Arial" w:hAnsi="Arial"/>
          <w:sz w:val="19"/>
          <w:szCs w:val="19"/>
          <w:color w:val="auto"/>
        </w:rPr>
        <w:t xml:space="preserve">”). The terms of the Alternative Transaction Refinancing shall (i) be consistent with then-existing market terms for similar transactions for companies in a similar business and with substantially similar credit ratings to (A) in the event that a Ring-Fencing Election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5.7(b)(i)</w:t>
      </w:r>
      <w:r>
        <w:rPr>
          <w:rFonts w:ascii="Arial" w:cs="Arial" w:eastAsia="Arial" w:hAnsi="Arial"/>
          <w:sz w:val="19"/>
          <w:szCs w:val="19"/>
          <w:color w:val="auto"/>
        </w:rPr>
        <w:t xml:space="preserve"> has been made, the Remaining Business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the Pre-Closing Steps (except as otherwise provided in </w:t>
      </w:r>
      <w:r>
        <w:rPr>
          <w:rFonts w:ascii="Arial" w:cs="Arial" w:eastAsia="Arial" w:hAnsi="Arial"/>
          <w:sz w:val="19"/>
          <w:szCs w:val="19"/>
          <w:u w:val="single" w:color="auto"/>
          <w:color w:val="auto"/>
        </w:rPr>
        <w:t>clause (ii)(B)</w:t>
      </w:r>
      <w:r>
        <w:rPr>
          <w:rFonts w:ascii="Arial" w:cs="Arial" w:eastAsia="Arial" w:hAnsi="Arial"/>
          <w:sz w:val="19"/>
          <w:szCs w:val="19"/>
          <w:color w:val="auto"/>
        </w:rPr>
        <w:t xml:space="preserve"> below) or (B) in the event that a Ring-Fencing Election 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300" w:firstLine="8"/>
        <w:spacing w:after="0" w:line="277"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85" w:lineRule="auto"/>
        <w:rPr>
          <w:sz w:val="20"/>
          <w:szCs w:val="20"/>
          <w:color w:val="auto"/>
        </w:rPr>
      </w:pP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5.7(b)(i)</w:t>
      </w:r>
      <w:r>
        <w:rPr>
          <w:rFonts w:ascii="Arial" w:cs="Arial" w:eastAsia="Arial" w:hAnsi="Arial"/>
          <w:sz w:val="19"/>
          <w:szCs w:val="19"/>
          <w:color w:val="auto"/>
        </w:rPr>
        <w:t xml:space="preserve"> has not been made, the Company and its Subsidiaries, (ii) in the event that a Ring-Fencing Election in accordance with </w:t>
      </w:r>
      <w:r>
        <w:rPr>
          <w:rFonts w:ascii="Arial" w:cs="Arial" w:eastAsia="Arial" w:hAnsi="Arial"/>
          <w:sz w:val="19"/>
          <w:szCs w:val="19"/>
          <w:u w:val="single" w:color="auto"/>
          <w:color w:val="auto"/>
        </w:rPr>
        <w:t>Section 5.7(b)(i)</w:t>
      </w:r>
      <w:r>
        <w:rPr>
          <w:rFonts w:ascii="Arial" w:cs="Arial" w:eastAsia="Arial" w:hAnsi="Arial"/>
          <w:sz w:val="19"/>
          <w:szCs w:val="19"/>
          <w:color w:val="auto"/>
        </w:rPr>
        <w:t xml:space="preserve"> has been made, (A) provide for debt financing in an aggregate amount such that the Consolidated Total Debt Ratio (as defined in the First Lien Credit Agreement) of the Remaining Business borrower under the Alternative Transaction Refinancing on a Pro Forma Basis (as defined in the First Lien Credit Agreement) after giving effect to the Alternative Transaction (including the Alternative Transaction Refinancing and the Third-Party Equity Investment) is equal to approximately [*] times, (B) include a revolving credit facility for the North America Enterprise Business and the Operating Business on terms consistent with then-existing market terms for similar transactions for companies in a similar business and with substantially similar credit ratings to the North America Enterprise Business and the Operating Business, taken as a whole,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the Pre-Closing Steps, and (C) other than with respect to the revolving credit facility referred to in </w:t>
      </w:r>
      <w:r>
        <w:rPr>
          <w:rFonts w:ascii="Arial" w:cs="Arial" w:eastAsia="Arial" w:hAnsi="Arial"/>
          <w:sz w:val="19"/>
          <w:szCs w:val="19"/>
          <w:u w:val="single" w:color="auto"/>
          <w:color w:val="auto"/>
        </w:rPr>
        <w:t>clause (ii)(B)</w:t>
      </w:r>
      <w:r>
        <w:rPr>
          <w:rFonts w:ascii="Arial" w:cs="Arial" w:eastAsia="Arial" w:hAnsi="Arial"/>
          <w:sz w:val="19"/>
          <w:szCs w:val="19"/>
          <w:color w:val="auto"/>
        </w:rPr>
        <w:t xml:space="preserve"> directly above, shall only include the entities comprising the Remaining Business (and not the North America Enterprise Business or the Operating Business (including any of the Transferred Entities), the Company or any Subsidiary of the Company directly or indirectly owning any portion of any Transferred Entity) as obligors, pledgers (other than with respect to equity of any of the entities comprising the Remaining Business) or guarantors, (iii) in the event that a Ring-Fencing Election in accordance with </w:t>
      </w:r>
      <w:r>
        <w:rPr>
          <w:rFonts w:ascii="Arial" w:cs="Arial" w:eastAsia="Arial" w:hAnsi="Arial"/>
          <w:sz w:val="19"/>
          <w:szCs w:val="19"/>
          <w:u w:val="single" w:color="auto"/>
          <w:color w:val="auto"/>
        </w:rPr>
        <w:t>Section 5.7(b)(i)</w:t>
      </w:r>
      <w:r>
        <w:rPr>
          <w:rFonts w:ascii="Arial" w:cs="Arial" w:eastAsia="Arial" w:hAnsi="Arial"/>
          <w:sz w:val="19"/>
          <w:szCs w:val="19"/>
          <w:color w:val="auto"/>
        </w:rPr>
        <w:t xml:space="preserve"> has not been made, provide for debt financing in an aggregate amount such that the Consolidated Total Debt Ratio of the borrower and its restricted subsidiaries under the Alternative Transaction Refinancing on a Pro Forma Basis (as defined in the First Lien Credit Agreement) after giving effect to the Alternative Transaction (including the Alternative Transaction Refinancing and the Third-Party Equity Investment) is equal to or less than [*] times, (iv) other than with respect to any revolving credit facilities, include a final maturity no less than five (5) years following the entry into and execution of the definitive documentation for such Alternative Transaction Refinancing and (v) be on terms acceptable to the Company.</w:t>
      </w:r>
    </w:p>
    <w:p>
      <w:pPr>
        <w:spacing w:after="0" w:line="187" w:lineRule="exact"/>
        <w:rPr>
          <w:sz w:val="20"/>
          <w:szCs w:val="20"/>
          <w:color w:val="auto"/>
        </w:rPr>
      </w:pPr>
    </w:p>
    <w:p>
      <w:pPr>
        <w:jc w:val="both"/>
        <w:ind w:right="160" w:firstLine="656"/>
        <w:spacing w:after="0" w:line="248" w:lineRule="auto"/>
        <w:tabs>
          <w:tab w:leader="none" w:pos="129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Investor and Carlyle shall each provide or use reasonable best efforts to cause to be provided such cooperation to the Company as may reasonably be requested by the Company in connection with obtaining the SPAC Transaction Refinancing or the Alternative Transaction Refinancing necessary to complete the transactions contemplated hereby, and at the Company’s sole expense (and the Company shall indemnify Investor and Carlyle and their respective Affiliates and representatives for any Losses in connection therewith).</w:t>
      </w:r>
    </w:p>
    <w:p>
      <w:pPr>
        <w:spacing w:after="0" w:line="192"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R&amp;W Insurance</w:t>
      </w:r>
      <w:r>
        <w:rPr>
          <w:rFonts w:ascii="Arial" w:cs="Arial" w:eastAsia="Arial" w:hAnsi="Arial"/>
          <w:sz w:val="19"/>
          <w:szCs w:val="19"/>
          <w:color w:val="auto"/>
        </w:rPr>
        <w:t>. At its election, on or prior to the Closing, Investor may procure a buyer-side representation and warranty insurance policy (the “</w:t>
      </w:r>
      <w:r>
        <w:rPr>
          <w:rFonts w:ascii="Arial" w:cs="Arial" w:eastAsia="Arial" w:hAnsi="Arial"/>
          <w:sz w:val="19"/>
          <w:szCs w:val="19"/>
          <w:u w:val="single" w:color="auto"/>
          <w:color w:val="auto"/>
        </w:rPr>
        <w:t>R&amp;W Insurance Policy</w:t>
      </w:r>
      <w:r>
        <w:rPr>
          <w:rFonts w:ascii="Arial" w:cs="Arial" w:eastAsia="Arial" w:hAnsi="Arial"/>
          <w:sz w:val="19"/>
          <w:szCs w:val="19"/>
          <w:color w:val="auto"/>
        </w:rPr>
        <w:t>”) at its sole cost and expense. Any such R&amp;W Insurance Policy shall include a provision whereby the insurer under the R&amp;W Insurance Policy expressly waives, and agrees not to pursue, directly or indirectly, any subrogation rights against the Company, Carlyle or their respective Affiliates or any former or current equity holder(s), managers, members, directors, officers, employees, agents or representatives of the Company, Carlyle or their respective Affiliates in connection with this Agreement and the transactions contemplated hereby with respect to any claim made by an insured thereunder, except in the case of Fraud by any such Person in connection with this Agreement. Investor shall not waive, amend or modify such subrogation provision, or allow such subrogation provision to be waived, amended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80" w:firstLine="8"/>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8" w:right="359" w:bottom="1440" w:gutter="0" w:footer="0" w:header="0"/>
        </w:sectPr>
      </w:pPr>
    </w:p>
    <w:bookmarkStart w:id="129" w:name="page130"/>
    <w:bookmarkEnd w:id="129"/>
    <w:p>
      <w:pPr>
        <w:spacing w:after="0" w:line="204" w:lineRule="exact"/>
        <w:rPr>
          <w:sz w:val="20"/>
          <w:szCs w:val="20"/>
          <w:color w:val="auto"/>
        </w:rPr>
      </w:pPr>
    </w:p>
    <w:p>
      <w:pPr>
        <w:ind w:right="700"/>
        <w:spacing w:after="0" w:line="271" w:lineRule="auto"/>
        <w:rPr>
          <w:sz w:val="20"/>
          <w:szCs w:val="20"/>
          <w:color w:val="auto"/>
        </w:rPr>
      </w:pPr>
      <w:r>
        <w:rPr>
          <w:rFonts w:ascii="Arial" w:cs="Arial" w:eastAsia="Arial" w:hAnsi="Arial"/>
          <w:sz w:val="21"/>
          <w:szCs w:val="21"/>
          <w:color w:val="auto"/>
        </w:rPr>
        <w:t>without the prior written consent of Carlyle. The Company and Carlyle will provide to Investor prior to the Closing, commercially reasonable assistance (at Investor’s expense) with respect to satisfying the insurer’s diligence requests as is reasonably required so as to permit the issuance of the R&amp;W Policy at or prior to the Closing.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Required Information</w:t>
      </w:r>
      <w:r>
        <w:rPr>
          <w:rFonts w:ascii="Arial" w:cs="Arial" w:eastAsia="Arial" w:hAnsi="Arial"/>
          <w:sz w:val="19"/>
          <w:szCs w:val="19"/>
          <w:color w:val="auto"/>
        </w:rPr>
        <w:t>. Following the date of this Agreement, the Company shall, as promptly as reasonably</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practicable, use its reasonable best efforts to prepare the financial statements or similar reports of the Company and its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Subsidiaries required to be included in the proxy statement or any other filings to be made with the Securities and Exchange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Commission in connection with the SPAC Transaction (the financial statements described in this sentence, which the parties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acknowledge shall, with respect to historical financial statements, consist of audited financial statements as of and for the fiscal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year ended November 30, 2020 and such other fiscal years ending in 2019 and 2018 as required to be included in the proxy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statement or any other filings to be made with the Securities and Exchange Commission in connection with the SPAC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Transaction, along with unaudited financial statements as of and for the applicable quarterly interim periods thereafter,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SPAC Transaction Financial Statements</w:t>
      </w:r>
      <w:r>
        <w:rPr>
          <w:rFonts w:ascii="Arial" w:cs="Arial" w:eastAsia="Arial" w:hAnsi="Arial"/>
          <w:sz w:val="19"/>
          <w:szCs w:val="19"/>
          <w:color w:val="auto"/>
        </w:rPr>
        <w:t>”). The SPAC Transaction Financial Statements, when delivered following the date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 will be prepared in accordance with GAAP applied on a consistent basis (except as may be indicated in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notes thereto, none of which is expected to be, individually or in the aggregate, material), (ii) will fairly present, in all material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respects, the financial position, results of operations, stockholders’ deficit and cash flows of the Company as at the date thereof</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and for the period indicated therein (subject to, in the case of any unaudited financial statements, normal year end audit</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adjustments (none of which is expected to be, individually or in the aggregate, material)), (iii) in the case of any audited financial</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statements, will be audited in accordance with the standards of the PCAOB and will contain an unqualified report of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Company’s auditors (it being acknowledged that an unqualified report may include explanatory language) and (iv) will comply in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all material respects with the applicable accounting requirements and with the rules and regulations of the Securities and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Exchange Commission, the Securities Exchange Act of 1934, as amended, and the Securities Act of 1933, as amended (including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Regulation S-X or Regulation S-K, as applicable). Following the date of this Agreement, Investor shall, as promptly as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reasonably practicable, use its reasonable best efforts to provide or cause its applicable Affiliate to provide such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reasonably requested by the Company and Carlyle to the extent required for inclusion in the proxy statement or any other filings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required to be made with the Securities and Exchange Commission in connection with the SPAC Transaction.</w:t>
      </w:r>
    </w:p>
    <w:p>
      <w:pPr>
        <w:spacing w:after="0" w:line="202"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5.13 </w:t>
      </w:r>
      <w:r>
        <w:rPr>
          <w:rFonts w:ascii="Arial" w:cs="Arial" w:eastAsia="Arial" w:hAnsi="Arial"/>
          <w:sz w:val="21"/>
          <w:szCs w:val="21"/>
          <w:u w:val="single" w:color="auto"/>
          <w:color w:val="auto"/>
        </w:rPr>
        <w:t>Code Section 280G</w:t>
      </w:r>
      <w:r>
        <w:rPr>
          <w:rFonts w:ascii="Arial" w:cs="Arial" w:eastAsia="Arial" w:hAnsi="Arial"/>
          <w:sz w:val="21"/>
          <w:szCs w:val="21"/>
          <w:color w:val="auto"/>
        </w:rPr>
        <w:t>. If reasonably requested by the Investor and an Alternative Transaction Election has not been made, prior to the Closing Date, the Company shall (a) use its commercially reasonable efforts to secure from any Person who (i) is a “disqualified individual” (as defined in Section 280G of the Code) and (ii) has a right or potential right to any payments and/or benefits in connection with the SPAC Merger that could be deemed to constitute “parachute payments” pursuant to Section 280G of the Code, a waiver of all or a portion of such Person’s rights to any such payments and/or benefits, such that all remaining payments and/or benefits applicable to such Person shall not be deemed to be “parachute payments” pursuant to Section 280G of the Code (the “</w:t>
      </w:r>
      <w:r>
        <w:rPr>
          <w:rFonts w:ascii="Arial" w:cs="Arial" w:eastAsia="Arial" w:hAnsi="Arial"/>
          <w:sz w:val="21"/>
          <w:szCs w:val="21"/>
          <w:u w:val="single" w:color="auto"/>
          <w:color w:val="auto"/>
        </w:rPr>
        <w:t>Waived 280G Benefits</w:t>
      </w:r>
      <w:r>
        <w:rPr>
          <w:rFonts w:ascii="Arial" w:cs="Arial" w:eastAsia="Arial" w:hAnsi="Arial"/>
          <w:sz w:val="21"/>
          <w:szCs w:val="21"/>
          <w:color w:val="auto"/>
        </w:rPr>
        <w:t>”), and (b)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60" w:firstLine="8"/>
        <w:spacing w:after="0" w:line="277"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204"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such obtained waivers, submit for approval by the Company’s stockholders the Waived 280G Benefits, to the extent and in the manner required under Sections 280G(b)(5)(A)(ii) and 280G(b)(5)(B) of the Code. If applicable (including because an Alternative Transaction Election has not been made), (A) the Company shall not pay or provide any of the Waived 280G Benefits, if such Waived 280G Benefits are not approved by the Company’s stockholders as contemplated above, (B) no later than five (5) Business Days before the Closing Date, the Company shall provide to Investor or its counsel drafts of the consent, waiver, disclosure statement and calculations necessary to effectuate the approval process and shall consider in good faith Investor’s reasonable comments, and (C) prior to the Closing Date, the Company shall deliver to Investor evidence reasonably satisfactory to Investor that (1) a vote of the Company’s stockholders was received in accordance with Section 280G of the Code and the regulations thereunder, or (2) such requisite Company stockholder approval has not been obtained with respect to the Waived 280G Benefits, and, as a consequence, the Waived 280G Benefits have not been and shall not be paid or provided.</w:t>
      </w:r>
    </w:p>
    <w:p>
      <w:pPr>
        <w:spacing w:after="0" w:line="159"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Each party hereto shall, and Investor and the Company shall cause their respective Affiliates and their and their Affiliates’ representatives to, and Carlyle shall cause its representatives to, execute and deliver such additional instruments, documents, conveyances or assurances and take such other actions as shall be necessary, or otherwise reasonably be requested by the other parties, to confirm and assure the rights and obligations provided for in this Agreement and the other Ancillary Agreements and render effective the consummation of the transactions contemplated hereby and thereby, and otherwise to carry out the intent and purposes of this Agreement. Without limiting the foregoing, but subject to the limitations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if an Alternative Transaction Election has been made, Investor and Carlyle each shall, and Investor shall cause its Affiliates and its and its Affiliates’ representatives to, and Carlyle shall cause its representatives to, cooperate and take all actions reasonably requested of such parties by the Company to facilitate as promptly as practicable the Closing of the Alternative Transaction and the transactions contemplated thereby on terms consistent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such party nor its Affiliates (other than, in the case of Carlyle, the Company and its Subsidiaries) shall be required in connection with the Alternative Transaction Refinancing to make any additional cash contributions to the Company or provide guarantees in respect of the indebtedness of the Company or its Subsidiaries.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Exclusivity</w:t>
      </w:r>
      <w:r>
        <w:rPr>
          <w:rFonts w:ascii="Arial" w:cs="Arial" w:eastAsia="Arial" w:hAnsi="Arial"/>
          <w:sz w:val="19"/>
          <w:szCs w:val="19"/>
          <w:color w:val="auto"/>
        </w:rPr>
        <w:t xml:space="preserve">. During the period from the date hereof until the earlier of the Closing and the termination of this Agreement in accordance with its terms, neither Carlyle nor the Company shall, and shall cause their respective Representatives not to, solicit, engage in discussions or negotiations with, or provide any information to or enter into any agreement with any Person (other than Investor and/or its Affiliates, as permitted pursuant to clause </w:t>
      </w:r>
      <w:r>
        <w:rPr>
          <w:rFonts w:ascii="Arial" w:cs="Arial" w:eastAsia="Arial" w:hAnsi="Arial"/>
          <w:sz w:val="19"/>
          <w:szCs w:val="19"/>
          <w:u w:val="single" w:color="auto"/>
          <w:color w:val="auto"/>
        </w:rPr>
        <w:t>(i)(A) of</w:t>
      </w:r>
      <w:r>
        <w:rPr>
          <w:rFonts w:ascii="Arial" w:cs="Arial" w:eastAsia="Arial" w:hAnsi="Arial"/>
          <w:sz w:val="19"/>
          <w:szCs w:val="19"/>
          <w:color w:val="auto"/>
        </w:rPr>
        <w:t xml:space="preserve"> the last sentence of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or otherwise in connection with the transactions contemplated hereby, including the SPAC Transaction and the Alternative Transaction) concerning any sale of any of the Company’s Shares or, except as permitted by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Company Disclosure Letter) other equity securities or any equity securities of any Subsidiary of the Company, any merger of the Company or direct or indirect sale of a majority of the consolidated assets of the Company, the Remaining Business or the Enterprise Business or similar transaction involving the Company or any of its Subsidiaries, other than assets sold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80" w:firstLine="8"/>
        <w:spacing w:after="0" w:line="277"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204"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 xml:space="preserve">Ordinary Course of Business or to the extent permitted by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Company Disclosure Letter) (each such acquisition transaction, an “</w:t>
      </w:r>
      <w:r>
        <w:rPr>
          <w:rFonts w:ascii="Arial" w:cs="Arial" w:eastAsia="Arial" w:hAnsi="Arial"/>
          <w:sz w:val="19"/>
          <w:szCs w:val="19"/>
          <w:u w:val="single" w:color="auto"/>
          <w:color w:val="auto"/>
        </w:rPr>
        <w:t>Acquisition Transaction</w:t>
      </w:r>
      <w:r>
        <w:rPr>
          <w:rFonts w:ascii="Arial" w:cs="Arial" w:eastAsia="Arial" w:hAnsi="Arial"/>
          <w:sz w:val="19"/>
          <w:szCs w:val="19"/>
          <w:color w:val="auto"/>
        </w:rPr>
        <w:t xml:space="preserve">”). The Company and Carlyle shall, and shall cause their respective Representatives to, (a) immediately cease and cause to be terminated any and all discussions and negotiations with any such Person other than (i) Investor and its Representatives, (ii) as permitted pursuant to clause </w:t>
      </w:r>
      <w:r>
        <w:rPr>
          <w:rFonts w:ascii="Arial" w:cs="Arial" w:eastAsia="Arial" w:hAnsi="Arial"/>
          <w:sz w:val="19"/>
          <w:szCs w:val="19"/>
          <w:u w:val="single" w:color="auto"/>
          <w:color w:val="auto"/>
        </w:rPr>
        <w:t>(i)(A) of</w:t>
      </w:r>
      <w:r>
        <w:rPr>
          <w:rFonts w:ascii="Arial" w:cs="Arial" w:eastAsia="Arial" w:hAnsi="Arial"/>
          <w:sz w:val="19"/>
          <w:szCs w:val="19"/>
          <w:color w:val="auto"/>
        </w:rPr>
        <w:t xml:space="preserve"> the last sentence of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or (iii) otherwise in connection with the transactions contemplated hereby (including the SPAC Transaction and the Alternative Transaction), regarding any Acquisition Transaction, (b) promptly request any such Person to promptly return or destroy all confidential information concerning the Company and its Subsidiaries, and (c) promptly terminate all access previously granted to such Persons to any physical or electronic data room. Carlyle and the Company will promptly inform Investor of the details of any proposals or offer to engage in any negotiations or discussions, in each case, made after the date hereof from a third party concerning an Acquisition Transaction.</w:t>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6</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Tax Matters</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Investor and the Company shall (and shall cause their respective Affiliates to) (a) provide the other party and its Affiliates with such information and ministerial assistance as may be reasonably requested in connection with the preparation of any Tax Return or any audit or other examination by any taxing authority or any judicial or administrative proceeding to the extent arising from or relating to Taxes with respect to the transactions contemplated by this Agreement and (b) retain (and provide the other party and its Affiliates with reasonable access to) all records or information which are required in order to prepare any such Tax Return, or to defend any such audit, examination or proceeding in accordance with such party’s records retention policy;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be done in a manner so as not to interfere unreasonably with the conduct of the business of the parties and (ii) no party hereto shall be required to provide any information or assistance it is not legally entitled to give or that would waive such Person’s legal privilege;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party (other than the Company and its Subsidiaries) shall be required to provide any information relating to its Tax Returns or the Tax Returns of its Affiliates.</w:t>
      </w:r>
    </w:p>
    <w:p>
      <w:pPr>
        <w:spacing w:after="0" w:line="159"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Transfer Taxes</w:t>
      </w:r>
      <w:r>
        <w:rPr>
          <w:rFonts w:ascii="Arial" w:cs="Arial" w:eastAsia="Arial" w:hAnsi="Arial"/>
          <w:sz w:val="22"/>
          <w:szCs w:val="22"/>
          <w:color w:val="auto"/>
        </w:rPr>
        <w:t>. All transfer, documentary, sales, use, stamp, registration, value added and other such Taxes and fees (including any penalties and interest) incurred in connection with the transactions contemplated by this Agreement (including any real property transfer Tax and any similar Tax) shall be paid by the Company when due, and the Company will, at its own expense, file all necessary Tax Returns and other documentation with respect to all such Taxes and fees, and, if required by applicable Law, the Investor will, and will cause its Affiliates to, join in the execution of any such Tax Returns and other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firstLine="8"/>
        <w:spacing w:after="0" w:line="277"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7</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Conditions Precedent</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Conditions to Obligations of the Company, Carlyle and Investor</w:t>
      </w:r>
      <w:r>
        <w:rPr>
          <w:rFonts w:ascii="Arial" w:cs="Arial" w:eastAsia="Arial" w:hAnsi="Arial"/>
          <w:sz w:val="22"/>
          <w:szCs w:val="22"/>
          <w:color w:val="auto"/>
        </w:rPr>
        <w:t>. The obligations of the Company, Carlyle and Investor to consummate the transactions contemplated hereby shall be subject to the fulfillment, at or prior to the Closing, of the following conditions:</w:t>
      </w:r>
    </w:p>
    <w:p>
      <w:pPr>
        <w:spacing w:after="0" w:line="185" w:lineRule="exact"/>
        <w:rPr>
          <w:sz w:val="20"/>
          <w:szCs w:val="20"/>
          <w:color w:val="auto"/>
        </w:rPr>
      </w:pPr>
    </w:p>
    <w:p>
      <w:pPr>
        <w:ind w:right="60" w:firstLine="656"/>
        <w:spacing w:after="0" w:line="297" w:lineRule="auto"/>
        <w:tabs>
          <w:tab w:leader="none" w:pos="1293"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Competition Laws</w:t>
      </w:r>
      <w:r>
        <w:rPr>
          <w:rFonts w:ascii="Arial" w:cs="Arial" w:eastAsia="Arial" w:hAnsi="Arial"/>
          <w:sz w:val="19"/>
          <w:szCs w:val="19"/>
          <w:color w:val="auto"/>
        </w:rPr>
        <w:t xml:space="preserve">. Any applicable waiting period under the HSR Act relating to the transactions contemplated by this Agreement and the Ancillary Agreements shall have expired or been terminated, the parties shall have obtained all consents, waivers, clearances and approvals required under any applicable Competition Laws for the jurisdictions set forth 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the Company Disclosure Letter, and no voluntary agreement between Investor and any Governmental Authority prohibiting the consummation of the transactions contemplated by this Agreement or the Ancillary Agreements shall be in effect.</w:t>
      </w:r>
    </w:p>
    <w:p>
      <w:pPr>
        <w:spacing w:after="0" w:line="146" w:lineRule="exact"/>
        <w:rPr>
          <w:rFonts w:ascii="Arial" w:cs="Arial" w:eastAsia="Arial" w:hAnsi="Arial"/>
          <w:sz w:val="19"/>
          <w:szCs w:val="19"/>
          <w:color w:val="auto"/>
        </w:rPr>
      </w:pPr>
    </w:p>
    <w:p>
      <w:pPr>
        <w:jc w:val="both"/>
        <w:ind w:firstLine="656"/>
        <w:spacing w:after="0" w:line="250" w:lineRule="auto"/>
        <w:tabs>
          <w:tab w:leader="none" w:pos="1291"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No Injunction, etc</w:t>
      </w:r>
      <w:r>
        <w:rPr>
          <w:rFonts w:ascii="Arial" w:cs="Arial" w:eastAsia="Arial" w:hAnsi="Arial"/>
          <w:sz w:val="22"/>
          <w:szCs w:val="22"/>
          <w:color w:val="auto"/>
        </w:rPr>
        <w:t>. No statute, rule, regulation, executive order, decree, temporary restraining order, preliminary or permanent injunction or other order issued by any court of competent jurisdiction or other Governmental Authority or other legal restraint or prohibition preventing or making unlawful the consummation of the transactions contemplated by this Agreement or the Ancillary Agreements shall be in effect.</w:t>
      </w:r>
    </w:p>
    <w:p>
      <w:pPr>
        <w:spacing w:after="0" w:line="214" w:lineRule="exact"/>
        <w:rPr>
          <w:rFonts w:ascii="Arial" w:cs="Arial" w:eastAsia="Arial" w:hAnsi="Arial"/>
          <w:sz w:val="22"/>
          <w:szCs w:val="22"/>
          <w:color w:val="auto"/>
        </w:rPr>
      </w:pPr>
    </w:p>
    <w:p>
      <w:pPr>
        <w:ind w:right="60" w:firstLine="656"/>
        <w:spacing w:after="0" w:line="294" w:lineRule="auto"/>
        <w:tabs>
          <w:tab w:leader="none" w:pos="1293"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SPAC Transaction</w:t>
      </w:r>
      <w:r>
        <w:rPr>
          <w:rFonts w:ascii="Arial" w:cs="Arial" w:eastAsia="Arial" w:hAnsi="Arial"/>
          <w:sz w:val="19"/>
          <w:szCs w:val="19"/>
          <w:color w:val="auto"/>
        </w:rPr>
        <w:t xml:space="preserve">. Solely if an Alternative Transaction Election has not been made, (i) the satisfaction or waiver of the conditions to the consummation of the SPAC Definitive Agreements (other than those conditions which by their nature are to be satisfied at the closing of the SPAC Merger, the PIPE Financing and the SPAC Transaction Refinancing, each of which is capable of being satisfied as of the Closing), (ii) the consummation of the SPAC Merger, the PIPE Financing and the SPAC Transaction Refinancing are scheduled to (and shall) occur substantially concurrently with the Closing, and (iii) the sum of the SPAC Transaction Proceeds,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Purchase Price is equal to or greater than the Minimum Total Cash Amount.</w:t>
      </w:r>
    </w:p>
    <w:p>
      <w:pPr>
        <w:spacing w:after="0" w:line="189" w:lineRule="exact"/>
        <w:rPr>
          <w:rFonts w:ascii="Arial" w:cs="Arial" w:eastAsia="Arial" w:hAnsi="Arial"/>
          <w:sz w:val="19"/>
          <w:szCs w:val="19"/>
          <w:color w:val="auto"/>
        </w:rPr>
      </w:pPr>
    </w:p>
    <w:p>
      <w:pPr>
        <w:ind w:right="340" w:firstLine="656"/>
        <w:spacing w:after="0" w:line="343" w:lineRule="auto"/>
        <w:tabs>
          <w:tab w:leader="none" w:pos="1291"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Alternative Transaction</w:t>
      </w:r>
      <w:r>
        <w:rPr>
          <w:rFonts w:ascii="Arial" w:cs="Arial" w:eastAsia="Arial" w:hAnsi="Arial"/>
          <w:sz w:val="19"/>
          <w:szCs w:val="19"/>
          <w:color w:val="auto"/>
        </w:rPr>
        <w:t>. Solely if an Alternative Transaction Election has been made, the consummation of the Alternative Transaction Refinancing and Third-Party Equity Investment substantially concurrent with the Closing.</w:t>
      </w:r>
    </w:p>
    <w:p>
      <w:pPr>
        <w:spacing w:after="0" w:line="10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Conditions to Obligations of Investor</w:t>
      </w:r>
      <w:r>
        <w:rPr>
          <w:rFonts w:ascii="Arial" w:cs="Arial" w:eastAsia="Arial" w:hAnsi="Arial"/>
          <w:sz w:val="22"/>
          <w:szCs w:val="22"/>
          <w:color w:val="auto"/>
        </w:rPr>
        <w:t>. The obligation of Investor to consummate (x) the SPAC Transaction if an Alternative Transaction Election has not been made or (y) the Alternative Transaction if an Alternative Transaction Election has been made, shall be subject to the fulfillment at or prior to the Closing, or, if permitted by applicable Law, waiver by Investor, of all of the following additional conditions:</w:t>
      </w:r>
    </w:p>
    <w:p>
      <w:pPr>
        <w:spacing w:after="0" w:line="188" w:lineRule="exact"/>
        <w:rPr>
          <w:sz w:val="20"/>
          <w:szCs w:val="20"/>
          <w:color w:val="auto"/>
        </w:rPr>
      </w:pPr>
    </w:p>
    <w:p>
      <w:pPr>
        <w:ind w:right="220" w:firstLine="656"/>
        <w:spacing w:after="0" w:line="302" w:lineRule="auto"/>
        <w:tabs>
          <w:tab w:leader="none" w:pos="1293"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The representations and warranties of the Company contained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other than the Company Fundamental Representations and the representations and warranties contained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w:t>
      </w:r>
      <w:r>
        <w:rPr>
          <w:rFonts w:ascii="Arial" w:cs="Arial" w:eastAsia="Arial" w:hAnsi="Arial"/>
          <w:sz w:val="19"/>
          <w:szCs w:val="19"/>
          <w:color w:val="auto"/>
        </w:rPr>
        <w:t xml:space="preserve"> (without giving effect to any limitations as to “materiality” or “Material Adverse Effect” set forth therein), shall be true and correct at and as of the date of this Agreement and the Closing with the same effect as though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9" w:lineRule="exact"/>
        <w:rPr>
          <w:rFonts w:ascii="Arial" w:cs="Arial" w:eastAsia="Arial" w:hAnsi="Arial"/>
          <w:sz w:val="19"/>
          <w:szCs w:val="19"/>
          <w:color w:val="auto"/>
        </w:rPr>
      </w:pPr>
    </w:p>
    <w:p>
      <w:pPr>
        <w:ind w:right="280" w:firstLine="8"/>
        <w:spacing w:after="0" w:line="277"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20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made at and as of such time (except for representations and warranties that are as of a specific date, which representations and warranties shall be true and correct as of such date), except where the failure of such representations and warranties to be so true and correct would not reasonably be expected to have, individually or in the aggregate, a Material Adverse Effect, (ii) each of the Company Fundamental Representations, other than the representations and warranties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(without giving effect to any limitations as to “materiality” or “Material Adverse Effect” set forth therein), shall be true and correct in all material respects at and as of the date of this Agreement and the Closing with the same effect as though made at and as of such time (except for representations and warranties that are as of a specific date, which representations and warranties shall be true and correct in all material respects as of such date), (iii) the representations and warranties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shall be true and correct in all respects at and as of the date of this Agreement and the Closing and (iv) the representations and warranties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be true and correct in all respects at and as of the date of this Agreement and the Closing (except for representations and warranties that are as of a specific date, which representations and warranties shall be true and correct as of such date), except for </w:t>
      </w:r>
      <w:r>
        <w:rPr>
          <w:rFonts w:ascii="Arial" w:cs="Arial" w:eastAsia="Arial" w:hAnsi="Arial"/>
          <w:sz w:val="19"/>
          <w:szCs w:val="19"/>
          <w:i w:val="1"/>
          <w:iCs w:val="1"/>
          <w:color w:val="auto"/>
        </w:rPr>
        <w:t xml:space="preserve">de minimis </w:t>
      </w:r>
      <w:r>
        <w:rPr>
          <w:rFonts w:ascii="Arial" w:cs="Arial" w:eastAsia="Arial" w:hAnsi="Arial"/>
          <w:sz w:val="19"/>
          <w:szCs w:val="19"/>
          <w:color w:val="auto"/>
        </w:rPr>
        <w:t>inaccuracies.</w:t>
      </w:r>
    </w:p>
    <w:p>
      <w:pPr>
        <w:spacing w:after="0" w:line="200" w:lineRule="exact"/>
        <w:rPr>
          <w:sz w:val="20"/>
          <w:szCs w:val="20"/>
          <w:color w:val="auto"/>
        </w:rPr>
      </w:pPr>
    </w:p>
    <w:p>
      <w:pPr>
        <w:spacing w:after="0" w:line="220" w:lineRule="exact"/>
        <w:rPr>
          <w:sz w:val="20"/>
          <w:szCs w:val="20"/>
          <w:color w:val="auto"/>
        </w:rPr>
      </w:pPr>
    </w:p>
    <w:p>
      <w:pPr>
        <w:ind w:firstLine="656"/>
        <w:spacing w:after="0" w:line="290" w:lineRule="auto"/>
        <w:tabs>
          <w:tab w:leader="none" w:pos="1291"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Carlyle contained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shall be true and correct in all material respects at and as of the date of this Agreement and the Closing with the same effect as though made at and as of such time (except for representations and warranties that are as of a specific date, which representations and warranties shall be true and correct in all material respects as of such date), except where the failure of such representations and warranties to be so true and correct would not, individually or in the aggregate, reasonably be expected to have a material adverse effect on the ability of Carlyle to consummate any of the transactions contemplated hereby in connection with (i) if an Alternative Transaction Election has not been made, a SPAC Transaction and (ii) if an Alternative Transaction Election has been made, an Alternative Transaction, or, in each case, by the Ancillary Agreements.</w:t>
      </w:r>
    </w:p>
    <w:p>
      <w:pPr>
        <w:spacing w:after="0" w:line="182" w:lineRule="exact"/>
        <w:rPr>
          <w:rFonts w:ascii="Arial" w:cs="Arial" w:eastAsia="Arial" w:hAnsi="Arial"/>
          <w:sz w:val="19"/>
          <w:szCs w:val="19"/>
          <w:color w:val="auto"/>
        </w:rPr>
      </w:pPr>
    </w:p>
    <w:p>
      <w:pPr>
        <w:ind w:right="400" w:firstLine="656"/>
        <w:spacing w:after="0" w:line="343" w:lineRule="auto"/>
        <w:tabs>
          <w:tab w:leader="none" w:pos="1293"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Covenants and Agreements</w:t>
      </w:r>
      <w:r>
        <w:rPr>
          <w:rFonts w:ascii="Arial" w:cs="Arial" w:eastAsia="Arial" w:hAnsi="Arial"/>
          <w:sz w:val="19"/>
          <w:szCs w:val="19"/>
          <w:color w:val="auto"/>
        </w:rPr>
        <w:t>. The Company shall have performed and complied in all material respects with all covenants required by this Agreement to be performed or complied with by the Company at or prior to the Closing.</w:t>
      </w:r>
    </w:p>
    <w:p>
      <w:pPr>
        <w:spacing w:after="0" w:line="144" w:lineRule="exact"/>
        <w:rPr>
          <w:rFonts w:ascii="Arial" w:cs="Arial" w:eastAsia="Arial" w:hAnsi="Arial"/>
          <w:sz w:val="19"/>
          <w:szCs w:val="19"/>
          <w:color w:val="auto"/>
        </w:rPr>
      </w:pPr>
    </w:p>
    <w:p>
      <w:pPr>
        <w:ind w:right="80" w:firstLine="656"/>
        <w:spacing w:after="0" w:line="263" w:lineRule="auto"/>
        <w:tabs>
          <w:tab w:leader="none" w:pos="1291"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Covenants and Agreements</w:t>
      </w:r>
      <w:r>
        <w:rPr>
          <w:rFonts w:ascii="Arial" w:cs="Arial" w:eastAsia="Arial" w:hAnsi="Arial"/>
          <w:sz w:val="22"/>
          <w:szCs w:val="22"/>
          <w:color w:val="auto"/>
        </w:rPr>
        <w:t>. Carlyle shall have performed and complied in all material respects with all covenants required by this Agreement to be performed or complied with by Carlyle at or prior to the Closing.</w:t>
      </w:r>
    </w:p>
    <w:p>
      <w:pPr>
        <w:spacing w:after="0" w:line="201" w:lineRule="exact"/>
        <w:rPr>
          <w:rFonts w:ascii="Arial" w:cs="Arial" w:eastAsia="Arial" w:hAnsi="Arial"/>
          <w:sz w:val="22"/>
          <w:szCs w:val="22"/>
          <w:color w:val="auto"/>
        </w:rPr>
      </w:pPr>
    </w:p>
    <w:p>
      <w:pPr>
        <w:ind w:right="560" w:firstLine="656"/>
        <w:spacing w:after="0" w:line="263" w:lineRule="auto"/>
        <w:tabs>
          <w:tab w:leader="none" w:pos="1293"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Between the date of this Agreement and the Closing Date, no Material Adverse Effect shall have occurred.</w:t>
      </w:r>
    </w:p>
    <w:p>
      <w:pPr>
        <w:spacing w:after="0" w:line="201" w:lineRule="exact"/>
        <w:rPr>
          <w:rFonts w:ascii="Arial" w:cs="Arial" w:eastAsia="Arial" w:hAnsi="Arial"/>
          <w:sz w:val="22"/>
          <w:szCs w:val="22"/>
          <w:color w:val="auto"/>
        </w:rPr>
      </w:pPr>
    </w:p>
    <w:p>
      <w:pPr>
        <w:ind w:right="20" w:firstLine="656"/>
        <w:spacing w:after="0" w:line="253" w:lineRule="auto"/>
        <w:tabs>
          <w:tab w:leader="none" w:pos="1296"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Company Officer’s Certificate</w:t>
      </w:r>
      <w:r>
        <w:rPr>
          <w:rFonts w:ascii="Arial" w:cs="Arial" w:eastAsia="Arial" w:hAnsi="Arial"/>
          <w:sz w:val="22"/>
          <w:szCs w:val="22"/>
          <w:color w:val="auto"/>
        </w:rPr>
        <w:t xml:space="preserve">. The Company shall have delivered to Investor a certificate, dated as of the Closing Date, signed by a duly authorized officer of the Company stating that the conditions specified in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7.2(c)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7.2(e)</w:t>
      </w:r>
      <w:r>
        <w:rPr>
          <w:rFonts w:ascii="Arial" w:cs="Arial" w:eastAsia="Arial" w:hAnsi="Arial"/>
          <w:sz w:val="22"/>
          <w:szCs w:val="22"/>
          <w:color w:val="auto"/>
        </w:rPr>
        <w:t xml:space="preserve"> have been satisfied.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right="280" w:firstLine="8"/>
        <w:spacing w:after="0" w:line="277"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34" w:name="page135"/>
    <w:bookmarkEnd w:id="134"/>
    <w:p>
      <w:pPr>
        <w:ind w:right="100" w:firstLine="656"/>
        <w:spacing w:after="0" w:line="253" w:lineRule="auto"/>
        <w:tabs>
          <w:tab w:leader="none" w:pos="1291"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Carlyle Officer’s Certificate</w:t>
      </w:r>
      <w:r>
        <w:rPr>
          <w:rFonts w:ascii="Arial" w:cs="Arial" w:eastAsia="Arial" w:hAnsi="Arial"/>
          <w:sz w:val="22"/>
          <w:szCs w:val="22"/>
          <w:color w:val="auto"/>
        </w:rPr>
        <w:t xml:space="preserve">. Carlyle shall have delivered to Investor a certificate, dated as of the Closing Date, signed by a duly authorized officer of Carlyle stating that the conditions specified in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7.2(d)</w:t>
      </w:r>
      <w:r>
        <w:rPr>
          <w:rFonts w:ascii="Arial" w:cs="Arial" w:eastAsia="Arial" w:hAnsi="Arial"/>
          <w:sz w:val="22"/>
          <w:szCs w:val="22"/>
          <w:color w:val="auto"/>
        </w:rPr>
        <w:t xml:space="preserve"> have been satisfied.</w:t>
      </w:r>
    </w:p>
    <w:p>
      <w:pPr>
        <w:spacing w:after="0" w:line="212" w:lineRule="exact"/>
        <w:rPr>
          <w:rFonts w:ascii="Arial" w:cs="Arial" w:eastAsia="Arial" w:hAnsi="Arial"/>
          <w:sz w:val="22"/>
          <w:szCs w:val="22"/>
          <w:color w:val="auto"/>
        </w:rPr>
      </w:pPr>
    </w:p>
    <w:p>
      <w:pPr>
        <w:ind w:right="220" w:firstLine="656"/>
        <w:spacing w:after="0" w:line="343" w:lineRule="auto"/>
        <w:tabs>
          <w:tab w:leader="none" w:pos="1291"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Pre-Closing Steps</w:t>
      </w:r>
      <w:r>
        <w:rPr>
          <w:rFonts w:ascii="Arial" w:cs="Arial" w:eastAsia="Arial" w:hAnsi="Arial"/>
          <w:sz w:val="19"/>
          <w:szCs w:val="19"/>
          <w:color w:val="auto"/>
        </w:rPr>
        <w:t xml:space="preserve">. If the Investor has made a Ring-Fencing Election in compliance with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each of the Pre-Closing Steps shall have been completed (subject to </w:t>
      </w:r>
      <w:r>
        <w:rPr>
          <w:rFonts w:ascii="Arial" w:cs="Arial" w:eastAsia="Arial" w:hAnsi="Arial"/>
          <w:sz w:val="19"/>
          <w:szCs w:val="19"/>
          <w:u w:val="single" w:color="auto"/>
          <w:color w:val="auto"/>
        </w:rPr>
        <w:t>Section 5.8(a)</w:t>
      </w:r>
      <w:r>
        <w:rPr>
          <w:rFonts w:ascii="Arial" w:cs="Arial" w:eastAsia="Arial" w:hAnsi="Arial"/>
          <w:sz w:val="19"/>
          <w:szCs w:val="19"/>
          <w:color w:val="auto"/>
        </w:rPr>
        <w:t xml:space="preserve">) substantially in the manner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right="680" w:firstLine="656"/>
        <w:spacing w:after="0" w:line="253" w:lineRule="auto"/>
        <w:tabs>
          <w:tab w:leader="none" w:pos="1284"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Ancillary Agreements</w:t>
      </w:r>
      <w:r>
        <w:rPr>
          <w:rFonts w:ascii="Arial" w:cs="Arial" w:eastAsia="Arial" w:hAnsi="Arial"/>
          <w:sz w:val="22"/>
          <w:szCs w:val="22"/>
          <w:color w:val="auto"/>
        </w:rPr>
        <w:t>. The Company (or its applicable Subsidiaries) and Carlyle shall have executed and delivered to Investor each of the Ancillary Agreements to which the Company or its applicable Subsidiaries or Carlyle, as applicable, will be a party.</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Conditions to Obligations of the Company and Carlyle</w:t>
      </w:r>
      <w:r>
        <w:rPr>
          <w:rFonts w:ascii="Arial" w:cs="Arial" w:eastAsia="Arial" w:hAnsi="Arial"/>
          <w:sz w:val="22"/>
          <w:szCs w:val="22"/>
          <w:color w:val="auto"/>
        </w:rPr>
        <w:t>. The obligation of the Company and Carlyle to consummate (x) the SPAC Transaction if an Alternative Transaction Election has not been made, shall be subject to the fulfillment at or prior to the Closing or (y) the Alternative Transaction if an Alternative Transaction Election has been made, shall be subject to the fulfillment at or prior to the Closing, or, if permitted by applicable Law, waiver by the Company and Carlyle, of the following additional conditions:</w:t>
      </w:r>
    </w:p>
    <w:p>
      <w:pPr>
        <w:spacing w:after="0" w:line="192" w:lineRule="exact"/>
        <w:rPr>
          <w:sz w:val="20"/>
          <w:szCs w:val="20"/>
          <w:color w:val="auto"/>
        </w:rPr>
      </w:pPr>
    </w:p>
    <w:p>
      <w:pPr>
        <w:ind w:right="20" w:firstLine="656"/>
        <w:spacing w:after="0" w:line="290" w:lineRule="auto"/>
        <w:tabs>
          <w:tab w:leader="none" w:pos="1293"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Investor contained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shall be true and correct in all material respects at and as of the date of this Agreement and the Closing with the same effect as though made at and as of such time (except for representations and warranties that are as of a specific date, which representations and warranties shall be true and correct in all material respects as of such date), except where the failure of such representations and warranties to be so true and correct would not, individually or in the aggregate, reasonably be expected to have a material adverse effect on the ability of Investor to consummate any of the transactions contemplated hereby connection with (i) if an Alternative Transaction Election has not been made, a SPAC Transaction and (ii) if an Alternative Transaction Election has been made, an Alternative Transaction, or, in each case, by the Ancillary Agreements.</w:t>
      </w:r>
    </w:p>
    <w:p>
      <w:pPr>
        <w:spacing w:after="0" w:line="155" w:lineRule="exact"/>
        <w:rPr>
          <w:rFonts w:ascii="Arial" w:cs="Arial" w:eastAsia="Arial" w:hAnsi="Arial"/>
          <w:sz w:val="19"/>
          <w:szCs w:val="19"/>
          <w:color w:val="auto"/>
        </w:rPr>
      </w:pPr>
    </w:p>
    <w:p>
      <w:pPr>
        <w:ind w:firstLine="656"/>
        <w:spacing w:after="0" w:line="263" w:lineRule="auto"/>
        <w:tabs>
          <w:tab w:leader="none" w:pos="1291"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Covenants and Agreements</w:t>
      </w:r>
      <w:r>
        <w:rPr>
          <w:rFonts w:ascii="Arial" w:cs="Arial" w:eastAsia="Arial" w:hAnsi="Arial"/>
          <w:sz w:val="22"/>
          <w:szCs w:val="22"/>
          <w:color w:val="auto"/>
        </w:rPr>
        <w:t>. Investor shall have performed and complied in all material respects with all covenants required by this Agreement to be performed or complied with by Investor at or prior to the Closing.</w:t>
      </w:r>
    </w:p>
    <w:p>
      <w:pPr>
        <w:spacing w:after="0" w:line="201" w:lineRule="exact"/>
        <w:rPr>
          <w:rFonts w:ascii="Arial" w:cs="Arial" w:eastAsia="Arial" w:hAnsi="Arial"/>
          <w:sz w:val="22"/>
          <w:szCs w:val="22"/>
          <w:color w:val="auto"/>
        </w:rPr>
      </w:pPr>
    </w:p>
    <w:p>
      <w:pPr>
        <w:ind w:right="300" w:firstLine="656"/>
        <w:spacing w:after="0" w:line="253" w:lineRule="auto"/>
        <w:tabs>
          <w:tab w:leader="none" w:pos="1293"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Investor shall have delivered to the Company and Carlyle a certificate, dated as of the Closing Date, signed by a duly authorized officer of Investor stating that the conditions specified in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7.3(b)</w:t>
      </w:r>
      <w:r>
        <w:rPr>
          <w:rFonts w:ascii="Arial" w:cs="Arial" w:eastAsia="Arial" w:hAnsi="Arial"/>
          <w:sz w:val="22"/>
          <w:szCs w:val="22"/>
          <w:color w:val="auto"/>
        </w:rPr>
        <w:t xml:space="preserve"> have been satisfied.</w:t>
      </w:r>
    </w:p>
    <w:p>
      <w:pPr>
        <w:spacing w:after="0" w:line="212" w:lineRule="exact"/>
        <w:rPr>
          <w:rFonts w:ascii="Arial" w:cs="Arial" w:eastAsia="Arial" w:hAnsi="Arial"/>
          <w:sz w:val="22"/>
          <w:szCs w:val="22"/>
          <w:color w:val="auto"/>
        </w:rPr>
      </w:pPr>
    </w:p>
    <w:p>
      <w:pPr>
        <w:ind w:right="340" w:firstLine="656"/>
        <w:spacing w:after="0" w:line="287" w:lineRule="auto"/>
        <w:tabs>
          <w:tab w:leader="none" w:pos="1291"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Ancillary Agreements</w:t>
      </w:r>
      <w:r>
        <w:rPr>
          <w:rFonts w:ascii="Arial" w:cs="Arial" w:eastAsia="Arial" w:hAnsi="Arial"/>
          <w:sz w:val="21"/>
          <w:szCs w:val="21"/>
          <w:color w:val="auto"/>
        </w:rPr>
        <w:t>. Investor (or its applicable Affiliates) shall have executed and delivered to the Company and Carlyle each of the Ancillary Agreements to which Investor or its applicable Affiliates will be a party.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right="280" w:firstLine="8"/>
        <w:spacing w:after="0" w:line="277"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7" w:right="359" w:bottom="1440" w:gutter="0" w:footer="0" w:header="0"/>
        </w:sectPr>
      </w:pPr>
    </w:p>
    <w:bookmarkStart w:id="135" w:name="page136"/>
    <w:bookmarkEnd w:id="135"/>
    <w:p>
      <w:pPr>
        <w:spacing w:after="0" w:line="204" w:lineRule="exact"/>
        <w:rPr>
          <w:sz w:val="20"/>
          <w:szCs w:val="20"/>
          <w:color w:val="auto"/>
        </w:rPr>
      </w:pPr>
    </w:p>
    <w:p>
      <w:pPr>
        <w:ind w:right="320" w:firstLine="648"/>
        <w:spacing w:after="0" w:line="343"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Frustration of Closing Conditions</w:t>
      </w:r>
      <w:r>
        <w:rPr>
          <w:rFonts w:ascii="Arial" w:cs="Arial" w:eastAsia="Arial" w:hAnsi="Arial"/>
          <w:sz w:val="19"/>
          <w:szCs w:val="19"/>
          <w:color w:val="auto"/>
        </w:rPr>
        <w:t xml:space="preserve">. No party hereto may rely on the failure of any condition set forth in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to be satisfied if such failure was primarily caused by such party’s material breach of its obligations hereunder.</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8</w:t>
      </w:r>
    </w:p>
    <w:p>
      <w:pPr>
        <w:spacing w:after="0" w:line="260" w:lineRule="exact"/>
        <w:rPr>
          <w:sz w:val="20"/>
          <w:szCs w:val="20"/>
          <w:color w:val="auto"/>
        </w:rPr>
      </w:pPr>
    </w:p>
    <w:p>
      <w:pPr>
        <w:ind w:left="5100"/>
        <w:spacing w:after="0"/>
        <w:rPr>
          <w:sz w:val="20"/>
          <w:szCs w:val="20"/>
          <w:color w:val="auto"/>
        </w:rPr>
      </w:pPr>
      <w:r>
        <w:rPr>
          <w:rFonts w:ascii="Arial" w:cs="Arial" w:eastAsia="Arial" w:hAnsi="Arial"/>
          <w:sz w:val="22"/>
          <w:szCs w:val="22"/>
          <w:u w:val="single" w:color="auto"/>
          <w:color w:val="auto"/>
        </w:rPr>
        <w:t>Termination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at any time prior to the Closing Date:</w:t>
      </w:r>
    </w:p>
    <w:p>
      <w:pPr>
        <w:spacing w:after="0" w:line="220" w:lineRule="exact"/>
        <w:rPr>
          <w:sz w:val="20"/>
          <w:szCs w:val="20"/>
          <w:color w:val="auto"/>
        </w:rPr>
      </w:pPr>
    </w:p>
    <w:p>
      <w:pPr>
        <w:ind w:left="1300" w:hanging="644"/>
        <w:spacing w:after="0"/>
        <w:tabs>
          <w:tab w:leader="none" w:pos="13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by the mutual written agreement of the Company, Carlyle and Investor;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by Investor, Carlyle or the Company by notice to the other parties, if:</w:t>
      </w:r>
    </w:p>
    <w:p>
      <w:pPr>
        <w:spacing w:after="0" w:line="219" w:lineRule="exact"/>
        <w:rPr>
          <w:rFonts w:ascii="Arial" w:cs="Arial" w:eastAsia="Arial" w:hAnsi="Arial"/>
          <w:sz w:val="22"/>
          <w:szCs w:val="22"/>
          <w:color w:val="auto"/>
        </w:rPr>
      </w:pPr>
    </w:p>
    <w:p>
      <w:pPr>
        <w:jc w:val="both"/>
        <w:ind w:left="660" w:right="20" w:firstLine="644"/>
        <w:spacing w:after="0" w:line="288" w:lineRule="auto"/>
        <w:tabs>
          <w:tab w:leader="none" w:pos="1944" w:val="left"/>
        </w:tabs>
        <w:numPr>
          <w:ilvl w:val="2"/>
          <w:numId w:val="135"/>
        </w:numPr>
        <w:rPr>
          <w:rFonts w:ascii="Arial" w:cs="Arial" w:eastAsia="Arial" w:hAnsi="Arial"/>
          <w:sz w:val="19"/>
          <w:szCs w:val="19"/>
          <w:color w:val="auto"/>
        </w:rPr>
      </w:pPr>
      <w:r>
        <w:rPr>
          <w:rFonts w:ascii="Arial" w:cs="Arial" w:eastAsia="Arial" w:hAnsi="Arial"/>
          <w:sz w:val="19"/>
          <w:szCs w:val="19"/>
          <w:color w:val="auto"/>
        </w:rPr>
        <w:t>the Closing shall not have been consummated on or before the close of business on the earlier of (x) the date that is nine (9) months following the date of the SPAC Definitive Agreements or (y) if an Alternative Transaction Election has been made, the date that is nine (9) months following the date of the Alternative Transaction Election (</w:t>
      </w:r>
      <w:r>
        <w:rPr>
          <w:rFonts w:ascii="Arial" w:cs="Arial" w:eastAsia="Arial" w:hAnsi="Arial"/>
          <w:sz w:val="19"/>
          <w:szCs w:val="19"/>
          <w:u w:val="single" w:color="auto"/>
          <w:color w:val="auto"/>
        </w:rPr>
        <w:t>clause</w:t>
      </w:r>
    </w:p>
    <w:p>
      <w:pPr>
        <w:ind w:left="660" w:hanging="4"/>
        <w:spacing w:after="0" w:line="285" w:lineRule="auto"/>
        <w:tabs>
          <w:tab w:leader="none" w:pos="966" w:val="left"/>
        </w:tabs>
        <w:numPr>
          <w:ilvl w:val="1"/>
          <w:numId w:val="136"/>
        </w:numPr>
        <w:rPr>
          <w:rFonts w:ascii="Arial" w:cs="Arial" w:eastAsia="Arial" w:hAnsi="Arial"/>
          <w:sz w:val="19"/>
          <w:szCs w:val="19"/>
          <w:u w:val="single" w:color="auto"/>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(y)</w:t>
      </w:r>
      <w:r>
        <w:rPr>
          <w:rFonts w:ascii="Arial" w:cs="Arial" w:eastAsia="Arial" w:hAnsi="Arial"/>
          <w:sz w:val="19"/>
          <w:szCs w:val="19"/>
          <w:color w:val="auto"/>
        </w:rPr>
        <w:t>, as applicable, the “</w:t>
      </w:r>
      <w:r>
        <w:rPr>
          <w:rFonts w:ascii="Arial" w:cs="Arial" w:eastAsia="Arial" w:hAnsi="Arial"/>
          <w:sz w:val="19"/>
          <w:szCs w:val="19"/>
          <w:u w:val="single" w:color="auto"/>
          <w:color w:val="auto"/>
        </w:rPr>
        <w:t>Initial End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on the Initial End Date any of the conditions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(but for the purposes of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only to the extent related to any Competition Law) shall not have been satisfied but all other conditions set forth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shall have been satisfied or waived or shall then be capable of being satisfied, then the Initial End Date shall be automatically extended to the date that is three (3) months following the Initial End Date (the “</w:t>
      </w:r>
      <w:r>
        <w:rPr>
          <w:rFonts w:ascii="Arial" w:cs="Arial" w:eastAsia="Arial" w:hAnsi="Arial"/>
          <w:sz w:val="19"/>
          <w:szCs w:val="19"/>
          <w:u w:val="single" w:color="auto"/>
          <w:color w:val="auto"/>
        </w:rPr>
        <w:t>Second End Date</w:t>
      </w:r>
      <w:r>
        <w:rPr>
          <w:rFonts w:ascii="Arial" w:cs="Arial" w:eastAsia="Arial" w:hAnsi="Arial"/>
          <w:sz w:val="19"/>
          <w:szCs w:val="19"/>
          <w:color w:val="auto"/>
        </w:rPr>
        <w:t>”). As used in this Agreement, the term “</w:t>
      </w:r>
      <w:r>
        <w:rPr>
          <w:rFonts w:ascii="Arial" w:cs="Arial" w:eastAsia="Arial" w:hAnsi="Arial"/>
          <w:sz w:val="19"/>
          <w:szCs w:val="19"/>
          <w:u w:val="single" w:color="auto"/>
          <w:color w:val="auto"/>
        </w:rPr>
        <w:t>End Date</w:t>
      </w:r>
      <w:r>
        <w:rPr>
          <w:rFonts w:ascii="Arial" w:cs="Arial" w:eastAsia="Arial" w:hAnsi="Arial"/>
          <w:sz w:val="19"/>
          <w:szCs w:val="19"/>
          <w:color w:val="auto"/>
        </w:rPr>
        <w:t xml:space="preserve">” shall mean the Initial End Date, unless extended pursuant to the foregoing sentence, in which case, the term “End Date” shall mean the Second End Date. Notwithstanding the foregoing, the right to terminate this Agreement pursuant to this </w:t>
      </w:r>
      <w:r>
        <w:rPr>
          <w:rFonts w:ascii="Arial" w:cs="Arial" w:eastAsia="Arial" w:hAnsi="Arial"/>
          <w:sz w:val="19"/>
          <w:szCs w:val="19"/>
          <w:u w:val="single" w:color="auto"/>
          <w:color w:val="auto"/>
        </w:rPr>
        <w:t>Section 8.1(b)(i)</w:t>
      </w:r>
      <w:r>
        <w:rPr>
          <w:rFonts w:ascii="Arial" w:cs="Arial" w:eastAsia="Arial" w:hAnsi="Arial"/>
          <w:sz w:val="19"/>
          <w:szCs w:val="19"/>
          <w:color w:val="auto"/>
        </w:rPr>
        <w:t xml:space="preserve"> shall not be available to (x) Investor, if Investor’s material breach or violation of any covenant or obligation contained in this Agreement is the primary cause of the failure of the Closing to be consummated by the End Date or (y) Carlyle or the Company, if Carlyle’s or the Company’s material breach or violation of any covenant or obligation contained in this Agreement is the primary cause of the failure of the Closing to be consummated by the End Date; or</w:t>
      </w:r>
    </w:p>
    <w:p>
      <w:pPr>
        <w:spacing w:after="0" w:line="165" w:lineRule="exact"/>
        <w:rPr>
          <w:rFonts w:ascii="Arial" w:cs="Arial" w:eastAsia="Arial" w:hAnsi="Arial"/>
          <w:sz w:val="19"/>
          <w:szCs w:val="19"/>
          <w:u w:val="single" w:color="auto"/>
          <w:color w:val="auto"/>
        </w:rPr>
      </w:pPr>
    </w:p>
    <w:p>
      <w:pPr>
        <w:ind w:left="660" w:right="60" w:firstLine="644"/>
        <w:spacing w:after="0" w:line="248" w:lineRule="auto"/>
        <w:tabs>
          <w:tab w:leader="none" w:pos="195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 xml:space="preserve">any injunction, order or decree of any Governmental Authority having competent jurisdiction permanently enjoining the Company, Carlyle or Investor from consummating the Closing is entered and such injunction, order or decree shall have become final and nonappealable;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party hereto seeking to terminate this Agreement pursuant to this </w:t>
      </w:r>
      <w:r>
        <w:rPr>
          <w:rFonts w:ascii="Arial" w:cs="Arial" w:eastAsia="Arial" w:hAnsi="Arial"/>
          <w:sz w:val="22"/>
          <w:szCs w:val="22"/>
          <w:u w:val="single" w:color="auto"/>
          <w:color w:val="auto"/>
        </w:rPr>
        <w:t>Section 8.1(b)(ii)(B)</w:t>
      </w:r>
      <w:r>
        <w:rPr>
          <w:rFonts w:ascii="Arial" w:cs="Arial" w:eastAsia="Arial" w:hAnsi="Arial"/>
          <w:sz w:val="22"/>
          <w:szCs w:val="22"/>
          <w:color w:val="auto"/>
        </w:rPr>
        <w:t xml:space="preserve"> shall have used reasonable best efforts to remove such injunction, order or decree in accordance with </w:t>
      </w:r>
      <w:r>
        <w:rPr>
          <w:rFonts w:ascii="Arial" w:cs="Arial" w:eastAsia="Arial" w:hAnsi="Arial"/>
          <w:sz w:val="22"/>
          <w:szCs w:val="22"/>
          <w:u w:val="single" w:color="auto"/>
          <w:color w:val="auto"/>
        </w:rPr>
        <w:t>Section 5.2(b)</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right="160" w:firstLine="656"/>
        <w:spacing w:after="0" w:line="253" w:lineRule="auto"/>
        <w:tabs>
          <w:tab w:leader="none" w:pos="1293" w:val="left"/>
        </w:tabs>
        <w:numPr>
          <w:ilvl w:val="1"/>
          <w:numId w:val="137"/>
        </w:numPr>
        <w:rPr>
          <w:rFonts w:ascii="Arial" w:cs="Arial" w:eastAsia="Arial" w:hAnsi="Arial"/>
          <w:sz w:val="22"/>
          <w:szCs w:val="22"/>
          <w:color w:val="auto"/>
        </w:rPr>
      </w:pPr>
      <w:r>
        <w:rPr>
          <w:rFonts w:ascii="Arial" w:cs="Arial" w:eastAsia="Arial" w:hAnsi="Arial"/>
          <w:sz w:val="22"/>
          <w:szCs w:val="22"/>
          <w:color w:val="auto"/>
        </w:rPr>
        <w:t>by Investor, upon two (2) days prior written notice to the Company and Carlyle, if a breach of any representation or warranty or failure to perform any covenant or agreement on the part of the Company or Carlyle set forth in this Agreement shall have occurred that would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right="280" w:firstLine="8"/>
        <w:spacing w:after="0" w:line="277"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 xml:space="preserve">cause a condition set forth in </w:t>
      </w:r>
      <w:r>
        <w:rPr>
          <w:rFonts w:ascii="Arial" w:cs="Arial" w:eastAsia="Arial" w:hAnsi="Arial"/>
          <w:sz w:val="21"/>
          <w:szCs w:val="21"/>
          <w:u w:val="single" w:color="auto"/>
          <w:color w:val="auto"/>
        </w:rPr>
        <w:t>Section 7.2(a)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not to be satisfied, and such breach is incapable of being cured or is not cured prior to the earlier of (i) the Business Day prior to the End Date or (ii) the date that is thirty (30) days from the date that the Company and Carlyle are notified in writing by Investor of such breach or failure to perform;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Investor shall not have the right to terminate this Agreement pursuant to this </w:t>
      </w:r>
      <w:r>
        <w:rPr>
          <w:rFonts w:ascii="Arial" w:cs="Arial" w:eastAsia="Arial" w:hAnsi="Arial"/>
          <w:sz w:val="21"/>
          <w:szCs w:val="21"/>
          <w:u w:val="single" w:color="auto"/>
          <w:color w:val="auto"/>
        </w:rPr>
        <w:t>Section 8.1(c)</w:t>
      </w:r>
      <w:r>
        <w:rPr>
          <w:rFonts w:ascii="Arial" w:cs="Arial" w:eastAsia="Arial" w:hAnsi="Arial"/>
          <w:sz w:val="21"/>
          <w:szCs w:val="21"/>
          <w:color w:val="auto"/>
        </w:rPr>
        <w:t xml:space="preserve"> if Investor is then in material breach or violation of its representations, warranties or covenants contained in this Agreement; or</w:t>
      </w:r>
    </w:p>
    <w:p>
      <w:pPr>
        <w:spacing w:after="0" w:line="175" w:lineRule="exact"/>
        <w:rPr>
          <w:sz w:val="20"/>
          <w:szCs w:val="20"/>
          <w:color w:val="auto"/>
        </w:rPr>
      </w:pPr>
    </w:p>
    <w:p>
      <w:pPr>
        <w:ind w:right="20" w:firstLine="656"/>
        <w:spacing w:after="0" w:line="259" w:lineRule="auto"/>
        <w:tabs>
          <w:tab w:leader="none" w:pos="129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by the Company or Carlyle, upon two (2) days prior written notice to Investor, if a breach of any representation or warranty or failure to perform any covenant or agreement on the part of Investor set forth in this Agreement shall have occurred that would cause a condition set forth in </w:t>
      </w:r>
      <w:r>
        <w:rPr>
          <w:rFonts w:ascii="Arial" w:cs="Arial" w:eastAsia="Arial" w:hAnsi="Arial"/>
          <w:sz w:val="21"/>
          <w:szCs w:val="21"/>
          <w:u w:val="single" w:color="auto"/>
          <w:color w:val="auto"/>
        </w:rPr>
        <w:t>Section 7.3(a)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not to be satisfied, and such breach is incapable of being cured or is not cured prior to the earlier of (i) the Business Day prior to the End Date or (ii) the date that is thirty (30) days from the date that Investor is notified in writing by the Company or Carlyle, as applicable, of such breach or failure to perform;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the Company nor Carlyle shall have the right to terminate this Agreement pursuant to this </w:t>
      </w:r>
      <w:r>
        <w:rPr>
          <w:rFonts w:ascii="Arial" w:cs="Arial" w:eastAsia="Arial" w:hAnsi="Arial"/>
          <w:sz w:val="21"/>
          <w:szCs w:val="21"/>
          <w:u w:val="single" w:color="auto"/>
          <w:color w:val="auto"/>
        </w:rPr>
        <w:t>Section 8.1(d)</w:t>
      </w:r>
      <w:r>
        <w:rPr>
          <w:rFonts w:ascii="Arial" w:cs="Arial" w:eastAsia="Arial" w:hAnsi="Arial"/>
          <w:sz w:val="21"/>
          <w:szCs w:val="21"/>
          <w:color w:val="auto"/>
        </w:rPr>
        <w:t xml:space="preserve"> if either the Company or Carlyle is then in material breach or violation of its representations, warranties or covenants contained in this Agreement;</w:t>
      </w:r>
    </w:p>
    <w:p>
      <w:pPr>
        <w:spacing w:after="0" w:line="210" w:lineRule="exact"/>
        <w:rPr>
          <w:rFonts w:ascii="Arial" w:cs="Arial" w:eastAsia="Arial" w:hAnsi="Arial"/>
          <w:sz w:val="21"/>
          <w:szCs w:val="21"/>
          <w:color w:val="auto"/>
        </w:rPr>
      </w:pPr>
    </w:p>
    <w:p>
      <w:pPr>
        <w:ind w:right="140" w:firstLine="656"/>
        <w:spacing w:after="0" w:line="265" w:lineRule="auto"/>
        <w:tabs>
          <w:tab w:leader="none" w:pos="1293"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by Investor, if all of the conditions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have been satisfied or waived (other than those conditions which by their nature cannot be satisfied until the Closing, but which conditions at the time of termination shall be capable of being satisfied) and the Company and Carlyle fail to consummate the Closing within five (5) Business Days following the date on which the Closing should have occurred pursuant to </w:t>
      </w:r>
      <w:r>
        <w:rPr>
          <w:rFonts w:ascii="Arial" w:cs="Arial" w:eastAsia="Arial" w:hAnsi="Arial"/>
          <w:sz w:val="21"/>
          <w:szCs w:val="21"/>
          <w:u w:val="single" w:color="auto"/>
          <w:color w:val="auto"/>
        </w:rPr>
        <w:t>Section 1.1</w:t>
      </w:r>
      <w:r>
        <w:rPr>
          <w:rFonts w:ascii="Arial" w:cs="Arial" w:eastAsia="Arial" w:hAnsi="Arial"/>
          <w:sz w:val="21"/>
          <w:szCs w:val="21"/>
          <w:color w:val="auto"/>
        </w:rPr>
        <w:t>; or</w:t>
      </w:r>
    </w:p>
    <w:p>
      <w:pPr>
        <w:spacing w:after="0" w:line="215" w:lineRule="exact"/>
        <w:rPr>
          <w:rFonts w:ascii="Arial" w:cs="Arial" w:eastAsia="Arial" w:hAnsi="Arial"/>
          <w:sz w:val="21"/>
          <w:szCs w:val="21"/>
          <w:color w:val="auto"/>
        </w:rPr>
      </w:pPr>
    </w:p>
    <w:p>
      <w:pPr>
        <w:jc w:val="both"/>
        <w:ind w:right="180" w:firstLine="656"/>
        <w:spacing w:after="0" w:line="265" w:lineRule="auto"/>
        <w:tabs>
          <w:tab w:leader="none" w:pos="129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by the Company or Carlyle, if all of the conditions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have been satisfied or waived (other than those conditions which by their nature cannot be satisfied until the Closing, but which conditions at the time of termination shall be capable of being satisfied) and Investor fails to consummate the Closing within five (5) Business Days following the date on which the Closing should have occurred pursuant to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17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this Agreement shall become void and of no effect without Liability of any party (or any of its directors, officers, employees, stockholders, Affiliates, agents, successors or assigns) to any other party except as provided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(nor any provision of this Agreement) shall relieve any party from Liability for any damages for Willful Breach of this Agreement prior to such termination (which, for the avoidance of doubt, shall be deemed to include the failure by Investor to consummate the Closing if it is obligated to do so hereunder following the satisfaction or waiver of all of the conditions set forth in </w:t>
      </w:r>
      <w:r>
        <w:rPr>
          <w:rFonts w:ascii="Arial" w:cs="Arial" w:eastAsia="Arial" w:hAnsi="Arial"/>
          <w:sz w:val="19"/>
          <w:szCs w:val="19"/>
          <w:u w:val="single" w:color="auto"/>
          <w:color w:val="auto"/>
        </w:rPr>
        <w:t>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60" w:firstLine="8"/>
        <w:spacing w:after="0" w:line="277"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and the Confidentiality Agreement shall survive any termination hereof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75"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Article 9</w:t>
      </w:r>
    </w:p>
    <w:p>
      <w:pPr>
        <w:spacing w:after="0" w:line="260"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Certain Terms</w:t>
      </w:r>
      <w:r>
        <w:rPr>
          <w:rFonts w:ascii="Arial" w:cs="Arial" w:eastAsia="Arial" w:hAnsi="Arial"/>
          <w:sz w:val="22"/>
          <w:szCs w:val="22"/>
          <w:color w:val="auto"/>
        </w:rPr>
        <w:t>. The following terms have the respective meanings given to them below:</w:t>
      </w:r>
    </w:p>
    <w:p>
      <w:pPr>
        <w:spacing w:after="0" w:line="220"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 DLC Non-Consumer Messaging Business</w:t>
      </w:r>
      <w:r>
        <w:rPr>
          <w:rFonts w:ascii="Arial" w:cs="Arial" w:eastAsia="Arial" w:hAnsi="Arial"/>
          <w:sz w:val="22"/>
          <w:szCs w:val="22"/>
          <w:color w:val="auto"/>
        </w:rPr>
        <w:t>” means the Company and its Subsidiaries’ business that provides 10 DLC Services.</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 DLC Services</w:t>
      </w:r>
      <w:r>
        <w:rPr>
          <w:rFonts w:ascii="Arial" w:cs="Arial" w:eastAsia="Arial" w:hAnsi="Arial"/>
          <w:sz w:val="22"/>
          <w:szCs w:val="22"/>
          <w:color w:val="auto"/>
        </w:rPr>
        <w:t>” means the provision of a hosted network service that supports the two-way delivery of mobile-originated and mobile-terminated SMS and MMS messages between Non-Consumers and Consumers using traditional 10-digit telephone numbers.</w:t>
      </w:r>
    </w:p>
    <w:p>
      <w:pPr>
        <w:spacing w:after="0" w:line="185" w:lineRule="exact"/>
        <w:rPr>
          <w:sz w:val="20"/>
          <w:szCs w:val="20"/>
          <w:color w:val="auto"/>
        </w:rPr>
      </w:pPr>
    </w:p>
    <w:p>
      <w:pPr>
        <w:ind w:right="80"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A2P Messaging Business</w:t>
      </w:r>
      <w:r>
        <w:rPr>
          <w:rFonts w:ascii="Arial" w:cs="Arial" w:eastAsia="Arial" w:hAnsi="Arial"/>
          <w:sz w:val="22"/>
          <w:szCs w:val="22"/>
          <w:color w:val="auto"/>
        </w:rPr>
        <w:t>” means the Company’s and its Subsidiaries’ business that (i) within the United States and Canada provides a hosted network service that supports the use of Short Codes for one-way and two-way delivery of mobile-originated and mobile-terminated SMS and MMS messages to the Company- and its Subsidiaries-supported MNOs for delivery to subscriber wireless devices and (ii) outside North America provides a hosted network service that supports one-way and two-way delivery of mobile-originated and mobile-terminated Long Code SMS and MMS messages to the Company- and its Subsidiaries -supported MNOs for delivery to subscriber wireless devices using connections designated as A2P connections by such MNOs.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5.15</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for purposes of this Agreement, (a) neither the Investor nor Carlyle nor any of their respective Affiliates (other than the Company and its Subsidiaries) shall be deemed Affiliates of the Company and its Subsidiaries and (b) neither the Company nor any of its Subsidiaries shall be deemed Affiliates of Investor or Carlyle.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Reduction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Transaction</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firstLine="8"/>
        <w:spacing w:after="0" w:line="277" w:lineRule="auto"/>
        <w:tabs>
          <w:tab w:leader="none" w:pos="2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40"/>
          </w:cols>
          <w:pgMar w:left="320" w:top="1440" w:right="439" w:bottom="1440" w:gutter="0" w:footer="0" w:header="0"/>
        </w:sectPr>
      </w:pPr>
    </w:p>
    <w:bookmarkStart w:id="138" w:name="page139"/>
    <w:bookmarkEnd w:id="13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Transaction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Transaction Election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Transaction Refinancing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the Wholesale Agreement and the Stockholders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Transferred Entity Employee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Barracuda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a Saturday, (b) a Sunday or (c) any other day on which commercial banks are authorized or required by law to be closed in the City of New York.</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Enterprise Messaging Business</w:t>
      </w:r>
      <w:r>
        <w:rPr>
          <w:rFonts w:ascii="Arial" w:cs="Arial" w:eastAsia="Arial" w:hAnsi="Arial"/>
          <w:sz w:val="21"/>
          <w:szCs w:val="21"/>
          <w:color w:val="auto"/>
        </w:rPr>
        <w:t>” means the Company and its Subsidiaries’ business that provides a white-label managed solution to enable its customers to provide network based messaging services to their enterprise customers through the Company’s and its Subsidiaries’ multi-channel SMS notification and mobile application offerings.</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CARES Act</w:t>
      </w:r>
      <w:r>
        <w:rPr>
          <w:rFonts w:ascii="Arial" w:cs="Arial" w:eastAsia="Arial" w:hAnsi="Arial"/>
          <w:sz w:val="21"/>
          <w:szCs w:val="21"/>
          <w:color w:val="auto"/>
        </w:rPr>
        <w:t>” means the Coronavirus Aid, Relief and Economic Security Act, as signed into law by the President of the United States on March 27, 2020 and any administrative or other guidance published with respect thereto by any Governmental Authority (including IRS Notices 2020-22 and 2020-65), or any other Law or executive order or executive memorandum (including the Memorandum on Deferring Payroll Tax Obligations in Light of the Ongoing COVID-19 Disaster, dated August 8, 2020) intended to address the consequences of COVID-19 (in each case, including any comparable provisions of state, local or non-U.S. Law and including any related or similar orders or declarations from any Governmental Authority) and (ii) any extension of, amendment, supplement, correction, revision or similar treatment to any provision of the CARES Act contained in the Consolidated Appropriations Act, 2021, H.R. 133.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Carlyle</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Carlyle Investment Fund</w:t>
      </w:r>
      <w:r>
        <w:rPr>
          <w:rFonts w:ascii="Arial" w:cs="Arial" w:eastAsia="Arial" w:hAnsi="Arial"/>
          <w:sz w:val="22"/>
          <w:szCs w:val="22"/>
          <w:color w:val="auto"/>
        </w:rPr>
        <w:t>” means any investment vehicle or account managed or advised by Carlyle.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firstLine="8"/>
        <w:spacing w:after="0" w:line="277"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40"/>
          </w:cols>
          <w:pgMar w:left="320" w:top="1427" w:right="439" w:bottom="1440" w:gutter="0" w:footer="0" w:header="0"/>
        </w:sectPr>
      </w:pPr>
    </w:p>
    <w:bookmarkStart w:id="139" w:name="page140"/>
    <w:bookmarkEnd w:id="13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Carriers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Carrier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CBA</w:t>
      </w:r>
      <w:r>
        <w:rPr>
          <w:rFonts w:ascii="Arial" w:cs="Arial" w:eastAsia="Arial" w:hAnsi="Arial"/>
          <w:sz w:val="22"/>
          <w:szCs w:val="22"/>
          <w:color w:val="auto"/>
        </w:rPr>
        <w:t>” means any collective bargaining agreement or other contract with any labor union, works council or labor organization.</w:t>
      </w:r>
    </w:p>
    <w:p>
      <w:pPr>
        <w:spacing w:after="0" w:line="175"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CIM</w:t>
      </w:r>
      <w:r>
        <w:rPr>
          <w:rFonts w:ascii="Arial" w:cs="Arial" w:eastAsia="Arial" w:hAnsi="Arial"/>
          <w:sz w:val="22"/>
          <w:szCs w:val="22"/>
          <w:color w:val="auto"/>
        </w:rPr>
        <w:t>” means Carlyle Investment Management L.L.C. together with its Affiliates (including Carlyle). The term “CIM” shall be deemed not to include any portfolio company of any Carlyle Investment Fund (including the Company and its Subsidiaries).</w:t>
      </w:r>
    </w:p>
    <w:p>
      <w:pPr>
        <w:spacing w:after="0" w:line="185"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Clayton Act</w:t>
      </w:r>
      <w:r>
        <w:rPr>
          <w:rFonts w:ascii="Arial" w:cs="Arial" w:eastAsia="Arial" w:hAnsi="Arial"/>
          <w:sz w:val="22"/>
          <w:szCs w:val="22"/>
          <w:color w:val="auto"/>
        </w:rPr>
        <w:t>” means the Clayton Antitrust Act of 1914, as amended, and the rules and regulations promulgated thereunder, as the same may be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Leakage</w:t>
      </w:r>
      <w:r>
        <w:rPr>
          <w:rFonts w:ascii="Arial" w:cs="Arial" w:eastAsia="Arial" w:hAnsi="Arial"/>
          <w:sz w:val="22"/>
          <w:szCs w:val="22"/>
          <w:color w:val="auto"/>
        </w:rPr>
        <w:t>” means the amount of any Leakage that has occurred after November 30, 2020 and through immediately prior to the Closing.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Commingled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5.8(b)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Benefit Plan</w:t>
      </w:r>
      <w:r>
        <w:rPr>
          <w:rFonts w:ascii="Arial" w:cs="Arial" w:eastAsia="Arial" w:hAnsi="Arial"/>
          <w:sz w:val="19"/>
          <w:szCs w:val="19"/>
          <w:color w:val="auto"/>
        </w:rPr>
        <w:t>” means each benefit or compensation plan, scheme, program, policy, arrangement and contract (including any “employee benefit plan,” as defined in Section 3(3) of ERISA, whether or not subject to ERISA), and any bonus, deferred compensation, stock bonus, stock ownership, stock purchase, restricted stock, stock option, phantom stock or other equity or equity-based arrangement, and any employment, termination, retention, incentive, bonus, change in control or severance plan, program, policy, arrangement or contract that is sponsored, maintained or contributed to by the Company or any of its Subsidiaries for the benefit of any current or former officer, employee or director of the Company or any of its Subsidiaries, or with respect to which the Company or any of its Subsidiaries has or could reasonably expect to have any Liability (including on account of an ERISA Affiliate), but shall exclude any such plan, program, policy, agreement or other arrangement required by applicable Law that is sponsored or maintained by a Governmental Authority or that is a Multiemployer Plan.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Designated Accounts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firstLine="8"/>
        <w:spacing w:after="0" w:line="277" w:lineRule="auto"/>
        <w:tabs>
          <w:tab w:leader="none" w:pos="2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7" w:right="379" w:bottom="1440" w:gutter="0" w:footer="0" w:header="0"/>
        </w:sectPr>
      </w:pPr>
    </w:p>
    <w:bookmarkStart w:id="140" w:name="page141"/>
    <w:bookmarkEnd w:id="140"/>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Disclosure Letter</w:t>
      </w:r>
      <w:r>
        <w:rPr>
          <w:rFonts w:ascii="Arial" w:cs="Arial" w:eastAsia="Arial" w:hAnsi="Arial"/>
          <w:sz w:val="22"/>
          <w:szCs w:val="22"/>
          <w:color w:val="auto"/>
        </w:rPr>
        <w:t>” means the letter, dated as of the date hereof, delivered by the Company to Investor prior to the execution of this Agreement and identified as the Company Disclosure Letter.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Equity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20"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Fundamental Representations”</w:t>
      </w:r>
      <w:r>
        <w:rPr>
          <w:rFonts w:ascii="Arial" w:cs="Arial" w:eastAsia="Arial" w:hAnsi="Arial"/>
          <w:sz w:val="22"/>
          <w:szCs w:val="22"/>
          <w:color w:val="auto"/>
        </w:rPr>
        <w:t xml:space="preserve"> means the first sentence of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2.19</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Related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Company-Side Party</w:t>
      </w:r>
      <w:r>
        <w:rPr>
          <w:rFonts w:ascii="Arial" w:cs="Arial" w:eastAsia="Arial" w:hAnsi="Arial"/>
          <w:sz w:val="22"/>
          <w:szCs w:val="22"/>
          <w:color w:val="auto"/>
        </w:rPr>
        <w:t xml:space="preserve">” has meaning set forth in </w:t>
      </w:r>
      <w:r>
        <w:rPr>
          <w:rFonts w:ascii="Arial" w:cs="Arial" w:eastAsia="Arial" w:hAnsi="Arial"/>
          <w:sz w:val="22"/>
          <w:szCs w:val="22"/>
          <w:u w:val="single" w:color="auto"/>
          <w:color w:val="auto"/>
        </w:rPr>
        <w:t>Section 10.11</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Competition Laws</w:t>
      </w:r>
      <w:r>
        <w:rPr>
          <w:rFonts w:ascii="Arial" w:cs="Arial" w:eastAsia="Arial" w:hAnsi="Arial"/>
          <w:sz w:val="22"/>
          <w:szCs w:val="22"/>
          <w:color w:val="auto"/>
        </w:rPr>
        <w:t>” means the HSR Act (and any similar Law regarding pre-acquisition notifications for the purpose of competition reviews), the Sherman Act, as amended, the Clayton Act, as amended, the Federal Trade Commission Act, as amended, and all other Laws that are designed or intended to prohibit, restrict or regulate actions or transactions having the purpose or effect of monopolization or restraint of trade or lessening of competition through merger or acquisition or effectuating foreign investment.</w:t>
      </w:r>
    </w:p>
    <w:p>
      <w:pPr>
        <w:spacing w:after="0" w:line="19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dated as of July 15, 2020, by and between Investor and Syniverse Technologies, LLC.</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 Ratio</w:t>
      </w:r>
      <w:r>
        <w:rPr>
          <w:rFonts w:ascii="Arial" w:cs="Arial" w:eastAsia="Arial" w:hAnsi="Arial"/>
          <w:sz w:val="19"/>
          <w:szCs w:val="19"/>
          <w:color w:val="auto"/>
        </w:rPr>
        <w:t xml:space="preserve">” means, as of any date of determination, the ratio of (a)(i) Consolidated Total Indebtedness (as defined in the First Lien Credit Agreement) of (A) in the event that an Alternative Transaction Election has been made and Investor has made a Ring-Fencing Election in accordance with </w:t>
      </w:r>
      <w:r>
        <w:rPr>
          <w:rFonts w:ascii="Arial" w:cs="Arial" w:eastAsia="Arial" w:hAnsi="Arial"/>
          <w:sz w:val="19"/>
          <w:szCs w:val="19"/>
          <w:u w:val="single" w:color="auto"/>
          <w:color w:val="auto"/>
        </w:rPr>
        <w:t>Section 5.7(b)(i)</w:t>
      </w:r>
      <w:r>
        <w:rPr>
          <w:rFonts w:ascii="Arial" w:cs="Arial" w:eastAsia="Arial" w:hAnsi="Arial"/>
          <w:sz w:val="19"/>
          <w:szCs w:val="19"/>
          <w:color w:val="auto"/>
        </w:rPr>
        <w:t xml:space="preserve">, the Remaining Business after giving pro forma effect to the Pre-Closing Steps and the incurrence of indebtedness referred to in </w:t>
      </w:r>
      <w:r>
        <w:rPr>
          <w:rFonts w:ascii="Arial" w:cs="Arial" w:eastAsia="Arial" w:hAnsi="Arial"/>
          <w:sz w:val="19"/>
          <w:szCs w:val="19"/>
          <w:u w:val="single" w:color="auto"/>
          <w:color w:val="auto"/>
        </w:rPr>
        <w:t>Section 5.10(b)</w:t>
      </w:r>
      <w:r>
        <w:rPr>
          <w:rFonts w:ascii="Arial" w:cs="Arial" w:eastAsia="Arial" w:hAnsi="Arial"/>
          <w:sz w:val="19"/>
          <w:szCs w:val="19"/>
          <w:color w:val="auto"/>
        </w:rPr>
        <w:t xml:space="preserve"> or (B) in any other event, the Company and its Subsidiaries;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amount of unrestricted cash and Cash Equivalents (as defined in the First Lien Credit Agreement) that would be stated on the balance sheet of and held by the Remaining Business or the Company and its Subsidiaries, as applicable, as of such date of determination to (b) the consolidated EBITDA (as defined in the First Lien Credit Agreement) of the Remaining Business or the Company and its Subsidiaries, as applicable, for the most recently ended twelve fiscal months (or, in the case of any period ending after November 30, 2021, for the most recently ended four (4) full fiscal quarters) for which internal financial statements are available (or, if earlier, were required to be delivered pursuant to the Credit Facilities) immediately preceding the date of determination.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Consumer</w:t>
      </w:r>
      <w:r>
        <w:rPr>
          <w:rFonts w:ascii="Arial" w:cs="Arial" w:eastAsia="Arial" w:hAnsi="Arial"/>
          <w:sz w:val="19"/>
          <w:szCs w:val="19"/>
          <w:color w:val="auto"/>
        </w:rPr>
        <w:t>” means an individual person who subscribes to a wireless messaging service or messaging application.</w:t>
      </w:r>
    </w:p>
    <w:p>
      <w:pPr>
        <w:spacing w:after="0" w:line="254" w:lineRule="exact"/>
        <w:rPr>
          <w:sz w:val="20"/>
          <w:szCs w:val="20"/>
          <w:color w:val="auto"/>
        </w:rPr>
      </w:pPr>
    </w:p>
    <w:p>
      <w:pPr>
        <w:ind w:right="6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Person</w:t>
      </w:r>
      <w:r>
        <w:rPr>
          <w:rFonts w:ascii="Arial" w:cs="Arial" w:eastAsia="Arial" w:hAnsi="Arial"/>
          <w:sz w:val="21"/>
          <w:szCs w:val="21"/>
          <w:color w:val="auto"/>
        </w:rPr>
        <w:t>” means any former, current or future Affiliate of a Person and any Person’s and its Affiliates’ respective former, current or future officers, directors, shareholders, general or limited partners, members, employees, representatives or agents (in each case, other than the foregoing that is also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firstLine="8"/>
        <w:spacing w:after="0" w:line="277"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7" w:right="359" w:bottom="1440" w:gutter="0" w:footer="0" w:header="0"/>
        </w:sectPr>
      </w:pPr>
    </w:p>
    <w:bookmarkStart w:id="141" w:name="page142"/>
    <w:bookmarkEnd w:id="141"/>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COVID-19</w:t>
      </w:r>
      <w:r>
        <w:rPr>
          <w:rFonts w:ascii="Arial" w:cs="Arial" w:eastAsia="Arial" w:hAnsi="Arial"/>
          <w:sz w:val="21"/>
          <w:szCs w:val="21"/>
          <w:color w:val="auto"/>
        </w:rPr>
        <w:t>” means SARS-CoV-2 (severe acute respiratory syndrome coronavirus 2), coronavirus disease, or COVID-19, and any evolutions or mutations thereof or related or associated epidemics, pandemic or disease outbreaks.</w:t>
      </w:r>
    </w:p>
    <w:p>
      <w:pPr>
        <w:spacing w:after="0" w:line="151" w:lineRule="exact"/>
        <w:rPr>
          <w:sz w:val="20"/>
          <w:szCs w:val="20"/>
          <w:color w:val="auto"/>
        </w:rPr>
      </w:pPr>
    </w:p>
    <w:p>
      <w:pPr>
        <w:ind w:right="12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COVID-19 Measures</w:t>
      </w:r>
      <w:r>
        <w:rPr>
          <w:rFonts w:ascii="Arial" w:cs="Arial" w:eastAsia="Arial" w:hAnsi="Arial"/>
          <w:sz w:val="21"/>
          <w:szCs w:val="21"/>
          <w:color w:val="auto"/>
        </w:rPr>
        <w:t>” means, in response to COVID-19, any workforce reduction or the compliance with any quarantine, “shelter in place,” “stay at home,” social distancing, shut down, closure, sequester, safety or similar Law, directive, guidelines or recommendations promulgated by any industry group or any Governmental Authority, including the Centers for Disease Control and Prevention and the World Health Organization, in each case, in connection with, related to or in response to COVID-19, including the CARES Act and Families First Act or any disaster plan of such Person or any change in applicable Laws related to, in connection with or in response to COVID-19.</w:t>
      </w:r>
    </w:p>
    <w:p>
      <w:pPr>
        <w:spacing w:after="0" w:line="17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Facilities</w:t>
      </w:r>
      <w:r>
        <w:rPr>
          <w:rFonts w:ascii="Arial" w:cs="Arial" w:eastAsia="Arial" w:hAnsi="Arial"/>
          <w:sz w:val="19"/>
          <w:szCs w:val="19"/>
          <w:color w:val="auto"/>
        </w:rPr>
        <w:t>” means (a) the Credit Agreement, dated as of April 23, 2012, as amended by the Incremental Commitment Amendment, dated as of June 28, 2013, as further amended by the Second Amendment, dated as of September 23, 2013, as further amended by the Third Amendment, dated as of March 6, 2015, as further amended by the Fourth Amendment, dated as of April 10, 2017, as further amended by the Fifth Amendment, dated as of March 9, 2018, as further amended by the Sixth Amendment, dated as of December 8, 2020 and as further amended, amended and restated, supplemented or otherwise modified from time to time, by and among Syniverse Holdings, Inc. (the “</w:t>
      </w:r>
      <w:r>
        <w:rPr>
          <w:rFonts w:ascii="Arial" w:cs="Arial" w:eastAsia="Arial" w:hAnsi="Arial"/>
          <w:sz w:val="19"/>
          <w:szCs w:val="19"/>
          <w:u w:val="single" w:color="auto"/>
          <w:color w:val="auto"/>
        </w:rPr>
        <w:t>Borrower</w:t>
      </w:r>
      <w:r>
        <w:rPr>
          <w:rFonts w:ascii="Arial" w:cs="Arial" w:eastAsia="Arial" w:hAnsi="Arial"/>
          <w:sz w:val="19"/>
          <w:szCs w:val="19"/>
          <w:color w:val="auto"/>
        </w:rPr>
        <w:t>”), Buccaneer Holdings, LLC (“</w:t>
      </w:r>
      <w:r>
        <w:rPr>
          <w:rFonts w:ascii="Arial" w:cs="Arial" w:eastAsia="Arial" w:hAnsi="Arial"/>
          <w:sz w:val="19"/>
          <w:szCs w:val="19"/>
          <w:u w:val="single" w:color="auto"/>
          <w:color w:val="auto"/>
        </w:rPr>
        <w:t>Holdings</w:t>
      </w:r>
      <w:r>
        <w:rPr>
          <w:rFonts w:ascii="Arial" w:cs="Arial" w:eastAsia="Arial" w:hAnsi="Arial"/>
          <w:sz w:val="19"/>
          <w:szCs w:val="19"/>
          <w:color w:val="auto"/>
        </w:rPr>
        <w:t>”), the lenders from time to time party thereto and Barclays Bank PLC (“</w:t>
      </w:r>
      <w:r>
        <w:rPr>
          <w:rFonts w:ascii="Arial" w:cs="Arial" w:eastAsia="Arial" w:hAnsi="Arial"/>
          <w:sz w:val="19"/>
          <w:szCs w:val="19"/>
          <w:u w:val="single" w:color="auto"/>
          <w:color w:val="auto"/>
        </w:rPr>
        <w:t>Barclays</w:t>
      </w:r>
      <w:r>
        <w:rPr>
          <w:rFonts w:ascii="Arial" w:cs="Arial" w:eastAsia="Arial" w:hAnsi="Arial"/>
          <w:sz w:val="19"/>
          <w:szCs w:val="19"/>
          <w:color w:val="auto"/>
        </w:rPr>
        <w:t>”) as administrative agent (the “</w:t>
      </w:r>
      <w:r>
        <w:rPr>
          <w:rFonts w:ascii="Arial" w:cs="Arial" w:eastAsia="Arial" w:hAnsi="Arial"/>
          <w:sz w:val="19"/>
          <w:szCs w:val="19"/>
          <w:u w:val="single" w:color="auto"/>
          <w:color w:val="auto"/>
        </w:rPr>
        <w:t>First Lien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(b) the Second Lien Credit Agreement, dated as of March 9, 2018, as amended by the First Amendment, dated as of December 8, 2020 and as further amended, amended and restated, supplemented or otherwise modified from time to time, by and among the Borrower, Holdings, the lenders from time to time party thereto and Barclays as administrative agent.</w:t>
      </w:r>
    </w:p>
    <w:p>
      <w:pPr>
        <w:spacing w:after="0" w:line="15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Security Requirements</w:t>
      </w:r>
      <w:r>
        <w:rPr>
          <w:rFonts w:ascii="Arial" w:cs="Arial" w:eastAsia="Arial" w:hAnsi="Arial"/>
          <w:sz w:val="19"/>
          <w:szCs w:val="19"/>
          <w:color w:val="auto"/>
        </w:rPr>
        <w:t>” means, collectively, all of the following to the extent relating to data treatment or otherwise relating to privacy, security, or security breach notification requirements and applicable to the Company or any of its Subsidiaries or to any of the IT Systems or any business data of the Company and its Subsidiaries: (i) the Company’s and its Subsidiaries’ own rules, policies, and procedures; (ii) all applicable laws, rules and regulations (including, as applicable, the General Data Protection Regulation (GDPR) (EU) 2016/679); (iii) industry standards applicable to the industry in which the Company and its Subsidiaries operate (including, if applicable, the Payment Card Industry Data Security Standard (PCI DSS)); and (iv) contracts into which the Company and its Subsidiaries have entered or by which are otherwise bound.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 Minimis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Debevoise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firstLine="8"/>
        <w:spacing w:after="0" w:line="277"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7" w:right="359" w:bottom="1440" w:gutter="0" w:footer="0" w:header="0"/>
        </w:sectPr>
      </w:pPr>
    </w:p>
    <w:bookmarkStart w:id="142" w:name="page143"/>
    <w:bookmarkEnd w:id="142"/>
    <w:p>
      <w:pPr>
        <w:ind w:right="3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Business</w:t>
      </w:r>
      <w:r>
        <w:rPr>
          <w:rFonts w:ascii="Arial" w:cs="Arial" w:eastAsia="Arial" w:hAnsi="Arial"/>
          <w:sz w:val="22"/>
          <w:szCs w:val="22"/>
          <w:color w:val="auto"/>
        </w:rPr>
        <w:t>” means the Company and its Subsidiaries’ enterprise messaging business, which consists of the Company and its Subsidiaries’ (i) A2P Messaging Business, (ii) XMS-IP Messaging Business, (iii) 10 DLC Non-Consumer Messaging Business, (iv) Business Enterprise Messaging Business, (v) Mobile Engagement Business and (vi) Phone Number Verification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Transferred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Transferred Business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Transferred Entities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Transferred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Value</w:t>
      </w:r>
      <w:r>
        <w:rPr>
          <w:rFonts w:ascii="Arial" w:cs="Arial" w:eastAsia="Arial" w:hAnsi="Arial"/>
          <w:sz w:val="22"/>
          <w:szCs w:val="22"/>
          <w:color w:val="auto"/>
        </w:rPr>
        <w:t>” means (a) if an Alternative Transaction Election has not been made, the lesser of (i) $[*] and (ii) the enterprise value of the Company agreed to in the SPAC Definitive Agreements with respect to the SPAC Merger, and (b) if an Alternative Transaction Election has been made, $[*].</w:t>
      </w:r>
    </w:p>
    <w:p>
      <w:pPr>
        <w:spacing w:after="0" w:line="185" w:lineRule="exact"/>
        <w:rPr>
          <w:sz w:val="20"/>
          <w:szCs w:val="20"/>
          <w:color w:val="auto"/>
        </w:rPr>
      </w:pPr>
    </w:p>
    <w:p>
      <w:pPr>
        <w:ind w:right="9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w:t>
      </w:r>
      <w:r>
        <w:rPr>
          <w:rFonts w:ascii="Arial" w:cs="Arial" w:eastAsia="Arial" w:hAnsi="Arial"/>
          <w:sz w:val="21"/>
          <w:szCs w:val="21"/>
          <w:color w:val="auto"/>
        </w:rPr>
        <w:t>” means all Laws in effect as of the Closing Date concerning pollution or protection of the environment, natural resources or human health as it relates to exposure to Hazardous Substances.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each Person that could be treated at a relevant time as a single employer with the Company or any of its Subsidiaries (including any Transferred Entity) pursuant to Section 4001(b) of ERISA or Section 414(b), (c), (m) or (o) of the Code.</w:t>
      </w:r>
    </w:p>
    <w:p>
      <w:pPr>
        <w:spacing w:after="0" w:line="185"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Ex-Im Laws</w:t>
      </w:r>
      <w:r>
        <w:rPr>
          <w:rFonts w:ascii="Arial" w:cs="Arial" w:eastAsia="Arial" w:hAnsi="Arial"/>
          <w:sz w:val="22"/>
          <w:szCs w:val="22"/>
          <w:color w:val="auto"/>
        </w:rPr>
        <w:t>” means all U.S. and non-U.S. Laws relating to export, reexport, transfer, and import controls, including the Export Administration Regulations, the customs and import Laws administered by U.S. Customs and Border Protection, and the EU Dual Use Regulation.</w:t>
      </w:r>
    </w:p>
    <w:p>
      <w:pPr>
        <w:spacing w:after="0" w:line="18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Intellectual Property</w:t>
      </w:r>
      <w:r>
        <w:rPr>
          <w:rFonts w:ascii="Arial" w:cs="Arial" w:eastAsia="Arial" w:hAnsi="Arial"/>
          <w:sz w:val="22"/>
          <w:szCs w:val="22"/>
          <w:color w:val="auto"/>
        </w:rPr>
        <w:t>” means all Intellectual Property owned by the Company or its Subsidiaries that is not Transferred Intellectual Property.</w:t>
      </w:r>
    </w:p>
    <w:p>
      <w:pPr>
        <w:spacing w:after="0" w:line="175"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Families First Act</w:t>
      </w:r>
      <w:r>
        <w:rPr>
          <w:rFonts w:ascii="Arial" w:cs="Arial" w:eastAsia="Arial" w:hAnsi="Arial"/>
          <w:sz w:val="22"/>
          <w:szCs w:val="22"/>
          <w:color w:val="auto"/>
        </w:rPr>
        <w:t>” means the Families First Coronavirus Response Act, as signed into law by the President of the United States on March 18, 2020.</w:t>
      </w:r>
    </w:p>
    <w:p>
      <w:pPr>
        <w:spacing w:after="0" w:line="175"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xml:space="preserve">” means an actual and intentional misrepresentation of a material fact with respect to the making of the representations and warranties (and, for the avoidance of doubt, not constructive fraud, equitable fraud or negligent misrepresentation or omission) (i) in the case of the Company, in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above, (ii) in the case of Carlyle,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above, and (ii) in the case of Investor, in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above.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40" w:firstLine="8"/>
        <w:spacing w:after="0" w:line="277" w:lineRule="auto"/>
        <w:tabs>
          <w:tab w:leader="none" w:pos="2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80"/>
          </w:cols>
          <w:pgMar w:left="320" w:top="1427" w:right="399" w:bottom="1440" w:gutter="0" w:footer="0" w:header="0"/>
        </w:sectPr>
      </w:pPr>
    </w:p>
    <w:bookmarkStart w:id="143" w:name="page144"/>
    <w:bookmarkEnd w:id="143"/>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United States or foreign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public or private arbitral tribunal.</w:t>
      </w:r>
    </w:p>
    <w:p>
      <w:pPr>
        <w:spacing w:after="0" w:line="142" w:lineRule="exact"/>
        <w:rPr>
          <w:sz w:val="20"/>
          <w:szCs w:val="20"/>
          <w:color w:val="auto"/>
        </w:rPr>
      </w:pPr>
    </w:p>
    <w:p>
      <w:pPr>
        <w:ind w:right="5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w:t>
      </w:r>
      <w:r>
        <w:rPr>
          <w:rFonts w:ascii="Arial" w:cs="Arial" w:eastAsia="Arial" w:hAnsi="Arial"/>
          <w:sz w:val="19"/>
          <w:szCs w:val="19"/>
          <w:color w:val="auto"/>
        </w:rPr>
        <w:t>” means any substance or material that is listed, classified or regulated as a “toxic substance,” “hazardous substance,” “hazardous waste” or words of similar meaning or effect under any Environmental Law, including asbestos, asbestos-containing materials, polychlorinated biphenyls, petroleum and petroleum by-products.</w:t>
      </w:r>
    </w:p>
    <w:p>
      <w:pPr>
        <w:spacing w:after="0" w:line="13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 as the same may be amended from time to time.</w:t>
      </w:r>
    </w:p>
    <w:p>
      <w:pPr>
        <w:spacing w:after="0" w:line="175" w:lineRule="exact"/>
        <w:rPr>
          <w:sz w:val="20"/>
          <w:szCs w:val="20"/>
          <w:color w:val="auto"/>
        </w:rPr>
      </w:pPr>
    </w:p>
    <w:p>
      <w:pPr>
        <w:ind w:right="16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In-the-Money Option</w:t>
      </w:r>
      <w:r>
        <w:rPr>
          <w:rFonts w:ascii="Arial" w:cs="Arial" w:eastAsia="Arial" w:hAnsi="Arial"/>
          <w:sz w:val="21"/>
          <w:szCs w:val="21"/>
          <w:color w:val="auto"/>
        </w:rPr>
        <w:t xml:space="preserve">” means any Option (other than any performance-based Option, unless such performance-based Option becomes vested pursuant to its terms at the Closing if the transaction consummated at the Closing constitutes a “Change in Control” for purposes of the special executive award agreement pursuant to which such performance-based Option was granted) that has an exercise price equal to or less than the Per Share Valuation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Option that has an exercise price of $6.50 that will take effect on December 31, 2021, the exercise price of such Option for purposes of this determination shall be deemed to be $6.50.</w:t>
      </w:r>
    </w:p>
    <w:p>
      <w:pPr>
        <w:spacing w:after="0" w:line="179"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Plan</w:t>
      </w:r>
      <w:r>
        <w:rPr>
          <w:rFonts w:ascii="Arial" w:cs="Arial" w:eastAsia="Arial" w:hAnsi="Arial"/>
          <w:sz w:val="22"/>
          <w:szCs w:val="22"/>
          <w:color w:val="auto"/>
        </w:rPr>
        <w:t>” means the Company’s 2011 Equity Incentive Plan, as it may be amended from time to time as approved by the Company’s board of directors.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End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8.1(b)(i)</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and proprietary rights throughout the world, including: all rights in patents and patent applications (including any continuations, divisionals, continuations-in-part, provisional applications, renewals, reissues, and re-examinations); trademarks and service marks, domain names and all other identifiers of source or origin (including all goodwill associated therewith and all registrations and applications therefor) (“</w:t>
      </w:r>
      <w:r>
        <w:rPr>
          <w:rFonts w:ascii="Arial" w:cs="Arial" w:eastAsia="Arial" w:hAnsi="Arial"/>
          <w:sz w:val="19"/>
          <w:szCs w:val="19"/>
          <w:u w:val="single" w:color="auto"/>
          <w:color w:val="auto"/>
        </w:rPr>
        <w:t>Trademarks</w:t>
      </w:r>
      <w:r>
        <w:rPr>
          <w:rFonts w:ascii="Arial" w:cs="Arial" w:eastAsia="Arial" w:hAnsi="Arial"/>
          <w:sz w:val="19"/>
          <w:szCs w:val="19"/>
          <w:color w:val="auto"/>
        </w:rPr>
        <w:t>”); works of authorship; copyrights (and all registrations and applications therefor); rights of privacy and publicity; moral rights; Software and all rights therein; and trade secrets, industrial designs, data, confidential or proprietary information.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Amount</w:t>
      </w:r>
      <w:r>
        <w:rPr>
          <w:rFonts w:ascii="Arial" w:cs="Arial" w:eastAsia="Arial" w:hAnsi="Arial"/>
          <w:sz w:val="22"/>
          <w:szCs w:val="22"/>
          <w:color w:val="auto"/>
        </w:rPr>
        <w:t>” means $750 million.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Percentage</w:t>
      </w:r>
      <w:r>
        <w:rPr>
          <w:rFonts w:ascii="Arial" w:cs="Arial" w:eastAsia="Arial" w:hAnsi="Arial"/>
          <w:sz w:val="19"/>
          <w:szCs w:val="19"/>
          <w:color w:val="auto"/>
        </w:rPr>
        <w:t xml:space="preserve">” means (a) the Purchase Price,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an amount equal to (i) the Enterprise Value, </w:t>
      </w:r>
      <w:r>
        <w:rPr>
          <w:rFonts w:ascii="Arial" w:cs="Arial" w:eastAsia="Arial" w:hAnsi="Arial"/>
          <w:sz w:val="19"/>
          <w:szCs w:val="19"/>
          <w:u w:val="single" w:color="auto"/>
          <w:color w:val="auto"/>
        </w:rPr>
        <w:t>minus</w:t>
      </w:r>
    </w:p>
    <w:p>
      <w:pPr>
        <w:spacing w:after="0" w:line="56" w:lineRule="exact"/>
        <w:rPr>
          <w:sz w:val="20"/>
          <w:szCs w:val="20"/>
          <w:color w:val="auto"/>
        </w:rPr>
      </w:pPr>
    </w:p>
    <w:p>
      <w:pPr>
        <w:ind w:right="280" w:firstLine="8"/>
        <w:spacing w:after="0" w:line="246" w:lineRule="auto"/>
        <w:tabs>
          <w:tab w:leader="none" w:pos="31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Net Indebtedness Amount,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the Purchase Price,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(iv) Closing Date Leakage,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(v) the Option Exercise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firstLine="8"/>
        <w:spacing w:after="0" w:line="277"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7" w:right="379" w:bottom="1440" w:gutter="0" w:footer="0" w:header="0"/>
        </w:sectPr>
      </w:pPr>
    </w:p>
    <w:bookmarkStart w:id="144" w:name="page145"/>
    <w:bookmarkEnd w:id="14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220"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 Systems</w:t>
      </w:r>
      <w:r>
        <w:rPr>
          <w:rFonts w:ascii="Arial" w:cs="Arial" w:eastAsia="Arial" w:hAnsi="Arial"/>
          <w:sz w:val="22"/>
          <w:szCs w:val="22"/>
          <w:color w:val="auto"/>
        </w:rPr>
        <w:t>” means the hardware, software, data, databases, data communication lines, network and telecommunications equipment, Internet-related information technology infrastructure, wide area network and other information technology equipment, owned or leased by or licensed to the Company or its Subsidiaries.</w:t>
      </w:r>
    </w:p>
    <w:p>
      <w:pPr>
        <w:spacing w:after="0" w:line="185"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Company</w:t>
      </w:r>
      <w:r>
        <w:rPr>
          <w:rFonts w:ascii="Arial" w:cs="Arial" w:eastAsia="Arial" w:hAnsi="Arial"/>
          <w:sz w:val="22"/>
          <w:szCs w:val="22"/>
          <w:color w:val="auto"/>
        </w:rPr>
        <w:t xml:space="preserve">” means, as of the date of this agreement, the actual knowledge, without independent investigation (and shall in no event encompass constructively imputed or similar concepts of knowledge) of the individuals set forth on </w:t>
      </w:r>
      <w:r>
        <w:rPr>
          <w:rFonts w:ascii="Arial" w:cs="Arial" w:eastAsia="Arial" w:hAnsi="Arial"/>
          <w:sz w:val="22"/>
          <w:szCs w:val="22"/>
          <w:u w:val="single" w:color="auto"/>
          <w:color w:val="auto"/>
        </w:rPr>
        <w:t>Section 9.1(a)</w:t>
      </w:r>
      <w:r>
        <w:rPr>
          <w:rFonts w:ascii="Arial" w:cs="Arial" w:eastAsia="Arial" w:hAnsi="Arial"/>
          <w:sz w:val="22"/>
          <w:szCs w:val="22"/>
          <w:color w:val="auto"/>
        </w:rPr>
        <w:t xml:space="preserve"> of the Company Disclosure Letter.</w:t>
      </w:r>
    </w:p>
    <w:p>
      <w:pPr>
        <w:spacing w:after="0" w:line="18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 law, act, code, statute, order, ordinance, rule, ruling, regulation, judgment, injunction, award, writ, order or decree.</w:t>
      </w:r>
    </w:p>
    <w:p>
      <w:pPr>
        <w:spacing w:after="0" w:line="175"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Leakage</w:t>
      </w:r>
      <w:r>
        <w:rPr>
          <w:rFonts w:ascii="Arial" w:cs="Arial" w:eastAsia="Arial" w:hAnsi="Arial"/>
          <w:sz w:val="19"/>
          <w:szCs w:val="19"/>
          <w:color w:val="auto"/>
        </w:rPr>
        <w:t xml:space="preserve">” means, other than as constitutes Permitted Leakage, the aggregate value, without duplication, of any (a) cash or noncash payment, dividend or distribution declared, paid or made in respect of (i) any Subsidiary Equity Interests to a Company Related Party or (ii) any Company Equity Interest, (b) cash or noncash payment made or agreed to be made by the Company for the purchase, redemption, repurchase, repayment or acquisition of (i) any Subsidiary Equity Interests to a Company Related Party or (ii) any Company Equity Interest (in each case other than redemptions or repurchases of Option Shares or RSU Shares in the Ordinary Course of Business), (c) transfer, sale, lease or exclusive license of assets, properties or rights of the Company or its Subsidiaries to, or for the benefit of, any Company Related Party (in each case other than commercial agreements between the Company and its Subsidiaries, on the one hand, and portfolio companies of Carlyle and its Affiliates, on the other hand, entered into in the Ordinary Course of Business on an arms’ length basis), (d) any loan, advance or capital contribution to or investment in or for the benefit of any Company Related Party (in each case (x) to the extent not repaid prior to the Closing and (y) other than advances to employees or officers for expenses or to customers in the Ordinary Course of Business and on arms’ length terms), (e) any liabilities or obligations assumed, indemnified or incurred for the benefit of any Company Related Party and any guarantees entered into for the benefit of any Company Related Party, in each case other than (x) pursuant to existing agreements or arrangements in place as of the date hereof and set forth on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of the Company Disclosure Letter or (y) any indemnities provided to customers on arms’ length terms or customary director and officer (including employees) indemnification agreements or arrangements, in each case of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entered into in the Ordinary Course of Business following the date hereof, (f) any payment (or, without duplication, any agreement or commitment to pay, but excluding any grants of RSUs) by the Company or any of its Subsidiaries of transaction bonuses or similar payments to employees in connection with the Closing or otherwise in connection with the transactions contemplated hereby, including any such payments, agreements or commitments made in reliance on Item 1 of </w:t>
      </w:r>
      <w:r>
        <w:rPr>
          <w:rFonts w:ascii="Arial" w:cs="Arial" w:eastAsia="Arial" w:hAnsi="Arial"/>
          <w:sz w:val="19"/>
          <w:szCs w:val="19"/>
          <w:u w:val="single" w:color="auto"/>
          <w:color w:val="auto"/>
        </w:rPr>
        <w:t>Section 5.1(u)</w:t>
      </w:r>
      <w:r>
        <w:rPr>
          <w:rFonts w:ascii="Arial" w:cs="Arial" w:eastAsia="Arial" w:hAnsi="Arial"/>
          <w:sz w:val="19"/>
          <w:szCs w:val="19"/>
          <w:color w:val="auto"/>
        </w:rPr>
        <w:t xml:space="preserve"> of the Company Disclosure Letter, (g) any payment (or, without duplication, any agreement or commitment to pay, but excluding any grants of RSUs) by the Company or any of its Subsidiaries of discretionary bonuses to employees of the Company and its Subsidiaries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80" w:firstLine="8"/>
        <w:spacing w:after="0" w:line="27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7" w:right="359" w:bottom="1440" w:gutter="0" w:footer="0" w:header="0"/>
        </w:sectPr>
      </w:pPr>
    </w:p>
    <w:bookmarkStart w:id="145" w:name="page146"/>
    <w:bookmarkEnd w:id="145"/>
    <w:p>
      <w:pPr>
        <w:ind w:right="260"/>
        <w:spacing w:after="0" w:line="312" w:lineRule="auto"/>
        <w:rPr>
          <w:sz w:val="20"/>
          <w:szCs w:val="20"/>
          <w:color w:val="auto"/>
        </w:rPr>
      </w:pPr>
      <w:r>
        <w:rPr>
          <w:rFonts w:ascii="Arial" w:cs="Arial" w:eastAsia="Arial" w:hAnsi="Arial"/>
          <w:sz w:val="19"/>
          <w:szCs w:val="19"/>
          <w:color w:val="auto"/>
        </w:rPr>
        <w:t xml:space="preserve">respect of 2020 performance, including any such payments, agreements or commitments made in reliance on Item 2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5.1(u)</w:t>
      </w:r>
      <w:r>
        <w:rPr>
          <w:rFonts w:ascii="Arial" w:cs="Arial" w:eastAsia="Arial" w:hAnsi="Arial"/>
          <w:sz w:val="19"/>
          <w:szCs w:val="19"/>
          <w:color w:val="auto"/>
        </w:rPr>
        <w:t xml:space="preserve"> of the Company Disclosure Letter, or (h) fees, costs, Tax or other amount paid or agreed or required to be paid by the Company or its Subsidiaries as a result of any of the matters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of this definition.</w:t>
      </w:r>
    </w:p>
    <w:p>
      <w:pPr>
        <w:spacing w:after="0" w:line="133"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direct or indirect liability, indebtedness, claim, loss, Tax, damage, deficiency, obligation or responsibility, fixed or unfixed, choate or inchoate, liquidated or unliquidated, secured or unsecured, accrued, absolute, known or unknown, contingent or otherwise.</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property or asset, any mortgage, lien, license, pledge, charge, security interest, lease or encumbrance.</w:t>
      </w:r>
    </w:p>
    <w:p>
      <w:pPr>
        <w:spacing w:after="0" w:line="175"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action, claim, charge, complaint, audit, investigation, cease and desist letter, demand, suit, arbitration proceeding, administrative or regulatory proceeding, citation, summons or subpoena of any nature, civil, criminal, regulatory or otherwise, in law or in equity.</w:t>
      </w:r>
    </w:p>
    <w:p>
      <w:pPr>
        <w:spacing w:after="0" w:line="185"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Code</w:t>
      </w:r>
      <w:r>
        <w:rPr>
          <w:rFonts w:ascii="Arial" w:cs="Arial" w:eastAsia="Arial" w:hAnsi="Arial"/>
          <w:sz w:val="22"/>
          <w:szCs w:val="22"/>
          <w:color w:val="auto"/>
        </w:rPr>
        <w:t>” means a combination of digits to which SMS and MMS messages can be sent and received, that is equivalent to the number of digits found in a nationally defined telephony numbering plan and in fact is part of the nationally defined telephony numbering plan.</w:t>
      </w:r>
    </w:p>
    <w:p>
      <w:pPr>
        <w:spacing w:after="0" w:line="18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Liabilities of any kind, interest and expenses (including reasonable fees and expenses of attorneys, consultants, accountants or other advisors).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change, effect, event or occurrence that, individually or in the aggregate, has had or would reasonably be expected to have a material adverse effect on, the assets, financial condition or results of operations of the Company and its Subsidiaries,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change, effect, event or occurrence resulting from any of the following shall not be considered when determining whether a Material Adverse Effect has occurred: (a) conditions generally affecting the economy or credit, capital and financial markets in the United States or elsewhere in the world, including changes in interest or exchange rates, (b) any general change in or general effect on the industry or in the geographies in which the Company and its Subsidiaries operate, (c) any change in Laws, GAAP, or the enforcement or interpretation thereof, (d) political conditions, including hostilities, acts of war (whether declared or undeclared), cyber-attacks, sabotage, terrorism or military actions, or any escalation or worsening of any of the foregoing, (e) any change resulting from the negotiation, execution, announcement or consummation of the transactions contemplated by this Agreement or the Ancillary Agreements, including any such change relating to the identity of, or facts and circumstances relating to, Investor and including any actions taken by any customers, suppliers or personnel of the Company and its Subsidiaries resulting from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shall not apply to any representation or warranty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to the extent that the purpose of such representation or warranty is to address the consequences resulting from the negotiation, execution, announcement or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0" w:firstLine="8"/>
        <w:spacing w:after="0" w:line="277"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7" w:right="359" w:bottom="1440" w:gutter="0" w:footer="0" w:header="0"/>
        </w:sectPr>
      </w:pPr>
    </w:p>
    <w:bookmarkStart w:id="146" w:name="page147"/>
    <w:bookmarkEnd w:id="146"/>
    <w:p>
      <w:pPr>
        <w:spacing w:after="0" w:line="288" w:lineRule="auto"/>
        <w:rPr>
          <w:sz w:val="20"/>
          <w:szCs w:val="20"/>
          <w:color w:val="auto"/>
        </w:rPr>
      </w:pPr>
      <w:r>
        <w:rPr>
          <w:rFonts w:ascii="Arial" w:cs="Arial" w:eastAsia="Arial" w:hAnsi="Arial"/>
          <w:sz w:val="19"/>
          <w:szCs w:val="19"/>
          <w:color w:val="auto"/>
        </w:rPr>
        <w:t xml:space="preserve">contemplated by this Agreement or the Ancillary Agreements), (f) any hurricane, flood, tornado, earthquake or other natural disaster, (g) any actions expressly required to be taken or omitted pursuant to this Agreement or the Ancillary Agreements, (h) the failure of the Company and its Subsidiaries to achieve any financial projections or forecasts or revenue or earnings predictions (it being understood that for purposes of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the changes or effects giving rise to such failure that are not otherwise excluded from the definition of “Material Adverse Effect” may be taken into account in determining whether there has been a Material Adverse Effect) or (i) COVID-19 or any other epidemic or pandemic;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change or effect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immediately above may be taken into account in determining whether a Material Adverse Effect has occurred or would reasonably be expected to occur to the extent that such change, effect, event or occurrence has a disproportionate effect (but then only to the extent of such disproportionate effect) on the Company and its Subsidiaries relative to other companies in the industries or markets in which the Company and its Subsidiaries operate.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Customer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Vendor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Message Transport and Delivery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Metcalf</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Total Cash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5.6(b)(ii)</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MMS</w:t>
      </w:r>
      <w:r>
        <w:rPr>
          <w:rFonts w:ascii="Arial" w:cs="Arial" w:eastAsia="Arial" w:hAnsi="Arial"/>
          <w:sz w:val="22"/>
          <w:szCs w:val="22"/>
          <w:color w:val="auto"/>
        </w:rPr>
        <w:t>” means Multimedia Message Service, which supports the delivery of two-way messages containing more than one type of media including text, video or pictures.</w:t>
      </w:r>
    </w:p>
    <w:p>
      <w:pPr>
        <w:spacing w:after="0" w:line="175" w:lineRule="exact"/>
        <w:rPr>
          <w:sz w:val="20"/>
          <w:szCs w:val="20"/>
          <w:color w:val="auto"/>
        </w:rPr>
      </w:pPr>
    </w:p>
    <w:p>
      <w:pPr>
        <w:jc w:val="both"/>
        <w:ind w:right="54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MMS-IP Messaging Business</w:t>
      </w:r>
      <w:r>
        <w:rPr>
          <w:rFonts w:ascii="Arial" w:cs="Arial" w:eastAsia="Arial" w:hAnsi="Arial"/>
          <w:sz w:val="19"/>
          <w:szCs w:val="19"/>
          <w:color w:val="auto"/>
        </w:rPr>
        <w:t>” means the Company’s and its Subsidiaries’ business that provides a hosted network service that supports the two-way delivery of mobile-originated and mobile-terminated MMS messages between businesses and/or customers of businesses that are not MNOs and subscribers of MNOs using traditional Long Codes.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MNO</w:t>
      </w:r>
      <w:r>
        <w:rPr>
          <w:rFonts w:ascii="Arial" w:cs="Arial" w:eastAsia="Arial" w:hAnsi="Arial"/>
          <w:sz w:val="19"/>
          <w:szCs w:val="19"/>
          <w:color w:val="auto"/>
        </w:rPr>
        <w:t>” means a mobile network operator that has purchased spectrum and built a network to support cellular service.</w:t>
      </w:r>
    </w:p>
    <w:p>
      <w:pPr>
        <w:spacing w:after="0" w:line="254"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Mobile Engagement Business</w:t>
      </w:r>
      <w:r>
        <w:rPr>
          <w:rFonts w:ascii="Arial" w:cs="Arial" w:eastAsia="Arial" w:hAnsi="Arial"/>
          <w:sz w:val="19"/>
          <w:szCs w:val="19"/>
          <w:color w:val="auto"/>
        </w:rPr>
        <w:t>” means the Company’s and its Subsidiaries’ business that provides a mobile marketing and management service through a cloud-based mobile marketing software platform that enables licensees to launch a wide range of mobile solutions leveraging SMS, MMS, QR codes, mobile web, Push and integration with social platforms.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MSISDN</w:t>
      </w:r>
      <w:r>
        <w:rPr>
          <w:rFonts w:ascii="Arial" w:cs="Arial" w:eastAsia="Arial" w:hAnsi="Arial"/>
          <w:sz w:val="22"/>
          <w:szCs w:val="22"/>
          <w:color w:val="auto"/>
        </w:rPr>
        <w:t>” means a Mobile Station International Directory Number.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 “multiemployer plan” within the meaning of Section 3(37) or 4001(a)(3)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firstLine="8"/>
        <w:spacing w:after="0" w:line="277" w:lineRule="auto"/>
        <w:tabs>
          <w:tab w:leader="none" w:pos="2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27" w:right="339" w:bottom="1440" w:gutter="0" w:footer="0" w:header="0"/>
        </w:sectPr>
      </w:pPr>
    </w:p>
    <w:bookmarkStart w:id="147" w:name="page148"/>
    <w:bookmarkEnd w:id="14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Necessary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Indebtedness Amount</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2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Non-Consume</w:t>
      </w:r>
      <w:r>
        <w:rPr>
          <w:rFonts w:ascii="Arial" w:cs="Arial" w:eastAsia="Arial" w:hAnsi="Arial"/>
          <w:sz w:val="19"/>
          <w:szCs w:val="19"/>
          <w:color w:val="auto"/>
        </w:rPr>
        <w:t>r” means a Person other than an individual person, which such Person desires to send or receive an MMS or SMS message to a Consumer using a traditional 10-digit telephone number and includes large and small businesses, financial institutions, schools, medical practices, customer services entities, nonprofit organizations and political campaigns.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North America Enterprise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United States Department of the Treasury.</w:t>
      </w:r>
    </w:p>
    <w:p>
      <w:pPr>
        <w:spacing w:after="0" w:line="220"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Open Source Software</w:t>
      </w:r>
      <w:r>
        <w:rPr>
          <w:rFonts w:ascii="Arial" w:cs="Arial" w:eastAsia="Arial" w:hAnsi="Arial"/>
          <w:sz w:val="21"/>
          <w:szCs w:val="21"/>
          <w:color w:val="auto"/>
        </w:rPr>
        <w:t>” means open source, free software, copyleft or community source code license (including any library or code licensed under the GNU General Public License, GNU Lesser General Public License, GNU Affero GPL (AGPL), Apache Software License, or any other public source code license arrangement).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Transferred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Transferred Business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Transferred Entities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Transferred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Options</w:t>
      </w:r>
      <w:r>
        <w:rPr>
          <w:rFonts w:ascii="Arial" w:cs="Arial" w:eastAsia="Arial" w:hAnsi="Arial"/>
          <w:sz w:val="22"/>
          <w:szCs w:val="22"/>
          <w:color w:val="auto"/>
        </w:rPr>
        <w:t>” means options to purchase Shares granted under the Incentive Plan that are issued and outstanding immediately prior to the Closing.</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Exercise Amount</w:t>
      </w:r>
      <w:r>
        <w:rPr>
          <w:rFonts w:ascii="Arial" w:cs="Arial" w:eastAsia="Arial" w:hAnsi="Arial"/>
          <w:sz w:val="22"/>
          <w:szCs w:val="22"/>
          <w:color w:val="auto"/>
        </w:rPr>
        <w:t xml:space="preserve">” means the aggregate exercise price of all In-the-Money Options outstanding as of immediately prior to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Option that has an exercise price of $6.50 that will take effect on December 31, 2021, the exercise price of such Option for purposes of the Option Exercise Amount calculation shall be deemed to be $6.50.</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Shares</w:t>
      </w:r>
      <w:r>
        <w:rPr>
          <w:rFonts w:ascii="Arial" w:cs="Arial" w:eastAsia="Arial" w:hAnsi="Arial"/>
          <w:sz w:val="22"/>
          <w:szCs w:val="22"/>
          <w:color w:val="auto"/>
        </w:rPr>
        <w:t>” means, in respect of the In-the-Money Options, the aggregate Shares issuable (without regard to whether such Option is vested or unvested) upon exercise thereof in full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00" w:firstLine="8"/>
        <w:spacing w:after="0" w:line="277"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27" w:right="339" w:bottom="1440" w:gutter="0" w:footer="0" w:header="0"/>
        </w:sectPr>
      </w:pPr>
    </w:p>
    <w:bookmarkStart w:id="148" w:name="page149"/>
    <w:bookmarkEnd w:id="148"/>
    <w:p>
      <w:pPr>
        <w:ind w:right="4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with respect to any Person, in the ordinary course of business of such Person, subject to any COVID-19 Measures impacting or taken by the relevant Person.</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the articles of incorporation, certificate of incorporation, charter, by-laws, articles of formation, certificate of formation, regulations, operating agreement, certificate of limited partnership, partnership agreement and all other similar documents, instruments or certificates executed, adopted or filed in connection with the creation, formation or organization of a Person, including any amendments thereto.</w:t>
      </w:r>
    </w:p>
    <w:p>
      <w:pPr>
        <w:spacing w:after="0" w:line="188" w:lineRule="exact"/>
        <w:rPr>
          <w:sz w:val="20"/>
          <w:szCs w:val="20"/>
          <w:color w:val="auto"/>
        </w:rPr>
      </w:pPr>
    </w:p>
    <w:p>
      <w:pPr>
        <w:ind w:right="28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 Amendments</w:t>
      </w:r>
      <w:r>
        <w:rPr>
          <w:rFonts w:ascii="Arial" w:cs="Arial" w:eastAsia="Arial" w:hAnsi="Arial"/>
          <w:sz w:val="19"/>
          <w:szCs w:val="19"/>
          <w:color w:val="auto"/>
        </w:rPr>
        <w:t xml:space="preserve">” means (a) if an Alternative Transaction Election has been made, the amendments to the Company’s certificate of incorporation and by-laws to implement the changes to such Organizational Documents expressly indicated in the footnotes of the form of the Stockholders Agreement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(b) if an Alternative Transaction Election has not been made, the amendments to the SPAC’s certificate of incorporation and by-laws to implement the changes to such Organizational Documents expressly indicated in the footnotes of, and that are applicable following a SPAC Transaction under, the form of the Stockholders Agreement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(but, in the case of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as revised as contemplated by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Intellectual Property</w:t>
      </w:r>
      <w:r>
        <w:rPr>
          <w:rFonts w:ascii="Arial" w:cs="Arial" w:eastAsia="Arial" w:hAnsi="Arial"/>
          <w:sz w:val="22"/>
          <w:szCs w:val="22"/>
          <w:color w:val="auto"/>
        </w:rPr>
        <w:t>” means the Intellectual Property owned by the Company and its Subsidiaries.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PCAOB</w:t>
      </w:r>
      <w:r>
        <w:rPr>
          <w:rFonts w:ascii="Arial" w:cs="Arial" w:eastAsia="Arial" w:hAnsi="Arial"/>
          <w:sz w:val="22"/>
          <w:szCs w:val="22"/>
          <w:color w:val="auto"/>
        </w:rPr>
        <w:t>” means the Public Company Accounting Oversight Board.</w:t>
      </w:r>
    </w:p>
    <w:p>
      <w:pPr>
        <w:spacing w:after="0" w:line="220" w:lineRule="exact"/>
        <w:rPr>
          <w:sz w:val="20"/>
          <w:szCs w:val="20"/>
          <w:color w:val="auto"/>
        </w:rPr>
      </w:pPr>
    </w:p>
    <w:p>
      <w:pPr>
        <w:ind w:right="2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 Share Valuation Amount</w:t>
      </w:r>
      <w:r>
        <w:rPr>
          <w:rFonts w:ascii="Arial" w:cs="Arial" w:eastAsia="Arial" w:hAnsi="Arial"/>
          <w:sz w:val="19"/>
          <w:szCs w:val="19"/>
          <w:color w:val="auto"/>
        </w:rPr>
        <w:t xml:space="preserve">” means an amount equal to (a) the sum of (i) the Enterprise Value,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Net Indebtedness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Closing Date Leakage,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the Option Exercise Amount,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the aggregate number of (i) issued and outstanding Shares, (ii) Option Shares in respect of issued and outstanding In-the-Money Options and</w:t>
      </w:r>
    </w:p>
    <w:p>
      <w:pPr>
        <w:spacing w:after="0" w:line="1" w:lineRule="exact"/>
        <w:rPr>
          <w:sz w:val="20"/>
          <w:szCs w:val="20"/>
          <w:color w:val="auto"/>
        </w:rPr>
      </w:pPr>
    </w:p>
    <w:p>
      <w:pPr>
        <w:ind w:right="20" w:firstLine="8"/>
        <w:spacing w:after="0" w:line="244" w:lineRule="auto"/>
        <w:tabs>
          <w:tab w:leader="none" w:pos="37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RSU Shares in respect of issued and outstanding RSUs, in each case, as of immediately prior to the Closing (after taking into account any grants of RSUs in reliance on Item 1 or Item 2 of </w:t>
      </w:r>
      <w:r>
        <w:rPr>
          <w:rFonts w:ascii="Arial" w:cs="Arial" w:eastAsia="Arial" w:hAnsi="Arial"/>
          <w:sz w:val="22"/>
          <w:szCs w:val="22"/>
          <w:u w:val="single" w:color="auto"/>
          <w:color w:val="auto"/>
        </w:rPr>
        <w:t>Section 5.1(u)</w:t>
      </w:r>
      <w:r>
        <w:rPr>
          <w:rFonts w:ascii="Arial" w:cs="Arial" w:eastAsia="Arial" w:hAnsi="Arial"/>
          <w:sz w:val="22"/>
          <w:szCs w:val="22"/>
          <w:color w:val="auto"/>
        </w:rPr>
        <w:t xml:space="preserve"> of the Company Disclosure Letter, but excluding, for the avoidance of doubt, (x) the New Shares and any equity to be newly issued to the SPAC and investors in the PIPE Financing in connection with the SPAC Transaction and (y) warrants issued in connection with the Third Party Equity Investment, if any, in connection with the Alternative Transaction).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2.13(b)</w:t>
      </w:r>
      <w:r>
        <w:rPr>
          <w:rFonts w:ascii="Arial" w:cs="Arial" w:eastAsia="Arial" w:hAnsi="Arial"/>
          <w:sz w:val="22"/>
          <w:szCs w:val="22"/>
          <w:color w:val="auto"/>
        </w:rPr>
        <w:t>.</w:t>
      </w:r>
    </w:p>
    <w:p>
      <w:pPr>
        <w:spacing w:after="0" w:line="22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Leakage</w:t>
      </w:r>
      <w:r>
        <w:rPr>
          <w:rFonts w:ascii="Arial" w:cs="Arial" w:eastAsia="Arial" w:hAnsi="Arial"/>
          <w:sz w:val="19"/>
          <w:szCs w:val="19"/>
          <w:color w:val="auto"/>
        </w:rPr>
        <w:t>” means, notwithstanding the definition of Leakage, (a) any payments or benefits (including any applicable Tax thereon) expressly contemplated by this Agreement, (b) any payments or benefits between the Company and one or more of the Company Subsidiaries, (c) fees and reimbursable expenses due and payable under the Management Agreement,</w:t>
      </w:r>
    </w:p>
    <w:p>
      <w:pPr>
        <w:spacing w:after="0" w:line="1" w:lineRule="exact"/>
        <w:rPr>
          <w:sz w:val="20"/>
          <w:szCs w:val="20"/>
          <w:color w:val="auto"/>
        </w:rPr>
      </w:pPr>
    </w:p>
    <w:p>
      <w:pPr>
        <w:ind w:right="80" w:firstLine="8"/>
        <w:spacing w:after="0" w:line="302" w:lineRule="auto"/>
        <w:tabs>
          <w:tab w:leader="none" w:pos="30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payments or benefits pursuant to any employment, severance, bonus, indemnification or similar arrangements concerning the compensation or indemnification of employees, officers or directors made in the Ordinary Course of Business, (e) the fees payable to Affiliates of Carlyle contemplated by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of the Company Disclosure Letter and (f) any payments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80" w:firstLine="8"/>
        <w:spacing w:after="0" w:line="277" w:lineRule="auto"/>
        <w:tabs>
          <w:tab w:leader="none" w:pos="2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27" w:right="359" w:bottom="1440" w:gutter="0" w:footer="0" w:header="0"/>
        </w:sectPr>
      </w:pPr>
    </w:p>
    <w:bookmarkStart w:id="149" w:name="page150"/>
    <w:bookmarkEnd w:id="149"/>
    <w:p>
      <w:pPr>
        <w:ind w:right="120"/>
        <w:spacing w:after="0" w:line="253" w:lineRule="auto"/>
        <w:rPr>
          <w:sz w:val="20"/>
          <w:szCs w:val="20"/>
          <w:color w:val="auto"/>
        </w:rPr>
      </w:pPr>
      <w:r>
        <w:rPr>
          <w:rFonts w:ascii="Arial" w:cs="Arial" w:eastAsia="Arial" w:hAnsi="Arial"/>
          <w:sz w:val="22"/>
          <w:szCs w:val="22"/>
          <w:color w:val="auto"/>
        </w:rPr>
        <w:t xml:space="preserve">in writing by Investor. Notwithstanding the foregoing, for the avoidance of doubt, any Leakage covered by </w:t>
      </w:r>
      <w:r>
        <w:rPr>
          <w:rFonts w:ascii="Arial" w:cs="Arial" w:eastAsia="Arial" w:hAnsi="Arial"/>
          <w:sz w:val="22"/>
          <w:szCs w:val="22"/>
          <w:u w:val="single" w:color="auto"/>
          <w:color w:val="auto"/>
        </w:rPr>
        <w:t>clauses (g)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of the definition thereof shall not be Permitted Leakage (regardless whether such Leakage is contemplated by or set forth on the Company Disclosure Letter).</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for Taxes not yet due and payable or due and payable but not delinquent or the amount or validity of which is being contested in good faith by appropriate proceedings and, in each such case, for which appropriate reserves have been established in accordance with GAAP, (b) mechanics’, materialmen’s, carriers’, workers’, repairers’ and other Liens arising or incurred in the Ordinary Course of Business or in connection with construction contracts for amounts that are not yet delinquent or are being contested in good faith, (c) zoning, entitlement, building codes and other land use regulations, ordinances or legal requirements imposed by any Governmental Authorities having jurisdiction over the Real Property, (d) all rights relating to the construction and maintenance in connection with any public utility of wires, poles, pipes, conduits and appurtenances thereto, on, under or above the Real Property, (e) title exceptions disclosed by any title insurance commitment or title insurance policy for any such Real Property issued by a title company and delivered or otherwise made available to Investor prior to the date hereof, (f) other encumbrances, defects, irregularities or imperfections of title, encroachments, easements, servitudes, permits, rights of way, flowage rights, restrictions, leases, licenses, covenants, sidetrack agreements and oil, gas, mineral and mining reservations, rights, licenses and leases, which, in each case, do not materially impair the present use or occupancy of the Real Property, (g) statutory Liens in favor of lessors arising in connection with any property leased to the Company or any of its Subsidiaries, (h) Liens securing the obligations under the Credit Facilities (or any replacement to the Credit Facilities, including Liens granted to any lender at the Closing in connection with the SPAC Transaction Refinancing or the Alternative Transaction Refinancing), and (i) non-exclusive licenses of Intellectual Property granted in the Ordinary Course of Business in connection with the sale or marketing of products or services of the Company or its Subsidiaries.</w:t>
      </w:r>
    </w:p>
    <w:p>
      <w:pPr>
        <w:spacing w:after="0" w:line="166" w:lineRule="exact"/>
        <w:rPr>
          <w:sz w:val="20"/>
          <w:szCs w:val="20"/>
          <w:color w:val="auto"/>
        </w:rPr>
      </w:pPr>
    </w:p>
    <w:p>
      <w:pPr>
        <w:jc w:val="both"/>
        <w:ind w:right="4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partnership, limited liability company, association, trust or other entity or organization (whether or not a legal entity), including a government or political subdivision or an agency or instrumentality thereof.</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any information that identifies a particular individual and, when referring to a Law concerning the privacy or security of Personal Information, has the same meaning as the similar or equivalent term defined under such Law.</w:t>
      </w:r>
    </w:p>
    <w:p>
      <w:pPr>
        <w:spacing w:after="0" w:line="185"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Phone Number Verification Business</w:t>
      </w:r>
      <w:r>
        <w:rPr>
          <w:rFonts w:ascii="Arial" w:cs="Arial" w:eastAsia="Arial" w:hAnsi="Arial"/>
          <w:sz w:val="22"/>
          <w:szCs w:val="22"/>
          <w:color w:val="auto"/>
        </w:rPr>
        <w:t>” means the Company’s and its Subsidiaries’ business that provides a service that allows a customer to request information with respect the most recently available identity attributes of an MSISDN (such as carrier name, carrier ID, country, mobile country code, mobile network code and number type) to allow, among other things, the customer to make more efficient message-routing decisions.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PIPE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Steps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firstLine="8"/>
        <w:spacing w:after="0" w:line="277"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7" w:right="379" w:bottom="1440" w:gutter="0" w:footer="0" w:header="0"/>
        </w:sectPr>
      </w:pPr>
    </w:p>
    <w:bookmarkStart w:id="150" w:name="page151"/>
    <w:bookmarkEnd w:id="15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R&amp;W Insurance Policy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Property</w:t>
      </w:r>
      <w:r>
        <w:rPr>
          <w:rFonts w:ascii="Arial" w:cs="Arial" w:eastAsia="Arial" w:hAnsi="Arial"/>
          <w:sz w:val="19"/>
          <w:szCs w:val="19"/>
          <w:color w:val="auto"/>
        </w:rPr>
        <w:t>” means any owned real property and any leased real property of the Company or any of its Subsidiaries.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Lease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20"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disposing, discharging, injecting, spilling, leaking, pumping, pouring, leaching, migration, emitting, escaping or emptying into or upon the environment, including any soil, sediment, subsurface strata, surface water, wetland or groundwater.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w:t>
      </w:r>
      <w:r>
        <w:rPr>
          <w:rFonts w:ascii="Arial" w:cs="Arial" w:eastAsia="Arial" w:hAnsi="Arial"/>
          <w:sz w:val="22"/>
          <w:szCs w:val="22"/>
          <w:color w:val="auto"/>
        </w:rPr>
        <w:t>.</w:t>
      </w:r>
    </w:p>
    <w:p>
      <w:pPr>
        <w:spacing w:after="0" w:line="220" w:lineRule="exact"/>
        <w:rPr>
          <w:sz w:val="20"/>
          <w:szCs w:val="20"/>
          <w:color w:val="auto"/>
        </w:rPr>
      </w:pPr>
    </w:p>
    <w:p>
      <w:pPr>
        <w:jc w:val="both"/>
        <w:ind w:right="7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such Person’s Affiliates and its and its Affiliates’ respective directors, officers, employees, members, owners, partners, accountants, consultants, advisors, attorneys, agents and other representatives.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Ring-Fencing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RSUs</w:t>
      </w:r>
      <w:r>
        <w:rPr>
          <w:rFonts w:ascii="Arial" w:cs="Arial" w:eastAsia="Arial" w:hAnsi="Arial"/>
          <w:sz w:val="22"/>
          <w:szCs w:val="22"/>
          <w:color w:val="auto"/>
        </w:rPr>
        <w:t>” means restricted stock units in respect of Shares granted under the Incentive Plan.</w:t>
      </w:r>
    </w:p>
    <w:p>
      <w:pPr>
        <w:spacing w:after="0" w:line="220" w:lineRule="exact"/>
        <w:rPr>
          <w:sz w:val="20"/>
          <w:szCs w:val="20"/>
          <w:color w:val="auto"/>
        </w:rPr>
      </w:pPr>
    </w:p>
    <w:p>
      <w:pPr>
        <w:ind w:right="26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RSU Shares</w:t>
      </w:r>
      <w:r>
        <w:rPr>
          <w:rFonts w:ascii="Arial" w:cs="Arial" w:eastAsia="Arial" w:hAnsi="Arial"/>
          <w:sz w:val="22"/>
          <w:szCs w:val="22"/>
          <w:color w:val="auto"/>
        </w:rPr>
        <w:t>” means, in the case of any RSU, the number of Shares issuable upon the settlement of such RSU in full immediately prior to the Closing (but including, for this purpose, only any such performance-based RSU that becomes eligible pursuant to its terms for settlement into a number of Shares greater than zero if the transaction consummated at the Closing constitutes a “Change in Control” for purposes of the special executive award agreement pursuant to which such performance-based RSU was granted).</w:t>
      </w:r>
    </w:p>
    <w:p>
      <w:pPr>
        <w:spacing w:after="0" w:line="192"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any country or region or government thereof that is, or has been in the last five years, the subject or target of a comprehensive embargo under Trade Control Laws (including Cuba, Iran, North Korea, Sudan, Syria, Venezuela, and the Crimea region of Ukraine).</w:t>
      </w:r>
    </w:p>
    <w:p>
      <w:pPr>
        <w:spacing w:after="0" w:line="18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means any Person that is the subject or target of sanctions or restrictions under Trade Control Laws including: (i) any Person listed on any U.S. or non-U.S. sanctions- or export-related restricted party list, including the OFAC List of Specially Designated Nationals and Blocked Persons, or any other OFAC, U.S. Department of Commerce Bureau of Industry and Security, or U.S. Department of State sanctions- or export-related restricted party list; (ii) any Person that is, in the aggregate, 50 percent or greater owned, directly or indirectly, or otherwise controlled by a Person or Persons described in clause (i); or (iii) any national of a Sanctioned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firstLine="8"/>
        <w:spacing w:after="0" w:line="277"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7" w:right="379" w:bottom="1440" w:gutter="0" w:footer="0" w:header="0"/>
        </w:sectPr>
      </w:pPr>
    </w:p>
    <w:bookmarkStart w:id="151" w:name="page152"/>
    <w:bookmarkEnd w:id="15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End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Transferee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Transferor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Code</w:t>
      </w:r>
      <w:r>
        <w:rPr>
          <w:rFonts w:ascii="Arial" w:cs="Arial" w:eastAsia="Arial" w:hAnsi="Arial"/>
          <w:sz w:val="22"/>
          <w:szCs w:val="22"/>
          <w:color w:val="auto"/>
        </w:rPr>
        <w:t>” means a combination of digits to which SMS or MMS messages can be sent and received, that is less than the number of digits found in a nationally defined telephone numbering plan.</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SMS</w:t>
      </w:r>
      <w:r>
        <w:rPr>
          <w:rFonts w:ascii="Arial" w:cs="Arial" w:eastAsia="Arial" w:hAnsi="Arial"/>
          <w:sz w:val="22"/>
          <w:szCs w:val="22"/>
          <w:color w:val="auto"/>
        </w:rPr>
        <w:t>” means Short Message Service, which supports the delivery of two-way text messages to the wireless devices of subscribers of MNOs.</w:t>
      </w:r>
    </w:p>
    <w:p>
      <w:pPr>
        <w:spacing w:after="0" w:line="17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SMS-IP Messaging Business</w:t>
      </w:r>
      <w:r>
        <w:rPr>
          <w:rFonts w:ascii="Arial" w:cs="Arial" w:eastAsia="Arial" w:hAnsi="Arial"/>
          <w:sz w:val="19"/>
          <w:szCs w:val="19"/>
          <w:color w:val="auto"/>
        </w:rPr>
        <w:t>” means Company’s and its Subsidiaries’ business that provides a hosted network service that supports the two-way delivery of mobile-originated and mobile-terminated SMS messages between businesses and/or customers of businesses that are not MNOs and subscribers of MNOs using traditional Long Codes.</w:t>
      </w:r>
    </w:p>
    <w:p>
      <w:pPr>
        <w:spacing w:after="0" w:line="13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all software of any type (and in any form, including source code, object code or executable code) and all databases or collections of data, including computer programs, applications, tools, utilities, mobile applications, web applications, firmware, middleware, interfaces, and software implementations of algorithms, models and methodologies, in each case together with all related documentation (including user documentation and manuals) and descriptions, schematics, specifications, flow charts and other work product used to design, plan, organize and develop any of the foregoing.</w:t>
      </w:r>
    </w:p>
    <w:p>
      <w:pPr>
        <w:spacing w:after="0" w:line="14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SPAC</w:t>
      </w:r>
      <w:r>
        <w:rPr>
          <w:rFonts w:ascii="Arial" w:cs="Arial" w:eastAsia="Arial" w:hAnsi="Arial"/>
          <w:sz w:val="19"/>
          <w:szCs w:val="19"/>
          <w:color w:val="auto"/>
        </w:rPr>
        <w:t>” means a special purpose acquisition company that has raised capital in an initial public offering with the purpose of using the proceeds to acquire one or more unspecified businesses or assets to be identified after the initial public offering.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Definitive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5.6(a)(iii)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Merger</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Reduction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5.6(b)(iv)</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Selection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Transaction</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Transaction Debt Financing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Transaction Financial Statements</w:t>
      </w:r>
      <w:r>
        <w:rPr>
          <w:rFonts w:ascii="Arial" w:cs="Arial" w:eastAsia="Arial" w:hAnsi="Arial"/>
          <w:sz w:val="22"/>
          <w:szCs w:val="22"/>
          <w:color w:val="auto"/>
        </w:rPr>
        <w:t xml:space="preserve">” as the meaning set forth in </w:t>
      </w:r>
      <w:r>
        <w:rPr>
          <w:rFonts w:ascii="Arial" w:cs="Arial" w:eastAsia="Arial" w:hAnsi="Arial"/>
          <w:sz w:val="22"/>
          <w:szCs w:val="22"/>
          <w:u w:val="single" w:color="auto"/>
          <w:color w:val="auto"/>
        </w:rPr>
        <w:t>Section 5.12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firstLine="8"/>
        <w:spacing w:after="0" w:line="277"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60"/>
          </w:cols>
          <w:pgMar w:left="320" w:top="1427" w:right="419" w:bottom="1440" w:gutter="0" w:footer="0" w:header="0"/>
        </w:sectPr>
      </w:pPr>
    </w:p>
    <w:bookmarkStart w:id="152" w:name="page153"/>
    <w:bookmarkEnd w:id="152"/>
    <w:p>
      <w:pPr>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Transaction Proceeds</w:t>
      </w:r>
      <w:r>
        <w:rPr>
          <w:rFonts w:ascii="Arial" w:cs="Arial" w:eastAsia="Arial" w:hAnsi="Arial"/>
          <w:sz w:val="22"/>
          <w:szCs w:val="22"/>
          <w:color w:val="auto"/>
        </w:rPr>
        <w:t xml:space="preserve">” means, in connection with the SPAC Transaction, the sum of (a) the net proceeds received from the SPAC’s trust account (after giving effect to pre-Closing redemptions by pre-Closing SPAC shareholders),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net proceeds received from the PIPE Financing.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SPAC Transaction Refinancing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5.10(a)</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Stockholders Agreement</w:t>
      </w:r>
      <w:r>
        <w:rPr>
          <w:rFonts w:ascii="Arial" w:cs="Arial" w:eastAsia="Arial" w:hAnsi="Arial"/>
          <w:sz w:val="22"/>
          <w:szCs w:val="22"/>
          <w:color w:val="auto"/>
        </w:rPr>
        <w:t xml:space="preserve">” means the stockholders agreement of the Company substantially in the form (a) if an Alternative Transaction Election has been made,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(b) if an Alternative Transaction Election has not been made,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but as revised as contemplated by </w:t>
      </w:r>
      <w:r>
        <w:rPr>
          <w:rFonts w:ascii="Arial" w:cs="Arial" w:eastAsia="Arial" w:hAnsi="Arial"/>
          <w:sz w:val="22"/>
          <w:szCs w:val="22"/>
          <w:u w:val="single" w:color="auto"/>
          <w:color w:val="auto"/>
        </w:rPr>
        <w:t>Exhibit C</w:t>
      </w:r>
      <w:r>
        <w:rPr>
          <w:rFonts w:ascii="Arial" w:cs="Arial" w:eastAsia="Arial" w:hAnsi="Arial"/>
          <w:sz w:val="22"/>
          <w:szCs w:val="22"/>
          <w:color w:val="auto"/>
        </w:rPr>
        <w:t>, in each case, to be entered into on or prior to the Closing Date.</w:t>
      </w:r>
    </w:p>
    <w:p>
      <w:pPr>
        <w:spacing w:after="0" w:line="18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entity of which securities or other ownership interests (a) having ordinary voting power to elect a majority of the board of directors or other persons performing similar functions or</w:t>
      </w:r>
    </w:p>
    <w:p>
      <w:pPr>
        <w:spacing w:after="0" w:line="1" w:lineRule="exact"/>
        <w:rPr>
          <w:sz w:val="20"/>
          <w:szCs w:val="20"/>
          <w:color w:val="auto"/>
        </w:rPr>
      </w:pPr>
    </w:p>
    <w:p>
      <w:pPr>
        <w:ind w:right="560" w:firstLine="8"/>
        <w:spacing w:after="0" w:line="246" w:lineRule="auto"/>
        <w:tabs>
          <w:tab w:leader="none" w:pos="30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representing more than fifty percent (50%) of such securities or ownership interests are at the time directly or indirectly owned by such Person. The term “Subsidiary” shall include all Subsidiaries of a Subsidiary.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Equity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Substantial Detriment</w:t>
      </w:r>
      <w:r>
        <w:rPr>
          <w:rFonts w:ascii="Arial" w:cs="Arial" w:eastAsia="Arial" w:hAnsi="Arial"/>
          <w:sz w:val="21"/>
          <w:szCs w:val="21"/>
          <w:color w:val="auto"/>
        </w:rPr>
        <w:t xml:space="preserve">” means any divestiture, sale, licensing, holding separate or other disposition of any asset or business, or any behavioral or conduct restriction or other alteration to the business or operations of Investor, the Company, Carlyle, or any of their respective Affiliates, or any agreement or commitment to effect any of the foregoing, other than: (a) restrictions on the sharing of competitively sensitive information as between employees of the Company and its Subsidiaries and employees of Investor and its Subsidiaries; (b) a requirement for Investor and its Subsidiaries to provide, and offer to provide, the services as set forth on </w:t>
      </w:r>
      <w:r>
        <w:rPr>
          <w:rFonts w:ascii="Arial" w:cs="Arial" w:eastAsia="Arial" w:hAnsi="Arial"/>
          <w:sz w:val="21"/>
          <w:szCs w:val="21"/>
          <w:u w:val="single" w:color="auto"/>
          <w:color w:val="auto"/>
        </w:rPr>
        <w:t>Section 9.1(d)</w:t>
      </w:r>
      <w:r>
        <w:rPr>
          <w:rFonts w:ascii="Arial" w:cs="Arial" w:eastAsia="Arial" w:hAnsi="Arial"/>
          <w:sz w:val="21"/>
          <w:szCs w:val="21"/>
          <w:color w:val="auto"/>
        </w:rPr>
        <w:t xml:space="preserve"> of the Company Disclosure Letter; or (c) any other actions by Investor or its Affiliates to the extent such actions, individually or in the aggregate, would not be reasonably expected to materially and adversely impact the benefit of the SPAC Transaction (or, if applicable, the Alternative Transaction) and the Ancillary Agreements to Investor and its Subsidiaries, taken as a whole.</w:t>
      </w:r>
    </w:p>
    <w:p>
      <w:pPr>
        <w:spacing w:after="0" w:line="179"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 any federal, state, local or non-U.S. income, alternative, minimum (including Taxes under Section 59A of the Code), accumulated earnings, personal holding company, franchise, capital stock, profits, windfall profits, gross receipts, sales, use, value added, transfer, registration, stamp, premium, excise, customs duties, severance, environmental, real property, escheat and unclaimed property, personal property, ad valorem, occupancy, license, occupation, employment, payroll, social security, disability, unemployment, workers’ compensation, withholding, estimated or other tax, duty, fee, assessment or other governmental charge or deficiencies thereof of any kind whatsoever in the nature of a tax (including all interest and penalties thereon (or in lieu thereof) and any additions thereto), whether disputed or not and (b) any liability for any of the foregoing arising as a result of Section 1.1502-6 of the Treasury Regulations or similar or analogous provision of state, local or non-U.S. Law, indemnification obligations, or as a successor, by Contract, by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firstLine="8"/>
        <w:spacing w:after="0" w:line="277" w:lineRule="auto"/>
        <w:tabs>
          <w:tab w:leader="none" w:pos="2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8" w:right="379" w:bottom="1440" w:gutter="0" w:footer="0" w:header="0"/>
        </w:sectPr>
      </w:pPr>
    </w:p>
    <w:bookmarkStart w:id="153" w:name="page154"/>
    <w:bookmarkEnd w:id="153"/>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any federal, state, local or non-U.S. tax return, declaration, statement, report, schedule, election, form or information return or any attachments thereto or amendment to any of the foregoing relating to Taxes.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Equity Investment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5.7(b)(ii)</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or “</w:t>
      </w:r>
      <w:r>
        <w:rPr>
          <w:rFonts w:ascii="Arial" w:cs="Arial" w:eastAsia="Arial" w:hAnsi="Arial"/>
          <w:sz w:val="19"/>
          <w:szCs w:val="19"/>
          <w:u w:val="single" w:color="auto"/>
          <w:color w:val="auto"/>
        </w:rPr>
        <w:t>Transferred</w:t>
      </w:r>
      <w:r>
        <w:rPr>
          <w:rFonts w:ascii="Arial" w:cs="Arial" w:eastAsia="Arial" w:hAnsi="Arial"/>
          <w:sz w:val="19"/>
          <w:szCs w:val="19"/>
          <w:color w:val="auto"/>
        </w:rPr>
        <w:t xml:space="preserve">” means any direct or indirect sale, assignment, mortgage, transfer, pledge, hypothecation or other disposal (including (a) any transfer by operation of Law, including by way of merger, amalgamation, consolidation, spin-off or other business combination or any transfer of assets or (b) or any transaction which has the effect of transferring the economic rights or benefits of an ownership interest in the Company to a third party), the act of effecting any of the foregoing or any of the foregoing having been effected, as the context requires;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direct or indirect Transfer of (i) any interest in any Carlyle Investment Fund by (A) any limited partner or similar non-controlling investors not Affiliated with CIM in such Carlyle Investment Fund or (B) any partner (with “partner” being a reference to the title of an individual person) or employee of CIM or its Affiliates holding in their capacity as an individual (and excluding, for clarity, any aggregator limited partner through which such partners or employees may collectively hold such interests) or (ii) any publicly traded equity interest of CIM shall be considered a “Transfer” of any interests in the Company or any of its Subsidiaries. For the avoidance of doubt, but subject to the foregoing proviso, a Transfer of equity interests in Carlyle or in any direct or indirect parent of Carlyle shall be considered a Transfer for all purposes of this Agreement.</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Benefit Plan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Business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Business Employees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Business Employee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Entity</w:t>
      </w:r>
      <w:r>
        <w:rPr>
          <w:rFonts w:ascii="Arial" w:cs="Arial" w:eastAsia="Arial" w:hAnsi="Arial"/>
          <w:sz w:val="22"/>
          <w:szCs w:val="22"/>
          <w:color w:val="auto"/>
        </w:rPr>
        <w:t>” or “</w:t>
      </w:r>
      <w:r>
        <w:rPr>
          <w:rFonts w:ascii="Arial" w:cs="Arial" w:eastAsia="Arial" w:hAnsi="Arial"/>
          <w:sz w:val="22"/>
          <w:szCs w:val="22"/>
          <w:u w:val="single" w:color="auto"/>
          <w:color w:val="auto"/>
        </w:rPr>
        <w:t>Transferred Entities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Entity Transferee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Entity Transferor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prescribed under the Code.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Unaudited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w:t>
      </w:r>
      <w:r>
        <w:rPr>
          <w:rFonts w:ascii="Arial" w:cs="Arial" w:eastAsia="Arial" w:hAnsi="Arial"/>
          <w:sz w:val="22"/>
          <w:szCs w:val="22"/>
          <w:color w:val="auto"/>
        </w:rPr>
        <w:t>” means (a) any Tax chargeable under or imposed pursuant to or in compliance with the EC Directive 2006/112/EC (as amended from time to time) and any other Tax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00" w:firstLine="8"/>
        <w:spacing w:after="0" w:line="277"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28" w:right="339" w:bottom="1440" w:gutter="0" w:footer="0" w:header="0"/>
        </w:sectPr>
      </w:pPr>
    </w:p>
    <w:bookmarkStart w:id="154" w:name="page155"/>
    <w:bookmarkEnd w:id="154"/>
    <w:p>
      <w:pPr>
        <w:ind w:right="520"/>
        <w:spacing w:after="0" w:line="287" w:lineRule="auto"/>
        <w:rPr>
          <w:sz w:val="20"/>
          <w:szCs w:val="20"/>
          <w:color w:val="auto"/>
        </w:rPr>
      </w:pPr>
      <w:r>
        <w:rPr>
          <w:rFonts w:ascii="Arial" w:cs="Arial" w:eastAsia="Arial" w:hAnsi="Arial"/>
          <w:sz w:val="21"/>
          <w:szCs w:val="21"/>
          <w:color w:val="auto"/>
        </w:rPr>
        <w:t>similar nature whether imposed in any member state of the European Union in substitution for, or levied in addition to, such Taxes, or any similar or comparable Tax imposed elsewhere, and (b) any Indian goods and services Tax.</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Waived 280G Benefits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Wholesale Agreement</w:t>
      </w:r>
      <w:r>
        <w:rPr>
          <w:rFonts w:ascii="Arial" w:cs="Arial" w:eastAsia="Arial" w:hAnsi="Arial"/>
          <w:sz w:val="22"/>
          <w:szCs w:val="22"/>
          <w:color w:val="auto"/>
        </w:rPr>
        <w:t xml:space="preserve">” means the wholesale agreement substantially in the form attached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to be entered into on or prior to the Closing Date.</w:t>
      </w:r>
    </w:p>
    <w:p>
      <w:pPr>
        <w:spacing w:after="0" w:line="175"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Willful Breach</w:t>
      </w:r>
      <w:r>
        <w:rPr>
          <w:rFonts w:ascii="Arial" w:cs="Arial" w:eastAsia="Arial" w:hAnsi="Arial"/>
          <w:sz w:val="21"/>
          <w:szCs w:val="21"/>
          <w:color w:val="auto"/>
        </w:rPr>
        <w:t>” means, with respect to any agreement or covenant, a material breach that is the consequence of an action or omission by the breaching party with actual knowledge (which shall be deemed to include knowledge of facts that a Person acting reasonably should have, based on reasonable due inquiry) that such action or omission is, or would reasonably be expected to be or result in, a breach of such agreement or covenant.</w:t>
      </w:r>
    </w:p>
    <w:p>
      <w:pPr>
        <w:spacing w:after="0" w:line="175"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XMS-IP Messaging Business</w:t>
      </w:r>
      <w:r>
        <w:rPr>
          <w:rFonts w:ascii="Arial" w:cs="Arial" w:eastAsia="Arial" w:hAnsi="Arial"/>
          <w:sz w:val="22"/>
          <w:szCs w:val="22"/>
          <w:color w:val="auto"/>
        </w:rPr>
        <w:t>” means the Company’s and its Subsidiaries’ (a) SMS-IP Messaging Business and (b) MMS-IP Messaging Business.</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Construction</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The words “party” or “parties” shall refer to parties to this Agreement. References to “Affiliate” or “Affiliates” of a party shall, except as otherwise expressly provided in this Agreement, only be deemed to include any Person so long as such Person remains an Affiliate of such party. The captions herein are included for convenience of reference only and shall be ignored in the construction or interpretation hereof. References to Articles, Sections, Schedules, Exhibits and Annexes are to Articles, Section, Schedules, Exhibits and Annexes of this Agreement unless otherwise specified. Any capitalized term used in any Exhibit or the Company Disclosure Letter but not otherwise defined therein shall have the meaning given to such term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The word “or” shall not be exclusive.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that date, respectively. Any reference to “days” means calendar days unless Business Days are expressly specified. If any action under this Agreement is required to be done or taken on a day that is not a Business Day, then such action shall be required to be done or taken not on such day but on the first succeeding Business Day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firstLine="8"/>
        <w:spacing w:after="0" w:line="277"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40"/>
          </w:cols>
          <w:pgMar w:left="320" w:top="1428" w:right="339" w:bottom="1440" w:gutter="0" w:footer="0" w:header="0"/>
        </w:sectPr>
      </w:pPr>
    </w:p>
    <w:bookmarkStart w:id="155" w:name="page156"/>
    <w:bookmarkEnd w:id="155"/>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Article 10</w:t>
      </w: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claims, demands and other communications hereunder shall be in writing and shall be given by delivery in person, electronic mail or by certified mail to the other party hereto as follows: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Investor,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Twilio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101 Spear Street, First Floor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Francisco, CA 94105</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legalnotices@twilio.com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Kirkland &amp; Ellis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3330 Hillview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Palo Alto, CA 94304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United States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Adam D. Phillips, P.C.; Jonathan Manor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adam.phillips@kirkland.com;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jonathan.manor@kirkland.com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Kirkland &amp; Ellis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601 Lexington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Edward J. Lee, P.C.; Carlo Zenkner</w:t>
      </w:r>
    </w:p>
    <w:p>
      <w:pPr>
        <w:spacing w:after="0" w:line="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edward.lee@kirkland.com; carlo.zenkner@kirkland.com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Syniverse Corporation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8125 Highwoods Palm 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Tampa, FL 33647</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Laura Binion</w:t>
      </w:r>
    </w:p>
    <w:p>
      <w:pPr>
        <w:spacing w:after="0" w:line="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laura.binion@syniverse.com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firstLine="8"/>
        <w:spacing w:after="0" w:line="277"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120"/>
          </w:cols>
          <w:pgMar w:left="320" w:top="1440" w:right="459" w:bottom="1440" w:gutter="0" w:footer="0" w:header="0"/>
        </w:sectPr>
      </w:pPr>
    </w:p>
    <w:bookmarkStart w:id="156" w:name="page157"/>
    <w:bookmarkEnd w:id="156"/>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Debevoise &amp; Plimpton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Jonathan E. Levitsky; Christopher Anthony</w:t>
      </w:r>
    </w:p>
    <w:p>
      <w:pPr>
        <w:spacing w:after="0" w:line="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jelevitsky@debevoise.com; canthony@debevoise.com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Carlyle,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Carlyle Partners V Holdings, 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The Carlyle Group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Vanderbilt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James Attwood; Josh Pincus</w:t>
      </w:r>
    </w:p>
    <w:p>
      <w:pPr>
        <w:spacing w:after="0" w:line="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james.attwood@carlyle.com; josh.pincus@carlyle.com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Debevoise &amp; Plimpton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Jonathan E. Levitsky; Christopher Anthony</w:t>
      </w:r>
    </w:p>
    <w:p>
      <w:pPr>
        <w:spacing w:after="0" w:line="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jelevitsky@debevoise.com; canthony@debevoise.com</w:t>
      </w:r>
    </w:p>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or such other address or Email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42"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Amendment; Waivers, etc</w:t>
      </w:r>
      <w:r>
        <w:rPr>
          <w:rFonts w:ascii="Arial" w:cs="Arial" w:eastAsia="Arial" w:hAnsi="Arial"/>
          <w:sz w:val="21"/>
          <w:szCs w:val="21"/>
          <w:color w:val="auto"/>
        </w:rPr>
        <w:t>. 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firstLine="8"/>
        <w:spacing w:after="0" w:line="277" w:lineRule="auto"/>
        <w:tabs>
          <w:tab w:leader="none" w:pos="2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00"/>
          </w:cols>
          <w:pgMar w:left="320" w:top="1428" w:right="379" w:bottom="1440" w:gutter="0" w:footer="0" w:header="0"/>
        </w:sectPr>
      </w:pPr>
    </w:p>
    <w:bookmarkStart w:id="157" w:name="page158"/>
    <w:bookmarkEnd w:id="157"/>
    <w:p>
      <w:pPr>
        <w:spacing w:after="0" w:line="204" w:lineRule="exact"/>
        <w:rPr>
          <w:sz w:val="20"/>
          <w:szCs w:val="20"/>
          <w:color w:val="auto"/>
        </w:rPr>
      </w:pPr>
    </w:p>
    <w:p>
      <w:pPr>
        <w:ind w:right="100" w:firstLine="648"/>
        <w:spacing w:after="0" w:line="29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Except as otherwise set forth in this Agreement, whether or not the transactions contemplated by this Agreement are consummated, all fees and expenses incurred in connection with this Agreement and the transactions contemplated by this Agreement, including the fees and disbursements of counsel, financial advisors and accountants, shall be paid by the party hereto incurring such fees or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Closing occurs, the Company shall pay, or reimburse, Carlyle and Investor for their respective reasonable and documented fees and expenses incurred in connection with the transactions contemplated by this Agreement (excluding any costs or expenses of obtaining the R&amp;W Insurance Policy, which costs and expenses shall be borne solely by Investor).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Governing Law, etc</w:t>
      </w:r>
      <w:r>
        <w:rPr>
          <w:rFonts w:ascii="Arial" w:cs="Arial" w:eastAsia="Arial" w:hAnsi="Arial"/>
          <w:sz w:val="22"/>
          <w:szCs w:val="22"/>
          <w:color w:val="auto"/>
        </w:rPr>
        <w:t>.</w:t>
      </w:r>
    </w:p>
    <w:p>
      <w:pPr>
        <w:spacing w:after="0" w:line="220" w:lineRule="exact"/>
        <w:rPr>
          <w:sz w:val="20"/>
          <w:szCs w:val="20"/>
          <w:color w:val="auto"/>
        </w:rPr>
      </w:pPr>
    </w:p>
    <w:p>
      <w:pPr>
        <w:ind w:right="40" w:firstLine="656"/>
        <w:spacing w:after="0" w:line="286" w:lineRule="auto"/>
        <w:tabs>
          <w:tab w:leader="none" w:pos="129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This Agreement shall be governed in all respects, including as to validity, interpretation and effect, by the Laws of the State of Delaware, without giving effect to its principles or rules of conflict of laws, to the extent such principles or rules are not mandatorily applicable by statute and would permit or require the application of the Laws of another jurisdiction. Each of the parties hereto (i) submits to the exclusive jurisdiction of the Chancery Court of the State of Delaware and the federal court sitting in the State of Delaware in any action or proceeding arising out of or relating to this Agreement and (ii) (A) agrees to bring all claims under any theory of liability in respect of such action or proceeding exclusively in any such court and (B) agrees not to bring any action or proceeding arising out of or relating to this Agreement in any other court. Each of the parties hereto waives any defense of inconvenient forum to the maintenance of any action or proceeding so brought and waives any bond, surety or other security that might be required of any other party with respect thereto. Each party hereto agrees that service of summons and complaint or any other process that might be served in any action or proceeding may be made on such party by sending or delivering a copy of the process to the party to be served at the address of the party and in the manner provided for the giving of notices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10.4</w:t>
      </w:r>
      <w:r>
        <w:rPr>
          <w:rFonts w:ascii="Arial" w:cs="Arial" w:eastAsia="Arial" w:hAnsi="Arial"/>
          <w:sz w:val="19"/>
          <w:szCs w:val="19"/>
          <w:color w:val="auto"/>
        </w:rPr>
        <w:t>, however, shall affect the right of any party to serve legal process in any other manner permitted by Law. Each party hereto agrees that a final, non-appealable judgment in any action or proceeding so brought shall be conclusive and may be enforced by suit on the judgment or in any other manner provided by Law.</w:t>
      </w:r>
    </w:p>
    <w:p>
      <w:pPr>
        <w:spacing w:after="0" w:line="161" w:lineRule="exact"/>
        <w:rPr>
          <w:rFonts w:ascii="Arial" w:cs="Arial" w:eastAsia="Arial" w:hAnsi="Arial"/>
          <w:sz w:val="19"/>
          <w:szCs w:val="19"/>
          <w:color w:val="auto"/>
        </w:rPr>
      </w:pPr>
    </w:p>
    <w:p>
      <w:pPr>
        <w:ind w:firstLine="656"/>
        <w:spacing w:after="0" w:line="292" w:lineRule="auto"/>
        <w:tabs>
          <w:tab w:leader="none" w:pos="1291" w:val="left"/>
        </w:tabs>
        <w:numPr>
          <w:ilvl w:val="0"/>
          <w:numId w:val="164"/>
        </w:numPr>
        <w:rPr>
          <w:rFonts w:ascii="Arial" w:cs="Arial" w:eastAsia="Arial" w:hAnsi="Arial"/>
          <w:sz w:val="19"/>
          <w:szCs w:val="19"/>
          <w:color w:val="auto"/>
        </w:rPr>
      </w:pPr>
      <w:r>
        <w:rPr>
          <w:rFonts w:ascii="Arial" w:cs="Arial" w:eastAsia="Arial" w:hAnsi="Arial"/>
          <w:sz w:val="19"/>
          <w:szCs w:val="19"/>
          <w:color w:val="auto"/>
        </w:rPr>
        <w:t>Each party to this Agreement hereby waives, to the fullest extent permitted by Law, any right to trial by jury of any claim, demand, action, or cause of action (i) arising under this Agreement or (ii) in any way connected with or related or incidental to the dealings of the parties hereto in respect of this Agreement or any of the transactions related hereto, in each case whether now existing or hereafter arising, and whether in contract, tort, equity, or otherwise. Each party to this Agreement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51"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and the Ancillary Agreements shall be binding upon and inure to the benefit of the parties and their respective heirs, successors and permitted assigns;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Agreement shall not be assigned by any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80" w:firstLine="8"/>
        <w:spacing w:after="0" w:line="277"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 xml:space="preserve">(whether by operation of Law or otherwise) without the prior written consent of the other party, except (x) by Carlyle pursuant to </w:t>
      </w:r>
      <w:r>
        <w:rPr>
          <w:rFonts w:ascii="Arial" w:cs="Arial" w:eastAsia="Arial" w:hAnsi="Arial"/>
          <w:sz w:val="22"/>
          <w:szCs w:val="22"/>
          <w:u w:val="single" w:color="auto"/>
          <w:color w:val="auto"/>
        </w:rPr>
        <w:t>Section 5.2(e)</w:t>
      </w:r>
      <w:r>
        <w:rPr>
          <w:rFonts w:ascii="Arial" w:cs="Arial" w:eastAsia="Arial" w:hAnsi="Arial"/>
          <w:sz w:val="22"/>
          <w:szCs w:val="22"/>
          <w:color w:val="auto"/>
        </w:rPr>
        <w:t xml:space="preserve"> or (y) by Investor to any controlled Affiliate of Investor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will not relieve Carlyle or Investor, respectively, of any of its obligations hereunder). Any attempted assignment of this Agreement not in accordance with the terms of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shall be void.</w:t>
      </w:r>
    </w:p>
    <w:p>
      <w:pPr>
        <w:spacing w:after="0" w:line="18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Ancillary Agreements (when executed and delivered) and the Confidentiality Agreement constitute the entire agreement of the parties with respect to the matters covered hereby and thereby and supersede all prior agreements, understandings and representations, both written and oral, between the parties with respect to the subject matter hereof and thereof.</w:t>
      </w:r>
    </w:p>
    <w:p>
      <w:pPr>
        <w:spacing w:after="0" w:line="188"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other provision of this Agreement is determined by a court of competent jurisdiction to be invalid, illegal or unenforceable, all other provisions of this Agreement shall remain in full force and effect so long as the economic or legal substance of the transactions contemplated hereby is not affected in any manner materially adverse to any party. Upon any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and all of which shall together constitute one and the same instrument. Delivery of an executed counterpart of a signature page to this Agreement by facsimile or scanned pages shall be effective as delivery of a manually executed counterpart to this Agreement.</w:t>
      </w:r>
    </w:p>
    <w:p>
      <w:pPr>
        <w:spacing w:after="0" w:line="188"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Each party acknowledges and agrees that the other party would be damaged irreparably in the event that any provision of this Agreement is not performed in accordance with its specific terms or otherwise breached, so that, in addition to any other remedy that a party may have under law or equity, a party shall be entitled to injunctive relief to prevent breaches of the provisions of this Agreement and to enforce specifically this Agreement and the terms and provisions hereof. Each party acknowledges and agrees that monetary damages would be inadequate in the event of any such failure to perform or breach and waives any equitable defense to the granting of specific performance or other injunctive relief available to such party. Any party seeking an injunction or injunctions to prevent breaches of this Agreement and to enforce specifically the terms and provisions of this Agreement shall not be required to provide any bond or other security in connection with any such order or injunction. Notwithstanding anything to the contrary in this Agreement, the parties hereby irrevocably waive any right of rescission they may otherwise have or to which they may become entitled.</w:t>
      </w:r>
    </w:p>
    <w:p>
      <w:pPr>
        <w:spacing w:after="0" w:line="159"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This Agreement shall be binding upon and inure solely to the benefit of each party and its successors and permitted assigns and nothing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firstLine="8"/>
        <w:spacing w:after="0" w:line="277"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Agreement, express or implied, is intended to or shall confer upon any other Person any rights, benefits or remedies of any nature whatsoever under or by reason of this Agreement.</w:t>
      </w:r>
    </w:p>
    <w:p>
      <w:pPr>
        <w:spacing w:after="0" w:line="17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Representation of the Company and its Affiliates</w:t>
      </w:r>
      <w:r>
        <w:rPr>
          <w:rFonts w:ascii="Arial" w:cs="Arial" w:eastAsia="Arial" w:hAnsi="Arial"/>
          <w:sz w:val="19"/>
          <w:szCs w:val="19"/>
          <w:color w:val="auto"/>
        </w:rPr>
        <w:t>. Investor on its own behalf and on behalf of its Affiliates and its and its Affiliates’ directors, shareholders, members, partners, officers, employees and Affiliates, hereby agrees that, in the event that a dispute arises after the Closing arising from the transactions contemplated by this Agreement between Investor or any of its Affiliates, on the one hand, and the Company, Carlyle or any of their respective Affiliates or their or their Affiliates’ respective directors, shareholders, members, partners, officers or employees (any of the foregoing, a “</w:t>
      </w:r>
      <w:r>
        <w:rPr>
          <w:rFonts w:ascii="Arial" w:cs="Arial" w:eastAsia="Arial" w:hAnsi="Arial"/>
          <w:sz w:val="19"/>
          <w:szCs w:val="19"/>
          <w:u w:val="single" w:color="auto"/>
          <w:color w:val="auto"/>
        </w:rPr>
        <w:t>Company-Side Party</w:t>
      </w:r>
      <w:r>
        <w:rPr>
          <w:rFonts w:ascii="Arial" w:cs="Arial" w:eastAsia="Arial" w:hAnsi="Arial"/>
          <w:sz w:val="19"/>
          <w:szCs w:val="19"/>
          <w:color w:val="auto"/>
        </w:rPr>
        <w:t>”), on the other hand, Debevoise &amp; Plimpton LLP (“</w:t>
      </w:r>
      <w:r>
        <w:rPr>
          <w:rFonts w:ascii="Arial" w:cs="Arial" w:eastAsia="Arial" w:hAnsi="Arial"/>
          <w:sz w:val="19"/>
          <w:szCs w:val="19"/>
          <w:u w:val="single" w:color="auto"/>
          <w:color w:val="auto"/>
        </w:rPr>
        <w:t>Debevoise</w:t>
      </w:r>
      <w:r>
        <w:rPr>
          <w:rFonts w:ascii="Arial" w:cs="Arial" w:eastAsia="Arial" w:hAnsi="Arial"/>
          <w:sz w:val="19"/>
          <w:szCs w:val="19"/>
          <w:color w:val="auto"/>
        </w:rPr>
        <w:t>”) may represent the Company-Side Party in such dispute even though the interests of the Company-Side Party may be directly adverse to Investor. Investor further agrees that, as to all communications prior to Closing among Debevoise and any of the Company-Side Parties that relate in any way to the transactions contemplated by this Agreement, the attorney-client privilege and the expectation of client confidence belongs to the Company and/or Carlyle (on behalf of the Company-Side Parties) and may be controlled by the Company or Carlyle, as applicable, and shall not pass to or be claimed by Investor.</w:t>
      </w:r>
    </w:p>
    <w:p>
      <w:pPr>
        <w:spacing w:after="0" w:line="16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Exhibits and Schedules</w:t>
      </w:r>
      <w:r>
        <w:rPr>
          <w:rFonts w:ascii="Arial" w:cs="Arial" w:eastAsia="Arial" w:hAnsi="Arial"/>
          <w:sz w:val="19"/>
          <w:szCs w:val="19"/>
          <w:color w:val="auto"/>
        </w:rPr>
        <w:t xml:space="preserve">. The Company Disclosure Letter and all exhibits or other documents expressly incorporated into this Agreement are hereby incorporated into this Agreement and are hereby made a part hereof as if set out in full in this Agreement. Without limiting the terms of the Company Disclosure Letter, any fact or item disclosed in the Company Disclosure Letter referenced with respect to a representation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shall be deemed to have been disclosed with respect to every other section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if the relevance of such disclosure to such other section is reasonably apparent on its face. The specification of any dollar amount in the representations or warranties contained in this Agreement or the inclusion of any specific item in the Company Disclosure Letter is not intended to imply that such amounts,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the Company Disclosure Letter is or is not material for purposes of this Agreement. The Company Disclosure Letter and the information and statements contained therein are not intended to constitute, and shall not be construed as constituting, representations or warranties of the Company, Carlyle or their respective Affiliates except as and to the extent expressly provided in this Agreement.</w:t>
      </w:r>
    </w:p>
    <w:p>
      <w:pPr>
        <w:spacing w:after="0" w:line="200" w:lineRule="exact"/>
        <w:rPr>
          <w:sz w:val="20"/>
          <w:szCs w:val="20"/>
          <w:color w:val="auto"/>
        </w:rPr>
      </w:pPr>
    </w:p>
    <w:p>
      <w:pPr>
        <w:spacing w:after="0" w:line="215"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Except in the case of Fraud, none of the representations and warranties made in this Agreement, or in any certificate delivered pursuant to </w:t>
      </w:r>
      <w:r>
        <w:rPr>
          <w:rFonts w:ascii="Arial" w:cs="Arial" w:eastAsia="Arial" w:hAnsi="Arial"/>
          <w:sz w:val="19"/>
          <w:szCs w:val="19"/>
          <w:u w:val="single" w:color="auto"/>
          <w:color w:val="auto"/>
        </w:rPr>
        <w:t>Section 7.2(f)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shall survive the Closing Date. All covenants and agreements of the Company, Carlyle and Investor contained in this Agreement shall survive the Closing Date in accordance with their respective terms, but not to exceed the applicable statute of limitations in the event of a breach of such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covenants and agreements of the parties contained in this Agreement which by their terms are to be performed at or prior to the Closing Date shall not survive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Company’s covenants and agreements with respect to Closing Date Leakage and Leakage in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5.1(r)</w:t>
      </w:r>
      <w:r>
        <w:rPr>
          <w:rFonts w:ascii="Arial" w:cs="Arial" w:eastAsia="Arial" w:hAnsi="Arial"/>
          <w:sz w:val="19"/>
          <w:szCs w:val="19"/>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firstLine="8"/>
        <w:spacing w:after="0" w:line="277"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shall (solely to the extent actual Closing Date Leakage exceeds the amount taken into account in calculating the Investment Percentage) survive the Closing for a period of twelve (12) months following the Closing (and Investor shall be entitled to bring claims against the Company with respect thereto prior to such expiration).</w:t>
      </w:r>
    </w:p>
    <w:p>
      <w:pPr>
        <w:spacing w:after="0" w:line="185"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u w:val="single" w:color="auto"/>
          <w:color w:val="auto"/>
        </w:rPr>
        <w:t>No Recourse</w:t>
      </w:r>
      <w:r>
        <w:rPr>
          <w:rFonts w:ascii="Arial" w:cs="Arial" w:eastAsia="Arial" w:hAnsi="Arial"/>
          <w:sz w:val="21"/>
          <w:szCs w:val="21"/>
          <w:color w:val="auto"/>
        </w:rPr>
        <w:t>. Notwithstanding anything that may be expressed or implied in this Agreement, each party hereto covenants, agrees and acknowledges that no recourse under this Agreement shall be had against any Covered Person,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Covered Person for any obligation of any party to this Agreement for any claim based on, in respect of or by reason of such obligations or their creation.</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[Remainder of page left intentionally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firstLine="8"/>
        <w:spacing w:after="0" w:line="277" w:lineRule="auto"/>
        <w:tabs>
          <w:tab w:leader="none" w:pos="2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ectPr>
          <w:pgSz w:w="11900" w:h="16838" w:orient="portrait"/>
          <w:cols w:equalWidth="0" w:num="1">
            <w:col w:w="11080"/>
          </w:cols>
          <w:pgMar w:left="320" w:top="1440" w:right="49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IN WITNESS WHEREOF, the parties have duly executed this Agreement as of the date first above written.</w:t>
      </w:r>
    </w:p>
    <w:p>
      <w:pPr>
        <w:sectPr>
          <w:pgSz w:w="11900" w:h="16838" w:orient="portrait"/>
          <w:cols w:equalWidth="0" w:num="1">
            <w:col w:w="9479"/>
          </w:cols>
          <w:pgMar w:left="980" w:top="1428"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SYNIVERSE CORPORATION</w:t>
      </w:r>
    </w:p>
    <w:p>
      <w:pPr>
        <w:spacing w:after="0" w:line="200" w:lineRule="exact"/>
        <w:rPr>
          <w:sz w:val="20"/>
          <w:szCs w:val="20"/>
          <w:color w:val="auto"/>
        </w:rPr>
      </w:pPr>
    </w:p>
    <w:p>
      <w:pPr>
        <w:spacing w:after="0" w:line="207"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380" w:type="dxa"/>
            <w:vAlign w:val="bottom"/>
          </w:tcPr>
          <w:p>
            <w:pPr>
              <w:spacing w:after="0"/>
              <w:rPr>
                <w:sz w:val="21"/>
                <w:szCs w:val="2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James Attwood Jr.</w:t>
            </w:r>
          </w:p>
        </w:tc>
      </w:tr>
      <w:tr>
        <w:trPr>
          <w:trHeight w:val="269"/>
        </w:trPr>
        <w:tc>
          <w:tcPr>
            <w:tcW w:w="360" w:type="dxa"/>
            <w:vAlign w:val="bottom"/>
          </w:tcPr>
          <w:p>
            <w:pPr>
              <w:spacing w:after="0"/>
              <w:rPr>
                <w:sz w:val="23"/>
                <w:szCs w:val="23"/>
                <w:color w:val="auto"/>
              </w:rPr>
            </w:pPr>
          </w:p>
        </w:tc>
        <w:tc>
          <w:tcPr>
            <w:tcW w:w="2280" w:type="dxa"/>
            <w:vAlign w:val="bottom"/>
            <w:gridSpan w:val="2"/>
          </w:tcPr>
          <w:p>
            <w:pPr>
              <w:ind w:left="40"/>
              <w:spacing w:after="0"/>
              <w:rPr>
                <w:sz w:val="20"/>
                <w:szCs w:val="20"/>
                <w:color w:val="auto"/>
              </w:rPr>
            </w:pPr>
            <w:r>
              <w:rPr>
                <w:rFonts w:ascii="Arial" w:cs="Arial" w:eastAsia="Arial" w:hAnsi="Arial"/>
                <w:sz w:val="22"/>
                <w:szCs w:val="22"/>
                <w:color w:val="auto"/>
                <w:w w:val="88"/>
              </w:rPr>
              <w:t>Name: James Attwood Jr.</w:t>
            </w:r>
          </w:p>
        </w:tc>
      </w:tr>
      <w:tr>
        <w:trPr>
          <w:trHeight w:val="274"/>
        </w:trPr>
        <w:tc>
          <w:tcPr>
            <w:tcW w:w="360" w:type="dxa"/>
            <w:vAlign w:val="bottom"/>
          </w:tcPr>
          <w:p>
            <w:pPr>
              <w:spacing w:after="0"/>
              <w:rPr>
                <w:sz w:val="23"/>
                <w:szCs w:val="23"/>
                <w:color w:val="auto"/>
              </w:rPr>
            </w:pPr>
          </w:p>
        </w:tc>
        <w:tc>
          <w:tcPr>
            <w:tcW w:w="2280" w:type="dxa"/>
            <w:vAlign w:val="bottom"/>
            <w:gridSpan w:val="2"/>
          </w:tcPr>
          <w:p>
            <w:pPr>
              <w:ind w:left="40"/>
              <w:spacing w:after="0"/>
              <w:rPr>
                <w:sz w:val="20"/>
                <w:szCs w:val="20"/>
                <w:color w:val="auto"/>
              </w:rPr>
            </w:pPr>
            <w:r>
              <w:rPr>
                <w:rFonts w:ascii="Arial" w:cs="Arial" w:eastAsia="Arial" w:hAnsi="Arial"/>
                <w:sz w:val="22"/>
                <w:szCs w:val="22"/>
                <w:color w:val="auto"/>
              </w:rPr>
              <w:t>Title: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Framework Agreement</w:t>
      </w:r>
      <w:r>
        <w:rPr>
          <w:rFonts w:ascii="Arial" w:cs="Arial" w:eastAsia="Arial" w:hAnsi="Arial"/>
          <w:sz w:val="19"/>
          <w:szCs w:val="19"/>
          <w:color w:val="auto"/>
        </w:rPr>
        <w:t>]</w:t>
      </w:r>
    </w:p>
    <w:p>
      <w:pPr>
        <w:sectPr>
          <w:pgSz w:w="11900" w:h="16838" w:orient="portrait"/>
          <w:cols w:equalWidth="0" w:num="1">
            <w:col w:w="9479"/>
          </w:cols>
          <w:pgMar w:left="980" w:top="1428" w:right="1440" w:bottom="1440" w:gutter="0" w:footer="0" w:header="0"/>
          <w:type w:val="continuous"/>
        </w:sectPr>
      </w:pPr>
    </w:p>
    <w:bookmarkStart w:id="162" w:name="page163"/>
    <w:bookmarkEnd w:id="162"/>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Carlyle Partners V Holdings, L.P.</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By: TC Group V, L.P. its general partner</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TC Group V, L.L.C., its general partner</w:t>
      </w:r>
    </w:p>
    <w:p>
      <w:pPr>
        <w:spacing w:after="0" w:line="200" w:lineRule="exact"/>
        <w:rPr>
          <w:sz w:val="20"/>
          <w:szCs w:val="20"/>
          <w:color w:val="auto"/>
        </w:rPr>
      </w:pPr>
    </w:p>
    <w:p>
      <w:pPr>
        <w:spacing w:after="0" w:line="25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James Attwood Jr.</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James Attwood Jr.</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Framework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TWILIO INC.</w:t>
      </w:r>
    </w:p>
    <w:p>
      <w:pPr>
        <w:spacing w:after="0" w:line="200" w:lineRule="exact"/>
        <w:rPr>
          <w:sz w:val="20"/>
          <w:szCs w:val="20"/>
          <w:color w:val="auto"/>
        </w:rPr>
      </w:pPr>
    </w:p>
    <w:p>
      <w:pPr>
        <w:spacing w:after="0" w:line="207"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38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Khozema Shipchandler</w:t>
            </w:r>
          </w:p>
        </w:tc>
        <w:tc>
          <w:tcPr>
            <w:tcW w:w="40" w:type="dxa"/>
            <w:vAlign w:val="bottom"/>
          </w:tcPr>
          <w:p>
            <w:pPr>
              <w:spacing w:after="0"/>
              <w:rPr>
                <w:sz w:val="21"/>
                <w:szCs w:val="21"/>
                <w:color w:val="auto"/>
              </w:rPr>
            </w:pPr>
          </w:p>
        </w:tc>
      </w:tr>
      <w:tr>
        <w:trPr>
          <w:trHeight w:val="269"/>
        </w:trPr>
        <w:tc>
          <w:tcPr>
            <w:tcW w:w="360" w:type="dxa"/>
            <w:vAlign w:val="bottom"/>
          </w:tcPr>
          <w:p>
            <w:pPr>
              <w:spacing w:after="0"/>
              <w:rPr>
                <w:sz w:val="23"/>
                <w:szCs w:val="23"/>
                <w:color w:val="auto"/>
              </w:rPr>
            </w:pPr>
          </w:p>
        </w:tc>
        <w:tc>
          <w:tcPr>
            <w:tcW w:w="2700" w:type="dxa"/>
            <w:vAlign w:val="bottom"/>
            <w:gridSpan w:val="3"/>
          </w:tcPr>
          <w:p>
            <w:pPr>
              <w:ind w:left="40"/>
              <w:spacing w:after="0"/>
              <w:rPr>
                <w:sz w:val="20"/>
                <w:szCs w:val="20"/>
                <w:color w:val="auto"/>
              </w:rPr>
            </w:pPr>
            <w:r>
              <w:rPr>
                <w:rFonts w:ascii="Arial" w:cs="Arial" w:eastAsia="Arial" w:hAnsi="Arial"/>
                <w:sz w:val="22"/>
                <w:szCs w:val="22"/>
                <w:color w:val="auto"/>
                <w:w w:val="88"/>
              </w:rPr>
              <w:t>Name: Khozema Shipchandler</w:t>
            </w:r>
          </w:p>
        </w:tc>
      </w:tr>
      <w:tr>
        <w:trPr>
          <w:trHeight w:val="274"/>
        </w:trPr>
        <w:tc>
          <w:tcPr>
            <w:tcW w:w="360" w:type="dxa"/>
            <w:vAlign w:val="bottom"/>
          </w:tcPr>
          <w:p>
            <w:pPr>
              <w:spacing w:after="0"/>
              <w:rPr>
                <w:sz w:val="23"/>
                <w:szCs w:val="23"/>
                <w:color w:val="auto"/>
              </w:rPr>
            </w:pPr>
          </w:p>
        </w:tc>
        <w:tc>
          <w:tcPr>
            <w:tcW w:w="2700" w:type="dxa"/>
            <w:vAlign w:val="bottom"/>
            <w:gridSpan w:val="3"/>
          </w:tcPr>
          <w:p>
            <w:pPr>
              <w:ind w:left="40"/>
              <w:spacing w:after="0"/>
              <w:rPr>
                <w:sz w:val="20"/>
                <w:szCs w:val="20"/>
                <w:color w:val="auto"/>
              </w:rPr>
            </w:pPr>
            <w:r>
              <w:rPr>
                <w:rFonts w:ascii="Arial" w:cs="Arial" w:eastAsia="Arial" w:hAnsi="Arial"/>
                <w:sz w:val="22"/>
                <w:szCs w:val="22"/>
                <w:color w:val="auto"/>
                <w:w w:val="97"/>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Framework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164" w:name="page165"/>
    <w:bookmarkEnd w:id="16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I, Jeff Lawson, certify that:</w:t>
      </w:r>
    </w:p>
    <w:p>
      <w:pPr>
        <w:spacing w:after="0" w:line="181"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Twilio Inc.;</w:t>
      </w:r>
    </w:p>
    <w:p>
      <w:pPr>
        <w:spacing w:after="0" w:line="180" w:lineRule="exact"/>
        <w:rPr>
          <w:rFonts w:ascii="Arial" w:cs="Arial" w:eastAsia="Arial" w:hAnsi="Arial"/>
          <w:sz w:val="16"/>
          <w:szCs w:val="16"/>
          <w:color w:val="auto"/>
        </w:rPr>
      </w:pPr>
    </w:p>
    <w:p>
      <w:pPr>
        <w:ind w:right="520" w:firstLine="656"/>
        <w:spacing w:after="0" w:line="349" w:lineRule="auto"/>
        <w:tabs>
          <w:tab w:leader="none" w:pos="1296" w:val="left"/>
        </w:tabs>
        <w:numPr>
          <w:ilvl w:val="0"/>
          <w:numId w:val="16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right="480" w:firstLine="656"/>
        <w:spacing w:after="0" w:line="275" w:lineRule="auto"/>
        <w:tabs>
          <w:tab w:leader="none" w:pos="129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right="20" w:firstLine="656"/>
        <w:spacing w:after="0" w:line="261" w:lineRule="auto"/>
        <w:tabs>
          <w:tab w:leader="none" w:pos="129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6"/>
          <w:szCs w:val="16"/>
          <w:color w:val="auto"/>
        </w:rPr>
      </w:pPr>
    </w:p>
    <w:p>
      <w:pPr>
        <w:jc w:val="both"/>
        <w:ind w:right="80" w:firstLine="1304"/>
        <w:spacing w:after="0" w:line="261" w:lineRule="auto"/>
        <w:tabs>
          <w:tab w:leader="none" w:pos="193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right="200" w:firstLine="1304"/>
        <w:spacing w:after="0" w:line="261" w:lineRule="auto"/>
        <w:tabs>
          <w:tab w:leader="none" w:pos="194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right="560" w:firstLine="1304"/>
        <w:spacing w:after="0" w:line="310" w:lineRule="auto"/>
        <w:tabs>
          <w:tab w:leader="none" w:pos="1935" w:val="left"/>
        </w:tabs>
        <w:numPr>
          <w:ilvl w:val="1"/>
          <w:numId w:val="1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5"/>
          <w:szCs w:val="15"/>
          <w:color w:val="auto"/>
        </w:rPr>
      </w:pPr>
    </w:p>
    <w:p>
      <w:pPr>
        <w:ind w:right="100" w:firstLine="1304"/>
        <w:spacing w:after="0" w:line="261" w:lineRule="auto"/>
        <w:tabs>
          <w:tab w:leader="none" w:pos="194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240" w:firstLine="656"/>
        <w:spacing w:after="0" w:line="275" w:lineRule="auto"/>
        <w:tabs>
          <w:tab w:leader="none" w:pos="129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right="20" w:firstLine="1304"/>
        <w:spacing w:after="0" w:line="275" w:lineRule="auto"/>
        <w:tabs>
          <w:tab w:leader="none" w:pos="193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right="480" w:firstLine="1304"/>
        <w:spacing w:after="0" w:line="275" w:lineRule="auto"/>
        <w:tabs>
          <w:tab w:leader="none" w:pos="194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97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 Lawson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Executive Officer (Principal Executive Officer)</w:t>
      </w:r>
    </w:p>
    <w:p>
      <w:pPr>
        <w:sectPr>
          <w:pgSz w:w="11900" w:h="16838" w:orient="portrait"/>
          <w:cols w:equalWidth="0" w:num="1">
            <w:col w:w="11240"/>
          </w:cols>
          <w:pgMar w:left="320" w:top="107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Khozema Shipchandler, certify that:</w:t>
      </w:r>
    </w:p>
    <w:p>
      <w:pPr>
        <w:spacing w:after="0" w:line="181"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Twilio Inc.;</w:t>
      </w:r>
    </w:p>
    <w:p>
      <w:pPr>
        <w:spacing w:after="0" w:line="194" w:lineRule="exact"/>
        <w:rPr>
          <w:rFonts w:ascii="Arial" w:cs="Arial" w:eastAsia="Arial" w:hAnsi="Arial"/>
          <w:sz w:val="16"/>
          <w:szCs w:val="16"/>
          <w:color w:val="auto"/>
        </w:rPr>
      </w:pPr>
    </w:p>
    <w:p>
      <w:pPr>
        <w:ind w:right="520" w:firstLine="656"/>
        <w:spacing w:after="0" w:line="349" w:lineRule="auto"/>
        <w:tabs>
          <w:tab w:leader="none" w:pos="1296" w:val="left"/>
        </w:tabs>
        <w:numPr>
          <w:ilvl w:val="0"/>
          <w:numId w:val="17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4"/>
          <w:szCs w:val="14"/>
          <w:color w:val="auto"/>
        </w:rPr>
      </w:pPr>
    </w:p>
    <w:p>
      <w:pPr>
        <w:ind w:right="480" w:firstLine="656"/>
        <w:spacing w:after="0" w:line="275" w:lineRule="auto"/>
        <w:tabs>
          <w:tab w:leader="none" w:pos="129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right="20" w:firstLine="656"/>
        <w:spacing w:after="0" w:line="261" w:lineRule="auto"/>
        <w:tabs>
          <w:tab w:leader="none" w:pos="129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jc w:val="both"/>
        <w:ind w:right="80" w:firstLine="1304"/>
        <w:spacing w:after="0" w:line="261" w:lineRule="auto"/>
        <w:tabs>
          <w:tab w:leader="none" w:pos="193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6"/>
          <w:szCs w:val="16"/>
          <w:color w:val="auto"/>
        </w:rPr>
      </w:pPr>
    </w:p>
    <w:p>
      <w:pPr>
        <w:ind w:right="200" w:firstLine="1304"/>
        <w:spacing w:after="0" w:line="261" w:lineRule="auto"/>
        <w:tabs>
          <w:tab w:leader="none" w:pos="1944"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right="560" w:firstLine="1304"/>
        <w:spacing w:after="0" w:line="310" w:lineRule="auto"/>
        <w:tabs>
          <w:tab w:leader="none" w:pos="1935" w:val="left"/>
        </w:tabs>
        <w:numPr>
          <w:ilvl w:val="1"/>
          <w:numId w:val="1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ind w:right="100" w:firstLine="1304"/>
        <w:spacing w:after="0" w:line="261" w:lineRule="auto"/>
        <w:tabs>
          <w:tab w:leader="none" w:pos="1944"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right="240" w:firstLine="656"/>
        <w:spacing w:after="0" w:line="275" w:lineRule="auto"/>
        <w:tabs>
          <w:tab w:leader="none" w:pos="129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right="20" w:firstLine="1304"/>
        <w:spacing w:after="0" w:line="275" w:lineRule="auto"/>
        <w:tabs>
          <w:tab w:leader="none" w:pos="193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right="480" w:firstLine="1304"/>
        <w:spacing w:after="0" w:line="275" w:lineRule="auto"/>
        <w:tabs>
          <w:tab w:leader="none" w:pos="1944"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097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Khozema Z. Shipchandler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Financial Officer (Principal Accounting and Financial Officer)</w:t>
      </w:r>
    </w:p>
    <w:p>
      <w:pPr>
        <w:sectPr>
          <w:pgSz w:w="11900" w:h="16838" w:orient="portrait"/>
          <w:cols w:equalWidth="0" w:num="1">
            <w:col w:w="11240"/>
          </w:cols>
          <w:pgMar w:left="320" w:top="895"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6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Jeff Lawson, Chief Executive Officer of Twilio Inc. (the “Company”), and Khozema Shipchandler, Chief Financial Officer of the Company, each hereby certifies that, to the best of his knowledge:</w:t>
      </w:r>
    </w:p>
    <w:p>
      <w:pPr>
        <w:spacing w:after="0" w:line="156" w:lineRule="exact"/>
        <w:rPr>
          <w:sz w:val="20"/>
          <w:szCs w:val="20"/>
          <w:color w:val="auto"/>
        </w:rPr>
      </w:pPr>
    </w:p>
    <w:p>
      <w:pPr>
        <w:ind w:right="520" w:firstLine="656"/>
        <w:spacing w:after="0" w:line="275" w:lineRule="auto"/>
        <w:tabs>
          <w:tab w:leader="none" w:pos="129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 ended March 31, 2021, to which this Certification is attached as Exhibit 32.1 (the “Periodic Report”), fully complies with the requirements of Section 13(a) or Section 15(d) of the Exchange Act; and</w:t>
      </w:r>
    </w:p>
    <w:p>
      <w:pPr>
        <w:spacing w:after="0" w:line="131" w:lineRule="exact"/>
        <w:rPr>
          <w:rFonts w:ascii="Arial" w:cs="Arial" w:eastAsia="Arial" w:hAnsi="Arial"/>
          <w:sz w:val="16"/>
          <w:szCs w:val="16"/>
          <w:color w:val="auto"/>
        </w:rPr>
      </w:pPr>
    </w:p>
    <w:p>
      <w:pPr>
        <w:ind w:left="1300" w:hanging="644"/>
        <w:spacing w:after="0"/>
        <w:tabs>
          <w:tab w:leader="none" w:pos="130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16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40976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Jeff Lawson</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Chief Executive Officer (Principal Executive Officer)</w:t>
      </w:r>
    </w:p>
    <w:p>
      <w:pPr>
        <w:spacing w:after="0" w:line="28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40976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Khozema Z. Shipchandler</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Chief Financial Officer (Principal Accounting and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1."/>
      <w:numFmt w:val="decimal"/>
      <w:start w:val="2"/>
    </w:lvl>
    <w:lvl w:ilvl="1">
      <w:lvlJc w:val="left"/>
      <w:lvlText w:val="(%2)"/>
      <w:numFmt w:val="lowerLetter"/>
      <w:start w:val="1"/>
    </w:lvl>
  </w:abstractNum>
  <w:abstractNum w:abstractNumId="7">
    <w:nsid w:val="74DE0EE3"/>
    <w:multiLevelType w:val="hybridMultilevel"/>
    <w:lvl w:ilvl="0">
      <w:lvlJc w:val="left"/>
      <w:lvlText w:val="(%1)"/>
      <w:numFmt w:val="lowerLetter"/>
      <w:start w:val="2"/>
    </w:lvl>
  </w:abstractNum>
  <w:abstractNum w:abstractNumId="8">
    <w:nsid w:val="68EBC550"/>
    <w:multiLevelType w:val="hybridMultilevel"/>
    <w:lvl w:ilvl="0">
      <w:lvlJc w:val="left"/>
      <w:lvlText w:val="(%1)"/>
      <w:numFmt w:val="lowerLetter"/>
      <w:start w:val="3"/>
    </w:lvl>
  </w:abstractNum>
  <w:abstractNum w:abstractNumId="9">
    <w:nsid w:val="2DF6D648"/>
    <w:multiLevelType w:val="hybridMultilevel"/>
    <w:lvl w:ilvl="0">
      <w:lvlJc w:val="left"/>
      <w:lvlText w:val="(%1)"/>
      <w:numFmt w:val="lowerLetter"/>
      <w:start w:val="4"/>
    </w:lvl>
  </w:abstractNum>
  <w:abstractNum w:abstractNumId="10">
    <w:nsid w:val="46B7D447"/>
    <w:multiLevelType w:val="hybridMultilevel"/>
    <w:lvl w:ilvl="0">
      <w:lvlJc w:val="left"/>
      <w:lvlText w:val="(%1)"/>
      <w:numFmt w:val="lowerLetter"/>
      <w:start w:val="5"/>
    </w:lvl>
  </w:abstractNum>
  <w:abstractNum w:abstractNumId="11">
    <w:nsid w:val="4A2AC315"/>
    <w:multiLevelType w:val="hybridMultilevel"/>
    <w:lvl w:ilvl="0">
      <w:lvlJc w:val="left"/>
      <w:lvlText w:val="(%1)"/>
      <w:numFmt w:val="lowerLetter"/>
      <w:start w:val="6"/>
    </w:lvl>
  </w:abstractNum>
  <w:abstractNum w:abstractNumId="12">
    <w:nsid w:val="39EE015C"/>
    <w:multiLevelType w:val="hybridMultilevel"/>
    <w:lvl w:ilvl="0">
      <w:lvlJc w:val="left"/>
      <w:lvlText w:val="%1."/>
      <w:numFmt w:val="decimal"/>
      <w:start w:val="3"/>
    </w:lvl>
  </w:abstractNum>
  <w:abstractNum w:abstractNumId="13">
    <w:nsid w:val="57FC4FBB"/>
    <w:multiLevelType w:val="hybridMultilevel"/>
    <w:lvl w:ilvl="0">
      <w:lvlJc w:val="left"/>
      <w:lvlText w:val="(%1)"/>
      <w:numFmt w:val="decimal"/>
      <w:start w:val="1"/>
    </w:lvl>
  </w:abstractNum>
  <w:abstractNum w:abstractNumId="14">
    <w:nsid w:val="CC1016F"/>
    <w:multiLevelType w:val="hybridMultilevel"/>
    <w:lvl w:ilvl="0">
      <w:lvlJc w:val="left"/>
      <w:lvlText w:val="(%1)"/>
      <w:numFmt w:val="decimal"/>
      <w:start w:val="1"/>
    </w:lvl>
  </w:abstractNum>
  <w:abstractNum w:abstractNumId="15">
    <w:nsid w:val="43F18422"/>
    <w:multiLevelType w:val="hybridMultilevel"/>
    <w:lvl w:ilvl="0">
      <w:lvlJc w:val="left"/>
      <w:lvlText w:val="(%1)"/>
      <w:numFmt w:val="decimal"/>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1)"/>
      <w:numFmt w:val="decimal"/>
      <w:start w:val="2"/>
    </w:lvl>
  </w:abstractNum>
  <w:abstractNum w:abstractNumId="18">
    <w:nsid w:val="7F01579B"/>
    <w:multiLevelType w:val="hybridMultilevel"/>
    <w:lvl w:ilvl="0">
      <w:lvlJc w:val="left"/>
      <w:lvlText w:val="(%1)"/>
      <w:numFmt w:val="decimal"/>
      <w:start w:val="1"/>
    </w:lvl>
  </w:abstractNum>
  <w:abstractNum w:abstractNumId="19">
    <w:nsid w:val="49DA307D"/>
    <w:multiLevelType w:val="hybridMultilevel"/>
    <w:lvl w:ilvl="0">
      <w:lvlJc w:val="left"/>
      <w:lvlText w:val="(%1)"/>
      <w:numFmt w:val="lowerLetter"/>
      <w:start w:val="1"/>
    </w:lvl>
  </w:abstractNum>
  <w:abstractNum w:abstractNumId="20">
    <w:nsid w:val="7055A5F5"/>
    <w:multiLevelType w:val="hybridMultilevel"/>
    <w:lvl w:ilvl="0">
      <w:lvlJc w:val="left"/>
      <w:lvlText w:val="(%1)"/>
      <w:numFmt w:val="lowerLetter"/>
      <w:start w:val="2"/>
    </w:lvl>
  </w:abstractNum>
  <w:abstractNum w:abstractNumId="21">
    <w:nsid w:val="5FB8370B"/>
    <w:multiLevelType w:val="hybridMultilevel"/>
    <w:lvl w:ilvl="0">
      <w:lvlJc w:val="left"/>
      <w:lvlText w:val="(%1)"/>
      <w:numFmt w:val="lowerLetter"/>
      <w:start w:val="3"/>
    </w:lvl>
  </w:abstractNum>
  <w:abstractNum w:abstractNumId="22">
    <w:nsid w:val="50801EE1"/>
    <w:multiLevelType w:val="hybridMultilevel"/>
    <w:lvl w:ilvl="0">
      <w:lvlJc w:val="left"/>
      <w:lvlText w:val="(%1)"/>
      <w:numFmt w:val="lowerLetter"/>
      <w:start w:val="4"/>
    </w:lvl>
  </w:abstractNum>
  <w:abstractNum w:abstractNumId="23">
    <w:nsid w:val="488AC1A"/>
    <w:multiLevelType w:val="hybridMultilevel"/>
    <w:lvl w:ilvl="0">
      <w:lvlJc w:val="left"/>
      <w:lvlText w:val="%1."/>
      <w:numFmt w:val="decimal"/>
      <w:start w:val="13"/>
    </w:lvl>
  </w:abstractNum>
  <w:abstractNum w:abstractNumId="24">
    <w:nsid w:val="5FB8011C"/>
    <w:multiLevelType w:val="hybridMultilevel"/>
    <w:lvl w:ilvl="0">
      <w:lvlJc w:val="left"/>
      <w:lvlText w:val="%1"/>
      <w:numFmt w:val="decimal"/>
      <w:start w:val="1"/>
    </w:lvl>
    <w:lvl w:ilvl="1">
      <w:lvlJc w:val="left"/>
      <w:lvlText w:val="(%2)"/>
      <w:numFmt w:val="decimal"/>
      <w:start w:val="1"/>
    </w:lvl>
  </w:abstractNum>
  <w:abstractNum w:abstractNumId="25">
    <w:nsid w:val="6AA78F7F"/>
    <w:multiLevelType w:val="hybridMultilevel"/>
    <w:lvl w:ilvl="0">
      <w:lvlJc w:val="left"/>
      <w:lvlText w:val="%1."/>
      <w:numFmt w:val="decimal"/>
      <w:start w:val="16"/>
    </w:lvl>
    <w:lvl w:ilvl="1">
      <w:lvlJc w:val="left"/>
      <w:lvlText w:val="%2"/>
      <w:numFmt w:val="decimal"/>
      <w:start w:val="1"/>
    </w:lvl>
  </w:abstractNum>
  <w:abstractNum w:abstractNumId="26">
    <w:nsid w:val="7672BD23"/>
    <w:multiLevelType w:val="hybridMultilevel"/>
    <w:lvl w:ilvl="0">
      <w:lvlJc w:val="left"/>
      <w:lvlText w:val="(%1)"/>
      <w:numFmt w:val="decimal"/>
      <w:start w:val="1"/>
    </w:lvl>
  </w:abstractNum>
  <w:abstractNum w:abstractNumId="27">
    <w:nsid w:val="6FC75AF8"/>
    <w:multiLevelType w:val="hybridMultilevel"/>
    <w:lvl w:ilvl="0">
      <w:lvlJc w:val="left"/>
      <w:lvlText w:val="(%1)"/>
      <w:numFmt w:val="decimal"/>
      <w:start w:val="2"/>
    </w:lvl>
  </w:abstractNum>
  <w:abstractNum w:abstractNumId="28">
    <w:nsid w:val="6A5F7029"/>
    <w:multiLevelType w:val="hybridMultilevel"/>
    <w:lvl w:ilvl="0">
      <w:lvlJc w:val="left"/>
      <w:lvlText w:val="(%1)"/>
      <w:numFmt w:val="lowerLetter"/>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
      <w:numFmt w:val="bullet"/>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1"/>
      <w:numFmt w:val="decimal"/>
      <w:start w:val="104"/>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
      <w:numFmt w:val="bullet"/>
      <w:start w:val="1"/>
    </w:lvl>
    <w:lvl w:ilvl="1">
      <w:lvlJc w:val="left"/>
      <w:lvlText w:val="(%2)"/>
      <w:numFmt w:val="lowerLetter"/>
      <w:start w:val="1"/>
    </w:lvl>
  </w:abstractNum>
  <w:abstractNum w:abstractNumId="55">
    <w:nsid w:val="5C10FE21"/>
    <w:multiLevelType w:val="hybridMultilevel"/>
    <w:lvl w:ilvl="0">
      <w:lvlJc w:val="left"/>
      <w:lvlText w:val="(%1)"/>
      <w:numFmt w:val="lowerLetter"/>
      <w:start w:val="2"/>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lvl w:ilvl="1">
      <w:lvlJc w:val="left"/>
      <w:lvlText w:val="(%2)"/>
      <w:numFmt w:val="lowerLetter"/>
      <w:start w:val="1"/>
    </w:lvl>
  </w:abstractNum>
  <w:abstractNum w:abstractNumId="58">
    <w:nsid w:val="4BD8591A"/>
    <w:multiLevelType w:val="hybridMultilevel"/>
    <w:lvl w:ilvl="0">
      <w:lvlJc w:val="left"/>
      <w:lvlText w:val="(%1)"/>
      <w:numFmt w:val="lowerRoman"/>
      <w:start w:val="3"/>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lvl w:ilvl="1">
      <w:lvlJc w:val="left"/>
      <w:lvlText w:val="(%2)"/>
      <w:numFmt w:val="lowerLetter"/>
      <w:start w:val="1"/>
    </w:lvl>
  </w:abstractNum>
  <w:abstractNum w:abstractNumId="61">
    <w:nsid w:val="2B0D8DBE"/>
    <w:multiLevelType w:val="hybridMultilevel"/>
    <w:lvl w:ilvl="0">
      <w:lvlJc w:val="left"/>
      <w:lvlText w:val="(%1)"/>
      <w:numFmt w:val="lowerLetter"/>
      <w:start w:val="3"/>
    </w:lvl>
  </w:abstractNum>
  <w:abstractNum w:abstractNumId="62">
    <w:nsid w:val="6C80EC70"/>
    <w:multiLevelType w:val="hybridMultilevel"/>
    <w:lvl w:ilvl="0">
      <w:lvlJc w:val="left"/>
      <w:lvlText w:val="[*]"/>
      <w:numFmt w:val="bullet"/>
      <w:start w:val="1"/>
    </w:lvl>
    <w:lvl w:ilvl="1">
      <w:lvlJc w:val="left"/>
      <w:lvlText w:val="(%2)"/>
      <w:numFmt w:val="lowerLetter"/>
      <w:start w:val="1"/>
    </w:lvl>
  </w:abstractNum>
  <w:abstractNum w:abstractNumId="63">
    <w:nsid w:val="379E21B5"/>
    <w:multiLevelType w:val="hybridMultilevel"/>
    <w:lvl w:ilvl="0">
      <w:lvlJc w:val="left"/>
      <w:lvlText w:val="(%1)"/>
      <w:numFmt w:val="lowerLetter"/>
      <w:start w:val="1"/>
    </w:lvl>
  </w:abstractNum>
  <w:abstractNum w:abstractNumId="64">
    <w:nsid w:val="69E373"/>
    <w:multiLevelType w:val="hybridMultilevel"/>
    <w:lvl w:ilvl="0">
      <w:lvlJc w:val="left"/>
      <w:lvlText w:val="[*]"/>
      <w:numFmt w:val="bullet"/>
      <w:start w:val="1"/>
    </w:lvl>
  </w:abstractNum>
  <w:abstractNum w:abstractNumId="65">
    <w:nsid w:val="2C27173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66">
    <w:nsid w:val="4C9B090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8"/>
    </w:lvl>
  </w:abstractNum>
  <w:abstractNum w:abstractNumId="67">
    <w:nsid w:val="6AA7B75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8">
    <w:nsid w:val="1DF029D3"/>
    <w:multiLevelType w:val="hybridMultilevel"/>
    <w:lvl w:ilvl="0">
      <w:lvlJc w:val="left"/>
      <w:lvlText w:val="[*]"/>
      <w:numFmt w:val="bullet"/>
      <w:start w:val="1"/>
    </w:lvl>
    <w:lvl w:ilvl="1">
      <w:lvlJc w:val="left"/>
      <w:lvlText w:val="(%2)"/>
      <w:numFmt w:val="lowerLetter"/>
      <w:start w:val="1"/>
    </w:lvl>
  </w:abstractNum>
  <w:abstractNum w:abstractNumId="69">
    <w:nsid w:val="5675FF36"/>
    <w:multiLevelType w:val="hybridMultilevel"/>
    <w:lvl w:ilvl="0">
      <w:lvlJc w:val="left"/>
      <w:lvlText w:val="%1"/>
      <w:numFmt w:val="lowerLetter"/>
      <w:start w:val="1"/>
    </w:lvl>
    <w:lvl w:ilvl="1">
      <w:lvlJc w:val="left"/>
      <w:lvlText w:val="(%2)"/>
      <w:numFmt w:val="lowerLetter"/>
      <w:start w:val="1"/>
    </w:lvl>
  </w:abstractNum>
  <w:abstractNum w:abstractNumId="70">
    <w:nsid w:val="3DD15094"/>
    <w:multiLevelType w:val="hybridMultilevel"/>
    <w:lvl w:ilvl="0">
      <w:lvlJc w:val="left"/>
      <w:lvlText w:val="(%1)"/>
      <w:numFmt w:val="lowerLetter"/>
      <w:start w:val="9"/>
    </w:lvl>
    <w:lvl w:ilvl="1">
      <w:lvlJc w:val="left"/>
      <w:lvlText w:val="(%2)"/>
      <w:numFmt w:val="lowerLetter"/>
      <w:start w:val="3"/>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1)"/>
      <w:numFmt w:val="lowerLetter"/>
      <w:start w:val="6"/>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lvl w:ilvl="1">
      <w:lvlJc w:val="left"/>
      <w:lvlText w:val="(%2)"/>
      <w:numFmt w:val="lowerLetter"/>
      <w:start w:val="1"/>
    </w:lvl>
  </w:abstractNum>
  <w:abstractNum w:abstractNumId="75">
    <w:nsid w:val="4F97E3E4"/>
    <w:multiLevelType w:val="hybridMultilevel"/>
    <w:lvl w:ilvl="0">
      <w:lvlJc w:val="left"/>
      <w:lvlText w:val="(%1)"/>
      <w:numFmt w:val="lowerLetter"/>
      <w:start w:val="4"/>
    </w:lvl>
  </w:abstractNum>
  <w:abstractNum w:abstractNumId="76">
    <w:nsid w:val="53B0A9E"/>
    <w:multiLevelType w:val="hybridMultilevel"/>
    <w:lvl w:ilvl="0">
      <w:lvlJc w:val="left"/>
      <w:lvlText w:val="[*]"/>
      <w:numFmt w:val="bullet"/>
      <w:start w:val="1"/>
    </w:lvl>
    <w:lvl w:ilvl="1">
      <w:lvlJc w:val="left"/>
      <w:lvlText w:val="(%2)"/>
      <w:numFmt w:val="lowerLetter"/>
      <w:start w:val="1"/>
    </w:lvl>
  </w:abstractNum>
  <w:abstractNum w:abstractNumId="77">
    <w:nsid w:val="34FD6B4F"/>
    <w:multiLevelType w:val="hybridMultilevel"/>
    <w:lvl w:ilvl="0">
      <w:lvlJc w:val="left"/>
      <w:lvlText w:val="(%1)"/>
      <w:numFmt w:val="lowerLetter"/>
      <w:start w:val="2"/>
    </w:lvl>
  </w:abstractNum>
  <w:abstractNum w:abstractNumId="78">
    <w:nsid w:val="5915FF32"/>
    <w:multiLevelType w:val="hybridMultilevel"/>
    <w:lvl w:ilvl="0">
      <w:lvlJc w:val="left"/>
      <w:lvlText w:val="[*]"/>
      <w:numFmt w:val="bullet"/>
      <w:start w:val="1"/>
    </w:lvl>
    <w:lvl w:ilvl="1">
      <w:lvlJc w:val="left"/>
      <w:lvlText w:val="(%2)"/>
      <w:numFmt w:val="lowerLetter"/>
      <w:start w:val="1"/>
    </w:lvl>
  </w:abstractNum>
  <w:abstractNum w:abstractNumId="79">
    <w:nsid w:val="56438D15"/>
    <w:multiLevelType w:val="hybridMultilevel"/>
    <w:lvl w:ilvl="0">
      <w:lvlJc w:val="left"/>
      <w:lvlText w:val="[*]"/>
      <w:numFmt w:val="bullet"/>
      <w:start w:val="1"/>
    </w:lvl>
    <w:lvl w:ilvl="1">
      <w:lvlJc w:val="left"/>
      <w:lvlText w:val="(%2)"/>
      <w:numFmt w:val="lowerLetter"/>
      <w:start w:val="2"/>
    </w:lvl>
  </w:abstractNum>
  <w:abstractNum w:abstractNumId="80">
    <w:nsid w:val="519E3149"/>
    <w:multiLevelType w:val="hybridMultilevel"/>
    <w:lvl w:ilvl="0">
      <w:lvlJc w:val="left"/>
      <w:lvlText w:val="(%1)"/>
      <w:numFmt w:val="lowerLetter"/>
      <w:start w:val="6"/>
    </w:lvl>
  </w:abstractNum>
  <w:abstractNum w:abstractNumId="81">
    <w:nsid w:val="2C6E4AFD"/>
    <w:multiLevelType w:val="hybridMultilevel"/>
    <w:lvl w:ilvl="0">
      <w:lvlJc w:val="left"/>
      <w:lvlText w:val="[*]"/>
      <w:numFmt w:val="bullet"/>
      <w:start w:val="1"/>
    </w:lvl>
    <w:lvl w:ilvl="1">
      <w:lvlJc w:val="left"/>
      <w:lvlText w:val="(%2)"/>
      <w:numFmt w:val="lowerLetter"/>
      <w:start w:val="1"/>
    </w:lvl>
  </w:abstractNum>
  <w:abstractNum w:abstractNumId="82">
    <w:nsid w:val="17A1B582"/>
    <w:multiLevelType w:val="hybridMultilevel"/>
    <w:lvl w:ilvl="0">
      <w:lvlJc w:val="left"/>
      <w:lvlText w:val="%1"/>
      <w:numFmt w:val="lowerLetter"/>
      <w:start w:val="1"/>
    </w:lvl>
    <w:lvl w:ilvl="1">
      <w:lvlJc w:val="left"/>
      <w:lvlText w:val="(%2)"/>
      <w:numFmt w:val="lowerLetter"/>
      <w:start w:val="3"/>
    </w:lvl>
  </w:abstractNum>
  <w:abstractNum w:abstractNumId="83">
    <w:nsid w:val="4DF72E4E"/>
    <w:multiLevelType w:val="hybridMultilevel"/>
    <w:lvl w:ilvl="0">
      <w:lvlJc w:val="left"/>
      <w:lvlText w:val="(%1)"/>
      <w:numFmt w:val="lowerLetter"/>
      <w:start w:val="35"/>
    </w:lvl>
    <w:lvl w:ilvl="1">
      <w:lvlJc w:val="left"/>
      <w:lvlText w:val="(%2)"/>
      <w:numFmt w:val="lowerLetter"/>
      <w:start w:val="5"/>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1)"/>
      <w:numFmt w:val="lowerLetter"/>
      <w:start w:val="9"/>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lvl w:ilvl="1">
      <w:lvlJc w:val="left"/>
      <w:lvlText w:val="(%2)"/>
      <w:numFmt w:val="lowerLetter"/>
      <w:start w:val="1"/>
    </w:lvl>
  </w:abstractNum>
  <w:abstractNum w:abstractNumId="89">
    <w:nsid w:val="75E0858A"/>
    <w:multiLevelType w:val="hybridMultilevel"/>
    <w:lvl w:ilvl="0">
      <w:lvlJc w:val="left"/>
      <w:lvlText w:val="(%1)"/>
      <w:numFmt w:val="lowerLetter"/>
      <w:start w:val="2"/>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lvl w:ilvl="1">
      <w:lvlJc w:val="left"/>
      <w:lvlText w:val="(%2)"/>
      <w:numFmt w:val="lowerLetter"/>
      <w:start w:val="1"/>
    </w:lvl>
  </w:abstractNum>
  <w:abstractNum w:abstractNumId="92">
    <w:nsid w:val="20EE1348"/>
    <w:multiLevelType w:val="hybridMultilevel"/>
    <w:lvl w:ilvl="0">
      <w:lvlJc w:val="left"/>
      <w:lvlText w:val="(%1)"/>
      <w:numFmt w:val="lowerLetter"/>
      <w:start w:val="2"/>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1)"/>
      <w:numFmt w:val="upperLetter"/>
      <w:start w:val="2"/>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lvl w:ilvl="1">
      <w:lvlJc w:val="left"/>
      <w:lvlText w:val="(%2)"/>
      <w:numFmt w:val="lowerLetter"/>
      <w:start w:val="1"/>
    </w:lvl>
  </w:abstractNum>
  <w:abstractNum w:abstractNumId="98">
    <w:nsid w:val="BFFAE18"/>
    <w:multiLevelType w:val="hybridMultilevel"/>
    <w:lvl w:ilvl="0">
      <w:lvlJc w:val="left"/>
      <w:lvlText w:val="(%1)"/>
      <w:numFmt w:val="lowerLetter"/>
      <w:start w:val="9"/>
    </w:lvl>
  </w:abstractNum>
  <w:abstractNum w:abstractNumId="99">
    <w:nsid w:val="E3E47A8"/>
    <w:multiLevelType w:val="hybridMultilevel"/>
    <w:lvl w:ilvl="0">
      <w:lvlJc w:val="left"/>
      <w:lvlText w:val="(%1)"/>
      <w:numFmt w:val="lowerLetter"/>
      <w:start w:val="25"/>
    </w:lvl>
  </w:abstractNum>
  <w:abstractNum w:abstractNumId="100">
    <w:nsid w:val="2E48F044"/>
    <w:multiLevelType w:val="hybridMultilevel"/>
    <w:lvl w:ilvl="0">
      <w:lvlJc w:val="left"/>
      <w:lvlText w:val="(%1)"/>
      <w:numFmt w:val="lowerLetter"/>
      <w:start w:val="61"/>
    </w:lvl>
  </w:abstractNum>
  <w:abstractNum w:abstractNumId="101">
    <w:nsid w:val="49D0FEAC"/>
    <w:multiLevelType w:val="hybridMultilevel"/>
    <w:lvl w:ilvl="0">
      <w:lvlJc w:val="left"/>
      <w:lvlText w:val="[*]"/>
      <w:numFmt w:val="bullet"/>
      <w:start w:val="1"/>
    </w:lvl>
  </w:abstractNum>
  <w:abstractNum w:abstractNumId="102">
    <w:nsid w:val="4BEE5A5B"/>
    <w:multiLevelType w:val="hybridMultilevel"/>
    <w:lvl w:ilvl="0">
      <w:lvlJc w:val="left"/>
      <w:lvlText w:val="[*]"/>
      <w:numFmt w:val="bullet"/>
      <w:start w:val="1"/>
    </w:lvl>
    <w:lvl w:ilvl="1">
      <w:lvlJc w:val="left"/>
      <w:lvlText w:val="(%2)"/>
      <w:numFmt w:val="lowerLetter"/>
      <w:start w:val="16"/>
    </w:lvl>
  </w:abstractNum>
  <w:abstractNum w:abstractNumId="103">
    <w:nsid w:val="5551B9F3"/>
    <w:multiLevelType w:val="hybridMultilevel"/>
    <w:lvl w:ilvl="0">
      <w:lvlJc w:val="left"/>
      <w:lvlText w:val="[*]"/>
      <w:numFmt w:val="bullet"/>
      <w:start w:val="1"/>
    </w:lvl>
    <w:lvl w:ilvl="1">
      <w:lvlJc w:val="left"/>
      <w:lvlText w:val="(%2)"/>
      <w:numFmt w:val="lowerLetter"/>
      <w:start w:val="1"/>
    </w:lvl>
  </w:abstractNum>
  <w:abstractNum w:abstractNumId="104">
    <w:nsid w:val="24F6AB8E"/>
    <w:multiLevelType w:val="hybridMultilevel"/>
    <w:lvl w:ilvl="0">
      <w:lvlJc w:val="left"/>
      <w:lvlText w:val="[*]"/>
      <w:numFmt w:val="bullet"/>
      <w:start w:val="1"/>
    </w:lvl>
    <w:lvl w:ilvl="1">
      <w:lvlJc w:val="left"/>
      <w:lvlText w:val="(%2)"/>
      <w:numFmt w:val="lowerLetter"/>
      <w:start w:val="2"/>
    </w:lvl>
  </w:abstractNum>
  <w:abstractNum w:abstractNumId="105">
    <w:nsid w:val="634C574C"/>
    <w:multiLevelType w:val="hybridMultilevel"/>
    <w:lvl w:ilvl="0">
      <w:lvlJc w:val="left"/>
      <w:lvlText w:val="(%1)"/>
      <w:numFmt w:val="lowerRoman"/>
      <w:start w:val="4"/>
    </w:lvl>
    <w:lvl w:ilvl="1">
      <w:lvlJc w:val="left"/>
      <w:lvlText w:val="(%2)"/>
      <w:numFmt w:val="lowerLetter"/>
      <w:start w:val="5"/>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1)"/>
      <w:numFmt w:val="lowerLetter"/>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0">
    <w:nsid w:val="754342"/>
    <w:multiLevelType w:val="hybridMultilevel"/>
    <w:lvl w:ilvl="0">
      <w:lvlJc w:val="left"/>
      <w:lvlText w:val="%1"/>
      <w:numFmt w:val="lowerLetter"/>
      <w:start w:val="1"/>
    </w:lvl>
    <w:lvl w:ilvl="1">
      <w:lvlJc w:val="left"/>
      <w:lvlText w:val="(%2)"/>
      <w:numFmt w:val="lowerRoman"/>
      <w:start w:val="4"/>
    </w:lvl>
  </w:abstractNum>
  <w:abstractNum w:abstractNumId="111">
    <w:nsid w:val="69E7F3E5"/>
    <w:multiLevelType w:val="hybridMultilevel"/>
    <w:lvl w:ilvl="0">
      <w:lvlJc w:val="left"/>
      <w:lvlText w:val="(%1)"/>
      <w:numFmt w:val="lowerLetter"/>
      <w:start w:val="2"/>
    </w:lvl>
    <w:lvl w:ilvl="1">
      <w:lvlJc w:val="left"/>
      <w:lvlText w:val="(%2)"/>
      <w:numFmt w:val="lowerRoman"/>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4">
    <w:nsid w:val="37DF2233"/>
    <w:multiLevelType w:val="hybridMultilevel"/>
    <w:lvl w:ilvl="0">
      <w:lvlJc w:val="left"/>
      <w:lvlText w:val="%1"/>
      <w:numFmt w:val="lowerLetter"/>
      <w:start w:val="1"/>
    </w:lvl>
    <w:lvl w:ilvl="1">
      <w:lvlJc w:val="left"/>
      <w:lvlText w:val="(%2)"/>
      <w:numFmt w:val="lowerLetter"/>
      <w:start w:val="61"/>
    </w:lvl>
  </w:abstractNum>
  <w:abstractNum w:abstractNumId="115">
    <w:nsid w:val="7AB49DAF"/>
    <w:multiLevelType w:val="hybridMultilevel"/>
    <w:lvl w:ilvl="0">
      <w:lvlJc w:val="left"/>
      <w:lvlText w:val="(%1)"/>
      <w:numFmt w:val="lowerLetter"/>
      <w:start w:val="3"/>
    </w:lvl>
    <w:lvl w:ilvl="1">
      <w:lvlJc w:val="left"/>
      <w:lvlText w:val="(%2)"/>
      <w:numFmt w:val="lowerLetter"/>
      <w:start w:val="9"/>
    </w:lvl>
  </w:abstractNum>
  <w:abstractNum w:abstractNumId="116">
    <w:nsid w:val="759F82CD"/>
    <w:multiLevelType w:val="hybridMultilevel"/>
    <w:lvl w:ilvl="0">
      <w:lvlJc w:val="left"/>
      <w:lvlText w:val="(%1)"/>
      <w:numFmt w:val="lowerRoman"/>
      <w:start w:val="2"/>
    </w:lvl>
  </w:abstractNum>
  <w:abstractNum w:abstractNumId="117">
    <w:nsid w:val="61E74EA3"/>
    <w:multiLevelType w:val="hybridMultilevel"/>
    <w:lvl w:ilvl="0">
      <w:lvlJc w:val="left"/>
      <w:lvlText w:val="(%1)"/>
      <w:numFmt w:val="lowerLetter"/>
      <w:start w:val="4"/>
    </w:lvl>
  </w:abstractNum>
  <w:abstractNum w:abstractNumId="118">
    <w:nsid w:val="597B4D84"/>
    <w:multiLevelType w:val="hybridMultilevel"/>
    <w:lvl w:ilvl="0">
      <w:lvlJc w:val="left"/>
      <w:lvlText w:val="[*]"/>
      <w:numFmt w:val="bullet"/>
      <w:start w:val="1"/>
    </w:lvl>
    <w:lvl w:ilvl="1">
      <w:lvlJc w:val="left"/>
      <w:lvlText w:val="(%2)"/>
      <w:numFmt w:val="lowerLetter"/>
      <w:start w:val="1"/>
    </w:lvl>
  </w:abstractNum>
  <w:abstractNum w:abstractNumId="119">
    <w:nsid w:val="F819E7F"/>
    <w:multiLevelType w:val="hybridMultilevel"/>
    <w:lvl w:ilvl="0">
      <w:lvlJc w:val="left"/>
      <w:lvlText w:val="[*]"/>
      <w:numFmt w:val="bullet"/>
      <w:start w:val="1"/>
    </w:lvl>
    <w:lvl w:ilvl="1">
      <w:lvlJc w:val="left"/>
      <w:lvlText w:val="(%2)"/>
      <w:numFmt w:val="lowerLetter"/>
      <w:start w:val="2"/>
    </w:lvl>
  </w:abstractNum>
  <w:abstractNum w:abstractNumId="120">
    <w:nsid w:val="57C7D42D"/>
    <w:multiLevelType w:val="hybridMultilevel"/>
    <w:lvl w:ilvl="0">
      <w:lvlJc w:val="left"/>
      <w:lvlText w:val="%1"/>
      <w:numFmt w:val="lowerRoman"/>
      <w:start w:val="1"/>
    </w:lvl>
    <w:lvl w:ilvl="1">
      <w:lvlJc w:val="left"/>
      <w:lvlText w:val="(%2)"/>
      <w:numFmt w:val="lowerRoman"/>
      <w:start w:val="1"/>
    </w:lvl>
  </w:abstractNum>
  <w:abstractNum w:abstractNumId="121">
    <w:nsid w:val="312167AD"/>
    <w:multiLevelType w:val="hybridMultilevel"/>
    <w:lvl w:ilvl="0">
      <w:lvlJc w:val="left"/>
      <w:lvlText w:val="(%1)"/>
      <w:numFmt w:val="lowerRoman"/>
      <w:start w:val="2"/>
    </w:lvl>
    <w:lvl w:ilvl="1">
      <w:lvlJc w:val="left"/>
      <w:lvlText w:val="(%2)"/>
      <w:numFmt w:val="lowerRoman"/>
      <w:start w:val="3"/>
    </w:lvl>
  </w:abstractNum>
  <w:abstractNum w:abstractNumId="122">
    <w:nsid w:val="631B64D4"/>
    <w:multiLevelType w:val="hybridMultilevel"/>
    <w:lvl w:ilvl="0">
      <w:lvlJc w:val="left"/>
      <w:lvlText w:val="[*]"/>
      <w:numFmt w:val="bullet"/>
      <w:start w:val="1"/>
    </w:lvl>
  </w:abstractNum>
  <w:abstractNum w:abstractNumId="123">
    <w:nsid w:val="78B5E776"/>
    <w:multiLevelType w:val="hybridMultilevel"/>
    <w:lvl w:ilvl="0">
      <w:lvlJc w:val="left"/>
      <w:lvlText w:val="[*]"/>
      <w:numFmt w:val="bullet"/>
      <w:start w:val="1"/>
    </w:lvl>
    <w:lvl w:ilvl="1">
      <w:lvlJc w:val="left"/>
      <w:lvlText w:val="(%2)"/>
      <w:numFmt w:val="lowerLetter"/>
      <w:start w:val="1"/>
    </w:lvl>
  </w:abstractNum>
  <w:abstractNum w:abstractNumId="124">
    <w:nsid w:val="75486E47"/>
    <w:multiLevelType w:val="hybridMultilevel"/>
    <w:lvl w:ilvl="0">
      <w:lvlJc w:val="left"/>
      <w:lvlText w:val="(%1)"/>
      <w:numFmt w:val="lowerLetter"/>
      <w:start w:val="3"/>
    </w:lvl>
  </w:abstractNum>
  <w:abstractNum w:abstractNumId="125">
    <w:nsid w:val="6E534CDE"/>
    <w:multiLevelType w:val="hybridMultilevel"/>
    <w:lvl w:ilvl="0">
      <w:lvlJc w:val="left"/>
      <w:lvlText w:val="[*]"/>
      <w:numFmt w:val="bullet"/>
      <w:start w:val="1"/>
    </w:lvl>
  </w:abstractNum>
  <w:abstractNum w:abstractNumId="126">
    <w:nsid w:val="1A0DDE32"/>
    <w:multiLevelType w:val="hybridMultilevel"/>
    <w:lvl w:ilvl="0">
      <w:lvlJc w:val="left"/>
      <w:lvlText w:val="[*]"/>
      <w:numFmt w:val="bullet"/>
      <w:start w:val="1"/>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
      <w:numFmt w:val="bullet"/>
      <w:start w:val="1"/>
    </w:lvl>
  </w:abstractNum>
  <w:abstractNum w:abstractNumId="129">
    <w:nsid w:val="260D8C4A"/>
    <w:multiLevelType w:val="hybridMultilevel"/>
    <w:lvl w:ilvl="0">
      <w:lvlJc w:val="left"/>
      <w:lvlText w:val="(%1)"/>
      <w:numFmt w:val="lowerLetter"/>
      <w:start w:val="1"/>
    </w:lvl>
  </w:abstractNum>
  <w:abstractNum w:abstractNumId="130">
    <w:nsid w:val="73D4D3C4"/>
    <w:multiLevelType w:val="hybridMultilevel"/>
    <w:lvl w:ilvl="0">
      <w:lvlJc w:val="left"/>
      <w:lvlText w:val="[*]"/>
      <w:numFmt w:val="bullet"/>
      <w:start w:val="1"/>
    </w:lvl>
    <w:lvl w:ilvl="1">
      <w:lvlJc w:val="left"/>
      <w:lvlText w:val="(%2)"/>
      <w:numFmt w:val="lowerLetter"/>
      <w:start w:val="1"/>
    </w:lvl>
  </w:abstractNum>
  <w:abstractNum w:abstractNumId="131">
    <w:nsid w:val="746F2E30"/>
    <w:multiLevelType w:val="hybridMultilevel"/>
    <w:lvl w:ilvl="0">
      <w:lvlJc w:val="left"/>
      <w:lvlText w:val="[*]"/>
      <w:numFmt w:val="bullet"/>
      <w:start w:val="1"/>
    </w:lvl>
    <w:lvl w:ilvl="1">
      <w:lvlJc w:val="left"/>
      <w:lvlText w:val="(%2)"/>
      <w:numFmt w:val="lowerLetter"/>
      <w:start w:val="2"/>
    </w:lvl>
  </w:abstractNum>
  <w:abstractNum w:abstractNumId="132">
    <w:nsid w:val="6FDE8AF6"/>
    <w:multiLevelType w:val="hybridMultilevel"/>
    <w:lvl w:ilvl="0">
      <w:lvlJc w:val="left"/>
      <w:lvlText w:val="(%1)"/>
      <w:numFmt w:val="lowerLetter"/>
      <w:start w:val="7"/>
    </w:lvl>
  </w:abstractNum>
  <w:abstractNum w:abstractNumId="133">
    <w:nsid w:val="3FC32E20"/>
    <w:multiLevelType w:val="hybridMultilevel"/>
    <w:lvl w:ilvl="0">
      <w:lvlJc w:val="left"/>
      <w:lvlText w:val="[*]"/>
      <w:numFmt w:val="bullet"/>
      <w:start w:val="1"/>
    </w:lvl>
    <w:lvl w:ilvl="1">
      <w:lvlJc w:val="left"/>
      <w:lvlText w:val="(%2)"/>
      <w:numFmt w:val="lowerLetter"/>
      <w:start w:val="1"/>
    </w:lvl>
  </w:abstractNum>
  <w:abstractNum w:abstractNumId="134">
    <w:nsid w:val="49C0E82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5">
    <w:nsid w:val="14D53685"/>
    <w:multiLevelType w:val="hybridMultilevel"/>
    <w:lvl w:ilvl="0">
      <w:lvlJc w:val="left"/>
      <w:lvlText w:val="[*]"/>
      <w:numFmt w:val="bullet"/>
      <w:start w:val="1"/>
    </w:lvl>
    <w:lvl w:ilvl="1">
      <w:lvlJc w:val="left"/>
      <w:lvlText w:val="(%2)"/>
      <w:numFmt w:val="lowerLetter"/>
      <w:start w:val="24"/>
    </w:lvl>
    <w:lvl w:ilvl="2">
      <w:lvlJc w:val="left"/>
      <w:lvlText w:val="(%3)"/>
      <w:numFmt w:val="lowerRoman"/>
      <w:start w:val="2"/>
    </w:lvl>
  </w:abstractNum>
  <w:abstractNum w:abstractNumId="136">
    <w:nsid w:val="230F856C"/>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37">
    <w:nsid w:val="6EAA85FB"/>
    <w:multiLevelType w:val="hybridMultilevel"/>
    <w:lvl w:ilvl="0">
      <w:lvlJc w:val="left"/>
      <w:lvlText w:val="(%1)"/>
      <w:numFmt w:val="lowerLetter"/>
      <w:start w:val="4"/>
    </w:lvl>
  </w:abstractNum>
  <w:abstractNum w:abstractNumId="138">
    <w:nsid w:val="3F06ECB2"/>
    <w:multiLevelType w:val="hybridMultilevel"/>
    <w:lvl w:ilvl="0">
      <w:lvlJc w:val="left"/>
      <w:lvlText w:val="[*]"/>
      <w:numFmt w:val="bullet"/>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
      <w:numFmt w:val="bullet"/>
      <w:start w:val="1"/>
    </w:lvl>
  </w:abstractNum>
  <w:abstractNum w:abstractNumId="141">
    <w:nsid w:val="3F7C2FF4"/>
    <w:multiLevelType w:val="hybridMultilevel"/>
    <w:lvl w:ilvl="0">
      <w:lvlJc w:val="left"/>
      <w:lvlText w:val="[*]"/>
      <w:numFmt w:val="bullet"/>
      <w:start w:val="1"/>
    </w:lvl>
  </w:abstractNum>
  <w:abstractNum w:abstractNumId="142">
    <w:nsid w:val="25413BEC"/>
    <w:multiLevelType w:val="hybridMultilevel"/>
    <w:lvl w:ilvl="0">
      <w:lvlJc w:val="left"/>
      <w:lvlText w:val="[*]"/>
      <w:numFmt w:val="bullet"/>
      <w:start w:val="1"/>
    </w:lvl>
  </w:abstractNum>
  <w:abstractNum w:abstractNumId="143">
    <w:nsid w:val="17180B0B"/>
    <w:multiLevelType w:val="hybridMultilevel"/>
    <w:lvl w:ilvl="0">
      <w:lvlJc w:val="left"/>
      <w:lvlText w:val="[*]"/>
      <w:numFmt w:val="bullet"/>
      <w:start w:val="1"/>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1)"/>
      <w:numFmt w:val="lowerRoman"/>
      <w:start w:val="2"/>
    </w:lvl>
  </w:abstractNum>
  <w:abstractNum w:abstractNumId="146">
    <w:nsid w:val="11CCA8BA"/>
    <w:multiLevelType w:val="hybridMultilevel"/>
    <w:lvl w:ilvl="0">
      <w:lvlJc w:val="left"/>
      <w:lvlText w:val="[*]"/>
      <w:numFmt w:val="bullet"/>
      <w:start w:val="1"/>
    </w:lvl>
  </w:abstractNum>
  <w:abstractNum w:abstractNumId="147">
    <w:nsid w:val="4D32AB86"/>
    <w:multiLevelType w:val="hybridMultilevel"/>
    <w:lvl w:ilvl="0">
      <w:lvlJc w:val="left"/>
      <w:lvlText w:val="[*]"/>
      <w:numFmt w:val="bullet"/>
      <w:start w:val="1"/>
    </w:lvl>
  </w:abstractNum>
  <w:abstractNum w:abstractNumId="148">
    <w:nsid w:val="3F07ACC3"/>
    <w:multiLevelType w:val="hybridMultilevel"/>
    <w:lvl w:ilvl="0">
      <w:lvlJc w:val="left"/>
      <w:lvlText w:val="[*]"/>
      <w:numFmt w:val="bullet"/>
      <w:start w:val="1"/>
    </w:lvl>
  </w:abstractNum>
  <w:abstractNum w:abstractNumId="149">
    <w:nsid w:val="6B47F63E"/>
    <w:multiLevelType w:val="hybridMultilevel"/>
    <w:lvl w:ilvl="0">
      <w:lvlJc w:val="left"/>
      <w:lvlText w:val="[*]"/>
      <w:numFmt w:val="bullet"/>
      <w:start w:val="1"/>
    </w:lvl>
  </w:abstractNum>
  <w:abstractNum w:abstractNumId="150">
    <w:nsid w:val="5CB44A05"/>
    <w:multiLevelType w:val="hybridMultilevel"/>
    <w:lvl w:ilvl="0">
      <w:lvlJc w:val="left"/>
      <w:lvlText w:val="[*]"/>
      <w:numFmt w:val="bullet"/>
      <w:start w:val="1"/>
    </w:lvl>
  </w:abstractNum>
  <w:abstractNum w:abstractNumId="151">
    <w:nsid w:val="16CF80F1"/>
    <w:multiLevelType w:val="hybridMultilevel"/>
    <w:lvl w:ilvl="0">
      <w:lvlJc w:val="left"/>
      <w:lvlText w:val="(%1)"/>
      <w:numFmt w:val="lowerRoman"/>
      <w:start w:val="3"/>
    </w:lvl>
  </w:abstractNum>
  <w:abstractNum w:abstractNumId="152">
    <w:nsid w:val="1C695DEC"/>
    <w:multiLevelType w:val="hybridMultilevel"/>
    <w:lvl w:ilvl="0">
      <w:lvlJc w:val="left"/>
      <w:lvlText w:val="(%1)"/>
      <w:numFmt w:val="lowerLetter"/>
      <w:start w:val="4"/>
    </w:lvl>
  </w:abstractNum>
  <w:abstractNum w:abstractNumId="153">
    <w:nsid w:val="3FCFAED9"/>
    <w:multiLevelType w:val="hybridMultilevel"/>
    <w:lvl w:ilvl="0">
      <w:lvlJc w:val="left"/>
      <w:lvlText w:val="[*]"/>
      <w:numFmt w:val="bullet"/>
      <w:start w:val="1"/>
    </w:lvl>
  </w:abstractNum>
  <w:abstractNum w:abstractNumId="154">
    <w:nsid w:val="F856867"/>
    <w:multiLevelType w:val="hybridMultilevel"/>
    <w:lvl w:ilvl="0">
      <w:lvlJc w:val="left"/>
      <w:lvlText w:val="[*]"/>
      <w:numFmt w:val="bullet"/>
      <w:start w:val="1"/>
    </w:lvl>
  </w:abstractNum>
  <w:abstractNum w:abstractNumId="155">
    <w:nsid w:val="11B1CC33"/>
    <w:multiLevelType w:val="hybridMultilevel"/>
    <w:lvl w:ilvl="0">
      <w:lvlJc w:val="left"/>
      <w:lvlText w:val="[*]"/>
      <w:numFmt w:val="bullet"/>
      <w:start w:val="1"/>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1)"/>
      <w:numFmt w:val="lowerLetter"/>
      <w:start w:val="2"/>
    </w:lvl>
  </w:abstractNum>
  <w:abstractNum w:abstractNumId="158">
    <w:nsid w:val="77485850"/>
    <w:multiLevelType w:val="hybridMultilevel"/>
    <w:lvl w:ilvl="0">
      <w:lvlJc w:val="left"/>
      <w:lvlText w:val="[*]"/>
      <w:numFmt w:val="bullet"/>
      <w:start w:val="1"/>
    </w:lvl>
  </w:abstractNum>
  <w:abstractNum w:abstractNumId="159">
    <w:nsid w:val="744939A3"/>
    <w:multiLevelType w:val="hybridMultilevel"/>
    <w:lvl w:ilvl="0">
      <w:lvlJc w:val="left"/>
      <w:lvlText w:val="[*]"/>
      <w:numFmt w:val="bullet"/>
      <w:start w:val="1"/>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
      <w:numFmt w:val="bullet"/>
      <w:start w:val="1"/>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
      <w:numFmt w:val="bullet"/>
      <w:start w:val="1"/>
    </w:lvl>
  </w:abstractNum>
  <w:abstractNum w:abstractNumId="165">
    <w:nsid w:val="32794FF7"/>
    <w:multiLevelType w:val="hybridMultilevel"/>
    <w:lvl w:ilvl="0">
      <w:lvlJc w:val="left"/>
      <w:lvlText w:val="[*]"/>
      <w:numFmt w:val="bullet"/>
      <w:start w:val="1"/>
    </w:lvl>
  </w:abstractNum>
  <w:abstractNum w:abstractNumId="166">
    <w:nsid w:val="5454945E"/>
    <w:multiLevelType w:val="hybridMultilevel"/>
    <w:lvl w:ilvl="0">
      <w:lvlJc w:val="left"/>
      <w:lvlText w:val="[*]"/>
      <w:numFmt w:val="bullet"/>
      <w:start w:val="1"/>
    </w:lvl>
  </w:abstractNum>
  <w:abstractNum w:abstractNumId="167">
    <w:nsid w:val="4DEFDFA0"/>
    <w:multiLevelType w:val="hybridMultilevel"/>
    <w:lvl w:ilvl="0">
      <w:lvlJc w:val="left"/>
      <w:lvlText w:val="[*]"/>
      <w:numFmt w:val="bullet"/>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lvl w:ilvl="1">
      <w:lvlJc w:val="left"/>
      <w:lvlText w:val="(%2)"/>
      <w:numFmt w:val="lowerLetter"/>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97" Type="http://schemas.openxmlformats.org/officeDocument/2006/relationships/hyperlink" Target="https://www.sec.gov/Archives/edgar/data/1447669/000119312521075036/d78974dex41.htm" TargetMode="External"/><Relationship Id="rId98" Type="http://schemas.openxmlformats.org/officeDocument/2006/relationships/hyperlink" Target="https://www.sec.gov/Archives/edgar/data/1447669/000119312521075036/d789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2021-05-06T15:46:49Z</dcterms:created>
  <dcterms:modified xsi:type="dcterms:W3CDTF">2021-05-06T15:46:49Z</dcterms:modified>
</cp:coreProperties>
</file>