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205105</wp:posOffset>
            </wp:positionH>
            <wp:positionV relativeFrom="page">
              <wp:posOffset>793115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751840</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1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6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299" w:lineRule="exact"/>
        <w:rPr>
          <w:sz w:val="24"/>
          <w:szCs w:val="24"/>
          <w:color w:val="auto"/>
        </w:rPr>
      </w:pPr>
    </w:p>
    <w:p>
      <w:pPr>
        <w:ind w:left="700" w:hanging="680"/>
        <w:spacing w:after="0"/>
        <w:tabs>
          <w:tab w:leader="none" w:pos="7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1934</w:t>
      </w:r>
    </w:p>
    <w:p>
      <w:pPr>
        <w:spacing w:after="0" w:line="2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2022</w:t>
      </w:r>
    </w:p>
    <w:p>
      <w:pPr>
        <w:spacing w:after="0" w:line="240" w:lineRule="exact"/>
        <w:rPr>
          <w:sz w:val="24"/>
          <w:szCs w:val="24"/>
          <w:color w:val="auto"/>
        </w:rPr>
      </w:pPr>
    </w:p>
    <w:p>
      <w:pPr>
        <w:ind w:left="700" w:hanging="641"/>
        <w:spacing w:after="0"/>
        <w:tabs>
          <w:tab w:leader="none" w:pos="7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For the transition period from to</w:t>
      </w:r>
    </w:p>
    <w:p>
      <w:pPr>
        <w:spacing w:after="0" w:line="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Commission File Number: 001-37806</w:t>
      </w:r>
    </w:p>
    <w:p>
      <w:pPr>
        <w:spacing w:after="0" w:line="2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3251835</wp:posOffset>
            </wp:positionH>
            <wp:positionV relativeFrom="paragraph">
              <wp:posOffset>46990</wp:posOffset>
            </wp:positionV>
            <wp:extent cx="638810" cy="278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10" cy="27813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TWILIO INC.</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w:t>
      </w:r>
    </w:p>
    <w:p>
      <w:pPr>
        <w:spacing w:after="0" w:line="161" w:lineRule="exact"/>
        <w:rPr>
          <w:sz w:val="24"/>
          <w:szCs w:val="24"/>
          <w:color w:val="auto"/>
        </w:rPr>
      </w:pPr>
    </w:p>
    <w:p>
      <w:pPr>
        <w:ind w:left="2380"/>
        <w:spacing w:after="0"/>
        <w:tabs>
          <w:tab w:leader="none" w:pos="812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26-2574840</w:t>
      </w:r>
    </w:p>
    <w:p>
      <w:pPr>
        <w:spacing w:after="0" w:line="31" w:lineRule="exact"/>
        <w:rPr>
          <w:sz w:val="24"/>
          <w:szCs w:val="24"/>
          <w:color w:val="auto"/>
        </w:rPr>
      </w:pPr>
    </w:p>
    <w:p>
      <w:pPr>
        <w:ind w:left="1060"/>
        <w:spacing w:after="0"/>
        <w:tabs>
          <w:tab w:leader="none" w:pos="736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color w:val="auto"/>
        </w:rPr>
        <w:t>(I.R.S. Employer Identification Number)</w:t>
      </w:r>
    </w:p>
    <w:p>
      <w:pPr>
        <w:spacing w:after="0" w:line="2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101 Spear Street, Fifth Floor</w:t>
      </w:r>
    </w:p>
    <w:p>
      <w:pPr>
        <w:spacing w:after="0" w:line="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San Francisco, California 94105</w:t>
      </w:r>
    </w:p>
    <w:p>
      <w:pPr>
        <w:jc w:val="center"/>
        <w:ind w:right="-7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(415) 390-2337</w:t>
      </w:r>
    </w:p>
    <w:p>
      <w:pPr>
        <w:spacing w:after="0" w:line="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72"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450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50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TWLO</w:t>
            </w:r>
          </w:p>
        </w:tc>
        <w:tc>
          <w:tcPr>
            <w:tcW w:w="412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New York Stock Exchange</w:t>
            </w:r>
          </w:p>
        </w:tc>
        <w:tc>
          <w:tcPr>
            <w:tcW w:w="0" w:type="dxa"/>
            <w:vAlign w:val="bottom"/>
          </w:tcPr>
          <w:p>
            <w:pPr>
              <w:spacing w:after="0"/>
              <w:rPr>
                <w:sz w:val="1"/>
                <w:szCs w:val="1"/>
                <w:color w:val="auto"/>
              </w:rPr>
            </w:pPr>
          </w:p>
        </w:tc>
      </w:tr>
      <w:tr>
        <w:trPr>
          <w:trHeight w:val="103"/>
        </w:trPr>
        <w:tc>
          <w:tcPr>
            <w:tcW w:w="4500" w:type="dxa"/>
            <w:vAlign w:val="bottom"/>
            <w:vMerge w:val="continue"/>
          </w:tcPr>
          <w:p>
            <w:pPr>
              <w:spacing w:after="0"/>
              <w:rPr>
                <w:sz w:val="8"/>
                <w:szCs w:val="8"/>
                <w:color w:val="auto"/>
              </w:rPr>
            </w:pPr>
          </w:p>
        </w:tc>
        <w:tc>
          <w:tcPr>
            <w:tcW w:w="2440" w:type="dxa"/>
            <w:vAlign w:val="bottom"/>
            <w:vMerge w:val="continue"/>
          </w:tcPr>
          <w:p>
            <w:pPr>
              <w:spacing w:after="0"/>
              <w:rPr>
                <w:sz w:val="8"/>
                <w:szCs w:val="8"/>
                <w:color w:val="auto"/>
              </w:rPr>
            </w:pPr>
          </w:p>
        </w:tc>
        <w:tc>
          <w:tcPr>
            <w:tcW w:w="4120" w:type="dxa"/>
            <w:vAlign w:val="bottom"/>
            <w:vMerge w:val="restart"/>
          </w:tcPr>
          <w:p>
            <w:pPr>
              <w:jc w:val="center"/>
              <w:ind w:right="3"/>
              <w:spacing w:after="0"/>
              <w:rPr>
                <w:sz w:val="20"/>
                <w:szCs w:val="20"/>
                <w:color w:val="auto"/>
              </w:rPr>
            </w:pPr>
            <w:r>
              <w:rPr>
                <w:rFonts w:ascii="Times New Roman" w:cs="Times New Roman" w:eastAsia="Times New Roman" w:hAnsi="Times New Roman"/>
                <w:sz w:val="15"/>
                <w:szCs w:val="15"/>
                <w:color w:val="auto"/>
              </w:rPr>
              <w:t>Long-Term Stock Exchange</w:t>
            </w: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As of October 27, 2022, 174,522,799 shares of the registrant’s Class A common stock and 9,817,605 shares of registrant’s Class B common stock were outstanding.</w:t>
      </w:r>
    </w:p>
    <w:p>
      <w:pPr>
        <w:spacing w:after="0" w:line="110" w:lineRule="exact"/>
        <w:rPr>
          <w:sz w:val="24"/>
          <w:szCs w:val="24"/>
          <w:color w:val="auto"/>
        </w:rPr>
      </w:pPr>
    </w:p>
    <w:p>
      <w:pPr>
        <w:jc w:val="both"/>
        <w:ind w:right="20" w:firstLine="619"/>
        <w:spacing w:after="0" w:line="27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9" w:lineRule="exact"/>
        <w:rPr>
          <w:sz w:val="24"/>
          <w:szCs w:val="24"/>
          <w:color w:val="auto"/>
        </w:rPr>
      </w:pPr>
    </w:p>
    <w:p>
      <w:pPr>
        <w:ind w:right="380" w:firstLine="619"/>
        <w:spacing w:after="0" w:line="29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5" w:lineRule="exact"/>
        <w:rPr>
          <w:sz w:val="24"/>
          <w:szCs w:val="24"/>
          <w:color w:val="auto"/>
        </w:rPr>
      </w:pPr>
    </w:p>
    <w:p>
      <w:pPr>
        <w:ind w:right="260" w:firstLine="619"/>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1900" w:type="dxa"/>
        <w:tblCellMar>
          <w:top w:w="0" w:type="dxa"/>
          <w:left w:w="0" w:type="dxa"/>
          <w:bottom w:w="0" w:type="dxa"/>
          <w:right w:w="0" w:type="dxa"/>
        </w:tblCellMar>
      </w:tblPr>
      <w:tr>
        <w:trPr>
          <w:trHeight w:val="193"/>
        </w:trPr>
        <w:tc>
          <w:tcPr>
            <w:tcW w:w="2200" w:type="dxa"/>
            <w:vAlign w:val="bottom"/>
          </w:tcPr>
          <w:p>
            <w:pPr>
              <w:jc w:val="center"/>
              <w:ind w:right="891"/>
              <w:spacing w:after="0"/>
              <w:rPr>
                <w:sz w:val="20"/>
                <w:szCs w:val="20"/>
                <w:color w:val="auto"/>
              </w:rPr>
            </w:pPr>
            <w:r>
              <w:rPr>
                <w:rFonts w:ascii="Times New Roman" w:cs="Times New Roman" w:eastAsia="Times New Roman" w:hAnsi="Times New Roman"/>
                <w:sz w:val="14"/>
                <w:szCs w:val="14"/>
                <w:color w:val="auto"/>
                <w:w w:val="98"/>
              </w:rPr>
              <w:t>Large accelerated filer</w:t>
            </w:r>
          </w:p>
        </w:tc>
        <w:tc>
          <w:tcPr>
            <w:tcW w:w="23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Accelerated filer</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3"/>
        </w:trPr>
        <w:tc>
          <w:tcPr>
            <w:tcW w:w="2200" w:type="dxa"/>
            <w:vAlign w:val="bottom"/>
          </w:tcPr>
          <w:p>
            <w:pPr>
              <w:jc w:val="center"/>
              <w:ind w:right="891"/>
              <w:spacing w:after="0"/>
              <w:rPr>
                <w:sz w:val="20"/>
                <w:szCs w:val="20"/>
                <w:color w:val="auto"/>
              </w:rPr>
            </w:pPr>
            <w:r>
              <w:rPr>
                <w:rFonts w:ascii="Times New Roman" w:cs="Times New Roman" w:eastAsia="Times New Roman" w:hAnsi="Times New Roman"/>
                <w:sz w:val="14"/>
                <w:szCs w:val="14"/>
                <w:color w:val="auto"/>
                <w:w w:val="97"/>
              </w:rPr>
              <w:t>Non-accelerated filer</w:t>
            </w:r>
          </w:p>
        </w:tc>
        <w:tc>
          <w:tcPr>
            <w:tcW w:w="23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w w:val="97"/>
              </w:rPr>
              <w:t>Smaller reporting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w w:val="97"/>
              </w:rPr>
              <w:t>Emerging growth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4"/>
          <w:szCs w:val="24"/>
          <w:color w:val="auto"/>
        </w:rPr>
      </w:pPr>
    </w:p>
    <w:p>
      <w:pPr>
        <w:spacing w:after="0" w:line="226" w:lineRule="exact"/>
        <w:rPr>
          <w:sz w:val="24"/>
          <w:szCs w:val="24"/>
          <w:color w:val="auto"/>
        </w:rPr>
      </w:pPr>
    </w:p>
    <w:p>
      <w:pPr>
        <w:ind w:right="360" w:firstLine="619"/>
        <w:spacing w:after="0" w:line="275"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85" w:lineRule="exact"/>
        <w:rPr>
          <w:sz w:val="24"/>
          <w:szCs w:val="24"/>
          <w:color w:val="auto"/>
        </w:rPr>
      </w:pPr>
    </w:p>
    <w:p>
      <w:pPr>
        <w:ind w:left="6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48260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60"/>
          </w:cols>
          <w:pgMar w:left="320" w:top="1380"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380" w:right="41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TWILIO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 30, 2022</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vMerge w:val="restart"/>
          </w:tcPr>
          <w:p>
            <w:pPr>
              <w:spacing w:after="0"/>
              <w:rPr>
                <w:sz w:val="19"/>
                <w:szCs w:val="19"/>
                <w:color w:val="auto"/>
              </w:rPr>
            </w:pPr>
          </w:p>
        </w:tc>
        <w:tc>
          <w:tcPr>
            <w:tcW w:w="30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0000FF"/>
              </w:rPr>
              <w:t>PART I - FINANCIAL INFORMATION</w:t>
            </w:r>
          </w:p>
        </w:tc>
        <w:tc>
          <w:tcPr>
            <w:tcW w:w="3300" w:type="dxa"/>
            <w:vAlign w:val="bottom"/>
            <w:gridSpan w:val="5"/>
            <w:vMerge w:val="restart"/>
          </w:tcPr>
          <w:p>
            <w:pPr>
              <w:spacing w:after="0"/>
              <w:rPr>
                <w:sz w:val="19"/>
                <w:szCs w:val="19"/>
                <w:color w:val="auto"/>
              </w:rPr>
            </w:pPr>
          </w:p>
        </w:tc>
        <w:tc>
          <w:tcPr>
            <w:tcW w:w="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165"/>
        </w:trPr>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3000" w:type="dxa"/>
            <w:vAlign w:val="bottom"/>
            <w:tcBorders>
              <w:bottom w:val="single" w:sz="8" w:color="0000FF"/>
            </w:tcBorders>
            <w:gridSpan w:val="6"/>
            <w:vMerge w:val="continue"/>
          </w:tcPr>
          <w:p>
            <w:pPr>
              <w:spacing w:after="0"/>
              <w:rPr>
                <w:sz w:val="13"/>
                <w:szCs w:val="13"/>
                <w:color w:val="auto"/>
              </w:rPr>
            </w:pPr>
          </w:p>
        </w:tc>
        <w:tc>
          <w:tcPr>
            <w:tcW w:w="330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9"/>
        </w:trPr>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p>
        </w:tc>
        <w:tc>
          <w:tcPr>
            <w:tcW w:w="96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September 30, 2022 and December 31, 2021</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and Nine Months Ended September 30, 2022 and 2021</w:t>
            </w:r>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 for the Three and Nine Months Ended September 30, 2022 and 2021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Nine Months Ended September 30, 2022 and 2021</w:t>
            </w:r>
          </w:p>
        </w:tc>
        <w:tc>
          <w:tcPr>
            <w:tcW w:w="2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Nine Months Ended September 30, 2022 and 2021</w:t>
            </w:r>
          </w:p>
        </w:tc>
        <w:tc>
          <w:tcPr>
            <w:tcW w:w="20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13</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14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96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28</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3.</w:t>
            </w:r>
          </w:p>
        </w:tc>
        <w:tc>
          <w:tcPr>
            <w:tcW w:w="96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20" w:type="dxa"/>
            <w:vAlign w:val="bottom"/>
            <w:tcBorders>
              <w:left w:val="single" w:sz="8" w:color="0000FF"/>
            </w:tcBorders>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4.</w:t>
            </w:r>
          </w:p>
        </w:tc>
        <w:tc>
          <w:tcPr>
            <w:tcW w:w="96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42</w:t>
            </w:r>
          </w:p>
        </w:tc>
        <w:tc>
          <w:tcPr>
            <w:tcW w:w="0" w:type="dxa"/>
            <w:vAlign w:val="bottom"/>
          </w:tcPr>
          <w:p>
            <w:pPr>
              <w:spacing w:after="0"/>
              <w:rPr>
                <w:sz w:val="1"/>
                <w:szCs w:val="1"/>
                <w:color w:val="auto"/>
              </w:rPr>
            </w:pPr>
          </w:p>
        </w:tc>
      </w:tr>
      <w:tr>
        <w:trPr>
          <w:trHeight w:val="444"/>
        </w:trPr>
        <w:tc>
          <w:tcPr>
            <w:tcW w:w="4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gridSpan w:val="10"/>
          </w:tcPr>
          <w:p>
            <w:pPr>
              <w:jc w:val="center"/>
              <w:ind w:right="3460"/>
              <w:spacing w:after="0"/>
              <w:rPr>
                <w:sz w:val="20"/>
                <w:szCs w:val="20"/>
                <w:color w:val="auto"/>
              </w:rPr>
            </w:pPr>
            <w:r>
              <w:rPr>
                <w:rFonts w:ascii="Times New Roman" w:cs="Times New Roman" w:eastAsia="Times New Roman" w:hAnsi="Times New Roman"/>
                <w:sz w:val="17"/>
                <w:szCs w:val="17"/>
                <w:b w:val="1"/>
                <w:bCs w:val="1"/>
                <w:color w:val="0000FF"/>
                <w:w w:val="99"/>
              </w:rPr>
              <w:t>PART II - OTHER INFORMATION</w:t>
            </w: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p>
        </w:tc>
        <w:tc>
          <w:tcPr>
            <w:tcW w:w="34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2740" w:type="dxa"/>
            <w:vAlign w:val="bottom"/>
            <w:tcBorders>
              <w:top w:val="single" w:sz="8" w:color="0000FF"/>
            </w:tcBorders>
            <w:gridSpan w:val="3"/>
          </w:tcPr>
          <w:p>
            <w:pPr>
              <w:spacing w:after="0"/>
              <w:rPr>
                <w:sz w:val="24"/>
                <w:szCs w:val="24"/>
                <w:color w:val="auto"/>
              </w:rPr>
            </w:pPr>
          </w:p>
        </w:tc>
        <w:tc>
          <w:tcPr>
            <w:tcW w:w="3420" w:type="dxa"/>
            <w:vAlign w:val="bottom"/>
            <w:gridSpan w:val="7"/>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43</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00" w:type="dxa"/>
            <w:vAlign w:val="bottom"/>
            <w:tcBorders>
              <w:left w:val="single" w:sz="8" w:color="0000FF"/>
            </w:tcBorders>
            <w:gridSpan w:val="6"/>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340" w:type="dxa"/>
            <w:vAlign w:val="bottom"/>
          </w:tcPr>
          <w:p>
            <w:pPr>
              <w:spacing w:after="0"/>
              <w:rPr>
                <w:sz w:val="24"/>
                <w:szCs w:val="24"/>
                <w:color w:val="auto"/>
              </w:rPr>
            </w:pP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72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43</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96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80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900" w:type="dxa"/>
            <w:vAlign w:val="bottom"/>
            <w:tcBorders>
              <w:left w:val="single" w:sz="8" w:color="0000FF"/>
            </w:tcBorders>
            <w:gridSpan w:val="6"/>
            <w:shd w:val="clear" w:color="auto" w:fill="0000FF"/>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5.</w:t>
            </w:r>
          </w:p>
        </w:tc>
        <w:tc>
          <w:tcPr>
            <w:tcW w:w="96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80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6.</w:t>
            </w:r>
          </w:p>
        </w:tc>
        <w:tc>
          <w:tcPr>
            <w:tcW w:w="96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Exhibits</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80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6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86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81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4" w:right="339" w:bottom="1440" w:gutter="0" w:footer="0" w:header="0"/>
        </w:sectPr>
      </w:pPr>
    </w:p>
    <w:bookmarkStart w:id="2" w:name="page3"/>
    <w:bookmarkEnd w:id="2"/>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1"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79" w:lineRule="exact"/>
        <w:rPr>
          <w:sz w:val="20"/>
          <w:szCs w:val="20"/>
          <w:color w:val="auto"/>
        </w:rPr>
      </w:pPr>
    </w:p>
    <w:p>
      <w:pPr>
        <w:ind w:left="940" w:right="440" w:hanging="318"/>
        <w:spacing w:after="0" w:line="28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macroeconomic uncertainties and the coronavirus disease of 2019 (“COVID-19”) pandemic, or significant market volatility in the global economy on our customers, partners, employees and business;</w:t>
      </w:r>
    </w:p>
    <w:p>
      <w:pPr>
        <w:spacing w:after="0" w:line="151"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our revenue, cost of revenue, gross margin and operating expenses, ability to generate positive cash flow and ability to achieve and sustain profitability;</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growth, including maintaining our corporate culture;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qualified employees and key personnel;</w:t>
      </w:r>
    </w:p>
    <w:p>
      <w:pPr>
        <w:spacing w:after="0" w:line="217"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increase revenue from existing customers and attract new customers, including our ability to attract and retain enterprises and international organizations as customers for our products and our ability to maintain reliable service levels for our customers;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investments in sales and marketing, research and development and additional systems and processes to support our growth;</w:t>
      </w:r>
    </w:p>
    <w:p>
      <w:pPr>
        <w:spacing w:after="0" w:line="217" w:lineRule="exact"/>
        <w:rPr>
          <w:rFonts w:ascii="Times New Roman" w:cs="Times New Roman" w:eastAsia="Times New Roman" w:hAnsi="Times New Roman"/>
          <w:sz w:val="17"/>
          <w:szCs w:val="17"/>
          <w:color w:val="auto"/>
        </w:rPr>
      </w:pPr>
    </w:p>
    <w:p>
      <w:pPr>
        <w:ind w:left="940" w:right="300" w:hanging="318"/>
        <w:spacing w:after="0" w:line="28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effectively in an intensely competitive market, including our ability to adapt and respond effectively to rising costs, rapidly changing technology and evolving customer needs, requirements, and preferences;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harm caused by compromises in security, data and infrastructure, including cybersecurity protections;</w:t>
      </w:r>
    </w:p>
    <w:p>
      <w:pPr>
        <w:spacing w:after="0" w:line="217" w:lineRule="exact"/>
        <w:rPr>
          <w:rFonts w:ascii="Times New Roman" w:cs="Times New Roman" w:eastAsia="Times New Roman" w:hAnsi="Times New Roman"/>
          <w:sz w:val="17"/>
          <w:szCs w:val="17"/>
          <w:color w:val="auto"/>
        </w:rPr>
      </w:pPr>
    </w:p>
    <w:p>
      <w:pPr>
        <w:ind w:left="940" w:right="120" w:hanging="318"/>
        <w:spacing w:after="0" w:line="261"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modified or new industry standards, laws and regulations applying to our business, including the General Data Protection Regulation (“GDPR”), the California Consumer Privacy Act of 2018 (“CCPA”), Brazil's General Data Protection Law (Lei Geral de Proteção de Dados Pessoais) (Law No. 13,709/2018), and other privacy or cybersecurity regulations that may be implemented in the future, and Signature-based Handling of Asserted Information Using toKENs (“SHAKEN”) and Secure Telephone Identity Revisited (“STIR”) standards (together, “SHAKEN/STIR”) and other robocalling prevention and anti-spam standards and increased costs associated with such compliance;</w:t>
      </w:r>
    </w:p>
    <w:p>
      <w:pPr>
        <w:spacing w:after="0" w:line="174"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changes in network service provider fees that we pay in connection with the delivery of communications on our platform;</w:t>
      </w:r>
    </w:p>
    <w:p>
      <w:pPr>
        <w:spacing w:after="0" w:line="217" w:lineRule="exact"/>
        <w:rPr>
          <w:rFonts w:ascii="Times New Roman" w:cs="Times New Roman" w:eastAsia="Times New Roman" w:hAnsi="Times New Roman"/>
          <w:sz w:val="17"/>
          <w:szCs w:val="17"/>
          <w:color w:val="auto"/>
        </w:rPr>
      </w:pPr>
    </w:p>
    <w:p>
      <w:pPr>
        <w:ind w:left="940" w:right="240" w:hanging="318"/>
        <w:spacing w:after="0" w:line="28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and resources and costs required to prevent, detect and remediate potential cybersecurity threats, incidents and breaches of ours or our customers’ systems or information;</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optimize our network service provider coverage and connectivity;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work closely with email inbox service providers to maintain deliverability rates;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pass on our savings associated with our platform optimization efforts to our customers;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and expected results from changes in our relationships with our larger customers;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form and expand partnerships with technology partners and consulting partners;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technology trends, such as the use of and demand for cloud communications;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3" w:name="page4"/>
    <w:bookmarkEnd w:id="3"/>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enter into new markets and manage our international expansion;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and cash equivalents to meet our liquidity needs;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defend litigation brought against us;</w:t>
      </w:r>
    </w:p>
    <w:p>
      <w:pPr>
        <w:spacing w:after="0" w:line="217"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the interest on our 3.625% senior notes due 2029 (“2029 Notes”), our 3.875% notes due 2031 (“2031 Notes,” and together with the 2029 Notes, the “Notes”), and repay such Notes;</w:t>
      </w:r>
    </w:p>
    <w:p>
      <w:pPr>
        <w:spacing w:after="0" w:line="15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customers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and other platform users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violation of our policies or other misuse of our platform;</w:t>
      </w:r>
    </w:p>
    <w:p>
      <w:pPr>
        <w:spacing w:after="0" w:line="217"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about the impact of climate change, natural disasters, public health pandemics and epidemics and other natural catastrophic events and man-made problems such as data security breaches, war or terrorism; and</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integrate and realize the benefits of our past or future strategic acquisitions or investments.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caution you that the foregoing list may not contain all of the forward-looking statements made in this Quarterly Report on Form 10-Q.</w:t>
      </w:r>
    </w:p>
    <w:p>
      <w:pPr>
        <w:spacing w:after="0" w:line="217"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5"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Summary of Risk Factors and Uncertainties Associated with Our Business</w:t>
      </w:r>
    </w:p>
    <w:p>
      <w:pPr>
        <w:spacing w:after="0" w:line="221"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outside of our control. One, or a combination, of these risks and uncertainties could materially affect any of those matters as to which we have made forward-looking statements and cause our actual results or an actual event or occurrence to differ materially from those results or an event or occurrence described in a forward-looking statement. Some of the principal risks associated with our business include the following:</w:t>
      </w:r>
    </w:p>
    <w:p>
      <w:pPr>
        <w:spacing w:after="0" w:line="192"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17"/>
          <w:szCs w:val="17"/>
          <w:i w:val="1"/>
          <w:iCs w:val="1"/>
          <w:color w:val="auto"/>
        </w:rPr>
        <w:t>the impact of macroeconomic uncertainties and the global COVID-19 pandemic;</w:t>
      </w:r>
    </w:p>
    <w:p>
      <w:pPr>
        <w:spacing w:after="0" w:line="10" w:lineRule="exact"/>
        <w:rPr>
          <w:rFonts w:ascii="Times New Roman" w:cs="Times New Roman" w:eastAsia="Times New Roman" w:hAnsi="Times New Roman"/>
          <w:sz w:val="21"/>
          <w:szCs w:val="21"/>
          <w:i w:val="1"/>
          <w:iCs w:val="1"/>
          <w:color w:val="auto"/>
        </w:rPr>
      </w:pPr>
    </w:p>
    <w:p>
      <w:pPr>
        <w:ind w:left="620" w:hanging="307"/>
        <w:spacing w:after="0" w:line="233" w:lineRule="auto"/>
        <w:tabs>
          <w:tab w:leader="none" w:pos="620" w:val="left"/>
        </w:tabs>
        <w:numPr>
          <w:ilvl w:val="0"/>
          <w:numId w:val="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17"/>
          <w:szCs w:val="17"/>
          <w:i w:val="1"/>
          <w:iCs w:val="1"/>
          <w:color w:val="auto"/>
        </w:rPr>
        <w:t>fluctuations in our quarterly results and our ability to meet securities analysts’ and investors’ expectations;</w:t>
      </w:r>
    </w:p>
    <w:p>
      <w:pPr>
        <w:spacing w:after="0" w:line="16" w:lineRule="exact"/>
        <w:rPr>
          <w:rFonts w:ascii="Times New Roman" w:cs="Times New Roman" w:eastAsia="Times New Roman" w:hAnsi="Times New Roman"/>
          <w:sz w:val="21"/>
          <w:szCs w:val="21"/>
          <w:i w:val="1"/>
          <w:iCs w:val="1"/>
          <w:color w:val="auto"/>
        </w:rPr>
      </w:pPr>
    </w:p>
    <w:p>
      <w:pPr>
        <w:ind w:left="620" w:hanging="307"/>
        <w:spacing w:after="0"/>
        <w:tabs>
          <w:tab w:leader="none" w:pos="620" w:val="left"/>
        </w:tabs>
        <w:numPr>
          <w:ilvl w:val="0"/>
          <w:numId w:val="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17"/>
          <w:szCs w:val="17"/>
          <w:i w:val="1"/>
          <w:iCs w:val="1"/>
          <w:color w:val="auto"/>
        </w:rPr>
        <w:t>the impact of actions that we are taking to restructure our business in alignment with our strategic priorities;</w:t>
      </w:r>
    </w:p>
    <w:p>
      <w:pPr>
        <w:spacing w:after="0" w:line="10" w:lineRule="exact"/>
        <w:rPr>
          <w:rFonts w:ascii="Times New Roman" w:cs="Times New Roman" w:eastAsia="Times New Roman" w:hAnsi="Times New Roman"/>
          <w:sz w:val="21"/>
          <w:szCs w:val="21"/>
          <w:i w:val="1"/>
          <w:iCs w:val="1"/>
          <w:color w:val="auto"/>
        </w:rPr>
      </w:pPr>
    </w:p>
    <w:p>
      <w:pPr>
        <w:ind w:left="620" w:hanging="307"/>
        <w:spacing w:after="0" w:line="233" w:lineRule="auto"/>
        <w:tabs>
          <w:tab w:leader="none" w:pos="620" w:val="left"/>
        </w:tabs>
        <w:numPr>
          <w:ilvl w:val="0"/>
          <w:numId w:val="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17"/>
          <w:szCs w:val="17"/>
          <w:i w:val="1"/>
          <w:iCs w:val="1"/>
          <w:color w:val="auto"/>
        </w:rPr>
        <w:t>our ability to effectively manage our rapid growth;</w:t>
      </w:r>
    </w:p>
    <w:p>
      <w:pPr>
        <w:spacing w:after="0" w:line="10" w:lineRule="exact"/>
        <w:rPr>
          <w:rFonts w:ascii="Times New Roman" w:cs="Times New Roman" w:eastAsia="Times New Roman" w:hAnsi="Times New Roman"/>
          <w:sz w:val="21"/>
          <w:szCs w:val="21"/>
          <w:i w:val="1"/>
          <w:iCs w:val="1"/>
          <w:color w:val="auto"/>
        </w:rPr>
      </w:pPr>
    </w:p>
    <w:p>
      <w:pPr>
        <w:ind w:left="620" w:hanging="307"/>
        <w:spacing w:after="0" w:line="233" w:lineRule="auto"/>
        <w:tabs>
          <w:tab w:leader="none" w:pos="620" w:val="left"/>
        </w:tabs>
        <w:numPr>
          <w:ilvl w:val="0"/>
          <w:numId w:val="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17"/>
          <w:szCs w:val="17"/>
          <w:i w:val="1"/>
          <w:iCs w:val="1"/>
          <w:color w:val="auto"/>
        </w:rPr>
        <w:t>the loss of our senior management and other key employees;</w:t>
      </w:r>
    </w:p>
    <w:p>
      <w:pPr>
        <w:spacing w:after="0" w:line="10" w:lineRule="exact"/>
        <w:rPr>
          <w:rFonts w:ascii="Times New Roman" w:cs="Times New Roman" w:eastAsia="Times New Roman" w:hAnsi="Times New Roman"/>
          <w:sz w:val="21"/>
          <w:szCs w:val="21"/>
          <w:i w:val="1"/>
          <w:iCs w:val="1"/>
          <w:color w:val="auto"/>
        </w:rPr>
      </w:pPr>
    </w:p>
    <w:p>
      <w:pPr>
        <w:ind w:left="620" w:hanging="307"/>
        <w:spacing w:after="0" w:line="233" w:lineRule="auto"/>
        <w:tabs>
          <w:tab w:leader="none" w:pos="620" w:val="left"/>
        </w:tabs>
        <w:numPr>
          <w:ilvl w:val="0"/>
          <w:numId w:val="5"/>
        </w:numPr>
        <w:rPr>
          <w:rFonts w:ascii="Arial" w:cs="Arial" w:eastAsia="Arial" w:hAnsi="Arial"/>
          <w:sz w:val="21"/>
          <w:szCs w:val="21"/>
          <w:i w:val="1"/>
          <w:iCs w:val="1"/>
          <w:color w:val="auto"/>
        </w:rPr>
      </w:pPr>
      <w:r>
        <w:rPr>
          <w:rFonts w:ascii="Times New Roman" w:cs="Times New Roman" w:eastAsia="Times New Roman" w:hAnsi="Times New Roman"/>
          <w:sz w:val="17"/>
          <w:szCs w:val="17"/>
          <w:i w:val="1"/>
          <w:iCs w:val="1"/>
          <w:color w:val="auto"/>
        </w:rPr>
        <w:t>our ability to hire, retain and motivate qualified employees;</w:t>
      </w:r>
    </w:p>
    <w:p>
      <w:pPr>
        <w:spacing w:after="0" w:line="14" w:lineRule="exact"/>
        <w:rPr>
          <w:rFonts w:ascii="Arial" w:cs="Arial" w:eastAsia="Arial" w:hAnsi="Arial"/>
          <w:sz w:val="21"/>
          <w:szCs w:val="21"/>
          <w:i w:val="1"/>
          <w:iCs w:val="1"/>
          <w:color w:val="auto"/>
        </w:rPr>
      </w:pPr>
    </w:p>
    <w:p>
      <w:pPr>
        <w:ind w:left="620" w:hanging="307"/>
        <w:spacing w:after="0" w:line="229" w:lineRule="auto"/>
        <w:tabs>
          <w:tab w:leader="none" w:pos="620" w:val="left"/>
        </w:tabs>
        <w:numPr>
          <w:ilvl w:val="0"/>
          <w:numId w:val="5"/>
        </w:numPr>
        <w:rPr>
          <w:rFonts w:ascii="Arial" w:cs="Arial" w:eastAsia="Arial" w:hAnsi="Arial"/>
          <w:sz w:val="21"/>
          <w:szCs w:val="21"/>
          <w:i w:val="1"/>
          <w:iCs w:val="1"/>
          <w:color w:val="auto"/>
        </w:rPr>
      </w:pPr>
      <w:r>
        <w:rPr>
          <w:rFonts w:ascii="Times New Roman" w:cs="Times New Roman" w:eastAsia="Times New Roman" w:hAnsi="Times New Roman"/>
          <w:sz w:val="17"/>
          <w:szCs w:val="17"/>
          <w:i w:val="1"/>
          <w:iCs w:val="1"/>
          <w:color w:val="auto"/>
        </w:rPr>
        <w:t>our ability to maintain and grow our relationships with existing customers and have them increase their usage of our platform;</w:t>
      </w:r>
    </w:p>
    <w:p>
      <w:pPr>
        <w:spacing w:after="0" w:line="16" w:lineRule="exact"/>
        <w:rPr>
          <w:rFonts w:ascii="Arial" w:cs="Arial" w:eastAsia="Arial" w:hAnsi="Arial"/>
          <w:sz w:val="21"/>
          <w:szCs w:val="21"/>
          <w:i w:val="1"/>
          <w:iCs w:val="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maintain and enhance our brand and increase market awareness of our company and products;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64" w:right="399" w:bottom="1440" w:gutter="0" w:footer="0" w:header="0"/>
        </w:sectPr>
      </w:pPr>
    </w:p>
    <w:bookmarkStart w:id="4" w:name="page5"/>
    <w:bookmarkEnd w:id="4"/>
    <w:p>
      <w:pPr>
        <w:ind w:left="307" w:hanging="307"/>
        <w:spacing w:after="0"/>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new and unproven markets for our products and platform;</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17"/>
          <w:szCs w:val="17"/>
          <w:i w:val="1"/>
          <w:iCs w:val="1"/>
          <w:color w:val="auto"/>
        </w:rPr>
        <w:t>any breaches of our networks or systems, or those of AWS or our service providers;</w:t>
      </w:r>
    </w:p>
    <w:p>
      <w:pPr>
        <w:spacing w:after="0" w:line="18" w:lineRule="exact"/>
        <w:rPr>
          <w:rFonts w:ascii="Times New Roman" w:cs="Times New Roman" w:eastAsia="Times New Roman" w:hAnsi="Times New Roman"/>
          <w:sz w:val="21"/>
          <w:szCs w:val="21"/>
          <w:i w:val="1"/>
          <w:iCs w:val="1"/>
          <w:color w:val="auto"/>
        </w:rPr>
      </w:pPr>
    </w:p>
    <w:p>
      <w:pPr>
        <w:ind w:left="307" w:right="660" w:hanging="307"/>
        <w:spacing w:after="0" w:line="245" w:lineRule="auto"/>
        <w:tabs>
          <w:tab w:leader="none" w:pos="302" w:val="left"/>
        </w:tabs>
        <w:numPr>
          <w:ilvl w:val="0"/>
          <w:numId w:val="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17"/>
          <w:szCs w:val="17"/>
          <w:i w:val="1"/>
          <w:iCs w:val="1"/>
          <w:color w:val="auto"/>
        </w:rPr>
        <w:t>limitations on the use and adoption of our solutions due to privacy laws, data collection and transfer restrictions and related domestic or foreign regulations;</w:t>
      </w:r>
    </w:p>
    <w:p>
      <w:pPr>
        <w:spacing w:after="0" w:line="3" w:lineRule="exact"/>
        <w:rPr>
          <w:rFonts w:ascii="Times New Roman" w:cs="Times New Roman" w:eastAsia="Times New Roman" w:hAnsi="Times New Roman"/>
          <w:sz w:val="21"/>
          <w:szCs w:val="21"/>
          <w:i w:val="1"/>
          <w:iCs w:val="1"/>
          <w:color w:val="auto"/>
        </w:rPr>
      </w:pPr>
    </w:p>
    <w:p>
      <w:pPr>
        <w:ind w:left="307" w:hanging="307"/>
        <w:spacing w:after="0"/>
        <w:tabs>
          <w:tab w:leader="none" w:pos="307" w:val="left"/>
        </w:tabs>
        <w:numPr>
          <w:ilvl w:val="0"/>
          <w:numId w:val="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17"/>
          <w:szCs w:val="17"/>
          <w:i w:val="1"/>
          <w:iCs w:val="1"/>
          <w:color w:val="auto"/>
        </w:rPr>
        <w:t>our ability to manage changes in network service provider fees that we pay in connection with the delivery of communications on our platform;</w:t>
      </w:r>
    </w:p>
    <w:p>
      <w:pPr>
        <w:spacing w:after="0" w:line="10" w:lineRule="exact"/>
        <w:rPr>
          <w:rFonts w:ascii="Times New Roman" w:cs="Times New Roman" w:eastAsia="Times New Roman" w:hAnsi="Times New Roman"/>
          <w:sz w:val="21"/>
          <w:szCs w:val="21"/>
          <w:i w:val="1"/>
          <w:iCs w:val="1"/>
          <w:color w:val="auto"/>
        </w:rPr>
      </w:pPr>
    </w:p>
    <w:p>
      <w:pPr>
        <w:ind w:left="307" w:hanging="307"/>
        <w:spacing w:after="0" w:line="233" w:lineRule="auto"/>
        <w:tabs>
          <w:tab w:leader="none" w:pos="307" w:val="left"/>
        </w:tabs>
        <w:numPr>
          <w:ilvl w:val="0"/>
          <w:numId w:val="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17"/>
          <w:szCs w:val="17"/>
          <w:i w:val="1"/>
          <w:iCs w:val="1"/>
          <w:color w:val="auto"/>
        </w:rPr>
        <w:t>our ability to attract new customers in a cost-effective manner;</w:t>
      </w:r>
    </w:p>
    <w:p>
      <w:pPr>
        <w:spacing w:after="0" w:line="10" w:lineRule="exact"/>
        <w:rPr>
          <w:rFonts w:ascii="Times New Roman" w:cs="Times New Roman" w:eastAsia="Times New Roman" w:hAnsi="Times New Roman"/>
          <w:sz w:val="21"/>
          <w:szCs w:val="21"/>
          <w:i w:val="1"/>
          <w:iCs w:val="1"/>
          <w:color w:val="auto"/>
        </w:rPr>
      </w:pPr>
    </w:p>
    <w:p>
      <w:pPr>
        <w:ind w:left="307" w:hanging="307"/>
        <w:spacing w:after="0" w:line="233"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develop enhancements to our products, increase gross margins and introduce new products that achieve market acceptance;</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compete effectively in the markets in which we participate;</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history of losses and uncertainty about our future profitability;</w:t>
      </w:r>
    </w:p>
    <w:p>
      <w:pPr>
        <w:spacing w:after="0" w:line="16" w:lineRule="exact"/>
        <w:rPr>
          <w:rFonts w:ascii="Arial" w:cs="Arial" w:eastAsia="Arial" w:hAnsi="Arial"/>
          <w:sz w:val="21"/>
          <w:szCs w:val="21"/>
          <w:color w:val="auto"/>
        </w:rPr>
      </w:pPr>
    </w:p>
    <w:p>
      <w:pPr>
        <w:ind w:left="307" w:hanging="307"/>
        <w:spacing w:after="0"/>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increase adoption of our products by enterprises;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expand our relationships with existing technology partner customers and add new technology partner customers;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significant risks associated with expansion of our international operations;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compliance with applicable laws and regulations;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telecommunications-related regulations and future legislative or regulatory actions;</w:t>
      </w:r>
    </w:p>
    <w:p>
      <w:pPr>
        <w:spacing w:after="0" w:line="18" w:lineRule="exact"/>
        <w:rPr>
          <w:rFonts w:ascii="Arial" w:cs="Arial" w:eastAsia="Arial" w:hAnsi="Arial"/>
          <w:sz w:val="21"/>
          <w:szCs w:val="21"/>
          <w:color w:val="auto"/>
        </w:rPr>
      </w:pPr>
    </w:p>
    <w:p>
      <w:pPr>
        <w:ind w:left="307" w:right="380" w:hanging="307"/>
        <w:spacing w:after="0" w:line="245" w:lineRule="auto"/>
        <w:tabs>
          <w:tab w:leader="none" w:pos="302"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obtain or retain geographical, mobile, regional, local or toll-free numbers and to effectively process requests to port such numbers in a timely manner due to industry regulations;</w:t>
      </w:r>
    </w:p>
    <w:p>
      <w:pPr>
        <w:spacing w:after="0" w:line="18" w:lineRule="exact"/>
        <w:rPr>
          <w:rFonts w:ascii="Arial" w:cs="Arial" w:eastAsia="Arial" w:hAnsi="Arial"/>
          <w:sz w:val="21"/>
          <w:szCs w:val="21"/>
          <w:color w:val="auto"/>
        </w:rPr>
      </w:pPr>
    </w:p>
    <w:p>
      <w:pPr>
        <w:ind w:left="307" w:right="240" w:hanging="307"/>
        <w:spacing w:after="0" w:line="238" w:lineRule="auto"/>
        <w:tabs>
          <w:tab w:leader="none" w:pos="302"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adapt and respond effectively to rapidly changing technology, evolving industry standards, changing regulations, and changing customer needs, requirements or preferences;</w:t>
      </w:r>
    </w:p>
    <w:p>
      <w:pPr>
        <w:spacing w:after="0" w:line="3" w:lineRule="exact"/>
        <w:rPr>
          <w:rFonts w:ascii="Arial" w:cs="Arial" w:eastAsia="Arial" w:hAnsi="Arial"/>
          <w:sz w:val="21"/>
          <w:szCs w:val="21"/>
          <w:color w:val="auto"/>
        </w:rPr>
      </w:pPr>
    </w:p>
    <w:p>
      <w:pPr>
        <w:ind w:left="307" w:hanging="307"/>
        <w:spacing w:after="0"/>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provide monthly uptime service level commitments of a minimum of 99.95% under our agreements with customers;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defects or errors in our products;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any loss or decline in revenue from our largest customers;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litigation by third parties for alleged infringement of their proprietary rights;</w:t>
      </w:r>
    </w:p>
    <w:p>
      <w:pPr>
        <w:spacing w:after="0" w:line="16" w:lineRule="exact"/>
        <w:rPr>
          <w:rFonts w:ascii="Arial" w:cs="Arial" w:eastAsia="Arial" w:hAnsi="Arial"/>
          <w:sz w:val="21"/>
          <w:szCs w:val="21"/>
          <w:color w:val="auto"/>
        </w:rPr>
      </w:pPr>
    </w:p>
    <w:p>
      <w:pPr>
        <w:ind w:left="307" w:hanging="307"/>
        <w:spacing w:after="0"/>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exposure to substantial liability for intellectual property infringement and other losses from indemnity provisions in various agreements;</w:t>
      </w:r>
    </w:p>
    <w:p>
      <w:pPr>
        <w:spacing w:after="0" w:line="17" w:lineRule="exact"/>
        <w:rPr>
          <w:rFonts w:ascii="Arial" w:cs="Arial" w:eastAsia="Arial" w:hAnsi="Arial"/>
          <w:sz w:val="21"/>
          <w:szCs w:val="21"/>
          <w:color w:val="auto"/>
        </w:rPr>
      </w:pPr>
    </w:p>
    <w:p>
      <w:pPr>
        <w:ind w:left="307" w:hanging="307"/>
        <w:spacing w:after="0" w:line="238" w:lineRule="auto"/>
        <w:tabs>
          <w:tab w:leader="none" w:pos="302"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successfully utilize or to integrate acquired businesses and technologies successfully or to achieve the expected benefits of such acquisitions, partnerships and investments;</w:t>
      </w:r>
    </w:p>
    <w:p>
      <w:pPr>
        <w:spacing w:after="0" w:line="3" w:lineRule="exact"/>
        <w:rPr>
          <w:rFonts w:ascii="Arial" w:cs="Arial" w:eastAsia="Arial" w:hAnsi="Arial"/>
          <w:sz w:val="21"/>
          <w:szCs w:val="21"/>
          <w:color w:val="auto"/>
        </w:rPr>
      </w:pPr>
    </w:p>
    <w:p>
      <w:pPr>
        <w:ind w:left="307" w:hanging="307"/>
        <w:spacing w:after="0"/>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use of open source software;</w:t>
      </w:r>
    </w:p>
    <w:p>
      <w:pPr>
        <w:spacing w:after="0" w:line="13"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reliance on SaaS technologies from third parties;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potentially adverse tax consequences on our global operations and structure;</w:t>
      </w:r>
    </w:p>
    <w:p>
      <w:pPr>
        <w:spacing w:after="0" w:line="16" w:lineRule="exact"/>
        <w:rPr>
          <w:rFonts w:ascii="Arial" w:cs="Arial" w:eastAsia="Arial" w:hAnsi="Arial"/>
          <w:sz w:val="21"/>
          <w:szCs w:val="21"/>
          <w:color w:val="auto"/>
        </w:rPr>
      </w:pPr>
    </w:p>
    <w:p>
      <w:pPr>
        <w:ind w:left="307" w:hanging="307"/>
        <w:spacing w:after="0"/>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fraudulent usage of or activity relating to our products;</w:t>
      </w:r>
    </w:p>
    <w:p>
      <w:pPr>
        <w:spacing w:after="0" w:line="13"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unfavorable conditions in our industry or the global economy;</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requirement of additional capital to support our business and its availability on acceptable terms, if at all;</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exposure to foreign currency exchange rate fluctuations;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use our net operating losses and certain other tax attributes to offset future taxable income and taxes;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failure to maintain an effective system of disclosure controls and internal control over financial reporting;</w:t>
      </w:r>
    </w:p>
    <w:p>
      <w:pPr>
        <w:spacing w:after="0" w:line="31" w:lineRule="exact"/>
        <w:rPr>
          <w:rFonts w:ascii="Arial" w:cs="Arial" w:eastAsia="Arial" w:hAnsi="Arial"/>
          <w:sz w:val="21"/>
          <w:szCs w:val="21"/>
          <w:color w:val="auto"/>
        </w:rPr>
      </w:pPr>
    </w:p>
    <w:p>
      <w:pPr>
        <w:ind w:left="307" w:right="400" w:hanging="307"/>
        <w:spacing w:after="0" w:line="238" w:lineRule="auto"/>
        <w:tabs>
          <w:tab w:leader="none" w:pos="302"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the risks of pandemics, epidemics, earthquakes, fire, floods and other natural catastrophic events and of interruption by man-made problems such as power disruptions, computer viruses, data security breaches, war or terrorism;</w:t>
      </w:r>
    </w:p>
    <w:p>
      <w:pPr>
        <w:spacing w:after="0" w:line="3" w:lineRule="exact"/>
        <w:rPr>
          <w:rFonts w:ascii="Arial" w:cs="Arial" w:eastAsia="Arial" w:hAnsi="Arial"/>
          <w:sz w:val="21"/>
          <w:szCs w:val="21"/>
          <w:color w:val="auto"/>
        </w:rPr>
      </w:pPr>
    </w:p>
    <w:p>
      <w:pPr>
        <w:ind w:left="307" w:hanging="307"/>
        <w:spacing w:after="0"/>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volatility of the trading price of our Class A common stock;</w:t>
      </w:r>
    </w:p>
    <w:p>
      <w:pPr>
        <w:spacing w:after="0" w:line="13"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potential decline in the market price of our Class A common stock due to substantial future sales of shares;</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requirement of a significant amount of cash to service our future debt; and</w:t>
      </w:r>
    </w:p>
    <w:p>
      <w:pPr>
        <w:spacing w:after="0" w:line="14" w:lineRule="exact"/>
        <w:rPr>
          <w:rFonts w:ascii="Arial" w:cs="Arial" w:eastAsia="Arial" w:hAnsi="Arial"/>
          <w:sz w:val="21"/>
          <w:szCs w:val="21"/>
          <w:color w:val="auto"/>
        </w:rPr>
      </w:pPr>
    </w:p>
    <w:p>
      <w:pPr>
        <w:ind w:left="307" w:hanging="307"/>
        <w:spacing w:after="0" w:line="229" w:lineRule="auto"/>
        <w:tabs>
          <w:tab w:leader="none" w:pos="3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raise the funds necessary for the repayment of the 2029 Notes and 2031 Notes for cash.</w:t>
      </w:r>
    </w:p>
    <w:p>
      <w:pPr>
        <w:spacing w:after="0" w:line="200" w:lineRule="exact"/>
        <w:rPr>
          <w:sz w:val="20"/>
          <w:szCs w:val="20"/>
          <w:color w:val="auto"/>
        </w:rPr>
      </w:pPr>
    </w:p>
    <w:p>
      <w:pPr>
        <w:spacing w:after="0" w:line="325"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878"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TWILIO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400" w:type="dxa"/>
            <w:vAlign w:val="bottom"/>
          </w:tcPr>
          <w:p>
            <w:pPr>
              <w:spacing w:after="0"/>
              <w:rPr>
                <w:sz w:val="15"/>
                <w:szCs w:val="15"/>
                <w:color w:val="auto"/>
              </w:rPr>
            </w:pPr>
          </w:p>
        </w:tc>
        <w:tc>
          <w:tcPr>
            <w:tcW w:w="17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2"/>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1"/>
        </w:trPr>
        <w:tc>
          <w:tcPr>
            <w:tcW w:w="6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6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700" w:type="dxa"/>
            <w:vAlign w:val="bottom"/>
          </w:tcPr>
          <w:p>
            <w:pPr>
              <w:spacing w:after="0"/>
              <w:rPr>
                <w:sz w:val="16"/>
                <w:szCs w:val="16"/>
                <w:color w:val="auto"/>
              </w:rPr>
            </w:pPr>
          </w:p>
        </w:tc>
      </w:tr>
      <w:tr>
        <w:trPr>
          <w:trHeight w:val="21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03"/>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632,794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1,479,452</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Short-term marketable securities</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3,575,751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3,878,430</w:t>
            </w: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 net</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487,750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388,215</w:t>
            </w:r>
          </w:p>
        </w:tc>
      </w:tr>
      <w:tr>
        <w:trPr>
          <w:trHeight w:val="203"/>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265,977</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186,131</w:t>
            </w:r>
          </w:p>
        </w:tc>
      </w:tr>
      <w:tr>
        <w:trPr>
          <w:trHeight w:val="202"/>
        </w:trPr>
        <w:tc>
          <w:tcPr>
            <w:tcW w:w="6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4,962,272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5,932,228</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263,862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255,316</w:t>
            </w: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Operating right-of-use assets</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127,567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234,584</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method investment</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732,490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Intangible assets, net</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901,155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1,050,012</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Goodwill</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5,284,616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5,263,166</w:t>
            </w:r>
          </w:p>
        </w:tc>
      </w:tr>
      <w:tr>
        <w:trPr>
          <w:trHeight w:val="20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long-term assets</w:t>
            </w:r>
          </w:p>
        </w:tc>
        <w:tc>
          <w:tcPr>
            <w:tcW w:w="28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340,694</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263,292</w:t>
            </w:r>
          </w:p>
        </w:tc>
      </w:tr>
      <w:tr>
        <w:trPr>
          <w:trHeight w:val="202"/>
        </w:trPr>
        <w:tc>
          <w:tcPr>
            <w:tcW w:w="68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12,612,656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12,998,598</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7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 AND STOCKHOLDERS' EQUITY</w:t>
            </w:r>
          </w:p>
        </w:tc>
        <w:tc>
          <w:tcPr>
            <w:tcW w:w="2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203"/>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93,333</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572,876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417,503</w:t>
            </w: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revenue and customer deposits</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135,610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140,389</w:t>
            </w:r>
          </w:p>
        </w:tc>
      </w:tr>
      <w:tr>
        <w:trPr>
          <w:trHeight w:val="203"/>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Operating lease liability, current</w:t>
            </w: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52,453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52,325</w:t>
            </w:r>
          </w:p>
        </w:tc>
      </w:tr>
      <w:tr>
        <w:trPr>
          <w:trHeight w:val="202"/>
        </w:trPr>
        <w:tc>
          <w:tcPr>
            <w:tcW w:w="6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864,173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703,550</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Operating lease liability, noncurrent</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176,336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211,253</w:t>
            </w: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Finance lease liability, noncurrent</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25,132</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Long-term debt, net</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986,985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985,907</w:t>
            </w: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29,432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41,290</w:t>
            </w:r>
          </w:p>
        </w:tc>
      </w:tr>
      <w:tr>
        <w:trPr>
          <w:trHeight w:val="196"/>
        </w:trPr>
        <w:tc>
          <w:tcPr>
            <w:tcW w:w="6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liabilities</w:t>
            </w: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2,081,768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1,967,132</w:t>
            </w:r>
          </w:p>
        </w:tc>
      </w:tr>
      <w:tr>
        <w:trPr>
          <w:trHeight w:val="18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13)</w:t>
            </w:r>
          </w:p>
        </w:tc>
        <w:tc>
          <w:tcPr>
            <w:tcW w:w="2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03"/>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Preferred stock</w:t>
            </w: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Class A and Class B common stock</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13,842,301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13,169,118</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(165,183)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(18,141)</w:t>
            </w:r>
          </w:p>
        </w:tc>
      </w:tr>
      <w:tr>
        <w:trPr>
          <w:trHeight w:val="209"/>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(3,146,414)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(2,119,691)</w:t>
            </w:r>
          </w:p>
        </w:tc>
      </w:tr>
      <w:tr>
        <w:trPr>
          <w:trHeight w:val="196"/>
        </w:trPr>
        <w:tc>
          <w:tcPr>
            <w:tcW w:w="6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10,530,888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11,031,466</w:t>
            </w:r>
          </w:p>
        </w:tc>
      </w:tr>
      <w:tr>
        <w:trPr>
          <w:trHeight w:val="227"/>
        </w:trPr>
        <w:tc>
          <w:tcPr>
            <w:tcW w:w="68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12,612,656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12,998,598</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TWILIO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206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gridSpan w:val="3"/>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983,030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740,176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2,801,747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1,999,095</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520,955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375,561</w:t>
            </w: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1,469,312</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1,004,929</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Gross profit</w:t>
            </w: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462,075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364,615</w:t>
            </w:r>
          </w:p>
        </w:tc>
        <w:tc>
          <w:tcPr>
            <w:tcW w:w="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1,332,435</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994,166</w:t>
            </w:r>
          </w:p>
        </w:tc>
        <w:tc>
          <w:tcPr>
            <w:tcW w:w="0" w:type="dxa"/>
            <w:vAlign w:val="bottom"/>
          </w:tcPr>
          <w:p>
            <w:pPr>
              <w:spacing w:after="0"/>
              <w:rPr>
                <w:sz w:val="1"/>
                <w:szCs w:val="1"/>
                <w:color w:val="auto"/>
              </w:rPr>
            </w:pPr>
          </w:p>
        </w:tc>
      </w:tr>
      <w:tr>
        <w:trPr>
          <w:trHeight w:val="18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284,735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209,890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804,987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565,970</w:t>
            </w:r>
          </w:p>
        </w:tc>
        <w:tc>
          <w:tcPr>
            <w:tcW w:w="0" w:type="dxa"/>
            <w:vAlign w:val="bottom"/>
          </w:tcPr>
          <w:p>
            <w:pPr>
              <w:spacing w:after="0"/>
              <w:rPr>
                <w:sz w:val="1"/>
                <w:szCs w:val="1"/>
                <w:color w:val="auto"/>
              </w:rPr>
            </w:pP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Sales and marketing</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328,833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264,548</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951,697</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713,196</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122,522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392,319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346,958</w:t>
            </w:r>
          </w:p>
        </w:tc>
        <w:tc>
          <w:tcPr>
            <w:tcW w:w="0" w:type="dxa"/>
            <w:vAlign w:val="bottom"/>
          </w:tcPr>
          <w:p>
            <w:pPr>
              <w:spacing w:after="0"/>
              <w:rPr>
                <w:sz w:val="1"/>
                <w:szCs w:val="1"/>
                <w:color w:val="auto"/>
              </w:rPr>
            </w:pP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Restructuring costs</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72,451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Impairment of long-lived assets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97,722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919,072</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596,960</w:t>
            </w:r>
          </w:p>
        </w:tc>
        <w:tc>
          <w:tcPr>
            <w:tcW w:w="6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2,319,176</w:t>
            </w:r>
          </w:p>
        </w:tc>
        <w:tc>
          <w:tcPr>
            <w:tcW w:w="8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1,626,124</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Loss from operations</w:t>
            </w: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(456,997)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(232,345)</w:t>
            </w:r>
          </w:p>
        </w:tc>
        <w:tc>
          <w:tcPr>
            <w:tcW w:w="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(986,741)</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(631,958)</w:t>
            </w:r>
          </w:p>
        </w:tc>
        <w:tc>
          <w:tcPr>
            <w:tcW w:w="0" w:type="dxa"/>
            <w:vAlign w:val="bottom"/>
          </w:tcPr>
          <w:p>
            <w:pPr>
              <w:spacing w:after="0"/>
              <w:rPr>
                <w:sz w:val="1"/>
                <w:szCs w:val="1"/>
                <w:color w:val="auto"/>
              </w:rPr>
            </w:pPr>
          </w:p>
        </w:tc>
      </w:tr>
      <w:tr>
        <w:trPr>
          <w:trHeight w:val="18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expenses, net:</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Share of losses from equity method investment</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Other, net</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(8,374)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(6,613)</w:t>
            </w: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(23,290)</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(39,219)</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Total other expenses, net</w:t>
            </w: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(21,750)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(6,613)</w:t>
            </w:r>
          </w:p>
        </w:tc>
        <w:tc>
          <w:tcPr>
            <w:tcW w:w="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(36,666)</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(39,219)</w:t>
            </w:r>
          </w:p>
        </w:tc>
        <w:tc>
          <w:tcPr>
            <w:tcW w:w="0" w:type="dxa"/>
            <w:vAlign w:val="bottom"/>
          </w:tcPr>
          <w:p>
            <w:pPr>
              <w:spacing w:after="0"/>
              <w:rPr>
                <w:sz w:val="1"/>
                <w:szCs w:val="1"/>
                <w:color w:val="auto"/>
              </w:rPr>
            </w:pPr>
          </w:p>
        </w:tc>
      </w:tr>
      <w:tr>
        <w:trPr>
          <w:trHeight w:val="196"/>
        </w:trPr>
        <w:tc>
          <w:tcPr>
            <w:tcW w:w="3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Loss before (provision for) benefit from income taxes</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(478,747)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(238,958)</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(1,023,407)</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(671,177)</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benefit from income taxes</w:t>
            </w: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14,849</w:t>
            </w: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(3,316)</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12,673</w:t>
            </w:r>
          </w:p>
        </w:tc>
        <w:tc>
          <w:tcPr>
            <w:tcW w:w="0" w:type="dxa"/>
            <w:vAlign w:val="bottom"/>
          </w:tcPr>
          <w:p>
            <w:pPr>
              <w:spacing w:after="0"/>
              <w:rPr>
                <w:sz w:val="1"/>
                <w:szCs w:val="1"/>
                <w:color w:val="auto"/>
              </w:rPr>
            </w:pPr>
          </w:p>
        </w:tc>
      </w:tr>
      <w:tr>
        <w:trPr>
          <w:trHeight w:val="196"/>
        </w:trPr>
        <w:tc>
          <w:tcPr>
            <w:tcW w:w="3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(482,327)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(224,109)</w:t>
            </w:r>
          </w:p>
        </w:tc>
        <w:tc>
          <w:tcPr>
            <w:tcW w:w="6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(1,026,723)</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(658,504)</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80" w:type="dxa"/>
            <w:vAlign w:val="bottom"/>
            <w:shd w:val="clear" w:color="auto" w:fill="CCEEFF"/>
          </w:tcPr>
          <w:p>
            <w:pPr>
              <w:ind w:left="320"/>
              <w:spacing w:after="0" w:line="125" w:lineRule="exact"/>
              <w:rPr>
                <w:sz w:val="20"/>
                <w:szCs w:val="20"/>
                <w:color w:val="auto"/>
              </w:rPr>
            </w:pPr>
            <w:r>
              <w:rPr>
                <w:rFonts w:ascii="Times New Roman" w:cs="Times New Roman" w:eastAsia="Times New Roman" w:hAnsi="Times New Roman"/>
                <w:sz w:val="14"/>
                <w:szCs w:val="14"/>
                <w:color w:val="auto"/>
              </w:rPr>
              <w:t>Net loss per share attributable to common stockholders,</w:t>
            </w:r>
          </w:p>
        </w:tc>
        <w:tc>
          <w:tcPr>
            <w:tcW w:w="420" w:type="dxa"/>
            <w:vAlign w:val="bottom"/>
            <w:vMerge w:val="restart"/>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4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0" w:type="dxa"/>
            <w:vAlign w:val="bottom"/>
          </w:tcPr>
          <w:p>
            <w:pPr>
              <w:spacing w:after="0"/>
              <w:rPr>
                <w:sz w:val="1"/>
                <w:szCs w:val="1"/>
                <w:color w:val="auto"/>
              </w:rPr>
            </w:pPr>
          </w:p>
        </w:tc>
      </w:tr>
      <w:tr>
        <w:trPr>
          <w:trHeight w:val="200"/>
        </w:trPr>
        <w:tc>
          <w:tcPr>
            <w:tcW w:w="3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basic and diluted</w:t>
            </w: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640"/>
              <w:spacing w:after="0" w:line="141" w:lineRule="exact"/>
              <w:rPr>
                <w:sz w:val="20"/>
                <w:szCs w:val="20"/>
                <w:color w:val="auto"/>
              </w:rPr>
            </w:pPr>
            <w:r>
              <w:rPr>
                <w:rFonts w:ascii="Times New Roman" w:cs="Times New Roman" w:eastAsia="Times New Roman" w:hAnsi="Times New Roman"/>
                <w:sz w:val="15"/>
                <w:szCs w:val="15"/>
                <w:color w:val="auto"/>
              </w:rPr>
              <w:t>Weighted-average shares used in computing net</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9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980" w:type="dxa"/>
            <w:vAlign w:val="bottom"/>
          </w:tcPr>
          <w:p>
            <w:pPr>
              <w:ind w:left="640"/>
              <w:spacing w:after="0" w:line="155" w:lineRule="exact"/>
              <w:rPr>
                <w:sz w:val="20"/>
                <w:szCs w:val="20"/>
                <w:color w:val="auto"/>
              </w:rPr>
            </w:pPr>
            <w:r>
              <w:rPr>
                <w:rFonts w:ascii="Times New Roman" w:cs="Times New Roman" w:eastAsia="Times New Roman" w:hAnsi="Times New Roman"/>
                <w:sz w:val="15"/>
                <w:szCs w:val="15"/>
                <w:color w:val="auto"/>
              </w:rPr>
              <w:t>loss per share attributable to common stockholders,</w:t>
            </w:r>
          </w:p>
        </w:tc>
        <w:tc>
          <w:tcPr>
            <w:tcW w:w="4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183,692,564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177,231,285</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182,319,735</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172,605,371</w:t>
            </w:r>
          </w:p>
        </w:tc>
        <w:tc>
          <w:tcPr>
            <w:tcW w:w="0" w:type="dxa"/>
            <w:vAlign w:val="bottom"/>
          </w:tcPr>
          <w:p>
            <w:pPr>
              <w:spacing w:after="0"/>
              <w:rPr>
                <w:sz w:val="1"/>
                <w:szCs w:val="1"/>
                <w:color w:val="auto"/>
              </w:rPr>
            </w:pPr>
          </w:p>
        </w:tc>
      </w:tr>
      <w:tr>
        <w:trPr>
          <w:trHeight w:val="180"/>
        </w:trPr>
        <w:tc>
          <w:tcPr>
            <w:tcW w:w="398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basic and diluted</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TWILIO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2140" w:type="dxa"/>
            <w:vAlign w:val="bottom"/>
            <w:gridSpan w:val="4"/>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3"/>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22"/>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1"/>
        </w:trPr>
        <w:tc>
          <w:tcPr>
            <w:tcW w:w="6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(482,327)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(224,109)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(1,026,723)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(658,504)</w:t>
            </w: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Unrealized loss on marketable securities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(22,151)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(103,999)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(6,137)</w:t>
            </w:r>
          </w:p>
        </w:tc>
      </w:tr>
      <w:tr>
        <w:trPr>
          <w:trHeight w:val="203"/>
        </w:trPr>
        <w:tc>
          <w:tcPr>
            <w:tcW w:w="6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w:t>
            </w:r>
          </w:p>
        </w:tc>
      </w:tr>
      <w:tr>
        <w:trPr>
          <w:trHeight w:val="209"/>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change in market value of effective foreign currency forward exchange contracts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(34,154)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(3,069)</w:t>
            </w:r>
          </w:p>
        </w:tc>
      </w:tr>
      <w:tr>
        <w:trPr>
          <w:trHeight w:val="203"/>
        </w:trPr>
        <w:tc>
          <w:tcPr>
            <w:tcW w:w="6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Share of other comprehensive loss from equity method investment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604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Total other comprehensive loss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(47,782)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(1,112)</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(147,042)</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(9,451)</w:t>
            </w:r>
          </w:p>
        </w:tc>
      </w:tr>
      <w:tr>
        <w:trPr>
          <w:trHeight w:val="202"/>
        </w:trPr>
        <w:tc>
          <w:tcPr>
            <w:tcW w:w="604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Comprehensive loss attributable to common stockholders</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(530,109)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(225,221)</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(1,173,765)</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(667,955)</w:t>
            </w: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TWILIO,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300" w:type="dxa"/>
            <w:vAlign w:val="bottom"/>
            <w:gridSpan w:val="4"/>
            <w:vMerge w:val="restart"/>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3680" w:type="dxa"/>
            <w:vAlign w:val="bottom"/>
          </w:tcPr>
          <w:p>
            <w:pPr>
              <w:spacing w:after="0"/>
              <w:rPr>
                <w:sz w:val="6"/>
                <w:szCs w:val="6"/>
                <w:color w:val="auto"/>
              </w:rPr>
            </w:pPr>
          </w:p>
        </w:tc>
        <w:tc>
          <w:tcPr>
            <w:tcW w:w="130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6"/>
                <w:szCs w:val="6"/>
                <w:color w:val="auto"/>
              </w:rPr>
            </w:pPr>
          </w:p>
        </w:tc>
        <w:tc>
          <w:tcPr>
            <w:tcW w:w="102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restart"/>
          </w:tcPr>
          <w:p>
            <w:pPr>
              <w:jc w:val="center"/>
              <w:ind w:right="31"/>
              <w:spacing w:after="0" w:line="14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3"/>
        </w:trPr>
        <w:tc>
          <w:tcPr>
            <w:tcW w:w="3680" w:type="dxa"/>
            <w:vAlign w:val="bottom"/>
          </w:tcPr>
          <w:p>
            <w:pPr>
              <w:spacing w:after="0"/>
              <w:rPr>
                <w:sz w:val="5"/>
                <w:szCs w:val="5"/>
                <w:color w:val="auto"/>
              </w:rPr>
            </w:pPr>
          </w:p>
        </w:tc>
        <w:tc>
          <w:tcPr>
            <w:tcW w:w="1040" w:type="dxa"/>
            <w:vAlign w:val="bottom"/>
            <w:gridSpan w:val="3"/>
            <w:vMerge w:val="restart"/>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680" w:type="dxa"/>
            <w:vAlign w:val="bottom"/>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12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920" w:type="dxa"/>
            <w:vAlign w:val="bottom"/>
          </w:tcPr>
          <w:p>
            <w:pPr>
              <w:jc w:val="center"/>
              <w:ind w:right="51"/>
              <w:spacing w:after="0" w:line="122"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0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59"/>
        </w:trPr>
        <w:tc>
          <w:tcPr>
            <w:tcW w:w="36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2"/>
                <w:szCs w:val="12"/>
                <w:color w:val="auto"/>
              </w:rPr>
              <w:t>(In thousands, except share amounts)</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170,625,994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9,842,105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13,169,118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(2,119,691)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11,031,466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(221,627)</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(221,627)</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180,643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11,727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11,727</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877,089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34"/>
        </w:trPr>
        <w:tc>
          <w:tcPr>
            <w:tcW w:w="36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Conversion of shares of Class B common stock into shares of</w:t>
            </w: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215,389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(215,389)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common stock</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of Class A common stock donated to charity</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Shares returned from escrow</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(152,239)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(62,826)</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change in market value of effective foreign currency</w:t>
            </w: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forward exchange contracts</w:t>
            </w:r>
          </w:p>
        </w:tc>
        <w:tc>
          <w:tcPr>
            <w:tcW w:w="1040" w:type="dxa"/>
            <w:vAlign w:val="bottom"/>
            <w:gridSpan w:val="3"/>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159,930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159,930</w:t>
            </w:r>
          </w:p>
        </w:tc>
        <w:tc>
          <w:tcPr>
            <w:tcW w:w="0" w:type="dxa"/>
            <w:vAlign w:val="bottom"/>
          </w:tcPr>
          <w:p>
            <w:pPr>
              <w:spacing w:after="0"/>
              <w:rPr>
                <w:sz w:val="1"/>
                <w:szCs w:val="1"/>
                <w:color w:val="auto"/>
              </w:rPr>
            </w:pPr>
          </w:p>
        </w:tc>
      </w:tr>
      <w:tr>
        <w:trPr>
          <w:trHeight w:val="21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171,763,174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9,820,605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13,343,554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(84,984)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(2,341,318)</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10,917,433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(322,769)</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(322,769)</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98,111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5,649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1,049,640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4"/>
        </w:trPr>
        <w:tc>
          <w:tcPr>
            <w:tcW w:w="36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Conversion of shares of Class B common stock into shares of</w:t>
            </w: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80,732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common stock</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ESPP</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258,221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24,317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24,318</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Shares of Class A common stock donated to charity</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(19,022)</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change in market value of effective foreign currency</w:t>
            </w: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forward exchange contracts</w:t>
            </w:r>
          </w:p>
        </w:tc>
        <w:tc>
          <w:tcPr>
            <w:tcW w:w="1040" w:type="dxa"/>
            <w:vAlign w:val="bottom"/>
            <w:gridSpan w:val="3"/>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247,412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247,412</w:t>
            </w:r>
          </w:p>
        </w:tc>
        <w:tc>
          <w:tcPr>
            <w:tcW w:w="0" w:type="dxa"/>
            <w:vAlign w:val="bottom"/>
          </w:tcPr>
          <w:p>
            <w:pPr>
              <w:spacing w:after="0"/>
              <w:rPr>
                <w:sz w:val="1"/>
                <w:szCs w:val="1"/>
                <w:color w:val="auto"/>
              </w:rPr>
            </w:pPr>
          </w:p>
        </w:tc>
      </w:tr>
      <w:tr>
        <w:trPr>
          <w:trHeight w:val="21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173,271,942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9,817,605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13,623,300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(117,401)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(2,664,087)</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10,841,995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440" w:top="123"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TWILIO,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300" w:type="dxa"/>
            <w:vAlign w:val="bottom"/>
            <w:gridSpan w:val="4"/>
            <w:vMerge w:val="restart"/>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368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restart"/>
          </w:tcPr>
          <w:p>
            <w:pPr>
              <w:jc w:val="center"/>
              <w:ind w:right="31"/>
              <w:spacing w:after="0" w:line="14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1040" w:type="dxa"/>
            <w:vAlign w:val="bottom"/>
            <w:gridSpan w:val="3"/>
            <w:vMerge w:val="restart"/>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680" w:type="dxa"/>
            <w:vAlign w:val="bottom"/>
          </w:tcPr>
          <w:p>
            <w:pPr>
              <w:spacing w:after="0"/>
              <w:rPr>
                <w:sz w:val="8"/>
                <w:szCs w:val="8"/>
                <w:color w:val="auto"/>
              </w:rPr>
            </w:pPr>
          </w:p>
        </w:tc>
        <w:tc>
          <w:tcPr>
            <w:tcW w:w="104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120" w:type="dxa"/>
            <w:vAlign w:val="bottom"/>
            <w:gridSpan w:val="3"/>
            <w:vMerge w:val="restart"/>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vMerge w:val="restart"/>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8"/>
                <w:szCs w:val="8"/>
                <w:color w:val="auto"/>
              </w:rPr>
            </w:pPr>
          </w:p>
        </w:tc>
        <w:tc>
          <w:tcPr>
            <w:tcW w:w="920" w:type="dxa"/>
            <w:vAlign w:val="bottom"/>
            <w:vMerge w:val="restart"/>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0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
                <w:szCs w:val="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680" w:type="dxa"/>
            <w:vAlign w:val="bottom"/>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59"/>
        </w:trPr>
        <w:tc>
          <w:tcPr>
            <w:tcW w:w="36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2"/>
                <w:szCs w:val="12"/>
                <w:color w:val="auto"/>
              </w:rPr>
              <w:t>(In thousands, except share amounts)</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173,271,942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9,817,605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13,623,300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(117,401)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(2,664,087)</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10,841,995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(482,327)</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(482,327)</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38,368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1,115,248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4"/>
        </w:trPr>
        <w:tc>
          <w:tcPr>
            <w:tcW w:w="36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Conversion of shares of Class B common stock into shares of</w:t>
            </w: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35,187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(35,187)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common stock</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of Class A common stock donated to charity</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(22,151)</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0" w:type="dxa"/>
            <w:vAlign w:val="bottom"/>
          </w:tcPr>
          <w:p>
            <w:pPr>
              <w:spacing w:after="0"/>
              <w:rPr>
                <w:sz w:val="1"/>
                <w:szCs w:val="1"/>
                <w:color w:val="auto"/>
              </w:rPr>
            </w:pPr>
          </w:p>
        </w:tc>
      </w:tr>
      <w:tr>
        <w:trPr>
          <w:trHeight w:val="134"/>
        </w:trPr>
        <w:tc>
          <w:tcPr>
            <w:tcW w:w="36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Net change in market value of effective foreign currency</w:t>
            </w: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0" w:type="dxa"/>
            <w:vAlign w:val="bottom"/>
          </w:tcPr>
          <w:p>
            <w:pPr>
              <w:spacing w:after="0"/>
              <w:rPr>
                <w:sz w:val="1"/>
                <w:szCs w:val="1"/>
                <w:color w:val="auto"/>
              </w:rPr>
            </w:pPr>
          </w:p>
        </w:tc>
      </w:tr>
      <w:tr>
        <w:trPr>
          <w:trHeight w:val="183"/>
        </w:trPr>
        <w:tc>
          <w:tcPr>
            <w:tcW w:w="3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forward exchange contracts</w:t>
            </w:r>
          </w:p>
        </w:tc>
        <w:tc>
          <w:tcPr>
            <w:tcW w:w="10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Share of other comprehensive loss from equity method</w:t>
            </w: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w:t>
            </w:r>
          </w:p>
        </w:tc>
        <w:tc>
          <w:tcPr>
            <w:tcW w:w="1040" w:type="dxa"/>
            <w:vAlign w:val="bottom"/>
            <w:gridSpan w:val="3"/>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199,772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199,772</w:t>
            </w:r>
          </w:p>
        </w:tc>
        <w:tc>
          <w:tcPr>
            <w:tcW w:w="0" w:type="dxa"/>
            <w:vAlign w:val="bottom"/>
          </w:tcPr>
          <w:p>
            <w:pPr>
              <w:spacing w:after="0"/>
              <w:rPr>
                <w:sz w:val="1"/>
                <w:szCs w:val="1"/>
                <w:color w:val="auto"/>
              </w:rPr>
            </w:pPr>
          </w:p>
        </w:tc>
      </w:tr>
      <w:tr>
        <w:trPr>
          <w:trHeight w:val="194"/>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 restructuring</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15,274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15,274</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174,482,722</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9,817,605</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13,842,301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(165,183)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(3,146,414)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10,530,888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440" w:top="123"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TWILIO,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300" w:type="dxa"/>
            <w:vAlign w:val="bottom"/>
            <w:gridSpan w:val="4"/>
            <w:vMerge w:val="restart"/>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3680" w:type="dxa"/>
            <w:vAlign w:val="bottom"/>
          </w:tcPr>
          <w:p>
            <w:pPr>
              <w:spacing w:after="0"/>
              <w:rPr>
                <w:sz w:val="6"/>
                <w:szCs w:val="6"/>
                <w:color w:val="auto"/>
              </w:rPr>
            </w:pPr>
          </w:p>
        </w:tc>
        <w:tc>
          <w:tcPr>
            <w:tcW w:w="130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6"/>
                <w:szCs w:val="6"/>
                <w:color w:val="auto"/>
              </w:rPr>
            </w:pPr>
          </w:p>
        </w:tc>
        <w:tc>
          <w:tcPr>
            <w:tcW w:w="102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restart"/>
          </w:tcPr>
          <w:p>
            <w:pPr>
              <w:jc w:val="center"/>
              <w:ind w:right="31"/>
              <w:spacing w:after="0" w:line="14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3"/>
        </w:trPr>
        <w:tc>
          <w:tcPr>
            <w:tcW w:w="3680" w:type="dxa"/>
            <w:vAlign w:val="bottom"/>
          </w:tcPr>
          <w:p>
            <w:pPr>
              <w:spacing w:after="0"/>
              <w:rPr>
                <w:sz w:val="5"/>
                <w:szCs w:val="5"/>
                <w:color w:val="auto"/>
              </w:rPr>
            </w:pPr>
          </w:p>
        </w:tc>
        <w:tc>
          <w:tcPr>
            <w:tcW w:w="1040" w:type="dxa"/>
            <w:vAlign w:val="bottom"/>
            <w:gridSpan w:val="3"/>
            <w:vMerge w:val="restart"/>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680" w:type="dxa"/>
            <w:vAlign w:val="bottom"/>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12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920" w:type="dxa"/>
            <w:vAlign w:val="bottom"/>
          </w:tcPr>
          <w:p>
            <w:pPr>
              <w:jc w:val="center"/>
              <w:ind w:right="51"/>
              <w:spacing w:after="0" w:line="122"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0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59"/>
        </w:trPr>
        <w:tc>
          <w:tcPr>
            <w:tcW w:w="36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2"/>
                <w:szCs w:val="12"/>
                <w:color w:val="auto"/>
              </w:rPr>
              <w:t>(In thousands, except share amounts)</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153,496,222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10,551,302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9,613,246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9,046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(1,169,791)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8,452,665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ind w:left="3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(206,542)</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(206,542)</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248,008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11,564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11,564</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913,966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0" w:type="dxa"/>
            <w:vAlign w:val="bottom"/>
          </w:tcPr>
          <w:p>
            <w:pPr>
              <w:spacing w:after="0"/>
              <w:rPr>
                <w:sz w:val="1"/>
                <w:szCs w:val="1"/>
                <w:color w:val="auto"/>
              </w:rPr>
            </w:pPr>
          </w:p>
        </w:tc>
      </w:tr>
      <w:tr>
        <w:trPr>
          <w:trHeight w:val="134"/>
        </w:trPr>
        <w:tc>
          <w:tcPr>
            <w:tcW w:w="36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Conversion of shares of Class B common stock into shares of</w:t>
            </w: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419,371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(419,371)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common stock</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Equity component from partial settlement of 2023 convertible</w:t>
            </w:r>
          </w:p>
        </w:tc>
        <w:tc>
          <w:tcPr>
            <w:tcW w:w="9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1,158,381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80,047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80,049</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senior notes</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Shares of Class A common stock donated to charity</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9,405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9,405</w:t>
            </w: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in connection with a follow-on</w:t>
            </w:r>
          </w:p>
        </w:tc>
        <w:tc>
          <w:tcPr>
            <w:tcW w:w="9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4,312,500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1,766,396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1,766,400</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public offering, net of underwriter discounts</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Costs related to the follow-on public offering</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24,697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141,542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141,542</w:t>
            </w:r>
          </w:p>
        </w:tc>
        <w:tc>
          <w:tcPr>
            <w:tcW w:w="0" w:type="dxa"/>
            <w:vAlign w:val="bottom"/>
          </w:tcPr>
          <w:p>
            <w:pPr>
              <w:spacing w:after="0"/>
              <w:rPr>
                <w:sz w:val="1"/>
                <w:szCs w:val="1"/>
                <w:color w:val="auto"/>
              </w:rPr>
            </w:pPr>
          </w:p>
        </w:tc>
      </w:tr>
      <w:tr>
        <w:trPr>
          <w:trHeight w:val="21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160,588,258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10,343,302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11,618,698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(1,376,333)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10,247,196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ind w:left="3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(227,853)</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(227,853)</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294,430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63,164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20,351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20,351</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839,472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0" w:type="dxa"/>
            <w:vAlign w:val="bottom"/>
          </w:tcPr>
          <w:p>
            <w:pPr>
              <w:spacing w:after="0"/>
              <w:rPr>
                <w:sz w:val="1"/>
                <w:szCs w:val="1"/>
                <w:color w:val="auto"/>
              </w:rPr>
            </w:pPr>
          </w:p>
        </w:tc>
      </w:tr>
      <w:tr>
        <w:trPr>
          <w:trHeight w:val="134"/>
        </w:trPr>
        <w:tc>
          <w:tcPr>
            <w:tcW w:w="36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Conversion of shares of Class B common stock into shares of</w:t>
            </w: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188,044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(188,044)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Class A common stock</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Equity component from partial settlement of 2023 convertible</w:t>
            </w:r>
          </w:p>
        </w:tc>
        <w:tc>
          <w:tcPr>
            <w:tcW w:w="9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3,688,584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255,590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255,594</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Settlement of capped call, net of related costs</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225,233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225,233</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ESPP</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100,107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23,699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23,699</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Donated common stock</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6,789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6,789</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related to the follow-on public offering</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34"/>
        </w:trPr>
        <w:tc>
          <w:tcPr>
            <w:tcW w:w="36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Net change in market value of effective foreign currency</w:t>
            </w: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forward exchange contracts</w:t>
            </w:r>
          </w:p>
        </w:tc>
        <w:tc>
          <w:tcPr>
            <w:tcW w:w="10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148,988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148,988</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165,715,499</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10,218,422</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12,297,415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(1,604,186)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10,694,112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440" w:top="123"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5"/>
          <w:szCs w:val="15"/>
          <w:b w:val="1"/>
          <w:bCs w:val="1"/>
          <w:color w:val="auto"/>
        </w:rPr>
        <w:t>TWILIO,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280" w:type="dxa"/>
            <w:vAlign w:val="bottom"/>
            <w:gridSpan w:val="4"/>
            <w:vMerge w:val="restart"/>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402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ind w:right="11"/>
              <w:spacing w:after="0" w:line="14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89"/>
        </w:trPr>
        <w:tc>
          <w:tcPr>
            <w:tcW w:w="4020" w:type="dxa"/>
            <w:vAlign w:val="bottom"/>
          </w:tcPr>
          <w:p>
            <w:pPr>
              <w:spacing w:after="0"/>
              <w:rPr>
                <w:sz w:val="7"/>
                <w:szCs w:val="7"/>
                <w:color w:val="auto"/>
              </w:rPr>
            </w:pPr>
          </w:p>
        </w:tc>
        <w:tc>
          <w:tcPr>
            <w:tcW w:w="1020" w:type="dxa"/>
            <w:vAlign w:val="bottom"/>
            <w:gridSpan w:val="3"/>
            <w:vMerge w:val="restart"/>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gridSpan w:val="4"/>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102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120" w:type="dxa"/>
            <w:vAlign w:val="bottom"/>
            <w:gridSpan w:val="3"/>
            <w:vMerge w:val="restart"/>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00" w:type="dxa"/>
            <w:vAlign w:val="bottom"/>
            <w:gridSpan w:val="3"/>
            <w:vMerge w:val="restart"/>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8"/>
                <w:szCs w:val="8"/>
                <w:color w:val="auto"/>
              </w:rPr>
            </w:pPr>
          </w:p>
        </w:tc>
        <w:tc>
          <w:tcPr>
            <w:tcW w:w="900" w:type="dxa"/>
            <w:vAlign w:val="bottom"/>
            <w:vMerge w:val="restart"/>
          </w:tcPr>
          <w:p>
            <w:pPr>
              <w:jc w:val="center"/>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0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
                <w:szCs w:val="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20" w:type="dxa"/>
            <w:vAlign w:val="bottom"/>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gridSpan w:val="8"/>
          </w:tcPr>
          <w:p>
            <w:pPr>
              <w:ind w:left="120"/>
              <w:spacing w:after="0"/>
              <w:rPr>
                <w:sz w:val="20"/>
                <w:szCs w:val="20"/>
                <w:color w:val="auto"/>
              </w:rPr>
            </w:pPr>
            <w:r>
              <w:rPr>
                <w:rFonts w:ascii="Times New Roman" w:cs="Times New Roman" w:eastAsia="Times New Roman" w:hAnsi="Times New Roman"/>
                <w:sz w:val="12"/>
                <w:szCs w:val="12"/>
                <w:color w:val="auto"/>
              </w:rPr>
              <w:t>(In thousands, except share amounts)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165,715,499</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w:t>
            </w: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10,218,422</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12,297,415</w:t>
            </w: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707</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(1,604,186)</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10,694,112</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(224,109)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(224,109)</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222,066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83,484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15,993</w:t>
            </w: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834,148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0" w:type="dxa"/>
            <w:vAlign w:val="bottom"/>
          </w:tcPr>
          <w:p>
            <w:pPr>
              <w:spacing w:after="0"/>
              <w:rPr>
                <w:sz w:val="1"/>
                <w:szCs w:val="1"/>
                <w:color w:val="auto"/>
              </w:rPr>
            </w:pPr>
          </w:p>
        </w:tc>
      </w:tr>
      <w:tr>
        <w:trPr>
          <w:trHeight w:val="142"/>
        </w:trPr>
        <w:tc>
          <w:tcPr>
            <w:tcW w:w="4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Conversion of shares of Class B common stock into shares of Class A</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388,725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Donated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adjustments related to the follow-on public offering</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in acquisition</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1,116,390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419,036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419,037</w:t>
            </w: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of equity awards assumed in acquisition</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in acquisition subject to future vesting</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2"/>
        </w:trPr>
        <w:tc>
          <w:tcPr>
            <w:tcW w:w="4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market value of effective foreign currency forward</w:t>
            </w:r>
          </w:p>
        </w:tc>
        <w:tc>
          <w:tcPr>
            <w:tcW w:w="10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contracts</w:t>
            </w:r>
          </w:p>
        </w:tc>
        <w:tc>
          <w:tcPr>
            <w:tcW w:w="1020" w:type="dxa"/>
            <w:vAlign w:val="bottom"/>
            <w:gridSpan w:val="3"/>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169,734</w:t>
            </w:r>
          </w:p>
        </w:tc>
        <w:tc>
          <w:tcPr>
            <w:tcW w:w="0" w:type="dxa"/>
            <w:vAlign w:val="bottom"/>
          </w:tcPr>
          <w:p>
            <w:pPr>
              <w:spacing w:after="0"/>
              <w:rPr>
                <w:sz w:val="1"/>
                <w:szCs w:val="1"/>
                <w:color w:val="auto"/>
              </w:rPr>
            </w:pPr>
          </w:p>
        </w:tc>
      </w:tr>
      <w:tr>
        <w:trPr>
          <w:trHeight w:val="21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168,352,933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9,913,181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12,910,271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(1,828,295)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11,081,749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TWILIO INC</w:t>
      </w:r>
      <w:r>
        <w:rPr>
          <w:rFonts w:ascii="Times New Roman" w:cs="Times New Roman" w:eastAsia="Times New Roman" w:hAnsi="Times New Roman"/>
          <w:sz w:val="13"/>
          <w:szCs w:val="13"/>
          <w:b w:val="1"/>
          <w:bCs w:val="1"/>
          <w:color w:val="auto"/>
        </w:rPr>
        <w: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r>
      <w:tr>
        <w:trPr>
          <w:trHeight w:val="187"/>
        </w:trPr>
        <w:tc>
          <w:tcPr>
            <w:tcW w:w="7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700" w:type="dxa"/>
            <w:vAlign w:val="bottom"/>
            <w:tcBorders>
              <w:bottom w:val="single" w:sz="8" w:color="auto"/>
            </w:tcBorders>
          </w:tcPr>
          <w:p>
            <w:pPr>
              <w:spacing w:after="0"/>
              <w:rPr>
                <w:sz w:val="16"/>
                <w:szCs w:val="16"/>
                <w:color w:val="auto"/>
              </w:rPr>
            </w:pPr>
          </w:p>
        </w:tc>
      </w:tr>
      <w:tr>
        <w:trPr>
          <w:trHeight w:val="174"/>
        </w:trPr>
        <w:tc>
          <w:tcPr>
            <w:tcW w:w="7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4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center"/>
              <w:ind w:left="376"/>
              <w:spacing w:after="0"/>
              <w:rPr>
                <w:sz w:val="20"/>
                <w:szCs w:val="20"/>
                <w:color w:val="auto"/>
              </w:rPr>
            </w:pPr>
            <w:r>
              <w:rPr>
                <w:rFonts w:ascii="Times New Roman" w:cs="Times New Roman" w:eastAsia="Times New Roman" w:hAnsi="Times New Roman"/>
                <w:sz w:val="13"/>
                <w:szCs w:val="13"/>
                <w:color w:val="auto"/>
                <w:w w:val="98"/>
              </w:rPr>
              <w:t>(In thousands)</w:t>
            </w:r>
          </w:p>
        </w:tc>
        <w:tc>
          <w:tcPr>
            <w:tcW w:w="700" w:type="dxa"/>
            <w:vAlign w:val="bottom"/>
            <w:shd w:val="clear" w:color="auto" w:fill="CCEEFF"/>
          </w:tcPr>
          <w:p>
            <w:pPr>
              <w:spacing w:after="0"/>
              <w:rPr>
                <w:sz w:val="15"/>
                <w:szCs w:val="15"/>
                <w:color w:val="auto"/>
              </w:rPr>
            </w:pPr>
          </w:p>
        </w:tc>
      </w:tr>
      <w:tr>
        <w:trPr>
          <w:trHeight w:val="174"/>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(1,026,723)</w:t>
            </w:r>
          </w:p>
        </w:tc>
        <w:tc>
          <w:tcPr>
            <w:tcW w:w="100" w:type="dxa"/>
            <w:vAlign w:val="bottom"/>
          </w:tcPr>
          <w:p>
            <w:pPr>
              <w:spacing w:after="0"/>
              <w:rPr>
                <w:sz w:val="15"/>
                <w:szCs w:val="15"/>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(658,504)</w:t>
            </w:r>
          </w:p>
        </w:tc>
      </w:tr>
      <w:tr>
        <w:trPr>
          <w:trHeight w:val="18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207,880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189,669</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Non-cash reduction to the right-of-use asset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38,669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36,249</w:t>
            </w: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amortization of investment premium and discount</w:t>
            </w:r>
          </w:p>
        </w:tc>
        <w:tc>
          <w:tcPr>
            <w:tcW w:w="24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27,900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24,880</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100,681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4,936</w:t>
            </w: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Stock-based compensation including restructuring</w:t>
            </w:r>
          </w:p>
        </w:tc>
        <w:tc>
          <w:tcPr>
            <w:tcW w:w="24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606,260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445,366</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Amortization of deferred commissions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41,322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20,798</w:t>
            </w: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24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21,786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11,371</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Value of shares of Class A common stock donated to charity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8,516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24,583</w:t>
            </w: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Share of losses from equity method investment</w:t>
            </w:r>
          </w:p>
        </w:tc>
        <w:tc>
          <w:tcPr>
            <w:tcW w:w="24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13,376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28,965</w:t>
            </w: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adjustments</w:t>
            </w:r>
          </w:p>
        </w:tc>
        <w:tc>
          <w:tcPr>
            <w:tcW w:w="24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(6,422)</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74"/>
        </w:trPr>
        <w:tc>
          <w:tcPr>
            <w:tcW w:w="71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(81,186)</w:t>
            </w:r>
          </w:p>
        </w:tc>
      </w:tr>
      <w:tr>
        <w:trPr>
          <w:trHeight w:val="187"/>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(81,071)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(59,929)</w:t>
            </w:r>
          </w:p>
        </w:tc>
      </w:tr>
      <w:tr>
        <w:trPr>
          <w:trHeight w:val="174"/>
        </w:trPr>
        <w:tc>
          <w:tcPr>
            <w:tcW w:w="71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Other long-term assets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(66,501)</w:t>
            </w:r>
          </w:p>
        </w:tc>
      </w:tr>
      <w:tr>
        <w:trPr>
          <w:trHeight w:val="187"/>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11,585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(8,665)</w:t>
            </w:r>
          </w:p>
        </w:tc>
      </w:tr>
      <w:tr>
        <w:trPr>
          <w:trHeight w:val="174"/>
        </w:trPr>
        <w:tc>
          <w:tcPr>
            <w:tcW w:w="71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Accrued expenses and restructuring costs</w:t>
            </w:r>
          </w:p>
        </w:tc>
        <w:tc>
          <w:tcPr>
            <w:tcW w:w="24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122,408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84,730</w:t>
            </w:r>
          </w:p>
        </w:tc>
      </w:tr>
      <w:tr>
        <w:trPr>
          <w:trHeight w:val="187"/>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Deferred revenue and customer deposits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27,004</w:t>
            </w:r>
          </w:p>
        </w:tc>
      </w:tr>
      <w:tr>
        <w:trPr>
          <w:trHeight w:val="174"/>
        </w:trPr>
        <w:tc>
          <w:tcPr>
            <w:tcW w:w="71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(42,158)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(36,274)</w:t>
            </w:r>
          </w:p>
        </w:tc>
      </w:tr>
      <w:tr>
        <w:trPr>
          <w:trHeight w:val="187"/>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r>
      <w:tr>
        <w:trPr>
          <w:trHeight w:val="167"/>
        </w:trPr>
        <w:tc>
          <w:tcPr>
            <w:tcW w:w="71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(195,913)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(19,949)</w:t>
            </w:r>
          </w:p>
        </w:tc>
      </w:tr>
      <w:tr>
        <w:trPr>
          <w:trHeight w:val="16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Acquisitions, net of cash acquired and other related payments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(490,880)</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Purchases of marketable securities and other investments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(1,650,759)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(3,225,799)</w:t>
            </w: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sales and maturities of marketable securities</w:t>
            </w:r>
          </w:p>
        </w:tc>
        <w:tc>
          <w:tcPr>
            <w:tcW w:w="24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1,065,998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1,334,444</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(35,905)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(35,926)</w:t>
            </w:r>
          </w:p>
        </w:tc>
      </w:tr>
      <w:tr>
        <w:trPr>
          <w:trHeight w:val="174"/>
        </w:trPr>
        <w:tc>
          <w:tcPr>
            <w:tcW w:w="7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Purchases of long-lived and intangible assets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(28,634)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(33,575)</w:t>
            </w:r>
          </w:p>
        </w:tc>
      </w:tr>
      <w:tr>
        <w:trPr>
          <w:trHeight w:val="180"/>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(682,153)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(2,451,736)</w:t>
            </w:r>
          </w:p>
        </w:tc>
      </w:tr>
      <w:tr>
        <w:trPr>
          <w:trHeight w:val="154"/>
        </w:trPr>
        <w:tc>
          <w:tcPr>
            <w:tcW w:w="71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public offerings, net of underwriters' discounts</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1,766,400</w:t>
            </w: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of costs related to public offerings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issuance of senior notes due 2029 and 2031, net of issuance costs</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984,749</w:t>
            </w: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settlements of capped call, net of settlement costs</w:t>
            </w:r>
          </w:p>
        </w:tc>
        <w:tc>
          <w:tcPr>
            <w:tcW w:w="2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228,412</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Principal payments on debt and finance leases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(4,852)</w:t>
            </w: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Value of equity awards withheld for tax liabilities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(6,552)</w:t>
            </w: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exercises of stock options and shares of Class A common stock issued under ESPP</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43,750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71,607</w:t>
            </w:r>
          </w:p>
        </w:tc>
      </w:tr>
      <w:tr>
        <w:trPr>
          <w:trHeight w:val="167"/>
        </w:trPr>
        <w:tc>
          <w:tcPr>
            <w:tcW w:w="7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33,252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3,039,300</w:t>
            </w:r>
          </w:p>
        </w:tc>
      </w:tr>
      <w:tr>
        <w:trPr>
          <w:trHeight w:val="18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167"/>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(844,668)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567,458</w:t>
            </w:r>
          </w:p>
        </w:tc>
      </w:tr>
      <w:tr>
        <w:trPr>
          <w:trHeight w:val="18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CASH—Beginning of period</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1,481,831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933,885</w:t>
            </w:r>
          </w:p>
        </w:tc>
      </w:tr>
      <w:tr>
        <w:trPr>
          <w:trHeight w:val="180"/>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637,163</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1,501,343</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5,481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37,500</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19,545</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46"/>
        </w:trPr>
        <w:tc>
          <w:tcPr>
            <w:tcW w:w="71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NON-CASH INVESTING AND FINANCING ACTIVITIES: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5"/>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Value of common stock issued to settle convertible senior notes due 2023</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1,704,969</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7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129"/>
        </w:trPr>
        <w:tc>
          <w:tcPr>
            <w:tcW w:w="7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RECONCILIATION OF CASH, CASH EQUIVALENTS AND RESTRICTED CASH TO THE CONDENSED CONSOLIDATED</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BALANCE SHEETS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7"/>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632,794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1,497,498</w:t>
            </w:r>
          </w:p>
        </w:tc>
      </w:tr>
      <w:tr>
        <w:trPr>
          <w:trHeight w:val="174"/>
        </w:trPr>
        <w:tc>
          <w:tcPr>
            <w:tcW w:w="7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Restricted cash in other current assets</w:t>
            </w:r>
          </w:p>
        </w:tc>
        <w:tc>
          <w:tcPr>
            <w:tcW w:w="24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4,357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2,733</w:t>
            </w:r>
          </w:p>
        </w:tc>
      </w:tr>
      <w:tr>
        <w:trPr>
          <w:trHeight w:val="18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Restricted cash in other long-term assets</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w:t>
            </w:r>
          </w:p>
        </w:tc>
      </w:tr>
      <w:tr>
        <w:trPr>
          <w:trHeight w:val="180"/>
        </w:trPr>
        <w:tc>
          <w:tcPr>
            <w:tcW w:w="71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637,163</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1,501,343</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340"/>
          </w:cols>
          <w:pgMar w:left="1280" w:top="429" w:right="1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TWILIO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221"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Twilio Inc. (the “Company”) was incorporated in the state of Delaware on March 13, 2008. Today's leading companies trust Twilio's Customer Engagement Platform (CEP)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spacing w:after="0" w:line="171" w:lineRule="exact"/>
        <w:rPr>
          <w:sz w:val="20"/>
          <w:szCs w:val="20"/>
          <w:color w:val="auto"/>
        </w:rPr>
      </w:pPr>
    </w:p>
    <w:p>
      <w:pPr>
        <w:ind w:right="280" w:firstLine="464"/>
        <w:spacing w:after="0" w:line="287" w:lineRule="auto"/>
        <w:rPr>
          <w:sz w:val="20"/>
          <w:szCs w:val="20"/>
          <w:color w:val="auto"/>
        </w:rPr>
      </w:pPr>
      <w:r>
        <w:rPr>
          <w:rFonts w:ascii="Times New Roman" w:cs="Times New Roman" w:eastAsia="Times New Roman" w:hAnsi="Times New Roman"/>
          <w:sz w:val="17"/>
          <w:szCs w:val="17"/>
          <w:color w:val="auto"/>
        </w:rPr>
        <w:t>The Company’s headquarters are located in San Francisco, California, and the Company has subsidiaries across North America, South America, Europe, Asia and Australia.</w:t>
      </w:r>
    </w:p>
    <w:p>
      <w:pPr>
        <w:spacing w:after="0" w:line="147" w:lineRule="exact"/>
        <w:rPr>
          <w:sz w:val="20"/>
          <w:szCs w:val="20"/>
          <w:color w:val="auto"/>
        </w:rPr>
      </w:pPr>
    </w:p>
    <w:p>
      <w:pPr>
        <w:ind w:left="180" w:hanging="177"/>
        <w:spacing w:after="0"/>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5" w:lineRule="exact"/>
        <w:rPr>
          <w:rFonts w:ascii="Times New Roman" w:cs="Times New Roman" w:eastAsia="Times New Roman" w:hAnsi="Times New Roman"/>
          <w:sz w:val="17"/>
          <w:szCs w:val="17"/>
          <w:b w:val="1"/>
          <w:bCs w:val="1"/>
          <w:color w:val="auto"/>
        </w:rPr>
      </w:pPr>
    </w:p>
    <w:p>
      <w:pPr>
        <w:ind w:left="1240" w:hanging="773"/>
        <w:spacing w:after="0"/>
        <w:tabs>
          <w:tab w:leader="none" w:pos="1240" w:val="left"/>
        </w:tabs>
        <w:numPr>
          <w:ilvl w:val="1"/>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3"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22, 2022 (“Annual Report”).</w:t>
      </w:r>
    </w:p>
    <w:p>
      <w:pPr>
        <w:spacing w:after="0" w:line="175"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The condensed consolidated balance sheet as of December 31, 2021, included herein, was derived from the audited financial statements as of that date, but may not include all disclosures including certain notes required by U.S. GAAP on an annual reporting basis.</w:t>
      </w:r>
    </w:p>
    <w:p>
      <w:pPr>
        <w:spacing w:after="0" w:line="151" w:lineRule="exact"/>
        <w:rPr>
          <w:sz w:val="20"/>
          <w:szCs w:val="20"/>
          <w:color w:val="auto"/>
        </w:rPr>
      </w:pPr>
    </w:p>
    <w:p>
      <w:pPr>
        <w:ind w:right="80" w:firstLine="464"/>
        <w:spacing w:after="0" w:line="270" w:lineRule="auto"/>
        <w:rPr>
          <w:sz w:val="20"/>
          <w:szCs w:val="20"/>
          <w:color w:val="auto"/>
        </w:rPr>
      </w:pPr>
      <w:r>
        <w:rPr>
          <w:rFonts w:ascii="Times New Roman" w:cs="Times New Roman" w:eastAsia="Times New Roman" w:hAnsi="Times New Roman"/>
          <w:sz w:val="17"/>
          <w:szCs w:val="17"/>
          <w:color w:val="auto"/>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2022 or any future period.</w:t>
      </w:r>
    </w:p>
    <w:p>
      <w:pPr>
        <w:spacing w:after="0" w:line="159" w:lineRule="exact"/>
        <w:rPr>
          <w:sz w:val="20"/>
          <w:szCs w:val="20"/>
          <w:color w:val="auto"/>
        </w:rPr>
      </w:pPr>
    </w:p>
    <w:p>
      <w:pPr>
        <w:ind w:left="1240" w:hanging="773"/>
        <w:spacing w:after="0"/>
        <w:tabs>
          <w:tab w:leader="none" w:pos="1240" w:val="left"/>
        </w:tabs>
        <w:numPr>
          <w:ilvl w:val="0"/>
          <w:numId w:val="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223" w:lineRule="exact"/>
        <w:rPr>
          <w:sz w:val="20"/>
          <w:szCs w:val="20"/>
          <w:color w:val="auto"/>
        </w:rPr>
      </w:pPr>
    </w:p>
    <w:p>
      <w:pPr>
        <w:ind w:right="540" w:firstLine="464"/>
        <w:spacing w:after="0" w:line="287"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Company and its wholly owned subsidiaries. All significant intercompany balances and transactions have been eliminated.</w:t>
      </w:r>
    </w:p>
    <w:p>
      <w:pPr>
        <w:spacing w:after="0" w:line="145" w:lineRule="exact"/>
        <w:rPr>
          <w:sz w:val="20"/>
          <w:szCs w:val="20"/>
          <w:color w:val="auto"/>
        </w:rPr>
      </w:pPr>
    </w:p>
    <w:p>
      <w:pPr>
        <w:ind w:left="1240" w:hanging="773"/>
        <w:spacing w:after="0"/>
        <w:tabs>
          <w:tab w:leader="none" w:pos="1240"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Use of Estimates</w:t>
      </w:r>
    </w:p>
    <w:p>
      <w:pPr>
        <w:spacing w:after="0" w:line="223"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69" w:lineRule="exact"/>
        <w:rPr>
          <w:sz w:val="20"/>
          <w:szCs w:val="20"/>
          <w:color w:val="auto"/>
        </w:rPr>
      </w:pPr>
    </w:p>
    <w:p>
      <w:pPr>
        <w:ind w:left="1240" w:hanging="773"/>
        <w:spacing w:after="0"/>
        <w:tabs>
          <w:tab w:leader="none" w:pos="1240" w:val="left"/>
        </w:tabs>
        <w:numPr>
          <w:ilvl w:val="0"/>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223"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Revenue allocated to remaining performance obligations for contracts with durations of more than one year was $122.1 million as of September 30, 2022, of which 71% is expected to be recognized over the next 12 months and 95% is expected to be recognized over the next 24 months.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40" w:hanging="773"/>
        <w:spacing w:after="0"/>
        <w:tabs>
          <w:tab w:leader="none" w:pos="1240" w:val="left"/>
        </w:tabs>
        <w:numPr>
          <w:ilvl w:val="0"/>
          <w:numId w:val="1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Deferred Revenue and Customer Deposits</w:t>
      </w:r>
    </w:p>
    <w:p>
      <w:pPr>
        <w:spacing w:after="0" w:line="223"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As of September 30, 2022 and December 31, 2021, the Company recorded $135.6 million and $141.5 million as its deferred revenue and customer deposits, respectively, that are included in deferred revenue and customer deposits and other long-term liabilities in the accompanying condensed consolidated balance sheets. During the three months ended September 30, 2022 and 2021, the Company recognized $17.5 million and $13.9 million of revenue, respectively, that was included in the deferred revenue and customer deposits balance as of the end of the previous year. During the nine months ended September 30, 2022 and 2021, the Company recognized $112.2 million and $58.2 million of revenue, respectively, that was included in the deferred revenue and customer deposits balance as of the end of the previous year.</w:t>
      </w:r>
    </w:p>
    <w:p>
      <w:pPr>
        <w:spacing w:after="0" w:line="167" w:lineRule="exact"/>
        <w:rPr>
          <w:sz w:val="20"/>
          <w:szCs w:val="20"/>
          <w:color w:val="auto"/>
        </w:rPr>
      </w:pPr>
    </w:p>
    <w:p>
      <w:pPr>
        <w:ind w:left="1240" w:hanging="773"/>
        <w:spacing w:after="0"/>
        <w:tabs>
          <w:tab w:leader="none" w:pos="1240"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Deferred Sales Commissions</w:t>
      </w:r>
    </w:p>
    <w:p>
      <w:pPr>
        <w:spacing w:after="0" w:line="223" w:lineRule="exact"/>
        <w:rPr>
          <w:sz w:val="20"/>
          <w:szCs w:val="20"/>
          <w:color w:val="auto"/>
        </w:rPr>
      </w:pPr>
    </w:p>
    <w:p>
      <w:pPr>
        <w:ind w:right="280" w:firstLine="464"/>
        <w:spacing w:after="0" w:line="224" w:lineRule="exact"/>
        <w:rPr>
          <w:sz w:val="20"/>
          <w:szCs w:val="20"/>
          <w:color w:val="auto"/>
        </w:rPr>
      </w:pPr>
      <w:r>
        <w:rPr>
          <w:rFonts w:ascii="Times New Roman" w:cs="Times New Roman" w:eastAsia="Times New Roman" w:hAnsi="Times New Roman"/>
          <w:sz w:val="17"/>
          <w:szCs w:val="17"/>
          <w:color w:val="auto"/>
        </w:rPr>
        <w:t>Total net capitalized commission costs as of September 30, 2022 and December 31, 2021, were $223.9 million and $193.4 million, respectively, and are included in prepaid expenses and other current assets and other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assets in the accompanying condensed consolidated balance sheets.</w:t>
      </w:r>
    </w:p>
    <w:p>
      <w:pPr>
        <w:spacing w:after="0" w:line="166" w:lineRule="exact"/>
        <w:rPr>
          <w:sz w:val="20"/>
          <w:szCs w:val="20"/>
          <w:color w:val="auto"/>
        </w:rPr>
      </w:pPr>
    </w:p>
    <w:p>
      <w:pPr>
        <w:ind w:left="1240" w:hanging="773"/>
        <w:spacing w:after="0"/>
        <w:tabs>
          <w:tab w:leader="none" w:pos="1240" w:val="left"/>
        </w:tabs>
        <w:numPr>
          <w:ilvl w:val="0"/>
          <w:numId w:val="1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223"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that management believes are financially sound and have minimal credit risk exposure although the balances will exceed insured limits.</w:t>
      </w:r>
    </w:p>
    <w:p>
      <w:pPr>
        <w:spacing w:after="0" w:line="165" w:lineRule="exact"/>
        <w:rPr>
          <w:sz w:val="20"/>
          <w:szCs w:val="20"/>
          <w:color w:val="auto"/>
        </w:rPr>
      </w:pPr>
    </w:p>
    <w:p>
      <w:pPr>
        <w:ind w:right="120" w:firstLine="464"/>
        <w:spacing w:after="0" w:line="261" w:lineRule="auto"/>
        <w:rPr>
          <w:sz w:val="20"/>
          <w:szCs w:val="20"/>
          <w:color w:val="auto"/>
        </w:rPr>
      </w:pPr>
      <w:r>
        <w:rPr>
          <w:rFonts w:ascii="Times New Roman" w:cs="Times New Roman" w:eastAsia="Times New Roman" w:hAnsi="Times New Roman"/>
          <w:sz w:val="17"/>
          <w:szCs w:val="17"/>
          <w:color w:val="auto"/>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During the three and nine months ended September 30, 2022 and 2021, no customer organization accounted for more than 10% of the Company’s total revenue.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As of September 30, 2022 and December 31, 2021, no customer organization represented more than 10% of the Company’s gross accounts receivable.</w:t>
      </w:r>
    </w:p>
    <w:p>
      <w:pPr>
        <w:spacing w:after="0" w:line="211" w:lineRule="exact"/>
        <w:rPr>
          <w:sz w:val="20"/>
          <w:szCs w:val="20"/>
          <w:color w:val="auto"/>
        </w:rPr>
      </w:pPr>
    </w:p>
    <w:p>
      <w:pPr>
        <w:ind w:left="1240" w:hanging="773"/>
        <w:spacing w:after="0"/>
        <w:tabs>
          <w:tab w:leader="none" w:pos="1240" w:val="left"/>
        </w:tabs>
        <w:numPr>
          <w:ilvl w:val="0"/>
          <w:numId w:val="1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Changes to Significant Accounting Policies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Restructuring Costs</w:t>
      </w:r>
    </w:p>
    <w:p>
      <w:pPr>
        <w:spacing w:after="0" w:line="221"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The Company records a charge for restructuring when management commits to a restructuring plan, the restructuring plan identifies all significant actions, the period of time to complete the restructuring plan indicates that significant changes to the plan are not likely and employees who are impacted have been notified of the pending involuntary termination. Restructuring charges are accrued in the period in which it is probable that the employees are entitled to the restructuring benefits and the amounts can be reasonably estimated.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Equity Method Investments</w:t>
      </w:r>
    </w:p>
    <w:p>
      <w:pPr>
        <w:spacing w:after="0" w:line="221" w:lineRule="exact"/>
        <w:rPr>
          <w:sz w:val="20"/>
          <w:szCs w:val="20"/>
          <w:color w:val="auto"/>
        </w:rPr>
      </w:pPr>
    </w:p>
    <w:p>
      <w:pPr>
        <w:ind w:right="160" w:firstLine="464"/>
        <w:spacing w:after="0" w:line="260" w:lineRule="auto"/>
        <w:rPr>
          <w:sz w:val="20"/>
          <w:szCs w:val="20"/>
          <w:color w:val="auto"/>
        </w:rPr>
      </w:pPr>
      <w:r>
        <w:rPr>
          <w:rFonts w:ascii="Times New Roman" w:cs="Times New Roman" w:eastAsia="Times New Roman" w:hAnsi="Times New Roman"/>
          <w:sz w:val="17"/>
          <w:szCs w:val="17"/>
          <w:color w:val="auto"/>
        </w:rPr>
        <w:t>Equity investment holdings in which the Company does not have a controlling financial interest but can exercise significant influence over an investee are accounted for under the equity method. Equity method investments are originally recorded at cost and are subsequently increased or reduced to reflect the Company’s proportionate share of net earnings or losses of the investee as they occur. The Company records the investee losses up to the carrying amount of the investment plus any advances and loans made to the investee and any financial guarantees made on behalf of the investee. Investments are also increased by contributions made to and distributions from the investee. All costs directly associated with the acquisition of the investment are included in the carrying amount of the investment. Profits or losses related to intra-entity sales are eliminated until realized by the Company or the investee.</w:t>
      </w:r>
    </w:p>
    <w:p>
      <w:pPr>
        <w:spacing w:after="0" w:line="173"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The Company determines the difference between its purchase price and its proportionate share of the net assets of the investee, which results in an excess basis in the investment. This excess basis is allocated to the identifiable assets and liabilities of the investee utilizing purchase accounting principles and is used to calculate the amortization of basis differences every reporting period. Basis differences are generally amortized over the lives of the assets and liabilities that gave rise to the basis differences.</w:t>
      </w:r>
    </w:p>
    <w:p>
      <w:pPr>
        <w:spacing w:after="0" w:line="171"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The Company records its share in earnings and losses of its equity method investee along with adjustments for amortization of basis differences, investee capital transactions and other comprehensive income or loss in its consolidated statements of operations and comprehensive loss on a three-month lag.</w:t>
      </w:r>
    </w:p>
    <w:p>
      <w:pPr>
        <w:spacing w:after="0" w:line="151"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7"/>
          <w:szCs w:val="17"/>
          <w:color w:val="auto"/>
        </w:rPr>
        <w:t>Equity method goodwill is not amortized or tested for impairment. Instead, the Company evaluates its equity method investments for impairment whenever events or changes in circumstance indicate that the carrying amounts of such investments may be in excess of their fair value. When such indicators exist, the other-than-temporary impairment model is utilized, which considers the severity and duration of a decline in fair value below book value and the Company’s ability and intent to hold the investment for a sufficient period of time to allow for recovery. If a decline in the value of an equity method investment is determined to be other than temporary, a loss is recorded in the current period.</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have been no other changes to the Company’s significant accounting policies as described in its Annual Report.</w:t>
      </w:r>
    </w:p>
    <w:p>
      <w:pPr>
        <w:spacing w:after="0" w:line="211" w:lineRule="exact"/>
        <w:rPr>
          <w:sz w:val="20"/>
          <w:szCs w:val="20"/>
          <w:color w:val="auto"/>
        </w:rPr>
      </w:pPr>
    </w:p>
    <w:p>
      <w:pPr>
        <w:ind w:left="1240" w:hanging="773"/>
        <w:spacing w:after="0"/>
        <w:tabs>
          <w:tab w:leader="none" w:pos="1240"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Recently Adopted Accounting Guidance</w:t>
      </w:r>
    </w:p>
    <w:p>
      <w:pPr>
        <w:spacing w:after="0" w:line="223"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In October 2021, the Financial Accounting Standards Board (“FASB”) issued Accounting Standards Update (“ASU”) 2021-08, “Business Combinations (Topic 805): Accounting for Contract Assets and Contract Liabilities from Contracts with Customers,” which requires that an entity recognize and measure contract assets and contract liabilities acquired in a business combination in accordance with ASC 606, "Revenue from Contracts with Customers." At the acquisition date, an acquirer should account for the related revenue contracts as if it had originated the contracts. Generally, this should result in an acquirer recognizing and measuring the acquired contract assets and contract liabilities consistent with how they were recognized and measured in the acquiree's financial statements, assuming the acquirer is able to assess and rely on how the acquiree applied ASC 606. The Company adopted ASU 2021-08 in the first quarter of 2022 with no material impact to the Company's condensed consolidated financial statements.</w:t>
      </w:r>
    </w:p>
    <w:p>
      <w:pPr>
        <w:spacing w:after="0" w:line="173" w:lineRule="exact"/>
        <w:rPr>
          <w:sz w:val="20"/>
          <w:szCs w:val="20"/>
          <w:color w:val="auto"/>
        </w:rPr>
      </w:pPr>
    </w:p>
    <w:p>
      <w:pPr>
        <w:ind w:left="1240" w:hanging="773"/>
        <w:spacing w:after="0"/>
        <w:tabs>
          <w:tab w:leader="none" w:pos="1240" w:val="left"/>
        </w:tabs>
        <w:numPr>
          <w:ilvl w:val="0"/>
          <w:numId w:val="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Recently Issued Accounting Guidance, Not yet Adopted</w:t>
      </w:r>
    </w:p>
    <w:p>
      <w:pPr>
        <w:spacing w:after="0" w:line="223"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In June 2022, the FASB issued ASU No. 2022-03, "Fair Value Measurements (Topic 820): Fair Value Measurement of Equity Securities Subject to Contractual Sale Restrictions," which clarifies and amends the guidance of measuring the fair value of equity securities subject to contractual restrictions that prohibit the sale of the equity securities. The guidance will be effective for fiscal years beginning after December 15, 2023 and interim periods within those fiscal years. The Company is evaluating the impact of the adoption of this guidance on its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right="9180" w:hanging="457"/>
        <w:spacing w:after="0" w:line="508" w:lineRule="auto"/>
        <w:tabs>
          <w:tab w:leader="none" w:pos="168"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i w:val="1"/>
          <w:iCs w:val="1"/>
          <w:color w:val="auto"/>
        </w:rPr>
        <w:t>Financial Assets</w:t>
      </w:r>
    </w:p>
    <w:p>
      <w:pPr>
        <w:spacing w:after="0" w:line="1"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tables provide the financial assets measured at fair value on a recurring basis: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10"/>
          </w:tcPr>
          <w:p>
            <w:pPr>
              <w:jc w:val="center"/>
              <w:ind w:left="593"/>
              <w:spacing w:after="0"/>
              <w:rPr>
                <w:sz w:val="20"/>
                <w:szCs w:val="20"/>
                <w:color w:val="auto"/>
              </w:rPr>
            </w:pPr>
            <w:r>
              <w:rPr>
                <w:rFonts w:ascii="Times New Roman" w:cs="Times New Roman" w:eastAsia="Times New Roman" w:hAnsi="Times New Roman"/>
                <w:sz w:val="12"/>
                <w:szCs w:val="12"/>
                <w:b w:val="1"/>
                <w:bCs w:val="1"/>
                <w:color w:val="auto"/>
                <w:w w:val="99"/>
              </w:rPr>
              <w:t>Fair Value Hierarchy as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2"/>
                <w:szCs w:val="12"/>
                <w:b w:val="1"/>
                <w:bCs w:val="1"/>
                <w:color w:val="auto"/>
              </w:rPr>
              <w:t>Cost or</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6"/>
          </w:tcPr>
          <w:p>
            <w:pPr>
              <w:jc w:val="center"/>
              <w:spacing w:after="0" w:line="116" w:lineRule="exact"/>
              <w:rPr>
                <w:sz w:val="20"/>
                <w:szCs w:val="20"/>
                <w:color w:val="auto"/>
              </w:rPr>
            </w:pPr>
            <w:r>
              <w:rPr>
                <w:rFonts w:ascii="Times New Roman" w:cs="Times New Roman" w:eastAsia="Times New Roman" w:hAnsi="Times New Roman"/>
                <w:sz w:val="12"/>
                <w:szCs w:val="12"/>
                <w:b w:val="1"/>
                <w:bCs w:val="1"/>
                <w:color w:val="auto"/>
                <w:w w:val="99"/>
              </w:rPr>
              <w:t>September 30, 2022</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3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jc w:val="center"/>
              <w:ind w:right="280"/>
              <w:spacing w:after="0" w:line="65" w:lineRule="exact"/>
              <w:rPr>
                <w:sz w:val="20"/>
                <w:szCs w:val="20"/>
                <w:color w:val="auto"/>
              </w:rPr>
            </w:pPr>
            <w:r>
              <w:rPr>
                <w:rFonts w:ascii="Times New Roman" w:cs="Times New Roman" w:eastAsia="Times New Roman" w:hAnsi="Times New Roman"/>
                <w:sz w:val="7"/>
                <w:szCs w:val="7"/>
                <w:b w:val="1"/>
                <w:bCs w:val="1"/>
                <w:color w:val="auto"/>
              </w:rPr>
              <w:t>Carrying</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3"/>
          </w:tcPr>
          <w:p>
            <w:pPr>
              <w:jc w:val="center"/>
              <w:ind w:right="280"/>
              <w:spacing w:after="0" w:line="65" w:lineRule="exact"/>
              <w:rPr>
                <w:sz w:val="20"/>
                <w:szCs w:val="20"/>
                <w:color w:val="auto"/>
              </w:rPr>
            </w:pPr>
            <w:r>
              <w:rPr>
                <w:rFonts w:ascii="Times New Roman" w:cs="Times New Roman" w:eastAsia="Times New Roman" w:hAnsi="Times New Roman"/>
                <w:sz w:val="7"/>
                <w:szCs w:val="7"/>
                <w:b w:val="1"/>
                <w:bCs w:val="1"/>
                <w:color w:val="auto"/>
              </w:rPr>
              <w:t>Unrealized</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3"/>
          </w:tcPr>
          <w:p>
            <w:pPr>
              <w:jc w:val="center"/>
              <w:ind w:right="260"/>
              <w:spacing w:after="0" w:line="65" w:lineRule="exact"/>
              <w:rPr>
                <w:sz w:val="20"/>
                <w:szCs w:val="20"/>
                <w:color w:val="auto"/>
              </w:rPr>
            </w:pPr>
            <w:r>
              <w:rPr>
                <w:rFonts w:ascii="Times New Roman" w:cs="Times New Roman" w:eastAsia="Times New Roman" w:hAnsi="Times New Roman"/>
                <w:sz w:val="7"/>
                <w:szCs w:val="7"/>
                <w:b w:val="1"/>
                <w:bCs w:val="1"/>
                <w:color w:val="auto"/>
              </w:rPr>
              <w:t>Unrealized</w:t>
            </w: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jc w:val="right"/>
              <w:ind w:right="156"/>
              <w:spacing w:after="0" w:line="65" w:lineRule="exact"/>
              <w:rPr>
                <w:sz w:val="20"/>
                <w:szCs w:val="20"/>
                <w:color w:val="auto"/>
              </w:rPr>
            </w:pPr>
            <w:r>
              <w:rPr>
                <w:rFonts w:ascii="Times New Roman" w:cs="Times New Roman" w:eastAsia="Times New Roman" w:hAnsi="Times New Roman"/>
                <w:sz w:val="7"/>
                <w:szCs w:val="7"/>
                <w:b w:val="1"/>
                <w:bCs w:val="1"/>
                <w:color w:val="auto"/>
              </w:rPr>
              <w:t>Aggregate</w:t>
            </w:r>
          </w:p>
        </w:tc>
        <w:tc>
          <w:tcPr>
            <w:tcW w:w="0" w:type="dxa"/>
            <w:vAlign w:val="bottom"/>
          </w:tcPr>
          <w:p>
            <w:pPr>
              <w:spacing w:after="0"/>
              <w:rPr>
                <w:sz w:val="1"/>
                <w:szCs w:val="1"/>
                <w:color w:val="auto"/>
              </w:rPr>
            </w:pPr>
          </w:p>
        </w:tc>
      </w:tr>
      <w:tr>
        <w:trPr>
          <w:trHeight w:val="167"/>
        </w:trPr>
        <w:tc>
          <w:tcPr>
            <w:tcW w:w="37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4"/>
                <w:szCs w:val="14"/>
                <w:color w:val="auto"/>
                <w:w w:val="99"/>
              </w:rPr>
              <w:t>(In thousands)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39,117</w:t>
            </w:r>
          </w:p>
        </w:tc>
        <w:tc>
          <w:tcPr>
            <w:tcW w:w="300" w:type="dxa"/>
            <w:vAlign w:val="bottom"/>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39,117</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Reverse repurchase agreements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201"/>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w:t>
            </w:r>
          </w:p>
        </w:tc>
        <w:tc>
          <w:tcPr>
            <w:tcW w:w="0" w:type="dxa"/>
            <w:vAlign w:val="bottom"/>
          </w:tcPr>
          <w:p>
            <w:pPr>
              <w:spacing w:after="0"/>
              <w:rPr>
                <w:sz w:val="1"/>
                <w:szCs w:val="1"/>
                <w:color w:val="auto"/>
              </w:rPr>
            </w:pPr>
          </w:p>
        </w:tc>
      </w:tr>
      <w:tr>
        <w:trPr>
          <w:trHeight w:val="179"/>
        </w:trPr>
        <w:tc>
          <w:tcPr>
            <w:tcW w:w="3760" w:type="dxa"/>
            <w:vAlign w:val="bottom"/>
            <w:tcBorders>
              <w:bottom w:val="single" w:sz="8" w:color="CCEEFF"/>
            </w:tcBorders>
          </w:tcPr>
          <w:p>
            <w:pPr>
              <w:ind w:left="440"/>
              <w:spacing w:after="0" w:line="159" w:lineRule="exact"/>
              <w:rPr>
                <w:sz w:val="20"/>
                <w:szCs w:val="20"/>
                <w:color w:val="auto"/>
              </w:rPr>
            </w:pPr>
            <w:r>
              <w:rPr>
                <w:rFonts w:ascii="Times New Roman" w:cs="Times New Roman" w:eastAsia="Times New Roman" w:hAnsi="Times New Roman"/>
                <w:sz w:val="14"/>
                <w:szCs w:val="14"/>
                <w:color w:val="auto"/>
              </w:rPr>
              <w:t>Total included in cash and cash equivalents</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244,322</w:t>
            </w:r>
          </w:p>
        </w:tc>
        <w:tc>
          <w:tcPr>
            <w:tcW w:w="10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39,117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205,205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244,322</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504,600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504,600</w:t>
            </w:r>
          </w:p>
        </w:tc>
        <w:tc>
          <w:tcPr>
            <w:tcW w:w="0" w:type="dxa"/>
            <w:vAlign w:val="bottom"/>
          </w:tcPr>
          <w:p>
            <w:pPr>
              <w:spacing w:after="0"/>
              <w:rPr>
                <w:sz w:val="1"/>
                <w:szCs w:val="1"/>
                <w:color w:val="auto"/>
              </w:rPr>
            </w:pPr>
          </w:p>
        </w:tc>
      </w:tr>
      <w:tr>
        <w:trPr>
          <w:trHeight w:val="201"/>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Non-U.S. government securities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150,297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143,256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143,256</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debt securities and commercial paper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3,028,685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2,920,895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2,927,895</w:t>
            </w:r>
          </w:p>
        </w:tc>
        <w:tc>
          <w:tcPr>
            <w:tcW w:w="0" w:type="dxa"/>
            <w:vAlign w:val="bottom"/>
          </w:tcPr>
          <w:p>
            <w:pPr>
              <w:spacing w:after="0"/>
              <w:rPr>
                <w:sz w:val="1"/>
                <w:szCs w:val="1"/>
                <w:color w:val="auto"/>
              </w:rPr>
            </w:pPr>
          </w:p>
        </w:tc>
      </w:tr>
      <w:tr>
        <w:trPr>
          <w:trHeight w:val="193"/>
        </w:trPr>
        <w:tc>
          <w:tcPr>
            <w:tcW w:w="37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3,698,591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(122,853)</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654,856</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2,920,895</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3,575,751</w:t>
            </w:r>
          </w:p>
        </w:tc>
        <w:tc>
          <w:tcPr>
            <w:tcW w:w="0" w:type="dxa"/>
            <w:vAlign w:val="bottom"/>
          </w:tcPr>
          <w:p>
            <w:pPr>
              <w:spacing w:after="0"/>
              <w:rPr>
                <w:sz w:val="1"/>
                <w:szCs w:val="1"/>
                <w:color w:val="auto"/>
              </w:rPr>
            </w:pPr>
          </w:p>
        </w:tc>
      </w:tr>
      <w:tr>
        <w:trPr>
          <w:trHeight w:val="179"/>
        </w:trPr>
        <w:tc>
          <w:tcPr>
            <w:tcW w:w="37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financial assets</w:t>
            </w:r>
          </w:p>
        </w:tc>
        <w:tc>
          <w:tcPr>
            <w:tcW w:w="1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3,942,913</w:t>
            </w:r>
          </w:p>
        </w:tc>
        <w:tc>
          <w:tcPr>
            <w:tcW w:w="100" w:type="dxa"/>
            <w:vAlign w:val="bottom"/>
          </w:tcPr>
          <w:p>
            <w:pPr>
              <w:spacing w:after="0"/>
              <w:rPr>
                <w:sz w:val="15"/>
                <w:szCs w:val="15"/>
                <w:color w:val="auto"/>
              </w:rPr>
            </w:pPr>
          </w:p>
        </w:tc>
        <w:tc>
          <w:tcPr>
            <w:tcW w:w="1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(122,853)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693,973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3,126,100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3,820,073</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3"/>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Gross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10"/>
          </w:tcPr>
          <w:p>
            <w:pPr>
              <w:jc w:val="center"/>
              <w:ind w:left="593"/>
              <w:spacing w:after="0"/>
              <w:rPr>
                <w:sz w:val="20"/>
                <w:szCs w:val="20"/>
                <w:color w:val="auto"/>
              </w:rPr>
            </w:pPr>
            <w:r>
              <w:rPr>
                <w:rFonts w:ascii="Times New Roman" w:cs="Times New Roman" w:eastAsia="Times New Roman" w:hAnsi="Times New Roman"/>
                <w:sz w:val="12"/>
                <w:szCs w:val="12"/>
                <w:b w:val="1"/>
                <w:bCs w:val="1"/>
                <w:color w:val="auto"/>
                <w:w w:val="99"/>
              </w:rPr>
              <w:t>Fair Value Hierarchy as of</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2"/>
                <w:szCs w:val="12"/>
                <w:b w:val="1"/>
                <w:bCs w:val="1"/>
                <w:color w:val="auto"/>
              </w:rPr>
              <w:t>Cost or</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5"/>
          </w:tcPr>
          <w:p>
            <w:pPr>
              <w:jc w:val="center"/>
              <w:ind w:right="80"/>
              <w:spacing w:after="0" w:line="116" w:lineRule="exact"/>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3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jc w:val="center"/>
              <w:ind w:right="240"/>
              <w:spacing w:after="0" w:line="58" w:lineRule="exact"/>
              <w:rPr>
                <w:sz w:val="20"/>
                <w:szCs w:val="20"/>
                <w:color w:val="auto"/>
              </w:rPr>
            </w:pPr>
            <w:r>
              <w:rPr>
                <w:rFonts w:ascii="Times New Roman" w:cs="Times New Roman" w:eastAsia="Times New Roman" w:hAnsi="Times New Roman"/>
                <w:sz w:val="6"/>
                <w:szCs w:val="6"/>
                <w:b w:val="1"/>
                <w:bCs w:val="1"/>
                <w:color w:val="auto"/>
              </w:rPr>
              <w:t>Carrying</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3"/>
          </w:tcPr>
          <w:p>
            <w:pPr>
              <w:jc w:val="center"/>
              <w:ind w:right="240"/>
              <w:spacing w:after="0" w:line="58" w:lineRule="exact"/>
              <w:rPr>
                <w:sz w:val="20"/>
                <w:szCs w:val="20"/>
                <w:color w:val="auto"/>
              </w:rPr>
            </w:pPr>
            <w:r>
              <w:rPr>
                <w:rFonts w:ascii="Times New Roman" w:cs="Times New Roman" w:eastAsia="Times New Roman" w:hAnsi="Times New Roman"/>
                <w:sz w:val="6"/>
                <w:szCs w:val="6"/>
                <w:b w:val="1"/>
                <w:bCs w:val="1"/>
                <w:color w:val="auto"/>
              </w:rPr>
              <w:t>Unrealized</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3"/>
          </w:tcPr>
          <w:p>
            <w:pPr>
              <w:jc w:val="center"/>
              <w:ind w:right="240"/>
              <w:spacing w:after="0" w:line="58" w:lineRule="exact"/>
              <w:rPr>
                <w:sz w:val="20"/>
                <w:szCs w:val="20"/>
                <w:color w:val="auto"/>
              </w:rPr>
            </w:pPr>
            <w:r>
              <w:rPr>
                <w:rFonts w:ascii="Times New Roman" w:cs="Times New Roman" w:eastAsia="Times New Roman" w:hAnsi="Times New Roman"/>
                <w:sz w:val="6"/>
                <w:szCs w:val="6"/>
                <w:b w:val="1"/>
                <w:bCs w:val="1"/>
                <w:color w:val="auto"/>
              </w:rPr>
              <w:t>Unrealized</w:t>
            </w:r>
          </w:p>
        </w:tc>
        <w:tc>
          <w:tcPr>
            <w:tcW w:w="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jc w:val="right"/>
              <w:ind w:right="156"/>
              <w:spacing w:after="0" w:line="58" w:lineRule="exact"/>
              <w:rPr>
                <w:sz w:val="20"/>
                <w:szCs w:val="20"/>
                <w:color w:val="auto"/>
              </w:rPr>
            </w:pPr>
            <w:r>
              <w:rPr>
                <w:rFonts w:ascii="Times New Roman" w:cs="Times New Roman" w:eastAsia="Times New Roman" w:hAnsi="Times New Roman"/>
                <w:sz w:val="6"/>
                <w:szCs w:val="6"/>
                <w:b w:val="1"/>
                <w:bCs w:val="1"/>
                <w:color w:val="auto"/>
              </w:rPr>
              <w:t>Aggregate</w:t>
            </w:r>
          </w:p>
        </w:tc>
        <w:tc>
          <w:tcPr>
            <w:tcW w:w="0" w:type="dxa"/>
            <w:vAlign w:val="bottom"/>
          </w:tcPr>
          <w:p>
            <w:pPr>
              <w:spacing w:after="0"/>
              <w:rPr>
                <w:sz w:val="1"/>
                <w:szCs w:val="1"/>
                <w:color w:val="auto"/>
              </w:rPr>
            </w:pPr>
          </w:p>
        </w:tc>
      </w:tr>
      <w:tr>
        <w:trPr>
          <w:trHeight w:val="166"/>
        </w:trPr>
        <w:tc>
          <w:tcPr>
            <w:tcW w:w="3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9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(In thousands)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786,548</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786,548</w:t>
            </w:r>
          </w:p>
        </w:tc>
        <w:tc>
          <w:tcPr>
            <w:tcW w:w="300" w:type="dxa"/>
            <w:vAlign w:val="bottom"/>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786,548</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46,076</w:t>
            </w:r>
          </w:p>
        </w:tc>
        <w:tc>
          <w:tcPr>
            <w:tcW w:w="0" w:type="dxa"/>
            <w:vAlign w:val="bottom"/>
          </w:tcPr>
          <w:p>
            <w:pPr>
              <w:spacing w:after="0"/>
              <w:rPr>
                <w:sz w:val="1"/>
                <w:szCs w:val="1"/>
                <w:color w:val="auto"/>
              </w:rPr>
            </w:pPr>
          </w:p>
        </w:tc>
      </w:tr>
      <w:tr>
        <w:trPr>
          <w:trHeight w:val="193"/>
        </w:trPr>
        <w:tc>
          <w:tcPr>
            <w:tcW w:w="37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included in cash and cash equivalents</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832,624</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786,548</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46,076</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832,624</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375,305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372,750</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Non-U.S. government securities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220,286</w:t>
            </w:r>
          </w:p>
        </w:tc>
        <w:tc>
          <w:tcPr>
            <w:tcW w:w="0" w:type="dxa"/>
            <w:vAlign w:val="bottom"/>
          </w:tcPr>
          <w:p>
            <w:pPr>
              <w:spacing w:after="0"/>
              <w:rPr>
                <w:sz w:val="1"/>
                <w:szCs w:val="1"/>
                <w:color w:val="auto"/>
              </w:rPr>
            </w:pPr>
          </w:p>
        </w:tc>
      </w:tr>
      <w:tr>
        <w:trPr>
          <w:trHeight w:val="201"/>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Corporate debt securities and commercial paper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3,300,326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3,254,394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3,285,394</w:t>
            </w:r>
          </w:p>
        </w:tc>
        <w:tc>
          <w:tcPr>
            <w:tcW w:w="0" w:type="dxa"/>
            <w:vAlign w:val="bottom"/>
          </w:tcPr>
          <w:p>
            <w:pPr>
              <w:spacing w:after="0"/>
              <w:rPr>
                <w:sz w:val="1"/>
                <w:szCs w:val="1"/>
                <w:color w:val="auto"/>
              </w:rPr>
            </w:pPr>
          </w:p>
        </w:tc>
      </w:tr>
      <w:tr>
        <w:trPr>
          <w:trHeight w:val="179"/>
        </w:trPr>
        <w:tc>
          <w:tcPr>
            <w:tcW w:w="3760" w:type="dxa"/>
            <w:vAlign w:val="bottom"/>
            <w:tcBorders>
              <w:bottom w:val="single" w:sz="8" w:color="CCEEFF"/>
            </w:tcBorders>
          </w:tcPr>
          <w:p>
            <w:pPr>
              <w:ind w:left="440"/>
              <w:spacing w:after="0" w:line="159" w:lineRule="exact"/>
              <w:rPr>
                <w:sz w:val="20"/>
                <w:szCs w:val="20"/>
                <w:color w:val="auto"/>
              </w:rPr>
            </w:pPr>
            <w:r>
              <w:rPr>
                <w:rFonts w:ascii="Times New Roman" w:cs="Times New Roman" w:eastAsia="Times New Roman" w:hAnsi="Times New Roman"/>
                <w:sz w:val="14"/>
                <w:szCs w:val="14"/>
                <w:color w:val="auto"/>
              </w:rPr>
              <w:t>Total marketable securities</w:t>
            </w: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3,897,272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624,036</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3,254,394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3,878,430</w:t>
            </w:r>
          </w:p>
        </w:tc>
        <w:tc>
          <w:tcPr>
            <w:tcW w:w="0" w:type="dxa"/>
            <w:vAlign w:val="bottom"/>
          </w:tcPr>
          <w:p>
            <w:pPr>
              <w:spacing w:after="0"/>
              <w:rPr>
                <w:sz w:val="1"/>
                <w:szCs w:val="1"/>
                <w:color w:val="auto"/>
              </w:rPr>
            </w:pPr>
          </w:p>
        </w:tc>
      </w:tr>
      <w:tr>
        <w:trPr>
          <w:trHeight w:val="211"/>
        </w:trPr>
        <w:tc>
          <w:tcPr>
            <w:tcW w:w="37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financial assets</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4,729,896</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1,410,584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3,300,470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4,711,054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The Company's primary objective when investing excess cash is preservation of capital, hence the Company's marketable securities primarily consist of U.S. Treasury Securities, non-U.S government securities, high credit quality corporate debt securities, reverse repurchase agreements and commercial paper. Because the Company views its marketable securities as available to support current operations, it has classified all available for sale securities as short-term. As of September 30, 2022 and December 31, 2021, for fixed income securities that were in 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September 30, 2022 and December 31, 2021, the Company anticipates that it will recover the entire amortized cost basis of such fixed income securities before maturity.</w:t>
      </w:r>
    </w:p>
    <w:p>
      <w:pPr>
        <w:spacing w:after="0" w:line="179" w:lineRule="exact"/>
        <w:rPr>
          <w:sz w:val="20"/>
          <w:szCs w:val="20"/>
          <w:color w:val="auto"/>
        </w:rPr>
      </w:pPr>
    </w:p>
    <w:p>
      <w:pPr>
        <w:ind w:right="400" w:firstLine="464"/>
        <w:spacing w:after="0" w:line="270" w:lineRule="auto"/>
        <w:rPr>
          <w:sz w:val="20"/>
          <w:szCs w:val="20"/>
          <w:color w:val="auto"/>
        </w:rPr>
      </w:pPr>
      <w:r>
        <w:rPr>
          <w:rFonts w:ascii="Times New Roman" w:cs="Times New Roman" w:eastAsia="Times New Roman" w:hAnsi="Times New Roman"/>
          <w:sz w:val="17"/>
          <w:szCs w:val="17"/>
          <w:color w:val="auto"/>
        </w:rPr>
        <w:t>Interest earned on marketable securities was $16.3 million and $47.5 million in the three and nine months ended September 30, 2022, respectively, and $16.2 million and $39.5 million in the three and nine months ended September 30, 2021, respectively. The interest is recorded as other expenses, net, in the accompanying condensed consolidated statements of operations.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contractual maturities of marketable securities:</w:t>
      </w:r>
    </w:p>
    <w:p>
      <w:pPr>
        <w:spacing w:after="0" w:line="248" w:lineRule="exact"/>
        <w:rPr>
          <w:sz w:val="20"/>
          <w:szCs w:val="20"/>
          <w:color w:val="auto"/>
        </w:rPr>
      </w:pPr>
    </w:p>
    <w:tbl>
      <w:tblPr>
        <w:tblLayout w:type="fixed"/>
        <w:tblInd w:w="960" w:type="dxa"/>
        <w:tblCellMar>
          <w:top w:w="0" w:type="dxa"/>
          <w:left w:w="0" w:type="dxa"/>
          <w:bottom w:w="0" w:type="dxa"/>
          <w:right w:w="0" w:type="dxa"/>
        </w:tblCellMar>
      </w:tblPr>
      <w:tr>
        <w:trPr>
          <w:trHeight w:val="182"/>
        </w:trPr>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200" w:type="dxa"/>
            <w:vAlign w:val="bottom"/>
          </w:tcPr>
          <w:p>
            <w:pPr>
              <w:spacing w:after="0"/>
              <w:rPr>
                <w:sz w:val="15"/>
                <w:szCs w:val="15"/>
                <w:color w:val="auto"/>
              </w:rPr>
            </w:pPr>
          </w:p>
        </w:tc>
        <w:tc>
          <w:tcPr>
            <w:tcW w:w="23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2"/>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23"/>
        </w:trPr>
        <w:tc>
          <w:tcPr>
            <w:tcW w:w="4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100"/>
              <w:spacing w:after="0" w:line="123"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27"/>
              <w:spacing w:after="0" w:line="123"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100"/>
              <w:spacing w:after="0" w:line="123"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26"/>
              <w:spacing w:after="0" w:line="123" w:lineRule="exact"/>
              <w:rPr>
                <w:sz w:val="20"/>
                <w:szCs w:val="20"/>
                <w:color w:val="auto"/>
              </w:rPr>
            </w:pPr>
            <w:r>
              <w:rPr>
                <w:rFonts w:ascii="Times New Roman" w:cs="Times New Roman" w:eastAsia="Times New Roman" w:hAnsi="Times New Roman"/>
                <w:sz w:val="14"/>
                <w:szCs w:val="14"/>
                <w:b w:val="1"/>
                <w:bCs w:val="1"/>
                <w:color w:val="auto"/>
              </w:rPr>
              <w:t>Aggregate</w:t>
            </w:r>
          </w:p>
        </w:tc>
      </w:tr>
      <w:tr>
        <w:trPr>
          <w:trHeight w:val="187"/>
        </w:trPr>
        <w:tc>
          <w:tcPr>
            <w:tcW w:w="4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2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3"/>
        </w:trPr>
        <w:tc>
          <w:tcPr>
            <w:tcW w:w="4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than one year</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1,992,157</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1,952,475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1,084,751</w:t>
            </w:r>
          </w:p>
        </w:tc>
        <w:tc>
          <w:tcPr>
            <w:tcW w:w="1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1,085,006</w:t>
            </w:r>
          </w:p>
        </w:tc>
      </w:tr>
      <w:tr>
        <w:trPr>
          <w:trHeight w:val="20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One to three years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1,706,434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1,623,276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2,812,521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2,793,424</w:t>
            </w:r>
          </w:p>
        </w:tc>
      </w:tr>
      <w:tr>
        <w:trPr>
          <w:trHeight w:val="196"/>
        </w:trPr>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3,698,591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3,575,751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3,897,272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3,878,430</w:t>
            </w:r>
          </w:p>
        </w:tc>
      </w:tr>
      <w:tr>
        <w:trPr>
          <w:trHeight w:val="21"/>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Strategic Investments</w:t>
      </w:r>
    </w:p>
    <w:p>
      <w:pPr>
        <w:spacing w:after="0" w:line="221"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As of September 30, 2022 and December 31, 2021, the Company held strategic investments with a carrying value of $74.3 million and $68.3 million, respectively, recorded as other long-term assets in the accompanying condensed consolidated balance sheets. The carrying value of these securities is determined under the measurement alternative on a non-recurring basis and adjusted for observable changes in fair value. There were no impairments or other adjustments recorded in the three and nine months ended September 30, 2022 and 2021, related to these securities.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Financial Liabilities</w:t>
      </w:r>
    </w:p>
    <w:p>
      <w:pPr>
        <w:spacing w:after="0" w:line="22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Company’s financial liabilities that are measured at fair value on a recurring basis consist of foreign currency derivative liabilities and are classified as Level 2 financial instruments in the fair value hierarchy. As of September 30, 2022, the aggregate fair value of these liabilities and the associated unrealized losses were $33.9 million. As of December 31, 2021, these balances were not significant.</w:t>
      </w:r>
    </w:p>
    <w:p>
      <w:pPr>
        <w:spacing w:after="0" w:line="165"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The Company’s financial liabilities that are not measured at fair value on a recurring basis are its Senior Notes due 2029 (“2029 Notes”) and its Senior Notes due 2031 (“2031 Notes”). As of September 30, 2022 the fair value of the 2029 Notes and 2031 Notes were $407.1 million and $394.4 million, respectively. As of December 31, 2021, the fair value of the 2029 Notes and 2031 Notes were $510.2 million and $512.8 million, respectively.</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Property and Equipment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Property and equipment consisted of the following:</w:t>
      </w:r>
    </w:p>
    <w:p>
      <w:pPr>
        <w:spacing w:after="0" w:line="227"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As of December 31, 2021</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Capitalized internal-use software developments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248,158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198,589</w:t>
            </w:r>
          </w:p>
        </w:tc>
        <w:tc>
          <w:tcPr>
            <w:tcW w:w="0" w:type="dxa"/>
            <w:vAlign w:val="bottom"/>
          </w:tcPr>
          <w:p>
            <w:pPr>
              <w:spacing w:after="0"/>
              <w:rPr>
                <w:sz w:val="1"/>
                <w:szCs w:val="1"/>
                <w:color w:val="auto"/>
              </w:rPr>
            </w:pPr>
          </w:p>
        </w:tc>
      </w:tr>
      <w:tr>
        <w:trPr>
          <w:trHeight w:val="206"/>
        </w:trPr>
        <w:tc>
          <w:tcPr>
            <w:tcW w:w="482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Data center equipment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99,755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77,946</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Leasehold improvements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89,234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85,297</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Office equipment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67,808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58,636</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Furniture and fixtures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15,360</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Software</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10,925</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10,506</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property and equipment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530,910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446,334</w:t>
            </w:r>
          </w:p>
        </w:tc>
        <w:tc>
          <w:tcPr>
            <w:tcW w:w="0" w:type="dxa"/>
            <w:vAlign w:val="bottom"/>
          </w:tcPr>
          <w:p>
            <w:pPr>
              <w:spacing w:after="0"/>
              <w:rPr>
                <w:sz w:val="1"/>
                <w:szCs w:val="1"/>
                <w:color w:val="auto"/>
              </w:rPr>
            </w:pPr>
          </w:p>
        </w:tc>
      </w:tr>
      <w:tr>
        <w:trPr>
          <w:trHeight w:val="206"/>
        </w:trPr>
        <w:tc>
          <w:tcPr>
            <w:tcW w:w="482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Less: accumulated depreciation and amortization </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(267,048)</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(191,018)</w:t>
            </w: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263,862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255,316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0"/>
          <w:szCs w:val="20"/>
          <w:color w:val="auto"/>
        </w:rPr>
      </w:pPr>
    </w:p>
    <w:p>
      <w:pPr>
        <w:ind w:left="460" w:right="160"/>
        <w:spacing w:after="0" w:line="234"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5"/>
          <w:szCs w:val="15"/>
          <w:color w:val="auto"/>
        </w:rPr>
        <w:t>Data center equipment contains $72.4 million and $63.0 million in assets held under finance leases as of September 30, 2022, and December 31, 2021, respectively.</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5"/>
          <w:szCs w:val="15"/>
          <w:color w:val="auto"/>
        </w:rPr>
        <w:t>Accumulated depreciation and amortization contains $37.4 million and $26.8 million of accumulated depreciation for assets held under finance leases as of September 30, 2022, and December 31, 2021, respectively.</w:t>
      </w:r>
    </w:p>
    <w:p>
      <w:pPr>
        <w:spacing w:after="0" w:line="183" w:lineRule="exact"/>
        <w:rPr>
          <w:sz w:val="20"/>
          <w:szCs w:val="20"/>
          <w:color w:val="auto"/>
        </w:rPr>
      </w:pPr>
    </w:p>
    <w:p>
      <w:pPr>
        <w:ind w:right="340" w:firstLine="464"/>
        <w:spacing w:after="0" w:line="287" w:lineRule="auto"/>
        <w:rPr>
          <w:sz w:val="20"/>
          <w:szCs w:val="20"/>
          <w:color w:val="auto"/>
        </w:rPr>
      </w:pPr>
      <w:r>
        <w:rPr>
          <w:rFonts w:ascii="Times New Roman" w:cs="Times New Roman" w:eastAsia="Times New Roman" w:hAnsi="Times New Roman"/>
          <w:sz w:val="17"/>
          <w:szCs w:val="17"/>
          <w:color w:val="auto"/>
        </w:rPr>
        <w:t>Depreciation and amortization expense was $18.4 million and $14.5 million in the three months ended September 30, 2022 and 2021, respectively, and $52.5 million and $43.2 million in the nine months ended September 30, 2022 and 2021, respectively.</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60" w:firstLine="464"/>
        <w:spacing w:after="0" w:line="229" w:lineRule="exact"/>
        <w:rPr>
          <w:sz w:val="20"/>
          <w:szCs w:val="20"/>
          <w:color w:val="auto"/>
        </w:rPr>
      </w:pPr>
      <w:r>
        <w:rPr>
          <w:rFonts w:ascii="Times New Roman" w:cs="Times New Roman" w:eastAsia="Times New Roman" w:hAnsi="Times New Roman"/>
          <w:sz w:val="17"/>
          <w:szCs w:val="17"/>
          <w:color w:val="auto"/>
        </w:rPr>
        <w:t>The Company capitalized $19.3 million and $18.0 million in internal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software development costs in the three months ended September 30, 2022 and 2021, respectively, and $51.2 million and $49.5 million in the nine months ended September 30, 2022 and 2021,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Impairment</w:t>
      </w:r>
    </w:p>
    <w:p>
      <w:pPr>
        <w:spacing w:after="0" w:line="221" w:lineRule="exact"/>
        <w:rPr>
          <w:sz w:val="20"/>
          <w:szCs w:val="20"/>
          <w:color w:val="auto"/>
        </w:rPr>
      </w:pPr>
    </w:p>
    <w:p>
      <w:pPr>
        <w:ind w:right="180" w:firstLine="464"/>
        <w:spacing w:after="0" w:line="209" w:lineRule="exact"/>
        <w:rPr>
          <w:sz w:val="20"/>
          <w:szCs w:val="20"/>
          <w:color w:val="auto"/>
        </w:rPr>
      </w:pPr>
      <w:r>
        <w:rPr>
          <w:rFonts w:ascii="Times New Roman" w:cs="Times New Roman" w:eastAsia="Times New Roman" w:hAnsi="Times New Roman"/>
          <w:sz w:val="17"/>
          <w:szCs w:val="17"/>
          <w:color w:val="auto"/>
        </w:rPr>
        <w:t>During the second quarter of 2022, the Company announced its decision to become a remote-first company whereby employees would have the flexibility to work remotely on a permanent basis. As part of the new operating strategy, in the third quarter of 2022, the Company permanently closed several of its office locations which triggered a reassessment of long-lived asset groupings and a test for impairment. The Company determined that the carrying amounts of the impacted ROU assets and the associated leasehold improvements and property and equipment exceeded their respective fair values. The Company engaged a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expert to assist with the valuation analysis and selection of assumptions. In the three and nine months ended September 30, 2022, the Company recorded a $97.7 million impairment expense in the accompanying condensed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Restructuring Activities</w:t>
      </w:r>
    </w:p>
    <w:p>
      <w:pPr>
        <w:spacing w:after="0" w:line="221" w:lineRule="exact"/>
        <w:rPr>
          <w:sz w:val="20"/>
          <w:szCs w:val="20"/>
          <w:color w:val="auto"/>
        </w:rPr>
      </w:pPr>
    </w:p>
    <w:p>
      <w:pPr>
        <w:ind w:right="160" w:firstLine="464"/>
        <w:spacing w:after="0" w:line="261" w:lineRule="auto"/>
        <w:rPr>
          <w:sz w:val="20"/>
          <w:szCs w:val="20"/>
          <w:color w:val="auto"/>
        </w:rPr>
      </w:pPr>
      <w:r>
        <w:rPr>
          <w:rFonts w:ascii="Times New Roman" w:cs="Times New Roman" w:eastAsia="Times New Roman" w:hAnsi="Times New Roman"/>
          <w:sz w:val="17"/>
          <w:szCs w:val="17"/>
          <w:color w:val="auto"/>
        </w:rPr>
        <w:t>During the third quarter of 2022, the compensation and talent management committee of the Company’s board of directors approved a restructuring plan that was designed to reduce operating costs, improve operating margins and shift the Company’s selling capacity to accelerate software sales (the “Restructuring Plan”). The Restructuring Plan eliminated approximately 11% of the Company’s workforce. The Company estimated the aggregate restructuring costs associated with the Restructuring Plan to be approximately $70.0 million to $90.0 million, of which approximately $55.0 million to $70.0 million is expected to be paid in cash.</w:t>
      </w:r>
    </w:p>
    <w:p>
      <w:pPr>
        <w:spacing w:after="0" w:line="175"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In the three months ended September 30, 2022, the Company recorded restructuring charges of $72.5 million, which consisted of $57.2 million related to employee transition, notice period, severance payments, employee benefits and facilitation costs; and $15.3 million related to vesting of stock-based awards of the impacted employees. The Company expects to incur additional restructuring charges until the execution of this Restructuring Plan is substantially completed by the end of the fourth quarter of 2022. Since potential position eliminations in every country are subject to local law and consultation requirements, in certain countries this process may extend beyond the fourth quarter of 2022. The charges that the Company expects to incur throughout the completion of its Restructuring Plan are subject to a number of assumptions, including local law requirements in various jurisdictions, and the actual remaining expenses may differ materially from the original estimates.</w:t>
      </w:r>
    </w:p>
    <w:p>
      <w:pPr>
        <w:spacing w:after="0" w:line="179"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Company’s restructuring liability that is included in accrued expenses and other current liabilities in the accompanying condensed consolidated balance sheet:</w:t>
      </w:r>
    </w:p>
    <w:p>
      <w:pPr>
        <w:spacing w:after="0" w:line="163"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Workforce Reduction</w:t>
            </w:r>
          </w:p>
        </w:tc>
        <w:tc>
          <w:tcPr>
            <w:tcW w:w="120" w:type="dxa"/>
            <w:vAlign w:val="bottom"/>
          </w:tcPr>
          <w:p>
            <w:pPr>
              <w:spacing w:after="0"/>
              <w:rPr>
                <w:sz w:val="13"/>
                <w:szCs w:val="13"/>
                <w:color w:val="auto"/>
              </w:rPr>
            </w:pPr>
          </w:p>
        </w:tc>
        <w:tc>
          <w:tcPr>
            <w:tcW w:w="116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w w:val="97"/>
              </w:rPr>
              <w:t>Facilitation Costs</w:t>
            </w:r>
          </w:p>
        </w:tc>
        <w:tc>
          <w:tcPr>
            <w:tcW w:w="320" w:type="dxa"/>
            <w:vAlign w:val="bottom"/>
          </w:tcPr>
          <w:p>
            <w:pPr>
              <w:spacing w:after="0"/>
              <w:rPr>
                <w:sz w:val="13"/>
                <w:szCs w:val="13"/>
                <w:color w:val="auto"/>
              </w:rPr>
            </w:pPr>
          </w:p>
        </w:tc>
        <w:tc>
          <w:tcPr>
            <w:tcW w:w="100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206"/>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June 30, 2022</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Restructuring charges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1,322</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57,177</w:t>
            </w: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payments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(4,016)</w:t>
            </w:r>
          </w:p>
        </w:tc>
        <w:tc>
          <w:tcPr>
            <w:tcW w:w="0" w:type="dxa"/>
            <w:vAlign w:val="bottom"/>
          </w:tcPr>
          <w:p>
            <w:pPr>
              <w:spacing w:after="0"/>
              <w:rPr>
                <w:sz w:val="1"/>
                <w:szCs w:val="1"/>
                <w:color w:val="auto"/>
              </w:rPr>
            </w:pPr>
          </w:p>
        </w:tc>
      </w:tr>
      <w:tr>
        <w:trPr>
          <w:trHeight w:val="202"/>
        </w:trPr>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September 30, 2022</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51,839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1,322</w:t>
            </w:r>
          </w:p>
        </w:tc>
        <w:tc>
          <w:tcPr>
            <w:tcW w:w="3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53,161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right="120" w:firstLine="464"/>
        <w:spacing w:after="0" w:line="287" w:lineRule="auto"/>
        <w:rPr>
          <w:sz w:val="20"/>
          <w:szCs w:val="20"/>
          <w:color w:val="auto"/>
        </w:rPr>
      </w:pPr>
      <w:r>
        <w:rPr>
          <w:rFonts w:ascii="Times New Roman" w:cs="Times New Roman" w:eastAsia="Times New Roman" w:hAnsi="Times New Roman"/>
          <w:sz w:val="17"/>
          <w:szCs w:val="17"/>
          <w:color w:val="auto"/>
        </w:rPr>
        <w:t>The $15.3 million vesting of the stock-based awards is recorded in the additional-paid-in capital in the accompanying condensed consolidated statement of shareholders equity.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Derivatives and Hedging</w:t>
      </w:r>
    </w:p>
    <w:p>
      <w:pPr>
        <w:spacing w:after="0" w:line="221" w:lineRule="exact"/>
        <w:rPr>
          <w:sz w:val="20"/>
          <w:szCs w:val="20"/>
          <w:color w:val="auto"/>
        </w:rPr>
      </w:pPr>
    </w:p>
    <w:p>
      <w:pPr>
        <w:jc w:val="both"/>
        <w:ind w:right="20" w:firstLine="464"/>
        <w:spacing w:after="0" w:line="270" w:lineRule="auto"/>
        <w:rPr>
          <w:sz w:val="20"/>
          <w:szCs w:val="20"/>
          <w:color w:val="auto"/>
        </w:rPr>
      </w:pPr>
      <w:r>
        <w:rPr>
          <w:rFonts w:ascii="Times New Roman" w:cs="Times New Roman" w:eastAsia="Times New Roman" w:hAnsi="Times New Roman"/>
          <w:sz w:val="17"/>
          <w:szCs w:val="17"/>
          <w:color w:val="auto"/>
        </w:rPr>
        <w:t>As of September 30, 2022, the Company had outstanding foreign currency forward contracts designated as cash flow hedges with a total sell notional value of $370.3 million. The notional value represents the amount that will be sold upon maturity of the forward contract. As of September 30, 2022, these contracts had maturities of up to 9 months.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Gains and losses associated with these foreign currency forward contracts were as follows:</w:t>
      </w:r>
    </w:p>
    <w:p>
      <w:pPr>
        <w:spacing w:after="0" w:line="286"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Condensed Consolidated Statement of</w:t>
            </w:r>
          </w:p>
        </w:tc>
        <w:tc>
          <w:tcPr>
            <w:tcW w:w="200" w:type="dxa"/>
            <w:vAlign w:val="bottom"/>
          </w:tcPr>
          <w:p>
            <w:pPr>
              <w:spacing w:after="0"/>
              <w:rPr>
                <w:sz w:val="16"/>
                <w:szCs w:val="16"/>
                <w:color w:val="auto"/>
              </w:rPr>
            </w:pPr>
          </w:p>
        </w:tc>
        <w:tc>
          <w:tcPr>
            <w:tcW w:w="18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w:t>
            </w:r>
          </w:p>
        </w:tc>
      </w:tr>
      <w:tr>
        <w:trPr>
          <w:trHeight w:val="142"/>
        </w:trPr>
        <w:tc>
          <w:tcPr>
            <w:tcW w:w="3060" w:type="dxa"/>
            <w:vAlign w:val="bottom"/>
          </w:tcPr>
          <w:p>
            <w:pPr>
              <w:spacing w:after="0"/>
              <w:rPr>
                <w:sz w:val="12"/>
                <w:szCs w:val="12"/>
                <w:color w:val="auto"/>
              </w:rPr>
            </w:pPr>
          </w:p>
        </w:tc>
        <w:tc>
          <w:tcPr>
            <w:tcW w:w="3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5"/>
                <w:szCs w:val="15"/>
                <w:b w:val="1"/>
                <w:bCs w:val="1"/>
                <w:color w:val="auto"/>
              </w:rPr>
              <w:t>Operations and Statement of Comprehensive</w:t>
            </w:r>
          </w:p>
        </w:tc>
        <w:tc>
          <w:tcPr>
            <w:tcW w:w="200" w:type="dxa"/>
            <w:vAlign w:val="bottom"/>
          </w:tcPr>
          <w:p>
            <w:pPr>
              <w:spacing w:after="0"/>
              <w:rPr>
                <w:sz w:val="12"/>
                <w:szCs w:val="12"/>
                <w:color w:val="auto"/>
              </w:rPr>
            </w:pPr>
          </w:p>
        </w:tc>
        <w:tc>
          <w:tcPr>
            <w:tcW w:w="1860" w:type="dxa"/>
            <w:vAlign w:val="bottom"/>
            <w:gridSpan w:val="4"/>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4"/>
                <w:szCs w:val="14"/>
                <w:b w:val="1"/>
                <w:bCs w:val="1"/>
                <w:color w:val="auto"/>
                <w:w w:val="91"/>
              </w:rPr>
              <w:t>30,</w:t>
            </w:r>
          </w:p>
        </w:tc>
        <w:tc>
          <w:tcPr>
            <w:tcW w:w="720" w:type="dxa"/>
            <w:vAlign w:val="bottom"/>
          </w:tcPr>
          <w:p>
            <w:pPr>
              <w:spacing w:after="0"/>
              <w:rPr>
                <w:sz w:val="12"/>
                <w:szCs w:val="12"/>
                <w:color w:val="auto"/>
              </w:rPr>
            </w:pPr>
          </w:p>
        </w:tc>
      </w:tr>
      <w:tr>
        <w:trPr>
          <w:trHeight w:val="198"/>
        </w:trPr>
        <w:tc>
          <w:tcPr>
            <w:tcW w:w="3060" w:type="dxa"/>
            <w:vAlign w:val="bottom"/>
          </w:tcPr>
          <w:p>
            <w:pPr>
              <w:spacing w:after="0"/>
              <w:rPr>
                <w:sz w:val="17"/>
                <w:szCs w:val="17"/>
                <w:color w:val="auto"/>
              </w:rPr>
            </w:pP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2022</w:t>
            </w: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80"/>
        </w:trPr>
        <w:tc>
          <w:tcPr>
            <w:tcW w:w="3060" w:type="dxa"/>
            <w:vAlign w:val="bottom"/>
          </w:tcPr>
          <w:p>
            <w:pPr>
              <w:spacing w:after="0"/>
              <w:rPr>
                <w:sz w:val="15"/>
                <w:szCs w:val="15"/>
                <w:color w:val="auto"/>
              </w:rPr>
            </w:pPr>
          </w:p>
        </w:tc>
        <w:tc>
          <w:tcPr>
            <w:tcW w:w="3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4"/>
          </w:tcPr>
          <w:p>
            <w:pPr>
              <w:jc w:val="right"/>
              <w:ind w:right="463"/>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163"/>
        </w:trPr>
        <w:tc>
          <w:tcPr>
            <w:tcW w:w="306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auto"/>
              </w:rPr>
              <w:t>Losses recognized in OCI</w:t>
            </w:r>
          </w:p>
        </w:tc>
        <w:tc>
          <w:tcPr>
            <w:tcW w:w="320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auto"/>
              </w:rPr>
              <w:t>Net change in market value of effective foreign</w:t>
            </w:r>
          </w:p>
        </w:tc>
        <w:tc>
          <w:tcPr>
            <w:tcW w:w="200" w:type="dxa"/>
            <w:vAlign w:val="bottom"/>
            <w:shd w:val="clear" w:color="auto" w:fill="CCEEFF"/>
          </w:tcPr>
          <w:p>
            <w:pPr>
              <w:jc w:val="right"/>
              <w:ind w:right="23"/>
              <w:spacing w:after="0" w:line="163"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6"/>
              <w:spacing w:after="0" w:line="163" w:lineRule="exact"/>
              <w:rPr>
                <w:sz w:val="20"/>
                <w:szCs w:val="20"/>
                <w:color w:val="auto"/>
              </w:rPr>
            </w:pPr>
            <w:r>
              <w:rPr>
                <w:rFonts w:ascii="Times New Roman" w:cs="Times New Roman" w:eastAsia="Times New Roman" w:hAnsi="Times New Roman"/>
                <w:sz w:val="15"/>
                <w:szCs w:val="15"/>
                <w:color w:val="auto"/>
              </w:rPr>
              <w:t>19,196</w:t>
            </w:r>
          </w:p>
        </w:tc>
        <w:tc>
          <w:tcPr>
            <w:tcW w:w="280" w:type="dxa"/>
            <w:vAlign w:val="bottom"/>
            <w:shd w:val="clear" w:color="auto" w:fill="CCEEFF"/>
          </w:tcPr>
          <w:p>
            <w:pPr>
              <w:jc w:val="right"/>
              <w:ind w:right="23"/>
              <w:spacing w:after="0" w:line="163"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5"/>
              <w:spacing w:after="0" w:line="163" w:lineRule="exact"/>
              <w:rPr>
                <w:sz w:val="20"/>
                <w:szCs w:val="20"/>
                <w:color w:val="auto"/>
              </w:rPr>
            </w:pPr>
            <w:r>
              <w:rPr>
                <w:rFonts w:ascii="Times New Roman" w:cs="Times New Roman" w:eastAsia="Times New Roman" w:hAnsi="Times New Roman"/>
                <w:sz w:val="15"/>
                <w:szCs w:val="15"/>
                <w:color w:val="auto"/>
              </w:rPr>
              <w:t>161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6"/>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5"/>
                <w:szCs w:val="15"/>
                <w:color w:val="auto"/>
              </w:rPr>
              <w:t>34,154</w:t>
            </w:r>
          </w:p>
        </w:tc>
        <w:tc>
          <w:tcPr>
            <w:tcW w:w="340" w:type="dxa"/>
            <w:vAlign w:val="bottom"/>
            <w:shd w:val="clear" w:color="auto" w:fill="CCEEFF"/>
          </w:tcPr>
          <w:p>
            <w:pPr>
              <w:jc w:val="right"/>
              <w:ind w:right="46"/>
              <w:spacing w:after="0" w:line="163"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5"/>
                <w:szCs w:val="15"/>
                <w:color w:val="auto"/>
              </w:rPr>
              <w:t>3,069</w:t>
            </w:r>
          </w:p>
        </w:tc>
      </w:tr>
      <w:tr>
        <w:trPr>
          <w:trHeight w:val="205"/>
        </w:trPr>
        <w:tc>
          <w:tcPr>
            <w:tcW w:w="3060" w:type="dxa"/>
            <w:vAlign w:val="bottom"/>
            <w:shd w:val="clear" w:color="auto" w:fill="CCEEFF"/>
          </w:tcPr>
          <w:p>
            <w:pPr>
              <w:spacing w:after="0"/>
              <w:rPr>
                <w:sz w:val="17"/>
                <w:szCs w:val="17"/>
                <w:color w:val="auto"/>
              </w:rPr>
            </w:pPr>
          </w:p>
        </w:tc>
        <w:tc>
          <w:tcPr>
            <w:tcW w:w="3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currency forward exchange contracts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56"/>
        </w:trPr>
        <w:tc>
          <w:tcPr>
            <w:tcW w:w="30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Losses recognized in income due to</w:t>
            </w:r>
          </w:p>
        </w:tc>
        <w:tc>
          <w:tcPr>
            <w:tcW w:w="320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Cost of revenue</w:t>
            </w:r>
          </w:p>
        </w:tc>
        <w:tc>
          <w:tcPr>
            <w:tcW w:w="20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6"/>
              <w:spacing w:after="0" w:line="156" w:lineRule="exact"/>
              <w:rPr>
                <w:sz w:val="20"/>
                <w:szCs w:val="20"/>
                <w:color w:val="auto"/>
              </w:rPr>
            </w:pPr>
            <w:r>
              <w:rPr>
                <w:rFonts w:ascii="Times New Roman" w:cs="Times New Roman" w:eastAsia="Times New Roman" w:hAnsi="Times New Roman"/>
                <w:sz w:val="15"/>
                <w:szCs w:val="15"/>
                <w:color w:val="auto"/>
              </w:rPr>
              <w:t>16,357</w:t>
            </w:r>
          </w:p>
        </w:tc>
        <w:tc>
          <w:tcPr>
            <w:tcW w:w="2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5"/>
              <w:spacing w:after="0" w:line="156" w:lineRule="exact"/>
              <w:rPr>
                <w:sz w:val="20"/>
                <w:szCs w:val="20"/>
                <w:color w:val="auto"/>
              </w:rPr>
            </w:pPr>
            <w:r>
              <w:rPr>
                <w:rFonts w:ascii="Times New Roman" w:cs="Times New Roman" w:eastAsia="Times New Roman" w:hAnsi="Times New Roman"/>
                <w:sz w:val="15"/>
                <w:szCs w:val="15"/>
                <w:color w:val="auto"/>
              </w:rPr>
              <w:t>2,464</w:t>
            </w:r>
          </w:p>
        </w:tc>
        <w:tc>
          <w:tcPr>
            <w:tcW w:w="100" w:type="dxa"/>
            <w:vAlign w:val="bottom"/>
          </w:tcPr>
          <w:p>
            <w:pPr>
              <w:spacing w:after="0"/>
              <w:rPr>
                <w:sz w:val="13"/>
                <w:szCs w:val="13"/>
                <w:color w:val="auto"/>
              </w:rPr>
            </w:pPr>
          </w:p>
        </w:tc>
        <w:tc>
          <w:tcPr>
            <w:tcW w:w="180" w:type="dxa"/>
            <w:vAlign w:val="bottom"/>
          </w:tcPr>
          <w:p>
            <w:pPr>
              <w:jc w:val="right"/>
              <w:ind w:right="26"/>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25,520</w:t>
            </w:r>
          </w:p>
        </w:tc>
        <w:tc>
          <w:tcPr>
            <w:tcW w:w="340" w:type="dxa"/>
            <w:vAlign w:val="bottom"/>
          </w:tcPr>
          <w:p>
            <w:pPr>
              <w:jc w:val="right"/>
              <w:ind w:right="46"/>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2,931</w:t>
            </w:r>
          </w:p>
        </w:tc>
      </w:tr>
      <w:tr>
        <w:trPr>
          <w:trHeight w:val="200"/>
        </w:trPr>
        <w:tc>
          <w:tcPr>
            <w:tcW w:w="3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instruments maturing</w:t>
            </w: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286"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September 30, 2022, the Company did not have any offsetting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Equity Method Investment</w:t>
      </w:r>
    </w:p>
    <w:p>
      <w:pPr>
        <w:spacing w:after="0" w:line="234" w:lineRule="exact"/>
        <w:rPr>
          <w:sz w:val="20"/>
          <w:szCs w:val="20"/>
          <w:color w:val="auto"/>
        </w:rPr>
      </w:pPr>
    </w:p>
    <w:p>
      <w:pPr>
        <w:jc w:val="both"/>
        <w:ind w:firstLine="464"/>
        <w:spacing w:after="0" w:line="238" w:lineRule="auto"/>
        <w:rPr>
          <w:sz w:val="20"/>
          <w:szCs w:val="20"/>
          <w:color w:val="auto"/>
        </w:rPr>
      </w:pPr>
      <w:r>
        <w:rPr>
          <w:rFonts w:ascii="Times New Roman" w:cs="Times New Roman" w:eastAsia="Times New Roman" w:hAnsi="Times New Roman"/>
          <w:sz w:val="17"/>
          <w:szCs w:val="17"/>
          <w:color w:val="auto"/>
        </w:rPr>
        <w:t>In 2022, the Company acquired 44.55% equity interests in Syniverse Corporation (“Syniverse”) for $750.0 million in cash. The Company determined that it does not have a controlling financial interest in Syniverse but does exercise significant influence and therefore, the investment was accounted for under the equity method. The Company estimated that on the investment closing date there was a preliminary excess investment basis of $530.7 million related to its proportionate share of the identifiable intangible assets and $41.3 million related to the associated deferred tax liability. The equity method goodwill was estimated 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$623.8 million.</w:t>
      </w:r>
    </w:p>
    <w:p>
      <w:pPr>
        <w:spacing w:after="0" w:line="184" w:lineRule="exact"/>
        <w:rPr>
          <w:sz w:val="20"/>
          <w:szCs w:val="20"/>
          <w:color w:val="auto"/>
        </w:rPr>
      </w:pPr>
    </w:p>
    <w:p>
      <w:pPr>
        <w:ind w:firstLine="464"/>
        <w:spacing w:after="0" w:line="208" w:lineRule="exact"/>
        <w:rPr>
          <w:sz w:val="20"/>
          <w:szCs w:val="20"/>
          <w:color w:val="auto"/>
        </w:rPr>
      </w:pPr>
      <w:r>
        <w:rPr>
          <w:rFonts w:ascii="Times New Roman" w:cs="Times New Roman" w:eastAsia="Times New Roman" w:hAnsi="Times New Roman"/>
          <w:sz w:val="17"/>
          <w:szCs w:val="17"/>
          <w:color w:val="auto"/>
        </w:rPr>
        <w:t>The preliminary estimated fair value of the intangible assets was determined by the Company. The Company engaged a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party expert to assist with the valuation analysis. While the Company used its best estimates and assumptions as part of this valuation process to determine the fair values of the investee’s assets and liabilities, these estimates are inherently uncertain and subject to refinement. The authoritative guidance allows a measurement period of up to one year from the date of investment to make adjustments to these preliminary allocations.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the preliminary estimated basis differences attributable to the identifiable assets and their respective useful lives:</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restart"/>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5"/>
                <w:szCs w:val="15"/>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Estimated</w:t>
            </w:r>
          </w:p>
        </w:tc>
        <w:tc>
          <w:tcPr>
            <w:tcW w:w="0" w:type="dxa"/>
            <w:vAlign w:val="bottom"/>
          </w:tcPr>
          <w:p>
            <w:pPr>
              <w:spacing w:after="0"/>
              <w:rPr>
                <w:sz w:val="1"/>
                <w:szCs w:val="1"/>
                <w:color w:val="auto"/>
              </w:rPr>
            </w:pPr>
          </w:p>
        </w:tc>
      </w:tr>
      <w:tr>
        <w:trPr>
          <w:trHeight w:val="205"/>
        </w:trPr>
        <w:tc>
          <w:tcPr>
            <w:tcW w:w="4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life</w:t>
            </w: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(In thousands)</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(In years)</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Developed technology</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62,767</w:t>
            </w:r>
          </w:p>
        </w:tc>
        <w:tc>
          <w:tcPr>
            <w:tcW w:w="14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439,152</w:t>
            </w:r>
          </w:p>
        </w:tc>
        <w:tc>
          <w:tcPr>
            <w:tcW w:w="144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28,822</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Indefinite</w:t>
            </w:r>
          </w:p>
        </w:tc>
        <w:tc>
          <w:tcPr>
            <w:tcW w:w="0" w:type="dxa"/>
            <w:vAlign w:val="bottom"/>
          </w:tcPr>
          <w:p>
            <w:pPr>
              <w:spacing w:after="0"/>
              <w:rPr>
                <w:sz w:val="1"/>
                <w:szCs w:val="1"/>
                <w:color w:val="auto"/>
              </w:rPr>
            </w:pPr>
          </w:p>
        </w:tc>
      </w:tr>
      <w:tr>
        <w:trPr>
          <w:trHeight w:val="202"/>
        </w:trPr>
        <w:tc>
          <w:tcPr>
            <w:tcW w:w="4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basis difference attributable to the identifiable intangible assets</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530,741</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140" w:firstLine="464"/>
        <w:spacing w:after="0" w:line="241" w:lineRule="auto"/>
        <w:rPr>
          <w:sz w:val="20"/>
          <w:szCs w:val="20"/>
          <w:color w:val="auto"/>
        </w:rPr>
      </w:pPr>
      <w:r>
        <w:rPr>
          <w:rFonts w:ascii="Times New Roman" w:cs="Times New Roman" w:eastAsia="Times New Roman" w:hAnsi="Times New Roman"/>
          <w:sz w:val="17"/>
          <w:szCs w:val="17"/>
          <w:color w:val="auto"/>
        </w:rPr>
        <w:t>The Company has elected to report its portion of equity method investee’s results of operations and other comprehensive income on a 90-day lag. Accordingly, in the three and nine months ended September 30, 2022, the Company recorded $13.4 million in its accompanying condensed consolidated statements of operations. The adjustment consisted of the Company’s proportionate share of the investee’s net operating results and the amortization of the basis difference for the period from the transaction closing date of May 13, 2022, through June 30, 2022. The Company also recorded $4.2 million of its proportionate share of the investee’s other comprehensive loss in the accompanying condensed consolidated statement of other comprehensive loss for the same period.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firstLine="464"/>
        <w:spacing w:after="0" w:line="245" w:lineRule="auto"/>
        <w:rPr>
          <w:sz w:val="20"/>
          <w:szCs w:val="20"/>
          <w:color w:val="auto"/>
        </w:rPr>
      </w:pPr>
      <w:r>
        <w:rPr>
          <w:rFonts w:ascii="Times New Roman" w:cs="Times New Roman" w:eastAsia="Times New Roman" w:hAnsi="Times New Roman"/>
          <w:sz w:val="17"/>
          <w:szCs w:val="17"/>
          <w:color w:val="auto"/>
        </w:rPr>
        <w:t>In conjunction with this investment, the Company and Syniverse entered into a wholesale agreement, pursuant to which Syniverse will process, route and deliver application-to-person messages originating and/or terminating between the Company’s customers and mobile network operators. The value of the transactions that occurred between the Company and Syniverse were $32.1 million for the three months ended September 30, 2022, and $54.1 million for the period from the investment closing date on May 13, 2022, through September 30, 2022. These transactions were recorded as cost of revenue in the accompanying condensed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Goodwill and Intangible Assets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goodwill balance as of September 30, 2022 and December 31, 2021 was as follows:</w:t>
      </w:r>
    </w:p>
    <w:p>
      <w:pPr>
        <w:spacing w:after="0" w:line="196" w:lineRule="exact"/>
        <w:rPr>
          <w:sz w:val="20"/>
          <w:szCs w:val="20"/>
          <w:color w:val="auto"/>
        </w:rPr>
      </w:pPr>
    </w:p>
    <w:tbl>
      <w:tblPr>
        <w:tblLayout w:type="fixed"/>
        <w:tblInd w:w="720" w:type="dxa"/>
        <w:tblCellMar>
          <w:top w:w="0" w:type="dxa"/>
          <w:left w:w="0" w:type="dxa"/>
          <w:bottom w:w="0" w:type="dxa"/>
          <w:right w:w="0" w:type="dxa"/>
        </w:tblCellMar>
      </w:tblPr>
      <w:tr>
        <w:trPr>
          <w:trHeight w:val="182"/>
        </w:trPr>
        <w:tc>
          <w:tcPr>
            <w:tcW w:w="9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9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9"/>
        </w:trPr>
        <w:tc>
          <w:tcPr>
            <w:tcW w:w="9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46"/>
              <w:spacing w:after="0"/>
              <w:rPr>
                <w:sz w:val="20"/>
                <w:szCs w:val="20"/>
                <w:color w:val="auto"/>
              </w:rPr>
            </w:pPr>
            <w:r>
              <w:rPr>
                <w:rFonts w:ascii="Times New Roman" w:cs="Times New Roman" w:eastAsia="Times New Roman" w:hAnsi="Times New Roman"/>
                <w:sz w:val="14"/>
                <w:szCs w:val="14"/>
                <w:color w:val="auto"/>
              </w:rPr>
              <w:t>(In thousands)</w:t>
            </w:r>
          </w:p>
        </w:tc>
      </w:tr>
      <w:tr>
        <w:trPr>
          <w:trHeight w:val="214"/>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2021</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5,263,166</w:t>
            </w:r>
          </w:p>
        </w:tc>
      </w:tr>
      <w:tr>
        <w:trPr>
          <w:trHeight w:val="203"/>
        </w:trPr>
        <w:tc>
          <w:tcPr>
            <w:tcW w:w="9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Goodwill additions and adjustments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21,450</w:t>
            </w:r>
          </w:p>
        </w:tc>
      </w:tr>
      <w:tr>
        <w:trPr>
          <w:trHeight w:val="224"/>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September 30, 2022</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5,284,616</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Intangible assets consisted of the following:</w:t>
      </w:r>
    </w:p>
    <w:p>
      <w:pPr>
        <w:spacing w:after="0" w:line="26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6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September 30, 2022</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3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6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340" w:type="dxa"/>
            <w:vAlign w:val="bottom"/>
          </w:tcPr>
          <w:p>
            <w:pPr>
              <w:spacing w:after="0"/>
              <w:rPr>
                <w:sz w:val="10"/>
                <w:szCs w:val="10"/>
                <w:color w:val="auto"/>
              </w:rPr>
            </w:pPr>
          </w:p>
        </w:tc>
        <w:tc>
          <w:tcPr>
            <w:tcW w:w="102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Amortizable intangible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color w:val="auto"/>
              </w:rPr>
              <w:t>(In thousands)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Developed technology</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795,836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(308,175)</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487,661</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Customer relationships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538,607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(185,310)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353,297</w:t>
            </w: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Supplier relationships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39,794</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Trade names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11,806</w:t>
            </w: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Order backlog</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Patent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3,374</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Total amortizable intangible assets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1,435,883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(539,951)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895,932</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Non-amortizable intangible assets: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Telecommunication licenses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4,920</w:t>
            </w:r>
          </w:p>
        </w:tc>
        <w:tc>
          <w:tcPr>
            <w:tcW w:w="0" w:type="dxa"/>
            <w:vAlign w:val="bottom"/>
          </w:tcPr>
          <w:p>
            <w:pPr>
              <w:spacing w:after="0"/>
              <w:rPr>
                <w:sz w:val="1"/>
                <w:szCs w:val="1"/>
                <w:color w:val="auto"/>
              </w:rPr>
            </w:pPr>
          </w:p>
        </w:tc>
      </w:tr>
      <w:tr>
        <w:trPr>
          <w:trHeight w:val="20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Trademarks and other</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0" w:type="dxa"/>
            <w:vAlign w:val="bottom"/>
          </w:tcPr>
          <w:p>
            <w:pPr>
              <w:spacing w:after="0"/>
              <w:rPr>
                <w:sz w:val="1"/>
                <w:szCs w:val="1"/>
                <w:color w:val="auto"/>
              </w:rPr>
            </w:pPr>
          </w:p>
        </w:tc>
      </w:tr>
      <w:tr>
        <w:trPr>
          <w:trHeight w:val="202"/>
        </w:trPr>
        <w:tc>
          <w:tcPr>
            <w:tcW w:w="63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1,441,106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(539,951)</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901,155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00"/>
          </w:cols>
          <w:pgMar w:left="320" w:top="123"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6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December 31, 2021</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3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6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340" w:type="dxa"/>
            <w:vAlign w:val="bottom"/>
          </w:tcPr>
          <w:p>
            <w:pPr>
              <w:spacing w:after="0"/>
              <w:rPr>
                <w:sz w:val="10"/>
                <w:szCs w:val="10"/>
                <w:color w:val="auto"/>
              </w:rPr>
            </w:pPr>
          </w:p>
        </w:tc>
        <w:tc>
          <w:tcPr>
            <w:tcW w:w="102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Amortizable intangible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color w:val="auto"/>
              </w:rPr>
              <w:t>(In thousands)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Developed technology</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794,831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(222,765)</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572,066</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Customer relationships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538,264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410,229</w:t>
            </w: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Supplier relationships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42,180</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Trade names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16,795</w:t>
            </w: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Order backlog</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Patent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3,527</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Total amortizable intangible assets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1,429,470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(384,673)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1,044,797</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Non-amortizable intangible assets: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Telecommunication licenses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4,920</w:t>
            </w:r>
          </w:p>
        </w:tc>
        <w:tc>
          <w:tcPr>
            <w:tcW w:w="0" w:type="dxa"/>
            <w:vAlign w:val="bottom"/>
          </w:tcPr>
          <w:p>
            <w:pPr>
              <w:spacing w:after="0"/>
              <w:rPr>
                <w:sz w:val="1"/>
                <w:szCs w:val="1"/>
                <w:color w:val="auto"/>
              </w:rPr>
            </w:pPr>
          </w:p>
        </w:tc>
      </w:tr>
      <w:tr>
        <w:trPr>
          <w:trHeight w:val="20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Trademarks and other</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0" w:type="dxa"/>
            <w:vAlign w:val="bottom"/>
          </w:tcPr>
          <w:p>
            <w:pPr>
              <w:spacing w:after="0"/>
              <w:rPr>
                <w:sz w:val="1"/>
                <w:szCs w:val="1"/>
                <w:color w:val="auto"/>
              </w:rPr>
            </w:pPr>
          </w:p>
        </w:tc>
      </w:tr>
      <w:tr>
        <w:trPr>
          <w:trHeight w:val="202"/>
        </w:trPr>
        <w:tc>
          <w:tcPr>
            <w:tcW w:w="63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1,434,685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(384,673)</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1,050,012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Amortization expense was $51.7 million and $55.7 million for the three months ended September 30, 2022 and 2021, respectively, and $155.4 million and $146.3 million for the nine months ended September 30, 2022 and 2021, respectively.</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Total estimated future amortization expense is as follows:</w:t>
      </w:r>
    </w:p>
    <w:p>
      <w:pPr>
        <w:spacing w:after="0" w:line="261" w:lineRule="exact"/>
        <w:rPr>
          <w:sz w:val="20"/>
          <w:szCs w:val="20"/>
          <w:color w:val="auto"/>
        </w:rPr>
      </w:pPr>
    </w:p>
    <w:tbl>
      <w:tblPr>
        <w:tblLayout w:type="fixed"/>
        <w:tblInd w:w="21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As of September 30, 2022</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1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Year Ended December 31,</w:t>
            </w:r>
          </w:p>
        </w:tc>
        <w:tc>
          <w:tcPr>
            <w:tcW w:w="372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3"/>
                <w:szCs w:val="13"/>
                <w:color w:val="auto"/>
              </w:rPr>
            </w:pPr>
          </w:p>
        </w:tc>
        <w:tc>
          <w:tcPr>
            <w:tcW w:w="1640" w:type="dxa"/>
            <w:vAlign w:val="bottom"/>
            <w:tcBorders>
              <w:bottom w:val="single" w:sz="8" w:color="auto"/>
            </w:tcBorders>
            <w:vMerge w:val="continue"/>
          </w:tcPr>
          <w:p>
            <w:pPr>
              <w:spacing w:after="0"/>
              <w:rPr>
                <w:sz w:val="13"/>
                <w:szCs w:val="13"/>
                <w:color w:val="auto"/>
              </w:rPr>
            </w:pPr>
          </w:p>
        </w:tc>
        <w:tc>
          <w:tcPr>
            <w:tcW w:w="37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304"/>
              <w:spacing w:after="0" w:line="148" w:lineRule="exact"/>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 (remaining three months)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50,866</w:t>
            </w:r>
          </w:p>
        </w:tc>
        <w:tc>
          <w:tcPr>
            <w:tcW w:w="0" w:type="dxa"/>
            <w:vAlign w:val="bottom"/>
          </w:tcPr>
          <w:p>
            <w:pPr>
              <w:spacing w:after="0"/>
              <w:rPr>
                <w:sz w:val="1"/>
                <w:szCs w:val="1"/>
                <w:color w:val="auto"/>
              </w:rPr>
            </w:pPr>
          </w:p>
        </w:tc>
      </w:tr>
      <w:tr>
        <w:trPr>
          <w:trHeight w:val="20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202,792</w:t>
            </w:r>
          </w:p>
        </w:tc>
        <w:tc>
          <w:tcPr>
            <w:tcW w:w="0" w:type="dxa"/>
            <w:vAlign w:val="bottom"/>
          </w:tcPr>
          <w:p>
            <w:pPr>
              <w:spacing w:after="0"/>
              <w:rPr>
                <w:sz w:val="1"/>
                <w:szCs w:val="1"/>
                <w:color w:val="auto"/>
              </w:rPr>
            </w:pPr>
          </w:p>
        </w:tc>
      </w:tr>
      <w:tr>
        <w:trPr>
          <w:trHeight w:val="20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197,357</w:t>
            </w:r>
          </w:p>
        </w:tc>
        <w:tc>
          <w:tcPr>
            <w:tcW w:w="0" w:type="dxa"/>
            <w:vAlign w:val="bottom"/>
          </w:tcPr>
          <w:p>
            <w:pPr>
              <w:spacing w:after="0"/>
              <w:rPr>
                <w:sz w:val="1"/>
                <w:szCs w:val="1"/>
                <w:color w:val="auto"/>
              </w:rPr>
            </w:pPr>
          </w:p>
        </w:tc>
      </w:tr>
      <w:tr>
        <w:trPr>
          <w:trHeight w:val="20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193,783</w:t>
            </w:r>
          </w:p>
        </w:tc>
        <w:tc>
          <w:tcPr>
            <w:tcW w:w="0" w:type="dxa"/>
            <w:vAlign w:val="bottom"/>
          </w:tcPr>
          <w:p>
            <w:pPr>
              <w:spacing w:after="0"/>
              <w:rPr>
                <w:sz w:val="1"/>
                <w:szCs w:val="1"/>
                <w:color w:val="auto"/>
              </w:rPr>
            </w:pPr>
          </w:p>
        </w:tc>
      </w:tr>
      <w:tr>
        <w:trPr>
          <w:trHeight w:val="20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120,288</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130,846</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5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895,932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Accrued Expenses and Other Current Liabilities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w:t>
      </w:r>
    </w:p>
    <w:p>
      <w:pPr>
        <w:spacing w:after="0" w:line="261" w:lineRule="exact"/>
        <w:rPr>
          <w:sz w:val="20"/>
          <w:szCs w:val="20"/>
          <w:color w:val="auto"/>
        </w:rPr>
      </w:pPr>
    </w:p>
    <w:tbl>
      <w:tblPr>
        <w:tblLayout w:type="fixed"/>
        <w:tblInd w:w="1300" w:type="dxa"/>
        <w:tblCellMar>
          <w:top w:w="0" w:type="dxa"/>
          <w:left w:w="0" w:type="dxa"/>
          <w:bottom w:w="0" w:type="dxa"/>
          <w:right w:w="0" w:type="dxa"/>
        </w:tblCellMar>
      </w:tblPr>
      <w:tr>
        <w:trPr>
          <w:trHeight w:val="182"/>
        </w:trPr>
        <w:tc>
          <w:tcPr>
            <w:tcW w:w="602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80" w:type="dxa"/>
            <w:vAlign w:val="bottom"/>
          </w:tcPr>
          <w:p>
            <w:pPr>
              <w:spacing w:after="0"/>
              <w:rPr>
                <w:sz w:val="15"/>
                <w:szCs w:val="15"/>
                <w:color w:val="auto"/>
              </w:rPr>
            </w:pPr>
          </w:p>
        </w:tc>
        <w:tc>
          <w:tcPr>
            <w:tcW w:w="156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7"/>
              </w:rPr>
              <w:t>As of December 31, 2021</w:t>
            </w:r>
          </w:p>
        </w:tc>
      </w:tr>
      <w:tr>
        <w:trPr>
          <w:trHeight w:val="35"/>
        </w:trPr>
        <w:tc>
          <w:tcPr>
            <w:tcW w:w="60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4"/>
          </w:tcPr>
          <w:p>
            <w:pPr>
              <w:spacing w:after="0"/>
              <w:rPr>
                <w:sz w:val="3"/>
                <w:szCs w:val="3"/>
                <w:color w:val="auto"/>
              </w:rPr>
            </w:pPr>
          </w:p>
        </w:tc>
      </w:tr>
      <w:tr>
        <w:trPr>
          <w:trHeight w:val="179"/>
        </w:trPr>
        <w:tc>
          <w:tcPr>
            <w:tcW w:w="6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40" w:type="dxa"/>
            <w:vAlign w:val="bottom"/>
            <w:gridSpan w:val="4"/>
          </w:tcPr>
          <w:p>
            <w:pPr>
              <w:jc w:val="right"/>
              <w:ind w:right="1163"/>
              <w:spacing w:after="0"/>
              <w:rPr>
                <w:sz w:val="20"/>
                <w:szCs w:val="20"/>
                <w:color w:val="auto"/>
              </w:rPr>
            </w:pPr>
            <w:r>
              <w:rPr>
                <w:rFonts w:ascii="Times New Roman" w:cs="Times New Roman" w:eastAsia="Times New Roman" w:hAnsi="Times New Roman"/>
                <w:sz w:val="14"/>
                <w:szCs w:val="14"/>
                <w:color w:val="auto"/>
              </w:rPr>
              <w:t>(In thousands)</w:t>
            </w:r>
          </w:p>
        </w:tc>
      </w:tr>
      <w:tr>
        <w:trPr>
          <w:trHeight w:val="21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payroll and related</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78,780</w:t>
            </w: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bonus and commission</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32,388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64,665</w:t>
            </w: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cost of revenue</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176,946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118,004</w:t>
            </w: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and other taxes payable</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86,019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61,975</w:t>
            </w: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ESPP contributions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10,284</w:t>
            </w: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Derivative liability</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33,860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220</w:t>
            </w: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liability</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12,370</w:t>
            </w: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Restructuring liability</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Employee sabbatical benefit accrual</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Accrued other expense</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60,554</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71,205</w:t>
            </w:r>
          </w:p>
        </w:tc>
      </w:tr>
      <w:tr>
        <w:trPr>
          <w:trHeight w:val="227"/>
        </w:trPr>
        <w:tc>
          <w:tcPr>
            <w:tcW w:w="6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accrued expenses and other current liabilities</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572,876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417,503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23"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Long-Term Debt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net, consisted of the following:</w:t>
      </w:r>
    </w:p>
    <w:p>
      <w:pPr>
        <w:spacing w:after="0" w:line="261" w:lineRule="exact"/>
        <w:rPr>
          <w:sz w:val="20"/>
          <w:szCs w:val="20"/>
          <w:color w:val="auto"/>
        </w:rPr>
      </w:pPr>
    </w:p>
    <w:tbl>
      <w:tblPr>
        <w:tblLayout w:type="fixed"/>
        <w:tblInd w:w="174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As of September 30, 2022</w:t>
            </w:r>
          </w:p>
        </w:tc>
        <w:tc>
          <w:tcPr>
            <w:tcW w:w="120" w:type="dxa"/>
            <w:vAlign w:val="bottom"/>
          </w:tcPr>
          <w:p>
            <w:pPr>
              <w:spacing w:after="0"/>
              <w:rPr>
                <w:sz w:val="15"/>
                <w:szCs w:val="15"/>
                <w:color w:val="auto"/>
              </w:rPr>
            </w:pPr>
          </w:p>
        </w:tc>
        <w:tc>
          <w:tcPr>
            <w:tcW w:w="156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6"/>
              </w:rPr>
              <w:t>As of December 31, 2021</w:t>
            </w:r>
          </w:p>
        </w:tc>
      </w:tr>
      <w:tr>
        <w:trPr>
          <w:trHeight w:val="35"/>
        </w:trPr>
        <w:tc>
          <w:tcPr>
            <w:tcW w:w="50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4"/>
          </w:tcPr>
          <w:p>
            <w:pPr>
              <w:spacing w:after="0"/>
              <w:rPr>
                <w:sz w:val="3"/>
                <w:szCs w:val="3"/>
                <w:color w:val="auto"/>
              </w:rPr>
            </w:pPr>
          </w:p>
        </w:tc>
      </w:tr>
      <w:tr>
        <w:trPr>
          <w:trHeight w:val="179"/>
        </w:trPr>
        <w:tc>
          <w:tcPr>
            <w:tcW w:w="5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0" w:type="dxa"/>
            <w:vAlign w:val="bottom"/>
            <w:gridSpan w:val="4"/>
          </w:tcPr>
          <w:p>
            <w:pPr>
              <w:jc w:val="right"/>
              <w:ind w:right="1184"/>
              <w:spacing w:after="0"/>
              <w:rPr>
                <w:sz w:val="20"/>
                <w:szCs w:val="20"/>
                <w:color w:val="auto"/>
              </w:rPr>
            </w:pPr>
            <w:r>
              <w:rPr>
                <w:rFonts w:ascii="Times New Roman" w:cs="Times New Roman" w:eastAsia="Times New Roman" w:hAnsi="Times New Roman"/>
                <w:sz w:val="14"/>
                <w:szCs w:val="14"/>
                <w:color w:val="auto"/>
              </w:rPr>
              <w:t>(In thousands)</w:t>
            </w:r>
          </w:p>
        </w:tc>
      </w:tr>
      <w:tr>
        <w:trPr>
          <w:trHeight w:val="214"/>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2029 Senior Notes</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3"/>
        </w:trPr>
        <w:tc>
          <w:tcPr>
            <w:tcW w:w="50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Principal</w:t>
            </w:r>
          </w:p>
        </w:tc>
        <w:tc>
          <w:tcPr>
            <w:tcW w:w="520" w:type="dxa"/>
            <w:vAlign w:val="bottom"/>
          </w:tcPr>
          <w:p>
            <w:pPr>
              <w:jc w:val="right"/>
              <w:ind w:right="34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r>
      <w:tr>
        <w:trPr>
          <w:trHeight w:val="209"/>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Unamortized discount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(5,701)</w:t>
            </w:r>
          </w:p>
        </w:tc>
      </w:tr>
      <w:tr>
        <w:trPr>
          <w:trHeight w:val="203"/>
        </w:trPr>
        <w:tc>
          <w:tcPr>
            <w:tcW w:w="5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Unamortized issuance costs</w:t>
            </w: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(1,286)</w:t>
            </w:r>
          </w:p>
        </w:tc>
      </w:tr>
      <w:tr>
        <w:trPr>
          <w:trHeight w:val="202"/>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Net carrying amount</w:t>
            </w: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493,649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493,013</w:t>
            </w:r>
          </w:p>
        </w:tc>
      </w:tr>
      <w:tr>
        <w:trPr>
          <w:trHeight w:val="185"/>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2031 Senior Notes</w:t>
            </w: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7"/>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Principal</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r>
      <w:tr>
        <w:trPr>
          <w:trHeight w:val="203"/>
        </w:trPr>
        <w:tc>
          <w:tcPr>
            <w:tcW w:w="50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Unamortized discount</w:t>
            </w: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(5,832)</w:t>
            </w:r>
          </w:p>
        </w:tc>
      </w:tr>
      <w:tr>
        <w:trPr>
          <w:trHeight w:val="209"/>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Unamortized issuance costs</w:t>
            </w: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w:t>
            </w:r>
          </w:p>
        </w:tc>
      </w:tr>
      <w:tr>
        <w:trPr>
          <w:trHeight w:val="196"/>
        </w:trPr>
        <w:tc>
          <w:tcPr>
            <w:tcW w:w="5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5"/>
                <w:szCs w:val="15"/>
                <w:color w:val="auto"/>
              </w:rPr>
              <w:t>Net carrying amount</w:t>
            </w: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493,336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492,894</w:t>
            </w:r>
          </w:p>
        </w:tc>
      </w:tr>
      <w:tr>
        <w:trPr>
          <w:trHeight w:val="227"/>
        </w:trPr>
        <w:tc>
          <w:tcPr>
            <w:tcW w:w="50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Total long-term debt, net</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986,985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985,907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September 30, 2022, the Company was in compliance with all of its financial covenants under the Indenture.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Revenue by Geographic Area</w:t>
      </w:r>
    </w:p>
    <w:p>
      <w:pPr>
        <w:spacing w:after="0" w:line="221" w:lineRule="exact"/>
        <w:rPr>
          <w:sz w:val="20"/>
          <w:szCs w:val="20"/>
          <w:color w:val="auto"/>
        </w:rPr>
      </w:pPr>
    </w:p>
    <w:p>
      <w:pPr>
        <w:ind w:right="660" w:firstLine="464"/>
        <w:spacing w:after="0" w:line="287" w:lineRule="auto"/>
        <w:rPr>
          <w:sz w:val="20"/>
          <w:szCs w:val="20"/>
          <w:color w:val="auto"/>
        </w:rPr>
      </w:pPr>
      <w:r>
        <w:rPr>
          <w:rFonts w:ascii="Times New Roman" w:cs="Times New Roman" w:eastAsia="Times New Roman" w:hAnsi="Times New Roman"/>
          <w:sz w:val="17"/>
          <w:szCs w:val="17"/>
          <w:color w:val="auto"/>
        </w:rPr>
        <w:t>Revenue by geographic area is based on the IP address or the mailing address at the time of registration. The following table sets forth revenue by geographic area:</w:t>
      </w:r>
    </w:p>
    <w:p>
      <w:pPr>
        <w:spacing w:after="0" w:line="16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r>
      <w:tr>
        <w:trPr>
          <w:trHeight w:val="192"/>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by geographic area:</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United States</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650,531</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center"/>
              <w:ind w:left="85"/>
              <w:spacing w:after="0"/>
              <w:rPr>
                <w:sz w:val="20"/>
                <w:szCs w:val="20"/>
                <w:color w:val="auto"/>
              </w:rPr>
            </w:pPr>
            <w:r>
              <w:rPr>
                <w:rFonts w:ascii="Times New Roman" w:cs="Times New Roman" w:eastAsia="Times New Roman" w:hAnsi="Times New Roman"/>
                <w:sz w:val="15"/>
                <w:szCs w:val="15"/>
                <w:color w:val="auto"/>
              </w:rPr>
              <w:t>497,993</w:t>
            </w:r>
          </w:p>
        </w:tc>
        <w:tc>
          <w:tcPr>
            <w:tcW w:w="100" w:type="dxa"/>
            <w:vAlign w:val="bottom"/>
          </w:tcPr>
          <w:p>
            <w:pPr>
              <w:spacing w:after="0"/>
              <w:rPr>
                <w:sz w:val="17"/>
                <w:szCs w:val="17"/>
                <w:color w:val="auto"/>
              </w:rPr>
            </w:pP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1,837,325</w:t>
            </w:r>
          </w:p>
        </w:tc>
        <w:tc>
          <w:tcPr>
            <w:tcW w:w="120" w:type="dxa"/>
            <w:vAlign w:val="bottom"/>
          </w:tcPr>
          <w:p>
            <w:pPr>
              <w:spacing w:after="0"/>
              <w:rPr>
                <w:sz w:val="17"/>
                <w:szCs w:val="17"/>
                <w:color w:val="auto"/>
              </w:rPr>
            </w:pP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1,372,436</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International</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332,499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5"/>
              <w:spacing w:after="0"/>
              <w:rPr>
                <w:sz w:val="20"/>
                <w:szCs w:val="20"/>
                <w:color w:val="auto"/>
              </w:rPr>
            </w:pPr>
            <w:r>
              <w:rPr>
                <w:rFonts w:ascii="Times New Roman" w:cs="Times New Roman" w:eastAsia="Times New Roman" w:hAnsi="Times New Roman"/>
                <w:sz w:val="15"/>
                <w:szCs w:val="15"/>
                <w:color w:val="auto"/>
              </w:rPr>
              <w:t>242,183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964,422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626,659</w:t>
            </w:r>
          </w:p>
        </w:tc>
        <w:tc>
          <w:tcPr>
            <w:tcW w:w="20" w:type="dxa"/>
            <w:vAlign w:val="bottom"/>
            <w:tcBorders>
              <w:bottom w:val="single" w:sz="8" w:color="auto"/>
            </w:tcBorders>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1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983,030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center"/>
              <w:ind w:left="85"/>
              <w:spacing w:after="0"/>
              <w:rPr>
                <w:sz w:val="20"/>
                <w:szCs w:val="20"/>
                <w:color w:val="auto"/>
              </w:rPr>
            </w:pPr>
            <w:r>
              <w:rPr>
                <w:rFonts w:ascii="Times New Roman" w:cs="Times New Roman" w:eastAsia="Times New Roman" w:hAnsi="Times New Roman"/>
                <w:sz w:val="15"/>
                <w:szCs w:val="15"/>
                <w:color w:val="auto"/>
              </w:rPr>
              <w:t>740,176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2,801,747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1,999,095</w:t>
            </w:r>
          </w:p>
        </w:tc>
        <w:tc>
          <w:tcPr>
            <w:tcW w:w="20" w:type="dxa"/>
            <w:vAlign w:val="bottom"/>
            <w:tcBorders>
              <w:bottom w:val="single" w:sz="8" w:color="auto"/>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6"/>
        </w:trPr>
        <w:tc>
          <w:tcPr>
            <w:tcW w:w="20" w:type="dxa"/>
            <w:vAlign w:val="bottom"/>
          </w:tcPr>
          <w:p>
            <w:pPr>
              <w:spacing w:after="0"/>
              <w:rPr>
                <w:sz w:val="17"/>
                <w:szCs w:val="17"/>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Percentage of revenue by geographic area:</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United States</w:t>
            </w:r>
          </w:p>
        </w:tc>
        <w:tc>
          <w:tcPr>
            <w:tcW w:w="280" w:type="dxa"/>
            <w:vAlign w:val="bottom"/>
          </w:tcPr>
          <w:p>
            <w:pPr>
              <w:spacing w:after="0"/>
              <w:rPr>
                <w:sz w:val="17"/>
                <w:szCs w:val="17"/>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66 %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center"/>
              <w:ind w:left="65"/>
              <w:spacing w:after="0"/>
              <w:rPr>
                <w:sz w:val="20"/>
                <w:szCs w:val="20"/>
                <w:color w:val="auto"/>
              </w:rPr>
            </w:pPr>
            <w:r>
              <w:rPr>
                <w:rFonts w:ascii="Times New Roman" w:cs="Times New Roman" w:eastAsia="Times New Roman" w:hAnsi="Times New Roman"/>
                <w:sz w:val="15"/>
                <w:szCs w:val="15"/>
                <w:color w:val="auto"/>
              </w:rPr>
              <w:t>67 %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66 %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International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34 %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5"/>
              <w:spacing w:after="0"/>
              <w:rPr>
                <w:sz w:val="20"/>
                <w:szCs w:val="20"/>
                <w:color w:val="auto"/>
              </w:rPr>
            </w:pPr>
            <w:r>
              <w:rPr>
                <w:rFonts w:ascii="Times New Roman" w:cs="Times New Roman" w:eastAsia="Times New Roman" w:hAnsi="Times New Roman"/>
                <w:sz w:val="15"/>
                <w:szCs w:val="15"/>
                <w:color w:val="auto"/>
              </w:rPr>
              <w:t>33 %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34 %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20" w:type="dxa"/>
            <w:vAlign w:val="bottom"/>
          </w:tcPr>
          <w:p>
            <w:pPr>
              <w:spacing w:after="0"/>
              <w:rPr>
                <w:sz w:val="18"/>
                <w:szCs w:val="18"/>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2022 and December 31, 2021, long-lived assets outside of the United States were $56.0 million and $41.0 million,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Commitments and Contingencies</w:t>
      </w:r>
    </w:p>
    <w:p>
      <w:pPr>
        <w:spacing w:after="0" w:line="241" w:lineRule="exact"/>
        <w:rPr>
          <w:sz w:val="20"/>
          <w:szCs w:val="20"/>
          <w:color w:val="auto"/>
        </w:rPr>
      </w:pPr>
    </w:p>
    <w:p>
      <w:pPr>
        <w:ind w:left="1240" w:hanging="773"/>
        <w:spacing w:after="0"/>
        <w:tabs>
          <w:tab w:leader="none" w:pos="1240" w:val="left"/>
        </w:tabs>
        <w:numPr>
          <w:ilvl w:val="0"/>
          <w:numId w:val="1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Lease and Other Commitments</w:t>
      </w:r>
    </w:p>
    <w:p>
      <w:pPr>
        <w:spacing w:after="0" w:line="223" w:lineRule="exact"/>
        <w:rPr>
          <w:sz w:val="20"/>
          <w:szCs w:val="20"/>
          <w:color w:val="auto"/>
        </w:rPr>
      </w:pPr>
    </w:p>
    <w:p>
      <w:pPr>
        <w:ind w:right="420" w:firstLine="464"/>
        <w:spacing w:after="0" w:line="287" w:lineRule="auto"/>
        <w:rPr>
          <w:sz w:val="20"/>
          <w:szCs w:val="20"/>
          <w:color w:val="auto"/>
        </w:rPr>
      </w:pPr>
      <w:r>
        <w:rPr>
          <w:rFonts w:ascii="Times New Roman" w:cs="Times New Roman" w:eastAsia="Times New Roman" w:hAnsi="Times New Roman"/>
          <w:sz w:val="17"/>
          <w:szCs w:val="17"/>
          <w:color w:val="auto"/>
        </w:rPr>
        <w:t>The Company has entered into various non-cancelable operating lease agreements for its facilities. In the nine months ended September 30, 2022, the Company did not enter into any significant new lease agreements.</w:t>
      </w:r>
    </w:p>
    <w:p>
      <w:pPr>
        <w:spacing w:after="0" w:line="151"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The Company has non-cancelable contractual commitments with its cloud infrastructure provider, network service providers and other vendors. In the three and nine months ended September 30, 2022, the Company entered into several such agreements with terms up to four years for a total purchase commitment of $127.1 million and $181.5 million, respectively.</w:t>
      </w: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40" w:hanging="773"/>
        <w:spacing w:after="0"/>
        <w:tabs>
          <w:tab w:leader="none" w:pos="1240" w:val="left"/>
        </w:tabs>
        <w:numPr>
          <w:ilvl w:val="0"/>
          <w:numId w:val="1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Legal Matters</w:t>
      </w:r>
    </w:p>
    <w:p>
      <w:pPr>
        <w:spacing w:after="0" w:line="223" w:lineRule="exact"/>
        <w:rPr>
          <w:sz w:val="20"/>
          <w:szCs w:val="20"/>
          <w:color w:val="auto"/>
        </w:rPr>
      </w:pPr>
    </w:p>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The City and County of San Francisco (“San Francisco”) has assessed the Company for additional Telephone Users Tax (“TUT”) and Access Line Tax (“ALT”) on certain of the Company’s services for the years 2009 through 2018. The assessments totaled $38.8 million, including interest and penalties. The Company paid the assessments under protest in the third quarter of 2020.</w:t>
      </w:r>
    </w:p>
    <w:p>
      <w:pPr>
        <w:spacing w:after="0" w:line="165"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On May 27, 2021, the Company filed a lawsuit against San Francisco in San Francisco Superior Court challenging the assessments. The Company raised numerous defenses to the assessments including that its services are not telecommunications services, application of the taxes to the Company’s services violates the Internet Tax Freedom Act and San Francisco does not have jurisdiction to impose tax on services provided outside of San Francisco. The Company is seeking refunds of the taxes paid, waivers of interest and penalties, cost of suit and reasonable attorneys’ fees, and other legal and equitable relief as the court deems appropriate. A trial date has been set for March 6, 2023.</w:t>
      </w:r>
    </w:p>
    <w:p>
      <w:pPr>
        <w:spacing w:after="0" w:line="175"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Company believes it has strong arguments against the assessments, but litigation is uncertain and there is no assurance that it will prevail in court. Should the Company lose on one or more of its arguments, it could incur additional losses associated with taxes, interest, and penalties that together, in aggregate, could be material. The Company regularly assesses the likelihood of adverse outcomes resulting from tax disputes such as this and examines all open years to determine the necessity and adequacy of any tax reserves. The Company’s tax reserves are further discussed in Note 13(d) of these condensed consolidated financial statements.</w:t>
      </w:r>
    </w:p>
    <w:p>
      <w:pPr>
        <w:spacing w:after="0" w:line="175" w:lineRule="exact"/>
        <w:rPr>
          <w:sz w:val="20"/>
          <w:szCs w:val="20"/>
          <w:color w:val="auto"/>
        </w:rPr>
      </w:pPr>
    </w:p>
    <w:p>
      <w:pPr>
        <w:ind w:right="40" w:firstLine="619"/>
        <w:spacing w:after="0" w:line="209" w:lineRule="exact"/>
        <w:rPr>
          <w:sz w:val="20"/>
          <w:szCs w:val="20"/>
          <w:color w:val="auto"/>
        </w:rPr>
      </w:pPr>
      <w:r>
        <w:rPr>
          <w:rFonts w:ascii="Times New Roman" w:cs="Times New Roman" w:eastAsia="Times New Roman" w:hAnsi="Times New Roman"/>
          <w:sz w:val="17"/>
          <w:szCs w:val="17"/>
          <w:color w:val="auto"/>
        </w:rPr>
        <w:t>In addition to the litigation discussed above, 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93" w:lineRule="exact"/>
        <w:rPr>
          <w:sz w:val="20"/>
          <w:szCs w:val="20"/>
          <w:color w:val="auto"/>
        </w:rPr>
      </w:pPr>
    </w:p>
    <w:p>
      <w:pPr>
        <w:ind w:right="560" w:firstLine="619"/>
        <w:spacing w:after="0" w:line="287" w:lineRule="auto"/>
        <w:rPr>
          <w:sz w:val="20"/>
          <w:szCs w:val="20"/>
          <w:color w:val="auto"/>
        </w:rPr>
      </w:pPr>
      <w:r>
        <w:rPr>
          <w:rFonts w:ascii="Times New Roman" w:cs="Times New Roman" w:eastAsia="Times New Roman" w:hAnsi="Times New Roman"/>
          <w:sz w:val="17"/>
          <w:szCs w:val="17"/>
          <w:color w:val="auto"/>
        </w:rPr>
        <w:t>Legal fees and other costs related to litigation and other legal proceedings are expensed as incurred and are included in general and administrative expenses in the accompanying condensed consolidated statements of operations.</w:t>
      </w:r>
    </w:p>
    <w:p>
      <w:pPr>
        <w:spacing w:after="0" w:line="145" w:lineRule="exact"/>
        <w:rPr>
          <w:sz w:val="20"/>
          <w:szCs w:val="20"/>
          <w:color w:val="auto"/>
        </w:rPr>
      </w:pPr>
    </w:p>
    <w:p>
      <w:pPr>
        <w:ind w:left="1240" w:hanging="773"/>
        <w:spacing w:after="0"/>
        <w:tabs>
          <w:tab w:leader="none" w:pos="1240" w:val="left"/>
        </w:tabs>
        <w:numPr>
          <w:ilvl w:val="0"/>
          <w:numId w:val="2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Indemnification Agreements</w:t>
      </w:r>
    </w:p>
    <w:p>
      <w:pPr>
        <w:spacing w:after="0" w:line="223"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signed indemnification agreements with all of its board members and executive officers. The agreements indemnify the board members and executive officers from claims and expenses on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7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and in connection with our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2022 and December 31, 2021, no amounts were accrued related to any outstanding indemnification agreements.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40" w:hanging="773"/>
        <w:spacing w:after="0"/>
        <w:tabs>
          <w:tab w:leader="none" w:pos="1240"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Other Taxes</w:t>
      </w:r>
    </w:p>
    <w:p>
      <w:pPr>
        <w:spacing w:after="0" w:line="223"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could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spacing w:after="0" w:line="175"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For example, as described in Note 13(b), the Company is currently involved in legal proceedings with the City and County of San Francisco challenging their assessment of the Company’s estimated tax liability for a specific period. The $38.8 million assessment of taxes, including interest and penalties, that the Company paid as required in 2020, net of the $11.5 million reserve the Company had accrued for the same period, was recorded as a deposit in other assets in the accompanying condensed consolidated balance sheets.</w:t>
      </w:r>
    </w:p>
    <w:p>
      <w:pPr>
        <w:spacing w:after="0" w:line="173"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2022, the liabilities recorded for the non-income-based taxes were $27.7 million for domestic jurisdictions and $21.6 million for jurisdictions outside of the United States. As of December 31, 2021, these liabilities were $25.4 million and $17.7 million, respectively.</w:t>
      </w:r>
    </w:p>
    <w:p>
      <w:pPr>
        <w:spacing w:after="0" w:line="147" w:lineRule="exact"/>
        <w:rPr>
          <w:sz w:val="20"/>
          <w:szCs w:val="20"/>
          <w:color w:val="auto"/>
        </w:rPr>
      </w:pPr>
    </w:p>
    <w:p>
      <w:pPr>
        <w:jc w:val="center"/>
        <w:ind w:left="460" w:right="9420" w:hanging="457"/>
        <w:spacing w:after="0" w:line="508" w:lineRule="auto"/>
        <w:tabs>
          <w:tab w:leader="none" w:pos="254"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Preferred Stock</w:t>
      </w:r>
    </w:p>
    <w:p>
      <w:pPr>
        <w:spacing w:after="0" w:line="2" w:lineRule="exact"/>
        <w:rPr>
          <w:sz w:val="20"/>
          <w:szCs w:val="20"/>
          <w:color w:val="auto"/>
        </w:rPr>
      </w:pPr>
    </w:p>
    <w:p>
      <w:pPr>
        <w:ind w:right="380" w:firstLine="464"/>
        <w:spacing w:after="0" w:line="287" w:lineRule="auto"/>
        <w:rPr>
          <w:sz w:val="20"/>
          <w:szCs w:val="20"/>
          <w:color w:val="auto"/>
        </w:rPr>
      </w:pPr>
      <w:r>
        <w:rPr>
          <w:rFonts w:ascii="Times New Roman" w:cs="Times New Roman" w:eastAsia="Times New Roman" w:hAnsi="Times New Roman"/>
          <w:sz w:val="17"/>
          <w:szCs w:val="17"/>
          <w:color w:val="auto"/>
        </w:rPr>
        <w:t>As of September 30, 2022, and December 31, 2021, the Company had authorized 100,000,000 shares of preferred stock, par value $0.001, of which no shares were issued and outstanding.</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23"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As of September 30, 2022, and December 31, 2021, the Company had authorized 1,000,000,000 shares of Class A common stock and 100,000,000 shares of Class B common stock, each par value of $0.001 per share. As of September 30, 2022, 174,482,722 shares of Class A common stock and 9,817,605 shares of Class B common stock were issued and outstanding. As of December 31, 2021, 170,625,994 shares of Class A common stock and 9,842,105 shares of Class B common stock were issued and outstanding.</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had reserved shares of common stock for issuance as follows:</w:t>
      </w:r>
    </w:p>
    <w:p>
      <w:pPr>
        <w:spacing w:after="0" w:line="248" w:lineRule="exact"/>
        <w:rPr>
          <w:sz w:val="20"/>
          <w:szCs w:val="20"/>
          <w:color w:val="auto"/>
        </w:rPr>
      </w:pPr>
    </w:p>
    <w:tbl>
      <w:tblPr>
        <w:tblLayout w:type="fixed"/>
        <w:tblInd w:w="122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2"/>
        </w:trPr>
        <w:tc>
          <w:tcPr>
            <w:tcW w:w="59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issued and outstanding</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2,488,072</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3,351,313</w:t>
            </w:r>
          </w:p>
        </w:tc>
      </w:tr>
      <w:tr>
        <w:trPr>
          <w:trHeight w:val="203"/>
        </w:trPr>
        <w:tc>
          <w:tcPr>
            <w:tcW w:w="5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Unvested restricted stock units issued and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14,970,869</w:t>
            </w:r>
          </w:p>
        </w:tc>
        <w:tc>
          <w:tcPr>
            <w:tcW w:w="12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6,475,700</w:t>
            </w:r>
          </w:p>
        </w:tc>
      </w:tr>
      <w:tr>
        <w:trPr>
          <w:trHeight w:val="20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Class A common stock reserved for Twilio.org</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552,551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618,857</w:t>
            </w:r>
          </w:p>
        </w:tc>
      </w:tr>
      <w:tr>
        <w:trPr>
          <w:trHeight w:val="203"/>
        </w:trPr>
        <w:tc>
          <w:tcPr>
            <w:tcW w:w="5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awards available for grant under 2016 Plan</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20,483,275</w:t>
            </w:r>
          </w:p>
        </w:tc>
        <w:tc>
          <w:tcPr>
            <w:tcW w:w="12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24,650,104</w:t>
            </w:r>
          </w:p>
        </w:tc>
      </w:tr>
      <w:tr>
        <w:trPr>
          <w:trHeight w:val="20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awards available for grant under ESPP</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7,924,609</w:t>
            </w: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6,382,830</w:t>
            </w:r>
          </w:p>
        </w:tc>
      </w:tr>
      <w:tr>
        <w:trPr>
          <w:trHeight w:val="196"/>
        </w:trPr>
        <w:tc>
          <w:tcPr>
            <w:tcW w:w="5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46,419,376</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41,478,804</w:t>
            </w:r>
          </w:p>
        </w:tc>
      </w:tr>
      <w:tr>
        <w:trPr>
          <w:trHeight w:val="21"/>
        </w:trPr>
        <w:tc>
          <w:tcPr>
            <w:tcW w:w="59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Stock-Based Compensation</w:t>
      </w:r>
    </w:p>
    <w:p>
      <w:pPr>
        <w:spacing w:after="0" w:line="221"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The Company’s 2016 Stock Option and Incentive Plan (the “2016 Plan”) provides for granting stock options, restricted stock units (“RSU”), restricted stock awards (“RSA”),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w:t>
      </w:r>
    </w:p>
    <w:p>
      <w:pPr>
        <w:spacing w:after="0" w:line="171" w:lineRule="exact"/>
        <w:rPr>
          <w:sz w:val="20"/>
          <w:szCs w:val="20"/>
          <w:color w:val="auto"/>
        </w:rPr>
      </w:pPr>
    </w:p>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The Company also offers an Employee Stock Purchase Plan (“ESPP”) to eligible employees. The ESPP provides for separate six-month offering periods beginning in May and November of each year.</w:t>
      </w:r>
    </w:p>
    <w:p>
      <w:pPr>
        <w:spacing w:after="0" w:line="151"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7"/>
          <w:szCs w:val="17"/>
          <w:color w:val="auto"/>
        </w:rPr>
        <w:t>In March 2022, the Company granted 919,289 shares of performance-based restricted stock unit awards to its executive employees with a grant date fair value per share of $157.44 and an aggregate grant date fair value of $144.7 million. Each award consists of three tranches, with each vesting over a separate service period if its respective performance targets, as defined in the grant agreements, are achieved. The first tranche will vest if the revenue growth targets are achieved with respect to fiscal year 2022. The second and third tranches will vest if both (a) revenue growth targets and (b) profitability targets are achieved with respect to each of fiscal years 2023 and 2024. If performance targets are not achieved, the related tranche will be forfeited. Vesting of these performance-based restricted stock unit awards will range up to 100% above the target based on levels of performance and will be recorded in stock-based compensation expense in the fiscal year during which each tranche vests. The Company estimated the fair value of these awards based on the closing price of its Class A common stock on the date of grant.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September 30, 2022, total unrecognized compensation cost related to all outstanding equity awards excluding the awards impacted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Restructuring Plan described in Note 6 was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7"/>
              </w:rPr>
              <w:t>Unrecognized Compensation</w:t>
            </w: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Weighted-average</w:t>
            </w:r>
          </w:p>
        </w:tc>
      </w:tr>
      <w:tr>
        <w:trPr>
          <w:trHeight w:val="187"/>
        </w:trPr>
        <w:tc>
          <w:tcPr>
            <w:tcW w:w="5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remaining period</w:t>
            </w:r>
          </w:p>
        </w:tc>
      </w:tr>
      <w:tr>
        <w:trPr>
          <w:trHeight w:val="184"/>
        </w:trPr>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ind w:right="46"/>
              <w:spacing w:after="0"/>
              <w:rPr>
                <w:sz w:val="20"/>
                <w:szCs w:val="20"/>
                <w:color w:val="auto"/>
              </w:rPr>
            </w:pPr>
            <w:r>
              <w:rPr>
                <w:rFonts w:ascii="Times New Roman" w:cs="Times New Roman" w:eastAsia="Times New Roman" w:hAnsi="Times New Roman"/>
                <w:sz w:val="14"/>
                <w:szCs w:val="14"/>
                <w:color w:val="auto"/>
                <w:w w:val="99"/>
              </w:rPr>
              <w:t>(In thousands)</w:t>
            </w:r>
          </w:p>
        </w:tc>
        <w:tc>
          <w:tcPr>
            <w:tcW w:w="1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 years)</w:t>
            </w: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Unvested stock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62,340</w:t>
            </w:r>
          </w:p>
        </w:tc>
        <w:tc>
          <w:tcPr>
            <w:tcW w:w="172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w w:val="95"/>
              </w:rPr>
              <w:t>2.1</w:t>
            </w: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Unvested restricted stock units and awards</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2,000,933</w:t>
            </w:r>
          </w:p>
        </w:tc>
        <w:tc>
          <w:tcPr>
            <w:tcW w:w="1720" w:type="dxa"/>
            <w:vAlign w:val="bottom"/>
            <w:gridSpan w:val="2"/>
          </w:tcPr>
          <w:p>
            <w:pPr>
              <w:jc w:val="center"/>
              <w:ind w:left="23"/>
              <w:spacing w:after="0"/>
              <w:rPr>
                <w:sz w:val="20"/>
                <w:szCs w:val="20"/>
                <w:color w:val="auto"/>
              </w:rPr>
            </w:pPr>
            <w:r>
              <w:rPr>
                <w:rFonts w:ascii="Times New Roman" w:cs="Times New Roman" w:eastAsia="Times New Roman" w:hAnsi="Times New Roman"/>
                <w:sz w:val="15"/>
                <w:szCs w:val="15"/>
                <w:color w:val="auto"/>
                <w:w w:val="95"/>
              </w:rPr>
              <w:t>3.1</w:t>
            </w: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ESPP</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1,469</w:t>
            </w:r>
          </w:p>
        </w:tc>
        <w:tc>
          <w:tcPr>
            <w:tcW w:w="172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w w:val="95"/>
              </w:rPr>
              <w:t>0.1</w:t>
            </w:r>
          </w:p>
        </w:tc>
      </w:tr>
      <w:tr>
        <w:trPr>
          <w:trHeight w:val="20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Class A shares in escrow subject to future vesting</w:t>
            </w: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13,298</w:t>
            </w:r>
          </w:p>
        </w:tc>
        <w:tc>
          <w:tcPr>
            <w:tcW w:w="1720" w:type="dxa"/>
            <w:vAlign w:val="bottom"/>
            <w:tcBorders>
              <w:bottom w:val="single" w:sz="8" w:color="CCEEFF"/>
            </w:tcBorders>
            <w:gridSpan w:val="2"/>
          </w:tcPr>
          <w:p>
            <w:pPr>
              <w:jc w:val="center"/>
              <w:ind w:left="23"/>
              <w:spacing w:after="0"/>
              <w:rPr>
                <w:sz w:val="20"/>
                <w:szCs w:val="20"/>
                <w:color w:val="auto"/>
              </w:rPr>
            </w:pPr>
            <w:r>
              <w:rPr>
                <w:rFonts w:ascii="Times New Roman" w:cs="Times New Roman" w:eastAsia="Times New Roman" w:hAnsi="Times New Roman"/>
                <w:sz w:val="15"/>
                <w:szCs w:val="15"/>
                <w:color w:val="auto"/>
                <w:w w:val="95"/>
              </w:rPr>
              <w:t>1.8</w:t>
            </w:r>
          </w:p>
        </w:tc>
      </w:tr>
      <w:tr>
        <w:trPr>
          <w:trHeight w:val="227"/>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2,078,040</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recorded total stock-based compensation expense as follows:</w:t>
      </w:r>
    </w:p>
    <w:p>
      <w:pPr>
        <w:spacing w:after="0" w:line="227"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60" w:type="dxa"/>
            <w:vAlign w:val="bottom"/>
            <w:gridSpan w:val="4"/>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6"/>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6,114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14,631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9,461</w:t>
            </w:r>
          </w:p>
        </w:tc>
      </w:tr>
      <w:tr>
        <w:trPr>
          <w:trHeight w:val="203"/>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80" w:type="dxa"/>
            <w:vAlign w:val="bottom"/>
          </w:tcPr>
          <w:p>
            <w:pPr>
              <w:spacing w:after="0"/>
              <w:rPr>
                <w:sz w:val="17"/>
                <w:szCs w:val="17"/>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90,787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279,680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185,072</w:t>
            </w:r>
          </w:p>
        </w:tc>
      </w:tr>
      <w:tr>
        <w:trPr>
          <w:trHeight w:val="20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58,747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184,825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143,419</w:t>
            </w:r>
          </w:p>
        </w:tc>
      </w:tr>
      <w:tr>
        <w:trPr>
          <w:trHeight w:val="203"/>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80" w:type="dxa"/>
            <w:vAlign w:val="bottom"/>
          </w:tcPr>
          <w:p>
            <w:pPr>
              <w:spacing w:after="0"/>
              <w:rPr>
                <w:sz w:val="17"/>
                <w:szCs w:val="17"/>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37,973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37,238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111,850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107,414</w:t>
            </w:r>
          </w:p>
        </w:tc>
      </w:tr>
      <w:tr>
        <w:trPr>
          <w:trHeight w:val="20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Restructuring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15,274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15,274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208,895</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164,043</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606,260</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445,366</w:t>
            </w:r>
          </w:p>
        </w:tc>
      </w:tr>
      <w:tr>
        <w:trPr>
          <w:trHeight w:val="21"/>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Net Loss Per Share Attributable to Common Stockholders</w:t>
      </w:r>
    </w:p>
    <w:p>
      <w:pPr>
        <w:spacing w:after="0" w:line="221" w:lineRule="exact"/>
        <w:rPr>
          <w:sz w:val="20"/>
          <w:szCs w:val="20"/>
          <w:color w:val="auto"/>
        </w:rPr>
      </w:pPr>
    </w:p>
    <w:p>
      <w:pPr>
        <w:ind w:right="320" w:firstLine="464"/>
        <w:spacing w:after="0" w:line="287" w:lineRule="auto"/>
        <w:rPr>
          <w:sz w:val="20"/>
          <w:szCs w:val="20"/>
          <w:color w:val="auto"/>
        </w:rPr>
      </w:pPr>
      <w:r>
        <w:rPr>
          <w:rFonts w:ascii="Times New Roman" w:cs="Times New Roman" w:eastAsia="Times New Roman" w:hAnsi="Times New Roman"/>
          <w:sz w:val="17"/>
          <w:szCs w:val="17"/>
          <w:color w:val="auto"/>
        </w:rPr>
        <w:t>Basic and diluted net loss per common share is presented in conformity with the two-class method required for participating securities and is described in detail in the Company’s Annual Report.</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the calculation of basic and diluted net loss per share attributable to common stockholders during the periods presented:</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840" w:type="dxa"/>
            <w:vAlign w:val="bottom"/>
            <w:gridSpan w:val="4"/>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attributable to common stockholders (in thousands)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(482,327)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(224,109)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(1,026,723)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01"/>
        </w:trPr>
        <w:tc>
          <w:tcPr>
            <w:tcW w:w="5900" w:type="dxa"/>
            <w:vAlign w:val="bottom"/>
            <w:tcBorders>
              <w:top w:val="single" w:sz="8" w:color="CCEEFF"/>
            </w:tcBorders>
          </w:tcPr>
          <w:p>
            <w:pPr>
              <w:ind w:left="20"/>
              <w:spacing w:after="0" w:line="102" w:lineRule="exact"/>
              <w:rPr>
                <w:sz w:val="20"/>
                <w:szCs w:val="20"/>
                <w:color w:val="auto"/>
              </w:rPr>
            </w:pPr>
            <w:r>
              <w:rPr>
                <w:rFonts w:ascii="Times New Roman" w:cs="Times New Roman" w:eastAsia="Times New Roman" w:hAnsi="Times New Roman"/>
                <w:sz w:val="11"/>
                <w:szCs w:val="11"/>
                <w:color w:val="auto"/>
              </w:rPr>
              <w:t>Weighted-average shares used to compute net loss per share attributable to</w:t>
            </w:r>
          </w:p>
        </w:tc>
        <w:tc>
          <w:tcPr>
            <w:tcW w:w="26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183,692,564</w:t>
            </w:r>
          </w:p>
        </w:tc>
        <w:tc>
          <w:tcPr>
            <w:tcW w:w="120" w:type="dxa"/>
            <w:vAlign w:val="bottom"/>
            <w:tcBorders>
              <w:top w:val="single" w:sz="8" w:color="CCEEFF"/>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177,231,285</w:t>
            </w:r>
          </w:p>
        </w:tc>
        <w:tc>
          <w:tcPr>
            <w:tcW w:w="8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182,319,735</w:t>
            </w:r>
          </w:p>
        </w:tc>
        <w:tc>
          <w:tcPr>
            <w:tcW w:w="80" w:type="dxa"/>
            <w:vAlign w:val="bottom"/>
            <w:tcBorders>
              <w:top w:val="single" w:sz="8" w:color="CCEEFF"/>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94"/>
              </w:rPr>
              <w:t>172,6</w:t>
            </w:r>
          </w:p>
        </w:tc>
        <w:tc>
          <w:tcPr>
            <w:tcW w:w="0" w:type="dxa"/>
            <w:vAlign w:val="bottom"/>
          </w:tcPr>
          <w:p>
            <w:pPr>
              <w:spacing w:after="0"/>
              <w:rPr>
                <w:sz w:val="1"/>
                <w:szCs w:val="1"/>
                <w:color w:val="auto"/>
              </w:rPr>
            </w:pPr>
          </w:p>
        </w:tc>
      </w:tr>
      <w:tr>
        <w:trPr>
          <w:trHeight w:val="180"/>
        </w:trPr>
        <w:tc>
          <w:tcPr>
            <w:tcW w:w="59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common stockholders, basic and diluted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per share attributable to common stockholders, basic and diluted</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The following outstanding shares of common stock equivalents were excluded from the calculation of the diluted net loss per share attributable to common stockholders because their effect would have been anti-dilutive:</w:t>
      </w:r>
    </w:p>
    <w:p>
      <w:pPr>
        <w:spacing w:after="0" w:line="182" w:lineRule="exact"/>
        <w:rPr>
          <w:sz w:val="20"/>
          <w:szCs w:val="20"/>
          <w:color w:val="auto"/>
        </w:rPr>
      </w:pPr>
    </w:p>
    <w:tbl>
      <w:tblPr>
        <w:tblLayout w:type="fixed"/>
        <w:tblInd w:w="1480" w:type="dxa"/>
        <w:tblCellMar>
          <w:top w:w="0" w:type="dxa"/>
          <w:left w:w="0" w:type="dxa"/>
          <w:bottom w:w="0" w:type="dxa"/>
          <w:right w:w="0" w:type="dxa"/>
        </w:tblCellMar>
      </w:tblPr>
      <w:tr>
        <w:trPr>
          <w:trHeight w:val="182"/>
        </w:trPr>
        <w:tc>
          <w:tcPr>
            <w:tcW w:w="6420" w:type="dxa"/>
            <w:vAlign w:val="bottom"/>
          </w:tcPr>
          <w:p>
            <w:pPr>
              <w:spacing w:after="0"/>
              <w:rPr>
                <w:sz w:val="15"/>
                <w:szCs w:val="15"/>
                <w:color w:val="auto"/>
              </w:rPr>
            </w:pPr>
          </w:p>
        </w:tc>
        <w:tc>
          <w:tcPr>
            <w:tcW w:w="2500" w:type="dxa"/>
            <w:vAlign w:val="bottom"/>
            <w:gridSpan w:val="3"/>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22"/>
        </w:trPr>
        <w:tc>
          <w:tcPr>
            <w:tcW w:w="6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64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issued and outstanding</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2,488,072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4,510,986</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Unvested restricted stock units issued and outstanding</w:t>
            </w: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14,970,869</w:t>
            </w:r>
          </w:p>
        </w:tc>
        <w:tc>
          <w:tcPr>
            <w:tcW w:w="10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6,467,518</w:t>
            </w:r>
          </w:p>
        </w:tc>
      </w:tr>
      <w:tr>
        <w:trPr>
          <w:trHeight w:val="20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Class A common stock reserved for Twilio.org</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552,551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640,959</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Class A common stock committed under ESPP</w:t>
            </w: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191,558</w:t>
            </w:r>
          </w:p>
        </w:tc>
        <w:tc>
          <w:tcPr>
            <w:tcW w:w="10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107,815</w:t>
            </w:r>
          </w:p>
        </w:tc>
      </w:tr>
      <w:tr>
        <w:trPr>
          <w:trHeight w:val="20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Class A common stock in escrow</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31,503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75,612</w:t>
            </w:r>
          </w:p>
        </w:tc>
      </w:tr>
      <w:tr>
        <w:trPr>
          <w:trHeight w:val="20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Class A common stock in escrow and restricted stock awards subject to future vesting</w:t>
            </w:r>
          </w:p>
        </w:tc>
        <w:tc>
          <w:tcPr>
            <w:tcW w:w="12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56,237</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342,784</w:t>
            </w:r>
          </w:p>
        </w:tc>
      </w:tr>
      <w:tr>
        <w:trPr>
          <w:trHeight w:val="227"/>
        </w:trPr>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18,290,790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12,145,674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Income Taxes</w:t>
      </w:r>
    </w:p>
    <w:p>
      <w:pPr>
        <w:spacing w:after="0" w:line="221" w:lineRule="exact"/>
        <w:rPr>
          <w:sz w:val="20"/>
          <w:szCs w:val="20"/>
          <w:color w:val="auto"/>
        </w:rPr>
      </w:pPr>
    </w:p>
    <w:p>
      <w:pPr>
        <w:ind w:right="140" w:firstLine="464"/>
        <w:spacing w:after="0" w:line="260" w:lineRule="auto"/>
        <w:rPr>
          <w:sz w:val="20"/>
          <w:szCs w:val="20"/>
          <w:color w:val="auto"/>
        </w:rPr>
      </w:pPr>
      <w:r>
        <w:rPr>
          <w:rFonts w:ascii="Times New Roman" w:cs="Times New Roman" w:eastAsia="Times New Roman" w:hAnsi="Times New Roman"/>
          <w:sz w:val="17"/>
          <w:szCs w:val="17"/>
          <w:color w:val="auto"/>
        </w:rPr>
        <w:t>The Company computes its provision for income taxes for interim periods by applying an estimated annual effective tax rate to anticipated annual pretax income or loss. The estimated annual effective tax rate is applied to the Company’s year to date income or loss, and is adjusted for discrete items recorded in the period. The primary difference between the Company’s effective tax rate and the federal statutory rate is the full valuation allowance the Company has established on its federal, state and foreign net operating losses and credits. The Company recorded an income tax provision of $3.6 million and $3.3 million for the three and nine months ended September 30, 2022, respectively, and an income tax benefit of $14.8 million and $12.7 million for the three and nine months ended September 30, 2021.</w:t>
      </w:r>
    </w:p>
    <w:p>
      <w:pPr>
        <w:spacing w:after="0" w:line="173" w:lineRule="exact"/>
        <w:rPr>
          <w:sz w:val="20"/>
          <w:szCs w:val="20"/>
          <w:color w:val="auto"/>
        </w:rPr>
      </w:pPr>
    </w:p>
    <w:p>
      <w:pPr>
        <w:ind w:right="240" w:firstLine="464"/>
        <w:spacing w:after="0" w:line="261" w:lineRule="auto"/>
        <w:rPr>
          <w:sz w:val="20"/>
          <w:szCs w:val="20"/>
          <w:color w:val="auto"/>
        </w:rPr>
      </w:pPr>
      <w:r>
        <w:rPr>
          <w:rFonts w:ascii="Times New Roman" w:cs="Times New Roman" w:eastAsia="Times New Roman" w:hAnsi="Times New Roman"/>
          <w:sz w:val="17"/>
          <w:szCs w:val="17"/>
          <w:color w:val="auto"/>
        </w:rPr>
        <w:t>The provision for income taxes recorded in the three and nine months ended September 30, 2022 consists primarily of income taxes and withholding taxes in foreign jurisdictions in which the Company conducts business, partially offset by an income tax benefit from the reversal of U.S. deferred tax liabilities related to the acquired intangibles from business combinations. The benefit for income taxes recorded in the three and nine months ended September 30, 2021 consists primarily of an income tax benefit from the reversal of U.S. valuation allowance related to acquired intangibles from business combinations, partially offset with income taxes and withholding taxes in foreign jurisdictions in which the Company conducts business.</w:t>
      </w:r>
    </w:p>
    <w:p>
      <w:pPr>
        <w:spacing w:after="0" w:line="175"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The Company is subject to taxation in the U.S. and various other state and foreign jurisdictions. Because the Company has net operating loss carryforwards for U.S. federal and state jurisdictions, the statute of limitations is open for all tax years.</w:t>
      </w:r>
    </w:p>
    <w:p>
      <w:pPr>
        <w:spacing w:after="0" w:line="151"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A provision enacted as part of the 2017 Tax Cuts &amp; Jobs Act requires companies to capitalize research and experimental expenditures for tax purposes in tax years beginning after December 31, 2021. The Company is currently assessing the impact of the provision, however a material impact to tax expense and cash taxes is not expected due to available net operating losses and tax credits.</w:t>
      </w: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The Inflation Reduction Act and CHIPS and Science Act were signed into law in August 2022. The Inflation Reduction Act introduced new provisions, including a 15 percent corporate alternative minimum tax for certain large corporations that have at least an average of $1 billion adjusted financial statement income over a consecutive three-tax-year period. The corporate minimum tax will be effective for tax years beginning after December 31, 2022. A material impact to tax expense and cash taxes is not expected.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19" w:lineRule="exact"/>
        <w:rPr>
          <w:sz w:val="20"/>
          <w:szCs w:val="20"/>
          <w:color w:val="auto"/>
        </w:rPr>
      </w:pPr>
    </w:p>
    <w:p>
      <w:pPr>
        <w:ind w:right="80" w:firstLine="464"/>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17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Today's leading companies trust Twilio's Customer Engagement Platform (CEP) to build direct, personalized relationships with their customers everywhere in the world. Twilio enables companies to use communications and data to add intelligence and security to every step of the customer journey, from sales to marketing to growth, customer service and many more engagement use cases in a flexible, programmatic way. For more information about Twilio refer to Part I, Item 1, “Business,” of our Annual Report on Form 10-K filed with the SEC on February 22, 2022 (“Annual Report”).</w:t>
      </w:r>
    </w:p>
    <w:p>
      <w:pPr>
        <w:spacing w:after="0" w:line="17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have achieved significant growth in recent periods. In the three months ended September 30, 2022 and 2021, our revenue was $983.0 million and $740.2 million, respectively, and our net loss was $482.3 million and $224.1 million, respectively. In the three months ended September 30, 2022 and 2021, our 10 largest Active Customer Accounts generated an aggregate of 13% and 11% of our total revenue, respectively.</w:t>
      </w:r>
    </w:p>
    <w:p>
      <w:pPr>
        <w:spacing w:after="0" w:line="16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252" w:lineRule="exact"/>
        <w:rPr>
          <w:sz w:val="20"/>
          <w:szCs w:val="20"/>
          <w:color w:val="auto"/>
        </w:rPr>
      </w:pPr>
    </w:p>
    <w:tbl>
      <w:tblPr>
        <w:tblLayout w:type="fixed"/>
        <w:tblInd w:w="1220" w:type="dxa"/>
        <w:tblCellMar>
          <w:top w:w="0" w:type="dxa"/>
          <w:left w:w="0" w:type="dxa"/>
          <w:bottom w:w="0" w:type="dxa"/>
          <w:right w:w="0" w:type="dxa"/>
        </w:tblCellMar>
      </w:tblPr>
      <w:tr>
        <w:trPr>
          <w:trHeight w:val="182"/>
        </w:trPr>
        <w:tc>
          <w:tcPr>
            <w:tcW w:w="6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3"/>
          </w:tcPr>
          <w:p>
            <w:pPr>
              <w:jc w:val="center"/>
              <w:ind w:left="506"/>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940" w:type="dxa"/>
            <w:vAlign w:val="bottom"/>
          </w:tcPr>
          <w:p>
            <w:pPr>
              <w:spacing w:after="0"/>
              <w:rPr>
                <w:sz w:val="15"/>
                <w:szCs w:val="15"/>
                <w:color w:val="auto"/>
              </w:rPr>
            </w:pPr>
          </w:p>
        </w:tc>
      </w:tr>
      <w:tr>
        <w:trPr>
          <w:trHeight w:val="193"/>
        </w:trPr>
        <w:tc>
          <w:tcPr>
            <w:tcW w:w="6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3"/>
          </w:tcPr>
          <w:p>
            <w:pPr>
              <w:jc w:val="center"/>
              <w:ind w:left="506"/>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40" w:type="dxa"/>
            <w:vAlign w:val="bottom"/>
          </w:tcPr>
          <w:p>
            <w:pPr>
              <w:spacing w:after="0"/>
              <w:rPr>
                <w:sz w:val="16"/>
                <w:szCs w:val="16"/>
                <w:color w:val="auto"/>
              </w:rPr>
            </w:pPr>
          </w:p>
        </w:tc>
      </w:tr>
      <w:tr>
        <w:trPr>
          <w:trHeight w:val="22"/>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1"/>
        </w:trPr>
        <w:tc>
          <w:tcPr>
            <w:tcW w:w="6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5"/>
        </w:trPr>
        <w:tc>
          <w:tcPr>
            <w:tcW w:w="61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 xml:space="preserve">Number of Active Customer Accounts (as of end date of period) </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280,000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250,000</w:t>
            </w:r>
          </w:p>
        </w:tc>
      </w:tr>
      <w:tr>
        <w:trPr>
          <w:trHeight w:val="206"/>
        </w:trPr>
        <w:tc>
          <w:tcPr>
            <w:tcW w:w="616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 xml:space="preserve">Total Revenue (in thousands) </w:t>
            </w:r>
            <w:r>
              <w:rPr>
                <w:rFonts w:ascii="Times New Roman" w:cs="Times New Roman" w:eastAsia="Times New Roman" w:hAnsi="Times New Roman"/>
                <w:sz w:val="20"/>
                <w:szCs w:val="20"/>
                <w:color w:val="auto"/>
                <w:vertAlign w:val="superscript"/>
              </w:rPr>
              <w:t>(2)</w:t>
            </w: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983,030</w:t>
            </w:r>
          </w:p>
        </w:tc>
        <w:tc>
          <w:tcPr>
            <w:tcW w:w="10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740,176</w:t>
            </w:r>
          </w:p>
        </w:tc>
      </w:tr>
      <w:tr>
        <w:trPr>
          <w:trHeight w:val="206"/>
        </w:trPr>
        <w:tc>
          <w:tcPr>
            <w:tcW w:w="616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i w:val="1"/>
                <w:iCs w:val="1"/>
                <w:color w:val="auto"/>
              </w:rPr>
              <w:t xml:space="preserve">Total Revenue Growth Rate </w:t>
            </w:r>
            <w:r>
              <w:rPr>
                <w:rFonts w:ascii="Times New Roman" w:cs="Times New Roman" w:eastAsia="Times New Roman" w:hAnsi="Times New Roman"/>
                <w:sz w:val="20"/>
                <w:szCs w:val="20"/>
                <w:i w:val="1"/>
                <w:iCs w:val="1"/>
                <w:color w:val="auto"/>
                <w:vertAlign w:val="superscript"/>
              </w:rPr>
              <w:t>(2)</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65 %</w:t>
            </w:r>
          </w:p>
        </w:tc>
      </w:tr>
      <w:tr>
        <w:trPr>
          <w:trHeight w:val="208"/>
        </w:trPr>
        <w:tc>
          <w:tcPr>
            <w:tcW w:w="616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 xml:space="preserve">Dollar-Based Net Expansion Rate </w:t>
            </w:r>
            <w:r>
              <w:rPr>
                <w:rFonts w:ascii="Times New Roman" w:cs="Times New Roman" w:eastAsia="Times New Roman" w:hAnsi="Times New Roman"/>
                <w:sz w:val="20"/>
                <w:szCs w:val="20"/>
                <w:color w:val="auto"/>
                <w:vertAlign w:val="superscript"/>
              </w:rPr>
              <w:t>(3)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131 %</w:t>
            </w:r>
          </w:p>
        </w:tc>
      </w:tr>
      <w:tr>
        <w:trPr>
          <w:trHeight w:val="132"/>
        </w:trPr>
        <w:tc>
          <w:tcPr>
            <w:tcW w:w="6160" w:type="dxa"/>
            <w:vAlign w:val="bottom"/>
          </w:tcPr>
          <w:p>
            <w:pPr>
              <w:spacing w:after="0"/>
              <w:rPr>
                <w:sz w:val="20"/>
                <w:szCs w:val="20"/>
                <w:color w:val="auto"/>
              </w:rPr>
            </w:pPr>
            <w:r>
              <w:rPr>
                <w:rFonts w:ascii="Times New Roman" w:cs="Times New Roman" w:eastAsia="Times New Roman" w:hAnsi="Times New Roman"/>
                <w:sz w:val="10"/>
                <w:szCs w:val="10"/>
                <w:color w:val="auto"/>
              </w:rPr>
              <w:t>____________________</w:t>
            </w: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ind w:left="1360" w:hanging="134"/>
        <w:spacing w:after="0" w:line="236" w:lineRule="auto"/>
        <w:tabs>
          <w:tab w:leader="none" w:pos="136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customer accounts from Zipwhip.</w:t>
      </w:r>
    </w:p>
    <w:p>
      <w:pPr>
        <w:spacing w:after="0" w:line="29" w:lineRule="exact"/>
        <w:rPr>
          <w:rFonts w:ascii="Times New Roman" w:cs="Times New Roman" w:eastAsia="Times New Roman" w:hAnsi="Times New Roman"/>
          <w:sz w:val="17"/>
          <w:szCs w:val="17"/>
          <w:color w:val="auto"/>
          <w:vertAlign w:val="superscript"/>
        </w:rPr>
      </w:pPr>
    </w:p>
    <w:p>
      <w:pPr>
        <w:ind w:left="1360" w:hanging="134"/>
        <w:spacing w:after="0" w:line="201" w:lineRule="auto"/>
        <w:tabs>
          <w:tab w:leader="none" w:pos="136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revenue from Zipwhip, acquired July 14, 2021, and other smaller acquisitions made after July 1, 2021.</w:t>
      </w:r>
    </w:p>
    <w:p>
      <w:pPr>
        <w:spacing w:after="0" w:line="29" w:lineRule="exact"/>
        <w:rPr>
          <w:rFonts w:ascii="Times New Roman" w:cs="Times New Roman" w:eastAsia="Times New Roman" w:hAnsi="Times New Roman"/>
          <w:sz w:val="17"/>
          <w:szCs w:val="17"/>
          <w:color w:val="auto"/>
          <w:vertAlign w:val="superscript"/>
        </w:rPr>
      </w:pPr>
    </w:p>
    <w:p>
      <w:pPr>
        <w:ind w:left="1360" w:hanging="134"/>
        <w:spacing w:after="0" w:line="201" w:lineRule="auto"/>
        <w:tabs>
          <w:tab w:leader="none" w:pos="136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the contributions from Zipwhip, acquired July 14, 2021, and other smaller acquisitions made after July 1, 2021.</w:t>
      </w:r>
    </w:p>
    <w:p>
      <w:pPr>
        <w:spacing w:after="0" w:line="297"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Number of Active Customer Accounts. </w:t>
      </w:r>
      <w:r>
        <w:rPr>
          <w:rFonts w:ascii="Times New Roman" w:cs="Times New Roman" w:eastAsia="Times New Roman" w:hAnsi="Times New Roman"/>
          <w:sz w:val="17"/>
          <w:szCs w:val="17"/>
          <w:color w:val="auto"/>
        </w:rPr>
        <w:t>We believe that the number of Active Customer Accounts is an important indicator of the growth of our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market acceptance of our platform and future revenue trends. We define an “Active Customer Account” at the end of any period as an individual account, as identified by a unique account identifier, for which we have recognized at least $5 of revenue in the last month of the period. We believe that use of our platform by customers at or above the $5 per month threshold is a stronger indicator of potential future engagement than trial usage of our platform or usage at levels below $5 per month. In the three months ended September 30, 2022 and 2021, revenue from Active Customer Accounts represented over 99% of total revenue in each period. A single organization may constitute multiple unique Active Customer Accounts if it has multiple account identifiers, each of which is treated as a separate Active Customer Account.</w:t>
      </w:r>
    </w:p>
    <w:p>
      <w:pPr>
        <w:spacing w:after="0" w:line="145" w:lineRule="exact"/>
        <w:rPr>
          <w:sz w:val="20"/>
          <w:szCs w:val="20"/>
          <w:color w:val="auto"/>
        </w:rPr>
      </w:pPr>
    </w:p>
    <w:p>
      <w:pPr>
        <w:ind w:right="140" w:firstLine="464"/>
        <w:spacing w:after="0" w:line="218" w:lineRule="exact"/>
        <w:rPr>
          <w:sz w:val="20"/>
          <w:szCs w:val="20"/>
          <w:color w:val="auto"/>
        </w:rPr>
      </w:pPr>
      <w:r>
        <w:rPr>
          <w:rFonts w:ascii="Times New Roman" w:cs="Times New Roman" w:eastAsia="Times New Roman" w:hAnsi="Times New Roman"/>
          <w:sz w:val="17"/>
          <w:szCs w:val="17"/>
          <w:b w:val="1"/>
          <w:bCs w:val="1"/>
          <w:i w:val="1"/>
          <w:iCs w:val="1"/>
          <w:color w:val="auto"/>
        </w:rPr>
        <w:t>Dollar</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Based Net Expansion Rate. </w:t>
      </w:r>
      <w:r>
        <w:rPr>
          <w:rFonts w:ascii="Times New Roman" w:cs="Times New Roman" w:eastAsia="Times New Roman" w:hAnsi="Times New Roman"/>
          <w:sz w:val="17"/>
          <w:szCs w:val="17"/>
          <w:color w:val="auto"/>
        </w:rPr>
        <w:t>Our ability to drive growth and generate incremental revenue depends, in part, on our ability to maintain and grow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-476885</wp:posOffset>
            </wp:positionV>
            <wp:extent cx="622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We believe that measuring Dollar-Based Net Expansion Rate provides a more meaningful indication of the performance of our efforts to increase revenue from existing customers.</w:t>
      </w:r>
    </w:p>
    <w:p>
      <w:pPr>
        <w:spacing w:after="0" w:line="173"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Our Dollar-Based Net Expansion Rate compares the revenue from all Active Customer Accounts in a quarter to the same quarter in the prior year. To calculate the Dollar-Based Net Expansion Rate, we first identify the cohort of Active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w:t>
      </w:r>
    </w:p>
    <w:p>
      <w:pPr>
        <w:spacing w:after="0" w:line="17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Key Components of Statements of Operations</w:t>
      </w:r>
    </w:p>
    <w:p>
      <w:pPr>
        <w:spacing w:after="0" w:line="193" w:lineRule="exact"/>
        <w:rPr>
          <w:sz w:val="20"/>
          <w:szCs w:val="20"/>
          <w:color w:val="auto"/>
        </w:rPr>
      </w:pPr>
    </w:p>
    <w:p>
      <w:pPr>
        <w:ind w:right="40" w:firstLine="464"/>
        <w:spacing w:after="0" w:line="214" w:lineRule="exact"/>
        <w:rPr>
          <w:sz w:val="20"/>
          <w:szCs w:val="20"/>
          <w:color w:val="auto"/>
        </w:rPr>
      </w:pPr>
      <w:r>
        <w:rPr>
          <w:rFonts w:ascii="Times New Roman" w:cs="Times New Roman" w:eastAsia="Times New Roman" w:hAnsi="Times New Roman"/>
          <w:sz w:val="17"/>
          <w:szCs w:val="17"/>
          <w:b w:val="1"/>
          <w:bCs w:val="1"/>
          <w:i w:val="1"/>
          <w:iCs w:val="1"/>
          <w:color w:val="auto"/>
        </w:rPr>
        <w:t xml:space="preserve">Revenue. </w:t>
      </w:r>
      <w:r>
        <w:rPr>
          <w:rFonts w:ascii="Times New Roman" w:cs="Times New Roman" w:eastAsia="Times New Roman" w:hAnsi="Times New Roman"/>
          <w:sz w:val="17"/>
          <w:szCs w:val="17"/>
          <w:color w:val="auto"/>
        </w:rPr>
        <w:t>We derive our revenue primarily from usage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fees earned primarily from customers using our communications products within our Channel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APIs. These usage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products include offerings such as Programmable Messaging, Programmable Voice and others. Some examples of the usage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fees that we charge include fees related to the number of text messages sent or received using our Programmable Messaging products, minutes of call duration activity for our Programmable Voice products and the number of authentications for our Verify product. In the three months ended September 30, 2022 and 2021, we generated 73% and 72% of our revenue, respectively, from usage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fees. We also earn monthly flat fees from certain fee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products, such as our Email API and our software products, such as our cloud contact center platform Twilio Flex and our customer data platform Twilio Segment.</w:t>
      </w:r>
    </w:p>
    <w:p>
      <w:pPr>
        <w:spacing w:after="0" w:line="192" w:lineRule="exact"/>
        <w:rPr>
          <w:sz w:val="20"/>
          <w:szCs w:val="20"/>
          <w:color w:val="auto"/>
        </w:rPr>
      </w:pPr>
    </w:p>
    <w:p>
      <w:pPr>
        <w:ind w:right="20" w:firstLine="464"/>
        <w:spacing w:after="0" w:line="270" w:lineRule="auto"/>
        <w:rPr>
          <w:sz w:val="20"/>
          <w:szCs w:val="20"/>
          <w:color w:val="auto"/>
        </w:rPr>
      </w:pPr>
      <w:r>
        <w:rPr>
          <w:rFonts w:ascii="Times New Roman" w:cs="Times New Roman" w:eastAsia="Times New Roman" w:hAnsi="Times New Roman"/>
          <w:sz w:val="17"/>
          <w:szCs w:val="17"/>
          <w:color w:val="auto"/>
        </w:rPr>
        <w:t>When customers first begin using our platform, they typically pay upfront via credit card in monthly prepaid amounts and draw down their balances as they purchase or use our products. Our larger customers often enter into contracts for at least 12 months, that contain minimum revenue commitments, which may contain more favorable pricing. Customers on such contracts typically are invoiced monthly in arrears for products used.</w:t>
      </w:r>
    </w:p>
    <w:p>
      <w:pPr>
        <w:spacing w:after="0" w:line="165" w:lineRule="exact"/>
        <w:rPr>
          <w:sz w:val="20"/>
          <w:szCs w:val="20"/>
          <w:color w:val="auto"/>
        </w:rPr>
      </w:pPr>
    </w:p>
    <w:p>
      <w:pPr>
        <w:ind w:right="20" w:firstLine="464"/>
        <w:spacing w:after="0" w:line="270" w:lineRule="auto"/>
        <w:rPr>
          <w:sz w:val="20"/>
          <w:szCs w:val="20"/>
          <w:color w:val="auto"/>
        </w:rPr>
      </w:pPr>
      <w:r>
        <w:rPr>
          <w:rFonts w:ascii="Times New Roman" w:cs="Times New Roman" w:eastAsia="Times New Roman" w:hAnsi="Times New Roman"/>
          <w:sz w:val="17"/>
          <w:szCs w:val="17"/>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65" w:lineRule="exact"/>
        <w:rPr>
          <w:sz w:val="20"/>
          <w:szCs w:val="20"/>
          <w:color w:val="auto"/>
        </w:rPr>
      </w:pPr>
    </w:p>
    <w:p>
      <w:pPr>
        <w:ind w:right="280" w:firstLine="464"/>
        <w:spacing w:after="0" w:line="287" w:lineRule="auto"/>
        <w:rPr>
          <w:sz w:val="20"/>
          <w:szCs w:val="20"/>
          <w:color w:val="auto"/>
        </w:rPr>
      </w:pPr>
      <w:r>
        <w:rPr>
          <w:rFonts w:ascii="Times New Roman" w:cs="Times New Roman" w:eastAsia="Times New Roman" w:hAnsi="Times New Roman"/>
          <w:sz w:val="17"/>
          <w:szCs w:val="17"/>
          <w:color w:val="auto"/>
        </w:rPr>
        <w:t>We define U.S. revenue as revenue from customers with IP addresses or mailing addresses at the time of registration in the United States, and we define international revenue as revenue from customers with IP addresses or mailing addresses at the time of registration outside of the United States.</w:t>
      </w:r>
    </w:p>
    <w:p>
      <w:pPr>
        <w:spacing w:after="0" w:line="145" w:lineRule="exact"/>
        <w:rPr>
          <w:sz w:val="20"/>
          <w:szCs w:val="20"/>
          <w:color w:val="auto"/>
        </w:rPr>
      </w:pPr>
    </w:p>
    <w:p>
      <w:pPr>
        <w:ind w:firstLine="464"/>
        <w:spacing w:after="0" w:line="210" w:lineRule="exact"/>
        <w:rPr>
          <w:sz w:val="20"/>
          <w:szCs w:val="20"/>
          <w:color w:val="auto"/>
        </w:rPr>
      </w:pPr>
      <w:r>
        <w:rPr>
          <w:rFonts w:ascii="Times New Roman" w:cs="Times New Roman" w:eastAsia="Times New Roman" w:hAnsi="Times New Roman"/>
          <w:sz w:val="17"/>
          <w:szCs w:val="17"/>
          <w:b w:val="1"/>
          <w:bCs w:val="1"/>
          <w:i w:val="1"/>
          <w:iCs w:val="1"/>
          <w:color w:val="auto"/>
        </w:rPr>
        <w:t xml:space="preserve">Cost of Revenue and Gross Margin. </w:t>
      </w:r>
      <w:r>
        <w:rPr>
          <w:rFonts w:ascii="Times New Roman" w:cs="Times New Roman" w:eastAsia="Times New Roman" w:hAnsi="Times New Roman"/>
          <w:sz w:val="17"/>
          <w:szCs w:val="17"/>
          <w:color w:val="auto"/>
        </w:rPr>
        <w:t>Cost of revenue consists primarily of fees paid to network service providers. Cost of revenue also includes cloud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infrastructure fees, direct costs of personnel, such as salaries and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for our customer support employees,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personnel costs, such as depreciation and amortization expense related to data centers and hosting equipment, amortization of capitalized internal-use software development costs and acquired intangibles. 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194" w:lineRule="exact"/>
        <w:rPr>
          <w:sz w:val="20"/>
          <w:szCs w:val="20"/>
          <w:color w:val="auto"/>
        </w:rPr>
      </w:pPr>
    </w:p>
    <w:p>
      <w:pPr>
        <w:jc w:val="both"/>
        <w:ind w:firstLine="464"/>
        <w:spacing w:after="0" w:line="211" w:lineRule="exact"/>
        <w:rPr>
          <w:sz w:val="20"/>
          <w:szCs w:val="20"/>
          <w:color w:val="auto"/>
        </w:rPr>
      </w:pPr>
      <w:r>
        <w:rPr>
          <w:rFonts w:ascii="Times New Roman" w:cs="Times New Roman" w:eastAsia="Times New Roman" w:hAnsi="Times New Roman"/>
          <w:sz w:val="17"/>
          <w:szCs w:val="17"/>
          <w:color w:val="auto"/>
        </w:rPr>
        <w:t>Our gross margin has been and will continue to be affected by a number of factors, including the timing and extent of our investments in our operations; our product mix; our ability to manage our network service provider and cloud infrastructure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fees, including A2P SMS fees; the mix of U.S. revenue compared to international revenue; changes in foreign exchange rates; the timing of amortization of capitalized software development costs and acquired intangibles; and the extent to which we periodically choose to increase prices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40" w:firstLine="464"/>
        <w:spacing w:after="0" w:line="214" w:lineRule="exact"/>
        <w:rPr>
          <w:sz w:val="20"/>
          <w:szCs w:val="20"/>
          <w:color w:val="auto"/>
        </w:rPr>
      </w:pPr>
      <w:r>
        <w:rPr>
          <w:rFonts w:ascii="Times New Roman" w:cs="Times New Roman" w:eastAsia="Times New Roman" w:hAnsi="Times New Roman"/>
          <w:sz w:val="17"/>
          <w:szCs w:val="17"/>
          <w:b w:val="1"/>
          <w:bCs w:val="1"/>
          <w:i w:val="1"/>
          <w:iCs w:val="1"/>
          <w:color w:val="auto"/>
        </w:rPr>
        <w:t xml:space="preserve">Operating Expenses. </w:t>
      </w:r>
      <w:r>
        <w:rPr>
          <w:rFonts w:ascii="Times New Roman" w:cs="Times New Roman" w:eastAsia="Times New Roman" w:hAnsi="Times New Roman"/>
          <w:sz w:val="17"/>
          <w:szCs w:val="17"/>
          <w:color w:val="auto"/>
        </w:rPr>
        <w:t>The most significant components of operating expenses are personnel costs, which consist of salaries, benefits, sales commissions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bonuses and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We also incur other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personnel costs related to our general overhead expenses. We expect that our operating costs will increase in absolute dollars as we invest in our infrastructure to grow our business.</w:t>
      </w:r>
    </w:p>
    <w:p>
      <w:pPr>
        <w:spacing w:after="0" w:line="187" w:lineRule="exact"/>
        <w:rPr>
          <w:sz w:val="20"/>
          <w:szCs w:val="20"/>
          <w:color w:val="auto"/>
        </w:rPr>
      </w:pPr>
    </w:p>
    <w:p>
      <w:pPr>
        <w:ind w:right="80" w:firstLine="46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expenses consist primarily of personnel costs, outsourced engineering services, cloud infrastructure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fees for staging and development, amortization of capitalized internal-use software development costs, depreciation and an allocation of our general overhead expenses. We capitalize the portion of our software development costs that meets the criteria for capitalization.</w:t>
      </w:r>
    </w:p>
    <w:p>
      <w:pPr>
        <w:spacing w:after="0" w:line="164" w:lineRule="exact"/>
        <w:rPr>
          <w:sz w:val="20"/>
          <w:szCs w:val="20"/>
          <w:color w:val="auto"/>
        </w:rPr>
      </w:pPr>
    </w:p>
    <w:p>
      <w:pPr>
        <w:ind w:right="200" w:firstLine="464"/>
        <w:spacing w:after="0" w:line="287" w:lineRule="auto"/>
        <w:rPr>
          <w:sz w:val="20"/>
          <w:szCs w:val="20"/>
          <w:color w:val="auto"/>
        </w:rPr>
      </w:pPr>
      <w:r>
        <w:rPr>
          <w:rFonts w:ascii="Times New Roman" w:cs="Times New Roman" w:eastAsia="Times New Roman" w:hAnsi="Times New Roman"/>
          <w:sz w:val="17"/>
          <w:szCs w:val="17"/>
          <w:color w:val="auto"/>
        </w:rPr>
        <w:t>We are focusing our research and development investment in the highest impact product areas. We are investing strategically in alignment with our vision for the leading Customer Engagement Platform.</w:t>
      </w:r>
    </w:p>
    <w:p>
      <w:pPr>
        <w:spacing w:after="0" w:line="147" w:lineRule="exact"/>
        <w:rPr>
          <w:sz w:val="20"/>
          <w:szCs w:val="20"/>
          <w:color w:val="auto"/>
        </w:rPr>
      </w:pPr>
    </w:p>
    <w:p>
      <w:pPr>
        <w:ind w:right="300" w:firstLine="464"/>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expenses consist primarily of personnel costs, including commissions for our sales employees. Sales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marketing expenses also include expenditures related to advertising, marketing, our brand awareness activities and developer evangelism, costs related to our SIGNAL customer and developer conferences, credit card processing fees, professional services fees, depreciation, amortization of acquired intangibles and an allocation of our general overhead expenses.</w:t>
      </w:r>
    </w:p>
    <w:p>
      <w:pPr>
        <w:spacing w:after="0" w:line="169" w:lineRule="exact"/>
        <w:rPr>
          <w:sz w:val="20"/>
          <w:szCs w:val="20"/>
          <w:color w:val="auto"/>
        </w:rPr>
      </w:pPr>
    </w:p>
    <w:p>
      <w:pPr>
        <w:ind w:right="60" w:firstLine="464"/>
        <w:spacing w:after="0" w:line="211" w:lineRule="exact"/>
        <w:rPr>
          <w:sz w:val="20"/>
          <w:szCs w:val="20"/>
          <w:color w:val="auto"/>
        </w:rPr>
      </w:pPr>
      <w:r>
        <w:rPr>
          <w:rFonts w:ascii="Times New Roman" w:cs="Times New Roman" w:eastAsia="Times New Roman" w:hAnsi="Times New Roman"/>
          <w:sz w:val="17"/>
          <w:szCs w:val="17"/>
          <w:color w:val="auto"/>
        </w:rPr>
        <w:t>We focus our sales and marketing efforts on generating awareness of our company, platform and products, creating sales leads and establishing and promoting our brand, both domestically and internationally. We plan to continue investing in sales and marketing by supplementing our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service model with an enterprise sales approach, expanding our sales channels, driving our go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 strategies, building our brand awareness and sponsoring additional marketing events.</w:t>
      </w:r>
    </w:p>
    <w:p>
      <w:pPr>
        <w:spacing w:after="0" w:line="187"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consist primarily of personnel costs for our accounting, finance, legal, human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administrative support personnel. General and administrative expenses also include costs related to business acquisitions, legal and other professional services fees, certain taxes, depreciation and amortization, charitable contributions and an allocation of our general overhead expenses. We expect that we will incur costs associated with supporting the growth of our business and to meet the increased compliance requirements associated with our international expansion. We may also incur higher than usual losses related to deterioration of quality of certain financial assets caused by the macroeconomic conditions and uncertainty in the COVID-19 environment.</w:t>
      </w:r>
    </w:p>
    <w:p>
      <w:pPr>
        <w:spacing w:after="0" w:line="168" w:lineRule="exact"/>
        <w:rPr>
          <w:sz w:val="20"/>
          <w:szCs w:val="20"/>
          <w:color w:val="auto"/>
        </w:rPr>
      </w:pPr>
    </w:p>
    <w:p>
      <w:pPr>
        <w:jc w:val="both"/>
        <w:ind w:right="20" w:firstLine="46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Restructuring Costs. </w:t>
      </w:r>
      <w:r>
        <w:rPr>
          <w:rFonts w:ascii="Times New Roman" w:cs="Times New Roman" w:eastAsia="Times New Roman" w:hAnsi="Times New Roman"/>
          <w:sz w:val="17"/>
          <w:szCs w:val="17"/>
          <w:color w:val="auto"/>
        </w:rPr>
        <w:t>Restructuring costs consist primarily of personnel costs, such as employee severance payments and certain facilitation costs, associated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our restructuring plan that is described in Note 6 to our consolidated condensed financial statements included elsewhere in this Quarterly Report on Form 10-Q. Restructuring costs also include stock-based compensation expense related to vesting of stock-based awards of the impacted employees.</w:t>
      </w:r>
    </w:p>
    <w:p>
      <w:pPr>
        <w:spacing w:after="0" w:line="160" w:lineRule="exact"/>
        <w:rPr>
          <w:sz w:val="20"/>
          <w:szCs w:val="20"/>
          <w:color w:val="auto"/>
        </w:rPr>
      </w:pPr>
    </w:p>
    <w:p>
      <w:pPr>
        <w:ind w:firstLine="46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Impairment of Long-Lived Assets. </w:t>
      </w:r>
      <w:r>
        <w:rPr>
          <w:rFonts w:ascii="Times New Roman" w:cs="Times New Roman" w:eastAsia="Times New Roman" w:hAnsi="Times New Roman"/>
          <w:sz w:val="17"/>
          <w:szCs w:val="17"/>
          <w:color w:val="auto"/>
        </w:rPr>
        <w:t>Impairment of long-lived assets consists primarily of impairment charges allocated to the carrying amount of certain ROU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and the associated leasehold improvement and property and equipment when the carrying amounts exceed their respective fair values. The impairment changes are described in Note 5 to our consolidated condensed financial statements included elsewhere in this Quarterly Report on Form 10-Q.</w:t>
      </w:r>
    </w:p>
    <w:p>
      <w:pPr>
        <w:spacing w:after="0" w:line="158" w:lineRule="exact"/>
        <w:rPr>
          <w:sz w:val="20"/>
          <w:szCs w:val="20"/>
          <w:color w:val="auto"/>
        </w:rPr>
      </w:pPr>
    </w:p>
    <w:p>
      <w:pPr>
        <w:ind w:right="12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Provision for Income Taxes. </w:t>
      </w:r>
      <w:r>
        <w:rPr>
          <w:rFonts w:ascii="Times New Roman" w:cs="Times New Roman" w:eastAsia="Times New Roman" w:hAnsi="Times New Roman"/>
          <w:sz w:val="17"/>
          <w:szCs w:val="17"/>
          <w:color w:val="auto"/>
        </w:rPr>
        <w:t>Our income tax provision or benefit for interim periods is determined using an estimate of our annual effective tax 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adjusted for discrete items occurring in the quarter. The primary difference between our effective tax rate and the federal statutory rate relates to the full valuation allowance we established on the federal, state and certain foreign net operating losses and credits.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93" w:lineRule="exact"/>
        <w:rPr>
          <w:sz w:val="20"/>
          <w:szCs w:val="20"/>
          <w:color w:val="auto"/>
        </w:rPr>
      </w:pPr>
    </w:p>
    <w:p>
      <w:pPr>
        <w:ind w:firstLine="464"/>
        <w:spacing w:after="0" w:line="214" w:lineRule="exact"/>
        <w:rPr>
          <w:sz w:val="20"/>
          <w:szCs w:val="20"/>
          <w:color w:val="auto"/>
        </w:rPr>
      </w:pPr>
      <w:r>
        <w:rPr>
          <w:rFonts w:ascii="Times New Roman" w:cs="Times New Roman" w:eastAsia="Times New Roman" w:hAnsi="Times New Roman"/>
          <w:sz w:val="17"/>
          <w:szCs w:val="17"/>
          <w:color w:val="auto"/>
        </w:rPr>
        <w:t>We use the following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financial information, collectively, to evaluate our ongoing operations and for internal planning and forecasting purposes. We believe that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financial information, when taken collectively, may be helpful to investors because it provides consistency and comparability with past financial performance, facilitates period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period comparisons of results of operations and assists in comparisons with other companies, many of which use similar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financial information to supplement their GAAP results.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financial information is presented for supplemental informational purposes only, should not be considered a substitute for financial information presented in accordance with generally accepted accounting principles and may be different from similarly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titled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measures used by other companies. Whenever we use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financial measure, a reconciliation is provided to the most closely applicable financial measure stated in accordance with generally accepted accounting principles. Investors are encouraged to review the related GAAP financial measures and the reconciliation of these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financial measures to their most directly comparable GAAP financial measures.</w:t>
      </w:r>
    </w:p>
    <w:p>
      <w:pPr>
        <w:spacing w:after="0" w:line="149" w:lineRule="exact"/>
        <w:rPr>
          <w:sz w:val="20"/>
          <w:szCs w:val="20"/>
          <w:color w:val="auto"/>
        </w:rPr>
      </w:pPr>
    </w:p>
    <w:p>
      <w:pPr>
        <w:ind w:left="460"/>
        <w:spacing w:after="0" w:line="196" w:lineRule="exact"/>
        <w:rPr>
          <w:sz w:val="20"/>
          <w:szCs w:val="20"/>
          <w:color w:val="auto"/>
        </w:rPr>
      </w:pPr>
      <w:r>
        <w:rPr>
          <w:rFonts w:ascii="Times New Roman" w:cs="Times New Roman" w:eastAsia="Times New Roman" w:hAnsi="Times New Roman"/>
          <w:sz w:val="17"/>
          <w:szCs w:val="17"/>
          <w:b w:val="1"/>
          <w:bCs w:val="1"/>
          <w:color w:val="auto"/>
        </w:rPr>
        <w:t>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GAAP Gross Profit and 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 xml:space="preserve">GAAP Gross Margin. </w:t>
      </w:r>
      <w:r>
        <w:rPr>
          <w:rFonts w:ascii="Times New Roman" w:cs="Times New Roman" w:eastAsia="Times New Roman" w:hAnsi="Times New Roman"/>
          <w:sz w:val="17"/>
          <w:szCs w:val="17"/>
          <w:color w:val="auto"/>
        </w:rPr>
        <w:t>For the periods presented, we define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gross profit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gross margin as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GAAP gross profit and GAAP gross margin, respectively, adjusted to exclude, as applicable, certain expenses as presented in the table below:</w:t>
      </w:r>
    </w:p>
    <w:p>
      <w:pPr>
        <w:spacing w:after="0" w:line="320" w:lineRule="exact"/>
        <w:rPr>
          <w:sz w:val="20"/>
          <w:szCs w:val="20"/>
          <w:color w:val="auto"/>
        </w:rPr>
      </w:pPr>
    </w:p>
    <w:tbl>
      <w:tblPr>
        <w:tblLayout w:type="fixed"/>
        <w:tblInd w:w="2140" w:type="dxa"/>
        <w:tblCellMar>
          <w:top w:w="0" w:type="dxa"/>
          <w:left w:w="0" w:type="dxa"/>
          <w:bottom w:w="0" w:type="dxa"/>
          <w:right w:w="0" w:type="dxa"/>
        </w:tblCellMar>
      </w:tblPr>
      <w:tr>
        <w:trPr>
          <w:trHeight w:val="182"/>
        </w:trPr>
        <w:tc>
          <w:tcPr>
            <w:tcW w:w="4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1"/>
        </w:trPr>
        <w:tc>
          <w:tcPr>
            <w:tcW w:w="4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w:t>
            </w:r>
          </w:p>
        </w:tc>
        <w:tc>
          <w:tcPr>
            <w:tcW w:w="360" w:type="dxa"/>
            <w:vAlign w:val="bottom"/>
          </w:tcPr>
          <w:p>
            <w:pPr>
              <w:spacing w:after="0"/>
              <w:rPr>
                <w:sz w:val="16"/>
                <w:szCs w:val="16"/>
                <w:color w:val="auto"/>
              </w:rPr>
            </w:pPr>
          </w:p>
        </w:tc>
        <w:tc>
          <w:tcPr>
            <w:tcW w:w="1880" w:type="dxa"/>
            <w:vAlign w:val="bottom"/>
            <w:gridSpan w:val="3"/>
          </w:tcPr>
          <w:p>
            <w:pPr>
              <w:jc w:val="center"/>
              <w:ind w:left="486"/>
              <w:spacing w:after="0"/>
              <w:rPr>
                <w:sz w:val="20"/>
                <w:szCs w:val="20"/>
                <w:color w:val="auto"/>
              </w:rPr>
            </w:pPr>
            <w:r>
              <w:rPr>
                <w:rFonts w:ascii="Times New Roman" w:cs="Times New Roman" w:eastAsia="Times New Roman" w:hAnsi="Times New Roman"/>
                <w:sz w:val="14"/>
                <w:szCs w:val="14"/>
                <w:color w:val="auto"/>
                <w:w w:val="99"/>
              </w:rPr>
              <w:t>(In thousands)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462,075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364,615</w:t>
            </w:r>
          </w:p>
        </w:tc>
        <w:tc>
          <w:tcPr>
            <w:tcW w:w="0" w:type="dxa"/>
            <w:vAlign w:val="bottom"/>
          </w:tcPr>
          <w:p>
            <w:pPr>
              <w:spacing w:after="0"/>
              <w:rPr>
                <w:sz w:val="1"/>
                <w:szCs w:val="1"/>
                <w:color w:val="auto"/>
              </w:rPr>
            </w:pPr>
          </w:p>
        </w:tc>
      </w:tr>
      <w:tr>
        <w:trPr>
          <w:trHeight w:val="203"/>
        </w:trPr>
        <w:tc>
          <w:tcPr>
            <w:tcW w:w="4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GAAP gross margin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49 %</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Non-GAAP adjustments: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36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6,114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3,720</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Amortization of acquired intangibles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30,729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31,558</w:t>
            </w: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Taxes related to stock-based compensation</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5"/>
                <w:szCs w:val="15"/>
                <w:color w:val="auto"/>
              </w:rPr>
              <w:t>215</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4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Non-GAAP gross profit</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499,133</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399,893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5"/>
                <w:szCs w:val="15"/>
                <w:color w:val="auto"/>
              </w:rPr>
              <w:t>Non-GAAP gross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51 %</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54 %</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460"/>
        <w:spacing w:after="0" w:line="196" w:lineRule="exact"/>
        <w:rPr>
          <w:sz w:val="20"/>
          <w:szCs w:val="20"/>
          <w:color w:val="auto"/>
        </w:rPr>
      </w:pPr>
      <w:r>
        <w:rPr>
          <w:rFonts w:ascii="Times New Roman" w:cs="Times New Roman" w:eastAsia="Times New Roman" w:hAnsi="Times New Roman"/>
          <w:sz w:val="17"/>
          <w:szCs w:val="17"/>
          <w:b w:val="1"/>
          <w:bCs w:val="1"/>
          <w:color w:val="auto"/>
        </w:rPr>
        <w:t>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GAAP Operating Expenses</w:t>
      </w:r>
      <w:r>
        <w:rPr>
          <w:rFonts w:ascii="Times New Roman" w:cs="Times New Roman" w:eastAsia="Times New Roman" w:hAnsi="Times New Roman"/>
          <w:sz w:val="17"/>
          <w:szCs w:val="17"/>
          <w:color w:val="auto"/>
        </w:rPr>
        <w:t>. For the periods presented, we define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operating expenses (including categories of operating expenses) as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GAAP operating expenses (and categories of operating expenses) adjusted to exclude, as applicable, certain expenses as presented in the table below:</w:t>
      </w:r>
    </w:p>
    <w:p>
      <w:pPr>
        <w:spacing w:after="0" w:line="320" w:lineRule="exact"/>
        <w:rPr>
          <w:sz w:val="20"/>
          <w:szCs w:val="20"/>
          <w:color w:val="auto"/>
        </w:rPr>
      </w:pPr>
    </w:p>
    <w:tbl>
      <w:tblPr>
        <w:tblLayout w:type="fixed"/>
        <w:tblInd w:w="2200" w:type="dxa"/>
        <w:tblCellMar>
          <w:top w:w="0" w:type="dxa"/>
          <w:left w:w="0" w:type="dxa"/>
          <w:bottom w:w="0" w:type="dxa"/>
          <w:right w:w="0" w:type="dxa"/>
        </w:tblCellMar>
      </w:tblPr>
      <w:tr>
        <w:trPr>
          <w:trHeight w:val="182"/>
        </w:trPr>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3"/>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900" w:type="dxa"/>
            <w:vAlign w:val="bottom"/>
          </w:tcPr>
          <w:p>
            <w:pPr>
              <w:spacing w:after="0"/>
              <w:rPr>
                <w:sz w:val="15"/>
                <w:szCs w:val="15"/>
                <w:color w:val="auto"/>
              </w:rPr>
            </w:pPr>
          </w:p>
        </w:tc>
      </w:tr>
      <w:tr>
        <w:trPr>
          <w:trHeight w:val="193"/>
        </w:trPr>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00" w:type="dxa"/>
            <w:vAlign w:val="bottom"/>
          </w:tcPr>
          <w:p>
            <w:pPr>
              <w:spacing w:after="0"/>
              <w:rPr>
                <w:sz w:val="16"/>
                <w:szCs w:val="16"/>
                <w:color w:val="auto"/>
              </w:rPr>
            </w:pPr>
          </w:p>
        </w:tc>
      </w:tr>
      <w:tr>
        <w:trPr>
          <w:trHeight w:val="22"/>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9"/>
        </w:trPr>
        <w:tc>
          <w:tcPr>
            <w:tcW w:w="4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1"/>
        </w:trPr>
        <w:tc>
          <w:tcPr>
            <w:tcW w:w="4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Reconciliation:</w:t>
            </w:r>
          </w:p>
        </w:tc>
        <w:tc>
          <w:tcPr>
            <w:tcW w:w="320" w:type="dxa"/>
            <w:vAlign w:val="bottom"/>
          </w:tcPr>
          <w:p>
            <w:pPr>
              <w:spacing w:after="0"/>
              <w:rPr>
                <w:sz w:val="16"/>
                <w:szCs w:val="16"/>
                <w:color w:val="auto"/>
              </w:rPr>
            </w:pPr>
          </w:p>
        </w:tc>
        <w:tc>
          <w:tcPr>
            <w:tcW w:w="1800" w:type="dxa"/>
            <w:vAlign w:val="bottom"/>
            <w:gridSpan w:val="3"/>
          </w:tcPr>
          <w:p>
            <w:pPr>
              <w:jc w:val="center"/>
              <w:ind w:left="485"/>
              <w:spacing w:after="0"/>
              <w:rPr>
                <w:sz w:val="20"/>
                <w:szCs w:val="20"/>
                <w:color w:val="auto"/>
              </w:rPr>
            </w:pPr>
            <w:r>
              <w:rPr>
                <w:rFonts w:ascii="Times New Roman" w:cs="Times New Roman" w:eastAsia="Times New Roman" w:hAnsi="Times New Roman"/>
                <w:sz w:val="14"/>
                <w:szCs w:val="14"/>
                <w:color w:val="auto"/>
                <w:w w:val="99"/>
              </w:rPr>
              <w:t>(In thousands)</w:t>
            </w:r>
          </w:p>
        </w:tc>
        <w:tc>
          <w:tcPr>
            <w:tcW w:w="900" w:type="dxa"/>
            <w:vAlign w:val="bottom"/>
          </w:tcPr>
          <w:p>
            <w:pPr>
              <w:spacing w:after="0"/>
              <w:rPr>
                <w:sz w:val="16"/>
                <w:szCs w:val="16"/>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919,072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596,960</w:t>
            </w: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Non-GAAP adjustments: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(187,507)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(160,323)</w:t>
            </w:r>
          </w:p>
        </w:tc>
      </w:tr>
      <w:tr>
        <w:trPr>
          <w:trHeight w:val="203"/>
        </w:trPr>
        <w:tc>
          <w:tcPr>
            <w:tcW w:w="43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acquired intangibles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(20,920)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(24,203)</w:t>
            </w:r>
          </w:p>
        </w:tc>
      </w:tr>
      <w:tr>
        <w:trPr>
          <w:trHeight w:val="209"/>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Acquisition related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(1,620)</w:t>
            </w:r>
          </w:p>
        </w:tc>
      </w:tr>
      <w:tr>
        <w:trPr>
          <w:trHeight w:val="203"/>
        </w:trPr>
        <w:tc>
          <w:tcPr>
            <w:tcW w:w="43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Taxes related to stock-based compensation</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(10,734)</w:t>
            </w:r>
          </w:p>
        </w:tc>
      </w:tr>
      <w:tr>
        <w:trPr>
          <w:trHeight w:val="209"/>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Charitable contribution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(8,389)</w:t>
            </w:r>
          </w:p>
        </w:tc>
      </w:tr>
      <w:tr>
        <w:trPr>
          <w:trHeight w:val="203"/>
        </w:trPr>
        <w:tc>
          <w:tcPr>
            <w:tcW w:w="43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Restructuring costs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(72,451)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Impairment of long-lived assets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(97,722)</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3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Non-GAAP operating expenses</w:t>
            </w: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534,230</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391,691</w:t>
            </w: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140" w:firstLine="464"/>
        <w:spacing w:after="0" w:line="221" w:lineRule="exact"/>
        <w:rPr>
          <w:sz w:val="20"/>
          <w:szCs w:val="20"/>
          <w:color w:val="auto"/>
        </w:rPr>
      </w:pPr>
      <w:r>
        <w:rPr>
          <w:rFonts w:ascii="Times New Roman" w:cs="Times New Roman" w:eastAsia="Times New Roman" w:hAnsi="Times New Roman"/>
          <w:sz w:val="17"/>
          <w:szCs w:val="17"/>
          <w:b w:val="1"/>
          <w:bCs w:val="1"/>
          <w:color w:val="auto"/>
        </w:rPr>
        <w:t>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GAAP (Loss) Income from Operations and 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GAAP Operating Margin</w:t>
      </w:r>
      <w:r>
        <w:rPr>
          <w:rFonts w:ascii="Times New Roman" w:cs="Times New Roman" w:eastAsia="Times New Roman" w:hAnsi="Times New Roman"/>
          <w:sz w:val="17"/>
          <w:szCs w:val="17"/>
          <w:color w:val="auto"/>
        </w:rPr>
        <w:t>. For the periods presented, we define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(loss) income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operations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operating margin as GAAP loss from operations and GAAP operating margin, respectively, adjusted to exclude, as applicable, certain expenses as presented in the table below:</w:t>
      </w:r>
    </w:p>
    <w:p>
      <w:pPr>
        <w:spacing w:after="0" w:line="312" w:lineRule="exact"/>
        <w:rPr>
          <w:sz w:val="20"/>
          <w:szCs w:val="20"/>
          <w:color w:val="auto"/>
        </w:rPr>
      </w:pPr>
    </w:p>
    <w:tbl>
      <w:tblPr>
        <w:tblLayout w:type="fixed"/>
        <w:tblInd w:w="228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center"/>
              <w:ind w:left="505"/>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center"/>
              <w:ind w:left="50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w:t>
            </w:r>
          </w:p>
        </w:tc>
        <w:tc>
          <w:tcPr>
            <w:tcW w:w="360" w:type="dxa"/>
            <w:vAlign w:val="bottom"/>
          </w:tcPr>
          <w:p>
            <w:pPr>
              <w:spacing w:after="0"/>
              <w:rPr>
                <w:sz w:val="16"/>
                <w:szCs w:val="16"/>
                <w:color w:val="auto"/>
              </w:rPr>
            </w:pPr>
          </w:p>
        </w:tc>
        <w:tc>
          <w:tcPr>
            <w:tcW w:w="1900" w:type="dxa"/>
            <w:vAlign w:val="bottom"/>
            <w:gridSpan w:val="3"/>
          </w:tcPr>
          <w:p>
            <w:pPr>
              <w:jc w:val="center"/>
              <w:ind w:left="505"/>
              <w:spacing w:after="0"/>
              <w:rPr>
                <w:sz w:val="20"/>
                <w:szCs w:val="20"/>
                <w:color w:val="auto"/>
              </w:rPr>
            </w:pPr>
            <w:r>
              <w:rPr>
                <w:rFonts w:ascii="Times New Roman" w:cs="Times New Roman" w:eastAsia="Times New Roman" w:hAnsi="Times New Roman"/>
                <w:sz w:val="14"/>
                <w:szCs w:val="14"/>
                <w:color w:val="auto"/>
                <w:w w:val="99"/>
              </w:rPr>
              <w:t>(In thousands)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(456,997)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(232,345)</w:t>
            </w: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margin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Non-GAAP adjustments: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Share-based compensation</w:t>
            </w:r>
          </w:p>
        </w:tc>
        <w:tc>
          <w:tcPr>
            <w:tcW w:w="360" w:type="dxa"/>
            <w:vAlign w:val="bottom"/>
          </w:tcPr>
          <w:p>
            <w:pPr>
              <w:spacing w:after="0"/>
              <w:rPr>
                <w:sz w:val="17"/>
                <w:szCs w:val="17"/>
                <w:color w:val="auto"/>
              </w:rPr>
            </w:pP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193,621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164,043</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acquired intangibles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51,649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55,761</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 related expenses</w:t>
            </w:r>
          </w:p>
        </w:tc>
        <w:tc>
          <w:tcPr>
            <w:tcW w:w="360" w:type="dxa"/>
            <w:vAlign w:val="bottom"/>
          </w:tcPr>
          <w:p>
            <w:pPr>
              <w:spacing w:after="0"/>
              <w:rPr>
                <w:sz w:val="17"/>
                <w:szCs w:val="17"/>
                <w:color w:val="auto"/>
              </w:rPr>
            </w:pP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1,620</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Taxes related to stock-based compensation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4,425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10,734</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Charitable contribution</w:t>
            </w:r>
          </w:p>
        </w:tc>
        <w:tc>
          <w:tcPr>
            <w:tcW w:w="360" w:type="dxa"/>
            <w:vAlign w:val="bottom"/>
          </w:tcPr>
          <w:p>
            <w:pPr>
              <w:spacing w:after="0"/>
              <w:rPr>
                <w:sz w:val="17"/>
                <w:szCs w:val="17"/>
                <w:color w:val="auto"/>
              </w:rPr>
            </w:pP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1,911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8,389</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Restructuring costs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72,451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Impairment of long-lived assets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97,722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3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Non-GAAP (loss) income from operations</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(35,097)</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8,202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5"/>
                <w:szCs w:val="15"/>
                <w:color w:val="auto"/>
              </w:rPr>
              <w:t>Non-GAAP operating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1" w:lineRule="exact"/>
        <w:rPr>
          <w:sz w:val="20"/>
          <w:szCs w:val="20"/>
          <w:color w:val="auto"/>
        </w:rPr>
      </w:pPr>
    </w:p>
    <w:p>
      <w:pPr>
        <w:ind w:right="20" w:firstLine="464"/>
        <w:spacing w:after="0" w:line="270" w:lineRule="auto"/>
        <w:rPr>
          <w:sz w:val="20"/>
          <w:szCs w:val="20"/>
          <w:color w:val="auto"/>
        </w:rPr>
      </w:pPr>
      <w:r>
        <w:rPr>
          <w:rFonts w:ascii="Times New Roman" w:cs="Times New Roman" w:eastAsia="Times New Roman" w:hAnsi="Times New Roman"/>
          <w:sz w:val="17"/>
          <w:szCs w:val="17"/>
          <w:color w:val="auto"/>
        </w:rPr>
        <w:t>Our results of operations may be significantly affected by many factors, such as changes in global economic conditions and customer demand and spending, inflation, labor market constraints, uncertainty regarding the impacts of fluctuations in foreign exchange rates, world events, existing and new domestic and foreign laws and regulations, as well as those factors outlined in Part II, Item 1A, “Risk Factors.”</w:t>
      </w:r>
    </w:p>
    <w:p>
      <w:pPr>
        <w:spacing w:after="0" w:line="165"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Our revenue is primarily derived from usage-based fees we charge for certain of our products, which can lead to variability and at times create significant differences between forecasts and actual results. In addition, our product mix and mix of international and domestic customers may significantly impact our gross margin. Because usage trends by geographic region and by customer are inherently difficult to estimate, our actual results could differ significantly from our estimates, particularly if market and industry specific conditions continue to shift.</w:t>
      </w:r>
    </w:p>
    <w:p>
      <w:pPr>
        <w:spacing w:after="0" w:line="171"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In September 2022, we announced our decision to commit to a Restructuring Plan that was designed to reduce operating costs, improve operating margins and shift our selling capacity to accelerate software sales. The Restructuring Plan includes elimination of approximately 11% of our workforce. We recorded an aggregate restructuring charge of $72.5 million in the third quarter of 2022 and expect to record additional charges of approximately $10.0 million to $15.0 million until all activities under our Restructuring Plan are completed. Refer to Note 6 of our unaudited condensed consolidated financial statements included elsewhere in this Quarterly Report on Form 10-Q for further details on this event.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May 2022, we announced our decision to become a remote-first company, whereby employees would have the flexibility to work remotely on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permanent basis. As part of our new operating strategy, in the third quarter, we permanently closed several of our office locations which resulted in an impairment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several long-lived assets, including our operating leases, leasehold improvement and property and equipment. We recorded a total impairment charge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$97.7 million in the third quarter of 2022 and expect to record an estimated additional charge of approximately $5.0 million to $10.0 million in the first quarter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200"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In May 2022, we acquired a 44.55% equity interest in Syniverse Corporation (“Syniverse”) for $750.0 million in cash. In the three months ended September 30, 2022, we recorded $13.4 million of our proportionate share of Syniverse’s net loss and the amortization of the excess investment basis, as well as $4.2 million of our proportionate share of Syniverse’s other comprehensive loss into our unaudited condensed consolidated statements of operations and comprehensive loss, respectively, included elsewhere in this Quarterly report on Form 10-Q. For further description of this transaction, refer to Notes 2 and 8 to our unaudited condensed consolidated financial statements included elsewhere in this Quarterly Report on Form 10-Q</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0" w:firstLine="464"/>
        <w:spacing w:after="0" w:line="264" w:lineRule="auto"/>
        <w:rPr>
          <w:sz w:val="20"/>
          <w:szCs w:val="20"/>
          <w:color w:val="auto"/>
        </w:rPr>
      </w:pPr>
      <w:r>
        <w:rPr>
          <w:rFonts w:ascii="Times New Roman" w:cs="Times New Roman" w:eastAsia="Times New Roman" w:hAnsi="Times New Roman"/>
          <w:sz w:val="17"/>
          <w:szCs w:val="17"/>
          <w:color w:val="auto"/>
        </w:rPr>
        <w:t>In July 2022, we adopted a new sabbatical program for our tenured employees, whereby every three years employees may apply for a paid sabbatical leave of four consecutive weeks. Employees who had already accumulated more than three years of tenure with us as of the program’s effective date on July 1, 2022, became immediately eligible for their sabbatical leaves. As of September 30, 2022, we recorded a $29.2 million liability related to the adoption and subsequent activity under this program. In the quarters subsequent to the adoption, we do not expect the impact from this program to be significant to our results of operations.</w:t>
      </w:r>
    </w:p>
    <w:p>
      <w:pPr>
        <w:spacing w:after="0" w:line="171"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We continue to execute against our two primary priorities of accelerating software sales and delivering non-GAAP operating profit starting in 2023. To this end, our hiring efforts are focused on areas that we believe will unlock significant value and present strong opportunities for continued growth, such as Twilio Segment, Twilio Engage and Twilio Flex, and we have frozen the vast majority of new hires and backfills outside of these areas. We are also shifting more of our selling capacity to software, while looking to leverage more of our self-service capability for customers that don't need direct account coverage.</w:t>
      </w:r>
    </w:p>
    <w:p>
      <w:pPr>
        <w:spacing w:after="0" w:line="171"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We continue to see strong demand for our portfolio of products that make up our customer engagement platform and overall our business has remained resilient. However, we have seen a more pronounced impact to our business from macro-economics factors than we have in prior quarters. We generate a portion of our revenue from certain sectors of the economy that have experienced recent softness due to macro-economic headwinds, including cryptocurrencies, consumer on-demand, retail, e-commerce, and social media, we are starting to see some instances of delays in purchasing decisions and longer sales cycles.</w:t>
      </w:r>
    </w:p>
    <w:p>
      <w:pPr>
        <w:spacing w:after="0" w:line="171"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and as a percentage of our total revenue for those periods. We have included Zipwhip in our results of operations prospectively after its closing date of July 14, 2021, and all other acquisitions from the respective closing dates of each acquisition. The period-to-period comparison of our historical results are not indicative of the results that may be expected in the future.</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8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Pr>
          <w:p>
            <w:pPr>
              <w:spacing w:after="0"/>
              <w:rPr>
                <w:sz w:val="16"/>
                <w:szCs w:val="16"/>
                <w:color w:val="auto"/>
              </w:rPr>
            </w:pPr>
          </w:p>
        </w:tc>
        <w:tc>
          <w:tcPr>
            <w:tcW w:w="1860" w:type="dxa"/>
            <w:vAlign w:val="bottom"/>
            <w:gridSpan w:val="3"/>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4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Data:</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983,030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740,176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2,801,747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w:t>
            </w:r>
          </w:p>
        </w:tc>
        <w:tc>
          <w:tcPr>
            <w:tcW w:w="0" w:type="dxa"/>
            <w:vAlign w:val="bottom"/>
          </w:tcPr>
          <w:p>
            <w:pPr>
              <w:spacing w:after="0"/>
              <w:rPr>
                <w:sz w:val="1"/>
                <w:szCs w:val="1"/>
                <w:color w:val="auto"/>
              </w:rPr>
            </w:pPr>
          </w:p>
        </w:tc>
      </w:tr>
      <w:tr>
        <w:trPr>
          <w:trHeight w:val="206"/>
        </w:trPr>
        <w:tc>
          <w:tcPr>
            <w:tcW w:w="486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Cost of revenue </w:t>
            </w:r>
            <w:r>
              <w:rPr>
                <w:rFonts w:ascii="Times New Roman" w:cs="Times New Roman" w:eastAsia="Times New Roman" w:hAnsi="Times New Roman"/>
                <w:sz w:val="20"/>
                <w:szCs w:val="20"/>
                <w:color w:val="auto"/>
                <w:vertAlign w:val="superscript"/>
              </w:rPr>
              <w:t>(1) (2)</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520,955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375,561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1,469,312</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1,004</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Gross profit</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462,075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364,615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1,332,435</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w:t>
            </w:r>
          </w:p>
        </w:tc>
        <w:tc>
          <w:tcPr>
            <w:tcW w:w="0" w:type="dxa"/>
            <w:vAlign w:val="bottom"/>
          </w:tcPr>
          <w:p>
            <w:pPr>
              <w:spacing w:after="0"/>
              <w:rPr>
                <w:sz w:val="1"/>
                <w:szCs w:val="1"/>
                <w:color w:val="auto"/>
              </w:rPr>
            </w:pPr>
          </w:p>
        </w:tc>
      </w:tr>
      <w:tr>
        <w:trPr>
          <w:trHeight w:val="183"/>
        </w:trPr>
        <w:tc>
          <w:tcPr>
            <w:tcW w:w="4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20"/>
              <w:spacing w:after="0" w:line="209" w:lineRule="exact"/>
              <w:rPr>
                <w:sz w:val="20"/>
                <w:szCs w:val="20"/>
                <w:color w:val="auto"/>
              </w:rPr>
            </w:pPr>
            <w:r>
              <w:rPr>
                <w:rFonts w:ascii="Times New Roman" w:cs="Times New Roman" w:eastAsia="Times New Roman" w:hAnsi="Times New Roman"/>
                <w:sz w:val="15"/>
                <w:szCs w:val="15"/>
                <w:color w:val="auto"/>
              </w:rPr>
              <w:t xml:space="preserve">Research and development </w:t>
            </w:r>
            <w:r>
              <w:rPr>
                <w:rFonts w:ascii="Times New Roman" w:cs="Times New Roman" w:eastAsia="Times New Roman" w:hAnsi="Times New Roman"/>
                <w:sz w:val="20"/>
                <w:szCs w:val="20"/>
                <w:color w:val="auto"/>
                <w:vertAlign w:val="superscript"/>
              </w:rPr>
              <w:t>(1) (2)</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284,735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209,890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804,987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0" w:type="dxa"/>
            <w:vAlign w:val="bottom"/>
          </w:tcPr>
          <w:p>
            <w:pPr>
              <w:spacing w:after="0"/>
              <w:rPr>
                <w:sz w:val="1"/>
                <w:szCs w:val="1"/>
                <w:color w:val="auto"/>
              </w:rPr>
            </w:pPr>
          </w:p>
        </w:tc>
      </w:tr>
      <w:tr>
        <w:trPr>
          <w:trHeight w:val="206"/>
        </w:trPr>
        <w:tc>
          <w:tcPr>
            <w:tcW w:w="4860" w:type="dxa"/>
            <w:vAlign w:val="bottom"/>
          </w:tcPr>
          <w:p>
            <w:pPr>
              <w:ind w:left="220"/>
              <w:spacing w:after="0" w:line="207" w:lineRule="exact"/>
              <w:rPr>
                <w:sz w:val="20"/>
                <w:szCs w:val="20"/>
                <w:color w:val="auto"/>
              </w:rPr>
            </w:pPr>
            <w:r>
              <w:rPr>
                <w:rFonts w:ascii="Times New Roman" w:cs="Times New Roman" w:eastAsia="Times New Roman" w:hAnsi="Times New Roman"/>
                <w:sz w:val="15"/>
                <w:szCs w:val="15"/>
                <w:color w:val="auto"/>
              </w:rPr>
              <w:t xml:space="preserve">Sales and marketing </w:t>
            </w:r>
            <w:r>
              <w:rPr>
                <w:rFonts w:ascii="Times New Roman" w:cs="Times New Roman" w:eastAsia="Times New Roman" w:hAnsi="Times New Roman"/>
                <w:sz w:val="20"/>
                <w:szCs w:val="20"/>
                <w:color w:val="auto"/>
                <w:vertAlign w:val="superscript"/>
              </w:rPr>
              <w:t>(1) (2)</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328,833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264,548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951,697</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w:t>
            </w:r>
          </w:p>
        </w:tc>
        <w:tc>
          <w:tcPr>
            <w:tcW w:w="0" w:type="dxa"/>
            <w:vAlign w:val="bottom"/>
          </w:tcPr>
          <w:p>
            <w:pPr>
              <w:spacing w:after="0"/>
              <w:rPr>
                <w:sz w:val="1"/>
                <w:szCs w:val="1"/>
                <w:color w:val="auto"/>
              </w:rPr>
            </w:pPr>
          </w:p>
        </w:tc>
      </w:tr>
      <w:tr>
        <w:trPr>
          <w:trHeight w:val="206"/>
        </w:trPr>
        <w:tc>
          <w:tcPr>
            <w:tcW w:w="486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15"/>
                <w:szCs w:val="15"/>
                <w:color w:val="auto"/>
              </w:rPr>
              <w:t xml:space="preserve">General and administrative </w:t>
            </w:r>
            <w:r>
              <w:rPr>
                <w:rFonts w:ascii="Times New Roman" w:cs="Times New Roman" w:eastAsia="Times New Roman" w:hAnsi="Times New Roman"/>
                <w:sz w:val="20"/>
                <w:szCs w:val="20"/>
                <w:color w:val="auto"/>
                <w:vertAlign w:val="superscript"/>
              </w:rPr>
              <w:t>(1) (2)</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122,522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392,319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0" w:type="dxa"/>
            <w:vAlign w:val="bottom"/>
          </w:tcPr>
          <w:p>
            <w:pPr>
              <w:spacing w:after="0"/>
              <w:rPr>
                <w:sz w:val="1"/>
                <w:szCs w:val="1"/>
                <w:color w:val="auto"/>
              </w:rPr>
            </w:pPr>
          </w:p>
        </w:tc>
      </w:tr>
      <w:tr>
        <w:trPr>
          <w:trHeight w:val="206"/>
        </w:trPr>
        <w:tc>
          <w:tcPr>
            <w:tcW w:w="4860" w:type="dxa"/>
            <w:vAlign w:val="bottom"/>
          </w:tcPr>
          <w:p>
            <w:pPr>
              <w:ind w:left="220"/>
              <w:spacing w:after="0" w:line="207" w:lineRule="exact"/>
              <w:rPr>
                <w:sz w:val="20"/>
                <w:szCs w:val="20"/>
                <w:color w:val="auto"/>
              </w:rPr>
            </w:pPr>
            <w:r>
              <w:rPr>
                <w:rFonts w:ascii="Times New Roman" w:cs="Times New Roman" w:eastAsia="Times New Roman" w:hAnsi="Times New Roman"/>
                <w:sz w:val="15"/>
                <w:szCs w:val="15"/>
                <w:color w:val="auto"/>
              </w:rPr>
              <w:t xml:space="preserve">Restructuring costs </w:t>
            </w:r>
            <w:r>
              <w:rPr>
                <w:rFonts w:ascii="Times New Roman" w:cs="Times New Roman" w:eastAsia="Times New Roman" w:hAnsi="Times New Roman"/>
                <w:sz w:val="20"/>
                <w:szCs w:val="20"/>
                <w:color w:val="auto"/>
                <w:vertAlign w:val="superscript"/>
              </w:rPr>
              <w:t>(1)</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72,451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Impairment of long-lived assets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97,722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919,072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596,960</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2,319,176</w:t>
            </w:r>
          </w:p>
        </w:tc>
        <w:tc>
          <w:tcPr>
            <w:tcW w:w="8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1,626</w:t>
            </w: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Loss from operations</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(456,997)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(232,345)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(986,741)</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w:t>
            </w:r>
          </w:p>
        </w:tc>
        <w:tc>
          <w:tcPr>
            <w:tcW w:w="0" w:type="dxa"/>
            <w:vAlign w:val="bottom"/>
          </w:tcPr>
          <w:p>
            <w:pPr>
              <w:spacing w:after="0"/>
              <w:rPr>
                <w:sz w:val="1"/>
                <w:szCs w:val="1"/>
                <w:color w:val="auto"/>
              </w:rPr>
            </w:pPr>
          </w:p>
        </w:tc>
      </w:tr>
      <w:tr>
        <w:trPr>
          <w:trHeight w:val="183"/>
        </w:trPr>
        <w:tc>
          <w:tcPr>
            <w:tcW w:w="4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expenses, net:</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 of losses from equity method investment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net</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(6,613)</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(23,290)</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other expenses, net</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(6,613)</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(36,666)</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96"/>
        </w:trPr>
        <w:tc>
          <w:tcPr>
            <w:tcW w:w="4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Loss before (provision for) benefit from income taxes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(478,747)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(238,958)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(1,023,407)</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w:t>
            </w:r>
          </w:p>
        </w:tc>
        <w:tc>
          <w:tcPr>
            <w:tcW w:w="0" w:type="dxa"/>
            <w:vAlign w:val="bottom"/>
          </w:tcPr>
          <w:p>
            <w:pPr>
              <w:spacing w:after="0"/>
              <w:rPr>
                <w:sz w:val="1"/>
                <w:szCs w:val="1"/>
                <w:color w:val="auto"/>
              </w:rPr>
            </w:pPr>
          </w:p>
        </w:tc>
      </w:tr>
      <w:tr>
        <w:trPr>
          <w:trHeight w:val="20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benefit from income taxes</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14,849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(3,316)</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2"/>
        </w:trPr>
        <w:tc>
          <w:tcPr>
            <w:tcW w:w="4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(482,327)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(224,109)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(1,026,723)</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(658</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860" w:type="dxa"/>
            <w:vAlign w:val="bottom"/>
            <w:shd w:val="clear" w:color="auto" w:fill="CCEEFF"/>
          </w:tcPr>
          <w:p>
            <w:pPr>
              <w:ind w:left="340"/>
              <w:spacing w:after="0" w:line="121" w:lineRule="exact"/>
              <w:rPr>
                <w:sz w:val="20"/>
                <w:szCs w:val="20"/>
                <w:color w:val="auto"/>
              </w:rPr>
            </w:pPr>
            <w:r>
              <w:rPr>
                <w:rFonts w:ascii="Times New Roman" w:cs="Times New Roman" w:eastAsia="Times New Roman" w:hAnsi="Times New Roman"/>
                <w:sz w:val="14"/>
                <w:szCs w:val="14"/>
                <w:color w:val="auto"/>
              </w:rPr>
              <w:t>Net loss per share attributable to common</w:t>
            </w:r>
          </w:p>
        </w:tc>
        <w:tc>
          <w:tcPr>
            <w:tcW w:w="360" w:type="dxa"/>
            <w:vAlign w:val="bottom"/>
            <w:vMerge w:val="restart"/>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48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stockholders, basic and diluted</w:t>
            </w: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340"/>
              <w:spacing w:after="0" w:line="141" w:lineRule="exact"/>
              <w:rPr>
                <w:sz w:val="20"/>
                <w:szCs w:val="20"/>
                <w:color w:val="auto"/>
              </w:rPr>
            </w:pPr>
            <w:r>
              <w:rPr>
                <w:rFonts w:ascii="Times New Roman" w:cs="Times New Roman" w:eastAsia="Times New Roman" w:hAnsi="Times New Roman"/>
                <w:sz w:val="15"/>
                <w:szCs w:val="15"/>
                <w:color w:val="auto"/>
              </w:rPr>
              <w:t>Weighted-average shares used in computing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8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860" w:type="dxa"/>
            <w:vAlign w:val="bottom"/>
          </w:tcPr>
          <w:p>
            <w:pPr>
              <w:ind w:left="520"/>
              <w:spacing w:after="0" w:line="155" w:lineRule="exact"/>
              <w:rPr>
                <w:sz w:val="20"/>
                <w:szCs w:val="20"/>
                <w:color w:val="auto"/>
              </w:rPr>
            </w:pPr>
            <w:r>
              <w:rPr>
                <w:rFonts w:ascii="Times New Roman" w:cs="Times New Roman" w:eastAsia="Times New Roman" w:hAnsi="Times New Roman"/>
                <w:sz w:val="15"/>
                <w:szCs w:val="15"/>
                <w:color w:val="auto"/>
              </w:rPr>
              <w:t>loss per share attributable to common</w:t>
            </w:r>
          </w:p>
        </w:tc>
        <w:tc>
          <w:tcPr>
            <w:tcW w:w="3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183,692,564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177,231,285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182,319,735</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172,605</w:t>
            </w:r>
          </w:p>
        </w:tc>
        <w:tc>
          <w:tcPr>
            <w:tcW w:w="0" w:type="dxa"/>
            <w:vAlign w:val="bottom"/>
          </w:tcPr>
          <w:p>
            <w:pPr>
              <w:spacing w:after="0"/>
              <w:rPr>
                <w:sz w:val="1"/>
                <w:szCs w:val="1"/>
                <w:color w:val="auto"/>
              </w:rPr>
            </w:pPr>
          </w:p>
        </w:tc>
      </w:tr>
      <w:tr>
        <w:trPr>
          <w:trHeight w:val="180"/>
        </w:trPr>
        <w:tc>
          <w:tcPr>
            <w:tcW w:w="48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stockholders, basic and diluted</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 Includes stock-based compensation expense as follows:</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5"/>
                <w:szCs w:val="15"/>
                <w:color w:val="auto"/>
              </w:rPr>
            </w:pPr>
          </w:p>
        </w:tc>
      </w:tr>
      <w:tr>
        <w:trPr>
          <w:trHeight w:val="193"/>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r>
      <w:tr>
        <w:trPr>
          <w:trHeight w:val="22"/>
        </w:trPr>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1"/>
        </w:trPr>
        <w:tc>
          <w:tcPr>
            <w:tcW w:w="4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3,720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14,631</w:t>
            </w:r>
          </w:p>
        </w:tc>
        <w:tc>
          <w:tcPr>
            <w:tcW w:w="64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9,461</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90,787</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69,242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279,680</w:t>
            </w:r>
          </w:p>
        </w:tc>
        <w:tc>
          <w:tcPr>
            <w:tcW w:w="6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185,072</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and marketing</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58,747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53,843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184,825</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143,419</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37,973</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37,238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111,850</w:t>
            </w:r>
          </w:p>
        </w:tc>
        <w:tc>
          <w:tcPr>
            <w:tcW w:w="6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107,414</w:t>
            </w:r>
          </w:p>
        </w:tc>
      </w:tr>
      <w:tr>
        <w:trPr>
          <w:trHeight w:val="20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Restructuring costs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15,274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15,274</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5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208,895</w:t>
            </w:r>
          </w:p>
        </w:tc>
        <w:tc>
          <w:tcPr>
            <w:tcW w:w="1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164,043</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606,260</w:t>
            </w:r>
          </w:p>
        </w:tc>
        <w:tc>
          <w:tcPr>
            <w:tcW w:w="64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445,366</w:t>
            </w:r>
          </w:p>
        </w:tc>
      </w:tr>
      <w:tr>
        <w:trPr>
          <w:trHeight w:val="20"/>
        </w:trPr>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 Includes amortization of acquired intangibles as follows:</w:t>
      </w:r>
    </w:p>
    <w:p>
      <w:pPr>
        <w:spacing w:after="0" w:line="171"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6"/>
          </w:tcPr>
          <w:p>
            <w:pPr>
              <w:jc w:val="center"/>
              <w:ind w:left="447"/>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6"/>
          </w:tcPr>
          <w:p>
            <w:pPr>
              <w:jc w:val="center"/>
              <w:ind w:left="44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4"/>
          </w:tcPr>
          <w:p>
            <w:pPr>
              <w:ind w:left="560"/>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30,729</w:t>
            </w:r>
          </w:p>
        </w:tc>
        <w:tc>
          <w:tcPr>
            <w:tcW w:w="500" w:type="dxa"/>
            <w:vAlign w:val="bottom"/>
            <w:gridSpan w:val="3"/>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31,558</w:t>
            </w:r>
          </w:p>
        </w:tc>
        <w:tc>
          <w:tcPr>
            <w:tcW w:w="5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92,601</w:t>
            </w:r>
          </w:p>
        </w:tc>
        <w:tc>
          <w:tcPr>
            <w:tcW w:w="620" w:type="dxa"/>
            <w:vAlign w:val="bottom"/>
            <w:gridSpan w:val="2"/>
            <w:shd w:val="clear" w:color="auto" w:fill="CCEEFF"/>
          </w:tcPr>
          <w:p>
            <w:pPr>
              <w:jc w:val="right"/>
              <w:ind w:right="36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84,104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840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61,197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51,649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55,761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155,280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146,266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7"/>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5"/>
          </w:tcPr>
          <w:p>
            <w:pPr>
              <w:jc w:val="right"/>
              <w:ind w:right="58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2"/>
        </w:trPr>
        <w:tc>
          <w:tcPr>
            <w:tcW w:w="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160" w:type="dxa"/>
            <w:vAlign w:val="bottom"/>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Consolidated Statements of Operations, as a percentage of</w:t>
            </w:r>
          </w:p>
        </w:tc>
        <w:tc>
          <w:tcPr>
            <w:tcW w:w="3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revenue: **</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0" w:type="dxa"/>
            <w:vAlign w:val="bottom"/>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100 %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100 %</w:t>
            </w:r>
          </w:p>
        </w:tc>
        <w:tc>
          <w:tcPr>
            <w:tcW w:w="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3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163"/>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52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Gross profit</w:t>
            </w:r>
          </w:p>
        </w:tc>
        <w:tc>
          <w:tcPr>
            <w:tcW w:w="36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48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29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Sales and marketing</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3"/>
          </w:tcPr>
          <w:p>
            <w:pPr>
              <w:jc w:val="right"/>
              <w:ind w:right="163"/>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2"/>
          </w:tcPr>
          <w:p>
            <w:pPr>
              <w:jc w:val="right"/>
              <w:ind w:right="163"/>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34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Restructuring costs</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3"/>
          </w:tcPr>
          <w:p>
            <w:pPr>
              <w:jc w:val="right"/>
              <w:ind w:right="163"/>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spacing w:after="0"/>
              <w:rPr>
                <w:sz w:val="17"/>
                <w:szCs w:val="17"/>
                <w:color w:val="auto"/>
              </w:rPr>
            </w:pPr>
          </w:p>
        </w:tc>
        <w:tc>
          <w:tcPr>
            <w:tcW w:w="62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Impairment of long-lived assets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6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3"/>
          </w:tcPr>
          <w:p>
            <w:pPr>
              <w:jc w:val="right"/>
              <w:ind w:right="163"/>
              <w:spacing w:after="0"/>
              <w:rPr>
                <w:sz w:val="20"/>
                <w:szCs w:val="20"/>
                <w:color w:val="auto"/>
              </w:rPr>
            </w:pPr>
            <w:r>
              <w:rPr>
                <w:rFonts w:ascii="Times New Roman" w:cs="Times New Roman" w:eastAsia="Times New Roman" w:hAnsi="Times New Roman"/>
                <w:sz w:val="15"/>
                <w:szCs w:val="15"/>
                <w:color w:val="auto"/>
              </w:rPr>
              <w:t>93</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5"/>
                <w:szCs w:val="15"/>
                <w:color w:val="auto"/>
              </w:rPr>
              <w:t>81</w:t>
            </w:r>
          </w:p>
        </w:tc>
        <w:tc>
          <w:tcPr>
            <w:tcW w:w="1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83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Loss from operations</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(35)</w:t>
            </w:r>
          </w:p>
        </w:tc>
        <w:tc>
          <w:tcPr>
            <w:tcW w:w="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expenses, net</w:t>
            </w:r>
          </w:p>
        </w:tc>
        <w:tc>
          <w:tcPr>
            <w:tcW w:w="3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 of losses from equity method investment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net</w:t>
            </w:r>
          </w:p>
        </w:tc>
        <w:tc>
          <w:tcPr>
            <w:tcW w:w="3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127"/>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other expenses, net</w:t>
            </w:r>
          </w:p>
        </w:tc>
        <w:tc>
          <w:tcPr>
            <w:tcW w:w="36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Loss before (provision for) benefit from income taxes</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gridSpan w:val="2"/>
          </w:tcPr>
          <w:p>
            <w:pPr>
              <w:jc w:val="right"/>
              <w:ind w:right="127"/>
              <w:spacing w:after="0"/>
              <w:rPr>
                <w:sz w:val="20"/>
                <w:szCs w:val="20"/>
                <w:color w:val="auto"/>
              </w:rPr>
            </w:pPr>
            <w:r>
              <w:rPr>
                <w:rFonts w:ascii="Times New Roman" w:cs="Times New Roman" w:eastAsia="Times New Roman" w:hAnsi="Times New Roman"/>
                <w:sz w:val="15"/>
                <w:szCs w:val="15"/>
                <w:color w:val="auto"/>
              </w:rPr>
              <w:t>(37)</w:t>
            </w:r>
          </w:p>
        </w:tc>
        <w:tc>
          <w:tcPr>
            <w:tcW w:w="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benefit from income taxes</w:t>
            </w:r>
          </w:p>
        </w:tc>
        <w:tc>
          <w:tcPr>
            <w:tcW w:w="3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4160" w:type="dxa"/>
            <w:vAlign w:val="bottom"/>
          </w:tcPr>
          <w:p>
            <w:pPr>
              <w:ind w:left="320"/>
              <w:spacing w:after="0" w:line="136" w:lineRule="exact"/>
              <w:rPr>
                <w:sz w:val="20"/>
                <w:szCs w:val="20"/>
                <w:color w:val="auto"/>
              </w:rPr>
            </w:pPr>
            <w:r>
              <w:rPr>
                <w:rFonts w:ascii="Times New Roman" w:cs="Times New Roman" w:eastAsia="Times New Roman" w:hAnsi="Times New Roman"/>
                <w:sz w:val="15"/>
                <w:szCs w:val="15"/>
                <w:color w:val="auto"/>
              </w:rPr>
              <w:t>Net loss attributable to common</w:t>
            </w: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(49 %)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40" w:type="dxa"/>
            <w:vAlign w:val="bottom"/>
          </w:tcPr>
          <w:p>
            <w:pPr>
              <w:spacing w:after="0"/>
              <w:rPr>
                <w:sz w:val="11"/>
                <w:szCs w:val="11"/>
                <w:color w:val="auto"/>
              </w:rPr>
            </w:pPr>
          </w:p>
        </w:tc>
        <w:tc>
          <w:tcPr>
            <w:tcW w:w="1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1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stockholders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 Less than 0.5% of revenue.</w:t>
      </w:r>
    </w:p>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 Columns may not add up to 100% due to rounding.</w:t>
      </w: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September 30, 2022 and 2021</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344" w:lineRule="exact"/>
        <w:rPr>
          <w:sz w:val="20"/>
          <w:szCs w:val="20"/>
          <w:color w:val="auto"/>
        </w:rPr>
      </w:pPr>
    </w:p>
    <w:tbl>
      <w:tblPr>
        <w:tblLayout w:type="fixed"/>
        <w:tblInd w:w="2200" w:type="dxa"/>
        <w:tblCellMar>
          <w:top w:w="0" w:type="dxa"/>
          <w:left w:w="0" w:type="dxa"/>
          <w:bottom w:w="0" w:type="dxa"/>
          <w:right w:w="0" w:type="dxa"/>
        </w:tblCellMar>
      </w:tblPr>
      <w:tr>
        <w:trPr>
          <w:trHeight w:val="182"/>
        </w:trPr>
        <w:tc>
          <w:tcPr>
            <w:tcW w:w="2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4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gridSpan w:val="3"/>
          </w:tcPr>
          <w:p>
            <w:pPr>
              <w:jc w:val="right"/>
              <w:ind w:right="203"/>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w:t>
            </w:r>
          </w:p>
        </w:tc>
        <w:tc>
          <w:tcPr>
            <w:tcW w:w="860" w:type="dxa"/>
            <w:vAlign w:val="bottom"/>
            <w:shd w:val="clear" w:color="auto" w:fill="CCEEFF"/>
          </w:tcPr>
          <w:p>
            <w:pPr>
              <w:jc w:val="right"/>
              <w:ind w:right="707"/>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983,030</w:t>
            </w:r>
          </w:p>
        </w:tc>
        <w:tc>
          <w:tcPr>
            <w:tcW w:w="66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740,176</w:t>
            </w:r>
          </w:p>
        </w:tc>
        <w:tc>
          <w:tcPr>
            <w:tcW w:w="4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5"/>
                <w:szCs w:val="15"/>
                <w:color w:val="auto"/>
              </w:rPr>
              <w:t>242,854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right="20" w:firstLine="464"/>
        <w:spacing w:after="0" w:line="209" w:lineRule="exact"/>
        <w:rPr>
          <w:sz w:val="20"/>
          <w:szCs w:val="20"/>
          <w:color w:val="auto"/>
        </w:rPr>
      </w:pPr>
      <w:r>
        <w:rPr>
          <w:rFonts w:ascii="Times New Roman" w:cs="Times New Roman" w:eastAsia="Times New Roman" w:hAnsi="Times New Roman"/>
          <w:sz w:val="17"/>
          <w:szCs w:val="17"/>
          <w:color w:val="auto"/>
        </w:rPr>
        <w:t>In the three months ended September 30, 2022, total revenue increased by $242.9 million, or 33%, compared to the same period last year. This increase was primarily attributable to an increase in the usage of our products, particularly our Programmable Messaging, Programmable Voice, Email, Segment and Flex; the adoption of additional products by our existing customers; and revenue contributions from our acquisition of Zipwhip and other businesses. The change in usage from our existing customers was reflected in our Dollar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Net Expansion Rate of 122% for the three months ended September 30, 2022. The increase in usage was also attributable to a 12% increase in the number of Active Customer Accounts, from over 250,000 as of September 30, 2021, to over 280,000 as of September 30, 2022.</w:t>
      </w:r>
    </w:p>
    <w:p>
      <w:pPr>
        <w:spacing w:after="0" w:line="193"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color w:val="auto"/>
        </w:rPr>
        <w:t>In the three months ended September 30, 2022, U.S. revenue and international revenue represented $650.5 million or 66%, and $332.5 million, or 34%, respectively, of total revenue. In the three months ended September 30, 2021, U.S. revenue and international revenue represented $498.0 million, or 67%, and $242.2 million, or 33%, respectively, of total revenue. The increase in international revenue was attributable to the growth in usage of our products, particularly our Programmable Messaging products, by our existing international customers; an 11% increase in the number of international Active Customer Accounts driven in part by our focus on expanding our sales to customers outside of the United States; and revenue contribution from our recent acquisitions.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and Gross Margin</w:t>
      </w:r>
    </w:p>
    <w:p>
      <w:pPr>
        <w:spacing w:after="0" w:line="344" w:lineRule="exact"/>
        <w:rPr>
          <w:sz w:val="20"/>
          <w:szCs w:val="20"/>
          <w:color w:val="auto"/>
        </w:rPr>
      </w:pPr>
    </w:p>
    <w:tbl>
      <w:tblPr>
        <w:tblLayout w:type="fixed"/>
        <w:tblInd w:w="232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3"/>
          </w:tcPr>
          <w:p>
            <w:pPr>
              <w:jc w:val="right"/>
              <w:ind w:right="88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3"/>
          </w:tcPr>
          <w:p>
            <w:pPr>
              <w:jc w:val="right"/>
              <w:ind w:right="108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5"/>
                <w:szCs w:val="15"/>
                <w:color w:val="auto"/>
              </w:rPr>
              <w:t>520,955</w:t>
            </w:r>
          </w:p>
        </w:tc>
        <w:tc>
          <w:tcPr>
            <w:tcW w:w="2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5"/>
                <w:szCs w:val="15"/>
                <w:color w:val="auto"/>
              </w:rPr>
              <w:t>375,561</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5"/>
                <w:szCs w:val="15"/>
                <w:color w:val="auto"/>
              </w:rPr>
              <w:t>145,394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0" w:type="dxa"/>
            <w:vAlign w:val="bottom"/>
          </w:tcPr>
          <w:p>
            <w:pPr>
              <w:spacing w:after="0"/>
              <w:rPr>
                <w:sz w:val="1"/>
                <w:szCs w:val="1"/>
                <w:color w:val="auto"/>
              </w:rPr>
            </w:pPr>
          </w:p>
        </w:tc>
      </w:tr>
      <w:tr>
        <w:trPr>
          <w:trHeight w:val="201"/>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Gross margin</w:t>
            </w: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47 %</w:t>
            </w:r>
          </w:p>
        </w:tc>
        <w:tc>
          <w:tcPr>
            <w:tcW w:w="280" w:type="dxa"/>
            <w:vAlign w:val="bottom"/>
          </w:tcPr>
          <w:p>
            <w:pPr>
              <w:spacing w:after="0"/>
              <w:rPr>
                <w:sz w:val="17"/>
                <w:szCs w:val="17"/>
                <w:color w:val="auto"/>
              </w:rPr>
            </w:pPr>
          </w:p>
        </w:tc>
        <w:tc>
          <w:tcPr>
            <w:tcW w:w="13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49 %</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In the three months ended September 30, 2022, cost of revenue increased by $145.4 million, or 39%, compared to the same period last year. The increase in cost of revenue was primarily attributable to a $111.8 million increase in network service providers’ costs, which included the additional A2P fees imposed by certain carriers, and a $9.6 million increase in cloud infrastructure fees, all to support the growth in usage of our products.</w:t>
      </w:r>
    </w:p>
    <w:p>
      <w:pPr>
        <w:spacing w:after="0" w:line="165"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In the three months ended September 30, 2022, the gross margin percentage declined compared to the same period last year. This decline was primarily driven by continued strong growth of our lower margin international messaging business. These declines were partially offset by certain operational improvements.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344" w:lineRule="exact"/>
        <w:rPr>
          <w:sz w:val="20"/>
          <w:szCs w:val="20"/>
          <w:color w:val="auto"/>
        </w:rPr>
      </w:pPr>
    </w:p>
    <w:tbl>
      <w:tblPr>
        <w:tblLayout w:type="fixed"/>
        <w:tblInd w:w="218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3"/>
          </w:tcPr>
          <w:p>
            <w:pPr>
              <w:jc w:val="right"/>
              <w:ind w:right="103"/>
              <w:spacing w:after="0"/>
              <w:rPr>
                <w:sz w:val="20"/>
                <w:szCs w:val="20"/>
                <w:color w:val="auto"/>
              </w:rPr>
            </w:pPr>
            <w:r>
              <w:rPr>
                <w:rFonts w:ascii="Times New Roman" w:cs="Times New Roman" w:eastAsia="Times New Roman" w:hAnsi="Times New Roman"/>
                <w:sz w:val="14"/>
                <w:szCs w:val="14"/>
                <w:color w:val="auto"/>
                <w:w w:val="96"/>
              </w:rPr>
              <w:t>(Dollars in thousands)</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284,735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209,890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74,845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32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328,833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264,548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64,285</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24 %</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135,331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122,522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12,809</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Restructuring costs</w:t>
            </w:r>
          </w:p>
        </w:tc>
        <w:tc>
          <w:tcPr>
            <w:tcW w:w="32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72,451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72,451</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20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Impairment of long-lived assets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97,722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97,722</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202"/>
        </w:trPr>
        <w:tc>
          <w:tcPr>
            <w:tcW w:w="27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919,072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596,960</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322,112</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right="160" w:firstLine="464"/>
        <w:spacing w:after="0" w:line="264" w:lineRule="auto"/>
        <w:rPr>
          <w:sz w:val="20"/>
          <w:szCs w:val="20"/>
          <w:color w:val="auto"/>
        </w:rPr>
      </w:pPr>
      <w:r>
        <w:rPr>
          <w:rFonts w:ascii="Times New Roman" w:cs="Times New Roman" w:eastAsia="Times New Roman" w:hAnsi="Times New Roman"/>
          <w:sz w:val="17"/>
          <w:szCs w:val="17"/>
          <w:color w:val="auto"/>
        </w:rPr>
        <w:t>In the three months ended September 30, 2022, research and development expenses increased by $74.8 million, or 36%, compared to the same period last year. The increase was primarily attributable to a $70.1 million increase in personnel costs, largely as a result of a 32% average increase in our research and development headcount, excluding the impact of our Restructuring Plan, as we continued to focus on enhancing our Twilio Segment and Flex products and strengthening our platform infrastructure.</w:t>
      </w:r>
    </w:p>
    <w:p>
      <w:pPr>
        <w:spacing w:after="0" w:line="171" w:lineRule="exact"/>
        <w:rPr>
          <w:sz w:val="20"/>
          <w:szCs w:val="20"/>
          <w:color w:val="auto"/>
        </w:rPr>
      </w:pPr>
    </w:p>
    <w:p>
      <w:pPr>
        <w:ind w:right="220" w:firstLine="464"/>
        <w:spacing w:after="0" w:line="270" w:lineRule="auto"/>
        <w:rPr>
          <w:sz w:val="20"/>
          <w:szCs w:val="20"/>
          <w:color w:val="auto"/>
        </w:rPr>
      </w:pPr>
      <w:r>
        <w:rPr>
          <w:rFonts w:ascii="Times New Roman" w:cs="Times New Roman" w:eastAsia="Times New Roman" w:hAnsi="Times New Roman"/>
          <w:sz w:val="17"/>
          <w:szCs w:val="17"/>
          <w:color w:val="auto"/>
        </w:rPr>
        <w:t>In the three months ended September 30, 2022, sales and marketing expenses increased by $64.3 million, or 24%, compared to the same period last year. The increase was primarily attributable to a $58.5 million increase in personnel costs, largely as a result of a 27% average increase in sales and marketing headcount, excluding the impact of our Restructuring Plan, as we continued to expand our sales efforts globally.</w:t>
      </w:r>
    </w:p>
    <w:p>
      <w:pPr>
        <w:spacing w:after="0" w:line="165" w:lineRule="exact"/>
        <w:rPr>
          <w:sz w:val="20"/>
          <w:szCs w:val="20"/>
          <w:color w:val="auto"/>
        </w:rPr>
      </w:pPr>
    </w:p>
    <w:p>
      <w:pPr>
        <w:ind w:right="140" w:firstLine="464"/>
        <w:spacing w:after="0" w:line="261" w:lineRule="auto"/>
        <w:rPr>
          <w:sz w:val="20"/>
          <w:szCs w:val="20"/>
          <w:color w:val="auto"/>
        </w:rPr>
      </w:pPr>
      <w:r>
        <w:rPr>
          <w:rFonts w:ascii="Times New Roman" w:cs="Times New Roman" w:eastAsia="Times New Roman" w:hAnsi="Times New Roman"/>
          <w:sz w:val="17"/>
          <w:szCs w:val="17"/>
          <w:color w:val="auto"/>
        </w:rPr>
        <w:t>In the three months ended September 30, 2022, general and administrative expenses increased by $12.8 million, or 10%, compared to the same period last year. The increase was primarily attributable to a $7.0 million increase in personnel costs, largely as a result of a 17% average increase in general and administrative headcount, excluding the impact of our Restructuring Plan, to support the growth of our business globally. The increase was also attributable to a $9.3 million increase in our bad debt expense and a $1.6 million increase in software subscription expense driven by the increased headcount. These increases were partially offset by a $6.5 million decrease in charitable contribution expense that we made through Twilio.org.</w:t>
      </w:r>
    </w:p>
    <w:p>
      <w:pPr>
        <w:spacing w:after="0" w:line="175" w:lineRule="exact"/>
        <w:rPr>
          <w:sz w:val="20"/>
          <w:szCs w:val="20"/>
          <w:color w:val="auto"/>
        </w:rPr>
      </w:pPr>
    </w:p>
    <w:p>
      <w:pPr>
        <w:jc w:val="both"/>
        <w:ind w:right="420" w:firstLine="464"/>
        <w:spacing w:after="0" w:line="270" w:lineRule="auto"/>
        <w:rPr>
          <w:sz w:val="20"/>
          <w:szCs w:val="20"/>
          <w:color w:val="auto"/>
        </w:rPr>
      </w:pPr>
      <w:r>
        <w:rPr>
          <w:rFonts w:ascii="Times New Roman" w:cs="Times New Roman" w:eastAsia="Times New Roman" w:hAnsi="Times New Roman"/>
          <w:sz w:val="17"/>
          <w:szCs w:val="17"/>
          <w:color w:val="auto"/>
        </w:rPr>
        <w:t>In the three months ended September 30, 2022, we incurred $72.5 million in restructuring costs as a result of our Restructuring Plan approved by the compensation and talent management committee of our board of directors during the third quarter of 2022. For further detail refer to Note 6 to our unaudited condensed consolidated financial statements included elsewhere in this Quarterly Report on Form 10-Q.</w:t>
      </w:r>
    </w:p>
    <w:p>
      <w:pPr>
        <w:spacing w:after="0" w:line="165"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In the three months ended September 30, 2022, we incurred $97.7 million in impairment charges related to our operating lease assets and other long-lived assets. The impairment charges were triggered by our remote-first operating strategy as a result of which we permanently closed several office locations during the third quarter of 2022. For further detail refer to Note 5 to our unaudited condensed consolidated financial statements included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color w:val="auto"/>
        </w:rPr>
        <w:t>Comparison of the Nine Months Ended September 30, 2022 and 2021</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54"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vMerge w:val="restart"/>
          </w:tcPr>
          <w:p>
            <w:pPr>
              <w:jc w:val="right"/>
              <w:ind w:right="62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w w:val="85"/>
              </w:rPr>
              <w:t>2021</w:t>
            </w:r>
          </w:p>
        </w:tc>
        <w:tc>
          <w:tcPr>
            <w:tcW w:w="4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gridSpan w:val="3"/>
          </w:tcPr>
          <w:p>
            <w:pPr>
              <w:jc w:val="right"/>
              <w:ind w:right="143"/>
              <w:spacing w:after="0"/>
              <w:rPr>
                <w:sz w:val="20"/>
                <w:szCs w:val="20"/>
                <w:color w:val="auto"/>
              </w:rPr>
            </w:pPr>
            <w:r>
              <w:rPr>
                <w:rFonts w:ascii="Times New Roman" w:cs="Times New Roman" w:eastAsia="Times New Roman" w:hAnsi="Times New Roman"/>
                <w:sz w:val="14"/>
                <w:szCs w:val="14"/>
                <w:color w:val="auto"/>
              </w:rPr>
              <w:t>(Dollars in thousands)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2,801,747</w:t>
            </w:r>
          </w:p>
        </w:tc>
        <w:tc>
          <w:tcPr>
            <w:tcW w:w="60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1,999,095</w:t>
            </w:r>
          </w:p>
        </w:tc>
        <w:tc>
          <w:tcPr>
            <w:tcW w:w="4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5"/>
                <w:szCs w:val="15"/>
                <w:color w:val="auto"/>
              </w:rPr>
              <w:t>802,652  40%</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80" w:firstLine="464"/>
        <w:spacing w:after="0" w:line="209" w:lineRule="exact"/>
        <w:rPr>
          <w:sz w:val="20"/>
          <w:szCs w:val="20"/>
          <w:color w:val="auto"/>
        </w:rPr>
      </w:pPr>
      <w:r>
        <w:rPr>
          <w:rFonts w:ascii="Times New Roman" w:cs="Times New Roman" w:eastAsia="Times New Roman" w:hAnsi="Times New Roman"/>
          <w:sz w:val="17"/>
          <w:szCs w:val="17"/>
          <w:color w:val="auto"/>
        </w:rPr>
        <w:t>In the nine months ended September 30, 2022, total revenue increased by $802.7 million, or 40%, compared to the same period last year. This increase was primarily attributable to an increase in the usage of our products, particularly our Programmable Messaging, Programmable Voice, Email, Segment and Flex; the adoption of additional products by our existing customers; the additional A2P fees imposed by certain carriers; and revenue contributions from our acquisition of Zipwhip and other businesses. The change in usage from our existing customers was reflected in our Dollar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Net Expansion Rate of 124% for the nine months ended September 30, 2022. The increase in usage was also attributable to a 12% increase in the number of Active Customer Accounts, from over 250,000 as of September 30, 2021, to over 280,000 as of September 30, 2022.</w:t>
      </w:r>
    </w:p>
    <w:p>
      <w:pPr>
        <w:spacing w:after="0" w:line="193" w:lineRule="exact"/>
        <w:rPr>
          <w:sz w:val="20"/>
          <w:szCs w:val="20"/>
          <w:color w:val="auto"/>
        </w:rPr>
      </w:pPr>
    </w:p>
    <w:p>
      <w:pPr>
        <w:ind w:right="120" w:firstLine="464"/>
        <w:spacing w:after="0" w:line="261" w:lineRule="auto"/>
        <w:rPr>
          <w:sz w:val="20"/>
          <w:szCs w:val="20"/>
          <w:color w:val="auto"/>
        </w:rPr>
      </w:pPr>
      <w:r>
        <w:rPr>
          <w:rFonts w:ascii="Times New Roman" w:cs="Times New Roman" w:eastAsia="Times New Roman" w:hAnsi="Times New Roman"/>
          <w:sz w:val="17"/>
          <w:szCs w:val="17"/>
          <w:color w:val="auto"/>
        </w:rPr>
        <w:t>In the nine months ended September 30, 2022, U.S. revenue and international revenue represented $1.8 billion or 66%, and $964.4 million, or 34%, respectively, of total revenue. In the nine months ended September 30, 2021, U.S. revenue and international revenue represented $1.4 billion, or 69%, and $626.7 million, or 31%, respectively, of total revenue. The increase in international revenue was attributable to the growth in usage of our products, particularly our Programmable Messaging products, by our existing international customers; a 11% increase in the number of international Active Customer Accounts driven in part by our focus on expanding our sales to customers outside of the United States; and revenue contribution from our recent acquisitions.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and Gross Margin</w:t>
      </w:r>
    </w:p>
    <w:p>
      <w:pPr>
        <w:spacing w:after="0" w:line="254"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60" w:type="dxa"/>
            <w:vAlign w:val="bottom"/>
            <w:gridSpan w:val="3"/>
          </w:tcPr>
          <w:p>
            <w:pPr>
              <w:jc w:val="right"/>
              <w:ind w:right="143"/>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5"/>
                <w:szCs w:val="15"/>
                <w:color w:val="auto"/>
              </w:rPr>
              <w:t>1,469,312</w:t>
            </w:r>
          </w:p>
        </w:tc>
        <w:tc>
          <w:tcPr>
            <w:tcW w:w="60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rPr>
              <w:t>1,004,929</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5"/>
                <w:szCs w:val="15"/>
                <w:color w:val="auto"/>
              </w:rPr>
              <w:t>464,383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46 %</w:t>
            </w:r>
          </w:p>
        </w:tc>
        <w:tc>
          <w:tcPr>
            <w:tcW w:w="0" w:type="dxa"/>
            <w:vAlign w:val="bottom"/>
          </w:tcPr>
          <w:p>
            <w:pPr>
              <w:spacing w:after="0"/>
              <w:rPr>
                <w:sz w:val="1"/>
                <w:szCs w:val="1"/>
                <w:color w:val="auto"/>
              </w:rPr>
            </w:pPr>
          </w:p>
        </w:tc>
      </w:tr>
      <w:tr>
        <w:trPr>
          <w:trHeight w:val="201"/>
        </w:trPr>
        <w:tc>
          <w:tcPr>
            <w:tcW w:w="2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margin</w:t>
            </w:r>
          </w:p>
        </w:tc>
        <w:tc>
          <w:tcPr>
            <w:tcW w:w="3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48 %</w:t>
            </w:r>
          </w:p>
        </w:tc>
        <w:tc>
          <w:tcPr>
            <w:tcW w:w="600" w:type="dxa"/>
            <w:vAlign w:val="bottom"/>
          </w:tcPr>
          <w:p>
            <w:pPr>
              <w:spacing w:after="0"/>
              <w:rPr>
                <w:sz w:val="17"/>
                <w:szCs w:val="17"/>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50 %</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In the nine months ended September 30, 2022, cost of revenue increased by $464.4 million, or 46%, compared to the same period last year. The increase in cost of revenue was primarily attributable to a $377.3 million increase in network service providers’ costs, which included the additional A2P fees imposed by certain carriers, a $27.2 million increase in cloud infrastructure fees, all to support the growth in usage of our products, and an $8.5 million increase in amortization expense related to our acquired intangible assets.</w:t>
      </w:r>
    </w:p>
    <w:p>
      <w:pPr>
        <w:spacing w:after="0" w:line="171"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In the nine months ended September 30, 2022, the gross margin percentage declined compared to the same period last year. This decline was primarily driven by continued strong growth of our lower margin international messaging business and the additional A2P fees imposed by certain carriers, which we pass to our customers at cost, and an increase in amortization expense related to our acquired intangible assets. These declines were partially offset by certain operational improvements.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3"/>
          </w:tcPr>
          <w:p>
            <w:pPr>
              <w:jc w:val="right"/>
              <w:ind w:right="123"/>
              <w:spacing w:after="0"/>
              <w:rPr>
                <w:sz w:val="20"/>
                <w:szCs w:val="20"/>
                <w:color w:val="auto"/>
              </w:rPr>
            </w:pPr>
            <w:r>
              <w:rPr>
                <w:rFonts w:ascii="Times New Roman" w:cs="Times New Roman" w:eastAsia="Times New Roman" w:hAnsi="Times New Roman"/>
                <w:sz w:val="14"/>
                <w:szCs w:val="14"/>
                <w:color w:val="auto"/>
                <w:w w:val="96"/>
              </w:rPr>
              <w:t>(Dollars in thousands)</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804,987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565,970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239,017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0" w:type="dxa"/>
            <w:vAlign w:val="bottom"/>
          </w:tcPr>
          <w:p>
            <w:pPr>
              <w:spacing w:after="0"/>
              <w:rPr>
                <w:sz w:val="1"/>
                <w:szCs w:val="1"/>
                <w:color w:val="auto"/>
              </w:rPr>
            </w:pPr>
          </w:p>
        </w:tc>
      </w:tr>
      <w:tr>
        <w:trPr>
          <w:trHeight w:val="203"/>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951,697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713,196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238,501</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392,319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346,958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45,361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r>
        <w:trPr>
          <w:trHeight w:val="203"/>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Restructuring costs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72,451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72,451</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Impairment of long-lived assets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97,722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97,722</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202"/>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2,319,176</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1,626,124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693,052</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In the nine months ended September 30, 2022, research and development expenses increased by $239.0 million, or 42%, compared to the same period last year. The increase was primarily attributable to a $223.9 million increase in personnel costs, largely as a result of a 42% average increase in our research and development headcount, excluding the impact of our Restructuring Plan, as we continued to focus on enhancing our Twilio Segment and Flex products and strengthening our platform infrastructure.</w:t>
      </w:r>
    </w:p>
    <w:p>
      <w:pPr>
        <w:spacing w:after="0" w:line="171" w:lineRule="exact"/>
        <w:rPr>
          <w:sz w:val="20"/>
          <w:szCs w:val="20"/>
          <w:color w:val="auto"/>
        </w:rPr>
      </w:pPr>
    </w:p>
    <w:p>
      <w:pPr>
        <w:ind w:right="180" w:firstLine="464"/>
        <w:spacing w:after="0" w:line="264" w:lineRule="auto"/>
        <w:rPr>
          <w:sz w:val="20"/>
          <w:szCs w:val="20"/>
          <w:color w:val="auto"/>
        </w:rPr>
      </w:pPr>
      <w:r>
        <w:rPr>
          <w:rFonts w:ascii="Times New Roman" w:cs="Times New Roman" w:eastAsia="Times New Roman" w:hAnsi="Times New Roman"/>
          <w:sz w:val="17"/>
          <w:szCs w:val="17"/>
          <w:color w:val="auto"/>
        </w:rPr>
        <w:t>In the nine months ended September 30, 2022, sales and marketing expenses increased by $238.5 million, or 33%, compared to the same period last year. The increase was primarily attributable to a $196.0 million increase in personnel costs, largely as a result of a 41% average increase in sales and marketing headcount, excluding the impact of our Restructuring Plan, as we continued to expand our sales efforts globally, and a $14.2 million increase in advertising expenses.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the nine months ended September 30, 2022, general and administrative expenses increased by $45.4 million, or 13%, compared to the same period last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The increase was primarily attributable to a $38.9 million increase in personnel costs, as a result of a 33% average increase in general and administrative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headcount, excluding the impact of our Restructuring Plan. Additionally, the increase was attributable to a $10.7 million increase in bad debt expense and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$6.4 million increase in professional services fees. The increase was partially offset by a $16.1 million decrease in charitable contributions that we made through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Twilio.org.</w:t>
      </w:r>
    </w:p>
    <w:p>
      <w:pPr>
        <w:spacing w:after="0" w:line="200" w:lineRule="exact"/>
        <w:rPr>
          <w:sz w:val="20"/>
          <w:szCs w:val="20"/>
          <w:color w:val="auto"/>
        </w:rPr>
      </w:pP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In the nine months ended September 30, 2022, we incurred $72.5 million and $97.7 million of restructuring costs and impairment of long-lived assets, respectively. For further detail refer to the analysis provided in the Comparison of the Three Months Ended September 30, 2022 and 2021.</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(iii) the net proceeds of $228.4 million, after deducting transaction costs paid by us, from settlement of our capped call arrangements in June 2021; and (iv) the payments received from customers using our products.</w:t>
      </w:r>
    </w:p>
    <w:p>
      <w:pPr>
        <w:spacing w:after="0" w:line="175"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color w:val="auto"/>
        </w:rPr>
        <w:t>Our primary uses of cash include operating costs, such as personnel-related costs, network service provider costs, cloud infrastructure costs, facility-related spending, as well as acquisitions and investments. Our principal contractual and other commitments consist of obligations under our 2029 Notes and 2031 Notes, our operating leases for office space and contractual commitments to our cloud infrastructure and network service providers. Refer to Note 11 and Note 13(a) to our unaudited condensed consolidated financial statements included elsewhere in this Quarterly Report on Form 10-Q for detailed discussions of our obligations and commitments related to debt and other purchase obligations.</w:t>
      </w:r>
    </w:p>
    <w:p>
      <w:pPr>
        <w:spacing w:after="0" w:line="175" w:lineRule="exact"/>
        <w:rPr>
          <w:sz w:val="20"/>
          <w:szCs w:val="20"/>
          <w:color w:val="auto"/>
        </w:rPr>
      </w:pPr>
    </w:p>
    <w:p>
      <w:pPr>
        <w:jc w:val="both"/>
        <w:ind w:right="60" w:firstLine="464"/>
        <w:spacing w:after="0" w:line="270" w:lineRule="auto"/>
        <w:rPr>
          <w:sz w:val="20"/>
          <w:szCs w:val="20"/>
          <w:color w:val="auto"/>
        </w:rPr>
      </w:pPr>
      <w:r>
        <w:rPr>
          <w:rFonts w:ascii="Times New Roman" w:cs="Times New Roman" w:eastAsia="Times New Roman" w:hAnsi="Times New Roman"/>
          <w:sz w:val="17"/>
          <w:szCs w:val="17"/>
          <w:color w:val="auto"/>
        </w:rPr>
        <w:t>We may, from time to time, consider acquisitions of, or investments in, complementary businesses, products, services, capital infrastructure or technologies which might affect our liquidity requirements, cause us to secure additional financing or issue additional equity or debt securities. There can be no assurance that additional credit lines or financing instruments will be available in amounts or on terms acceptable to us, if at all.</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firstLine="464"/>
        <w:spacing w:after="0" w:line="257" w:lineRule="auto"/>
        <w:rPr>
          <w:sz w:val="20"/>
          <w:szCs w:val="20"/>
          <w:color w:val="auto"/>
        </w:rPr>
      </w:pPr>
      <w:r>
        <w:rPr>
          <w:rFonts w:ascii="Times New Roman" w:cs="Times New Roman" w:eastAsia="Times New Roman" w:hAnsi="Times New Roman"/>
          <w:sz w:val="17"/>
          <w:szCs w:val="17"/>
          <w:color w:val="auto"/>
        </w:rPr>
        <w:t>We believe that our cash, cash equivalents and marketable securities balances, as well as the cash flows generated by our operations, will be sufficient to satisfy our anticipated cash needs for working capital and capital expenditures for the next 12 months and beyond. However, our belief may prove to be incorrect, and we could utilize our available financial resources sooner than we currently expect. Our future capital requirements and the adequacy of available funds will depend on many factors, including those set forth in Part II,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impact of an economic downturn or recession, the COVID-19 pandemic, significant market volatility in the global economy, timing and ability to collect payments from our customers and other risks detailed in Part II, Item 1A, “Risk Factors.”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our cash flows:</w:t>
      </w:r>
    </w:p>
    <w:p>
      <w:pPr>
        <w:spacing w:after="0" w:line="248" w:lineRule="exact"/>
        <w:rPr>
          <w:sz w:val="20"/>
          <w:szCs w:val="20"/>
          <w:color w:val="auto"/>
        </w:rPr>
      </w:pPr>
    </w:p>
    <w:tbl>
      <w:tblPr>
        <w:tblLayout w:type="fixed"/>
        <w:tblInd w:w="150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93"/>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22"/>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1"/>
        </w:trPr>
        <w:tc>
          <w:tcPr>
            <w:tcW w:w="6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center"/>
              <w:ind w:left="426"/>
              <w:spacing w:after="0"/>
              <w:rPr>
                <w:sz w:val="20"/>
                <w:szCs w:val="20"/>
                <w:color w:val="auto"/>
              </w:rPr>
            </w:pPr>
            <w:r>
              <w:rPr>
                <w:rFonts w:ascii="Times New Roman" w:cs="Times New Roman" w:eastAsia="Times New Roman" w:hAnsi="Times New Roman"/>
                <w:sz w:val="14"/>
                <w:szCs w:val="14"/>
                <w:color w:val="auto"/>
                <w:w w:val="96"/>
              </w:rPr>
              <w:t>(In thousands)</w:t>
            </w:r>
          </w:p>
        </w:tc>
        <w:tc>
          <w:tcPr>
            <w:tcW w:w="780" w:type="dxa"/>
            <w:vAlign w:val="bottom"/>
          </w:tcPr>
          <w:p>
            <w:pPr>
              <w:spacing w:after="0"/>
              <w:rPr>
                <w:sz w:val="16"/>
                <w:szCs w:val="16"/>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used in operating activities</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(195,913)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(19,949)</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used in investing activities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(682,153)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(2,451,736)</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provided by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3,039,300</w:t>
            </w:r>
          </w:p>
        </w:tc>
      </w:tr>
      <w:tr>
        <w:trPr>
          <w:trHeight w:val="20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w:t>
            </w:r>
          </w:p>
        </w:tc>
      </w:tr>
      <w:tr>
        <w:trPr>
          <w:trHeight w:val="227"/>
        </w:trPr>
        <w:tc>
          <w:tcPr>
            <w:tcW w:w="6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Net (decrease) increase in cash, cash equivalents and restricted cash</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(844,668)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567,458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221" w:lineRule="exact"/>
        <w:rPr>
          <w:sz w:val="20"/>
          <w:szCs w:val="20"/>
          <w:color w:val="auto"/>
        </w:rPr>
      </w:pPr>
    </w:p>
    <w:p>
      <w:pPr>
        <w:ind w:right="80" w:firstLine="464"/>
        <w:spacing w:after="0" w:line="256" w:lineRule="auto"/>
        <w:rPr>
          <w:sz w:val="20"/>
          <w:szCs w:val="20"/>
          <w:color w:val="auto"/>
        </w:rPr>
      </w:pPr>
      <w:r>
        <w:rPr>
          <w:rFonts w:ascii="Times New Roman" w:cs="Times New Roman" w:eastAsia="Times New Roman" w:hAnsi="Times New Roman"/>
          <w:sz w:val="17"/>
          <w:szCs w:val="17"/>
          <w:color w:val="auto"/>
        </w:rPr>
        <w:t>In the nine months ended September 30, 2022, cash used in operating activities consisted primarily of our net loss of $1.0 billion adjusted for non-cash items, including $606.3 million of stock-based compensation expense reflecting the impact of our Restructuring Plan, $207.9 million of depreciation and amortization expense, $100.7 million of impairment of operating lease assets and other long-lived assets, $38.7 million of non-cash reduction in our operating right-of-use asset, $41.3 million amortization of deferred commissions, $27.9 million of net amortization of investment premium and discount, and $235.8 million of cumulative changes in operating assets and liabilities. With respect to changes in operating assets and liabilities, accounts receivable and prepaid expenses increased $202.4 million primarily due to revenue growth, timing of cash receipts and pre-payments of our cloud infrastructure fees and certain operating expenses. Accounts payable and other current liabilities increased $134.0 million primarily due to increases in transaction volumes, the impacts from our Restructuring Plan and the new sabbatical employee benefit introduced by us effective in the current quarter. Operating lease liabilities decreased $42.2 million due to payments made against our operating lease obligations. Other long-term assets increased $111.7 million primarily due to an increase in the sales commissions balances related to the growth of our business. The impairment of operating lease assets and other long lived assets and the details of the Restructuring Plan are described further in Note 5 and Note 6, respectively, to our unaudited condensed consolidated financial statements included elsewhere in this Quarterly Report on Form 10-Q.</w:t>
      </w:r>
    </w:p>
    <w:p>
      <w:pPr>
        <w:spacing w:after="0" w:line="388"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In the nine months ended September 30, 2021, cash used in operating activities consisted primarily of our net loss of $658.5 million adjusted for non-cash items, including $445.4 million of stock-based compensation expense, $189.7 million of depreciation and amortization expense, $24.9 million of net amortization of investment premium and discount; $24.6 million of donated common stock, $29.0 million loss on extinguishment of our convertible notes, $36.2 million of non-cash reduction to our operating right-of-use asset, $20.8 million amortization of deferred commissions, and $141.8 million of cumulative changes in operating assets and liabilities. With respect to changes in operating assets and liabilities, accounts receivable and prepaid expenses increased $141.1 million primarily due to the timing of cash receipts from certain of our larger customers, pre-payments of our cloud infrastructure fees and certain operating expenses. Accounts payable and other current liabilities increased $76.1 million primarily due to increases in transaction volumes. Operating lease liabilities decreased $36.3 million due to payments made against our operating lease obligations. Other long-term assets increased $66.5 million primarily due to an increase in the sales commissions balances related to the growth of our business.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221"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In the nine months ended September 30, 2022, cash used in investing activities was $682.2 million primarily consisting of $584.8 million of purchases of marketable securities and other investments, net of maturities and sales; $32.9 million of net cash paid to acquire other businesses, $35.9 million related to capitalized software development costs and $28.6 million related to purchases of long-lived assets.</w:t>
      </w:r>
    </w:p>
    <w:p>
      <w:pPr>
        <w:spacing w:after="0" w:line="165" w:lineRule="exact"/>
        <w:rPr>
          <w:sz w:val="20"/>
          <w:szCs w:val="20"/>
          <w:color w:val="auto"/>
        </w:rPr>
      </w:pPr>
    </w:p>
    <w:p>
      <w:pPr>
        <w:ind w:right="360" w:firstLine="464"/>
        <w:spacing w:after="0" w:line="270" w:lineRule="auto"/>
        <w:rPr>
          <w:sz w:val="20"/>
          <w:szCs w:val="20"/>
          <w:color w:val="auto"/>
        </w:rPr>
      </w:pPr>
      <w:r>
        <w:rPr>
          <w:rFonts w:ascii="Times New Roman" w:cs="Times New Roman" w:eastAsia="Times New Roman" w:hAnsi="Times New Roman"/>
          <w:sz w:val="17"/>
          <w:szCs w:val="17"/>
          <w:color w:val="auto"/>
        </w:rPr>
        <w:t>In the nine months ended September 30, 2021, cash used in investing activities was $2.5 billion primarily consisting of $1.9 billion of purchases of marketable securities and other investments, net of maturities and sales, $490.9 million of net cash paid to acquire other businesses, $35.9 million related to capitalized software development costs and $33.6 million related to purchases of long-lived assets.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221" w:lineRule="exact"/>
        <w:rPr>
          <w:sz w:val="20"/>
          <w:szCs w:val="20"/>
          <w:color w:val="auto"/>
        </w:rPr>
      </w:pPr>
    </w:p>
    <w:p>
      <w:pPr>
        <w:jc w:val="both"/>
        <w:ind w:right="100" w:firstLine="464"/>
        <w:spacing w:after="0" w:line="270" w:lineRule="auto"/>
        <w:rPr>
          <w:sz w:val="20"/>
          <w:szCs w:val="20"/>
          <w:color w:val="auto"/>
        </w:rPr>
      </w:pPr>
      <w:r>
        <w:rPr>
          <w:rFonts w:ascii="Times New Roman" w:cs="Times New Roman" w:eastAsia="Times New Roman" w:hAnsi="Times New Roman"/>
          <w:sz w:val="17"/>
          <w:szCs w:val="17"/>
          <w:color w:val="auto"/>
        </w:rPr>
        <w:t>In the nine months ended September 30, 2022, cash provided by financing activities was $33.3 million primarily consisting of $43.8 million in proceeds from stock options exercised by our employees and shares issued under our employee stock purchase plan, offset by $9.4 million in principal payments on debt and finance leases.</w:t>
      </w:r>
    </w:p>
    <w:p>
      <w:pPr>
        <w:spacing w:after="0" w:line="165"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In the nine months ended September 30, 2021, cash provided by financing activities was $3.0 billion primarily consisting of $1.8 billion in net proceeds from our public equity offering, $984.7 million in net proceeds from the issuance of our 2029 Notes and 2031 Notes, $228.4 million in net proceeds from the settlement of the capped call transactions related to our convertible notes fully redeemed in the second quarter of 2021, and $71.6 million in proceeds from stock options exercised by our employees and shares issued under our employee stock purchase plan. This was offset by $4.9 million in principal payments made on finance leases and $6.6 million related to the value of equity awards withheld to settle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23"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1" w:lineRule="exact"/>
        <w:rPr>
          <w:sz w:val="20"/>
          <w:szCs w:val="20"/>
          <w:color w:val="auto"/>
        </w:rPr>
      </w:pPr>
    </w:p>
    <w:p>
      <w:pPr>
        <w:ind w:right="40" w:firstLine="464"/>
        <w:spacing w:after="0" w:line="263" w:lineRule="auto"/>
        <w:rPr>
          <w:sz w:val="20"/>
          <w:szCs w:val="20"/>
          <w:color w:val="auto"/>
        </w:rPr>
      </w:pPr>
      <w:r>
        <w:rPr>
          <w:rFonts w:ascii="Times New Roman" w:cs="Times New Roman" w:eastAsia="Times New Roman" w:hAnsi="Times New Roman"/>
          <w:sz w:val="17"/>
          <w:szCs w:val="17"/>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There have been no changes to our critical accounting policies as described in our Annual Report on Form 10-K filed with the SEC on February 22, 2022.</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Recent Accounting Pronouncements Not Yet Adopted</w:t>
      </w:r>
    </w:p>
    <w:p>
      <w:pPr>
        <w:spacing w:after="0" w:line="221" w:lineRule="exact"/>
        <w:rPr>
          <w:sz w:val="20"/>
          <w:szCs w:val="20"/>
          <w:color w:val="auto"/>
        </w:rPr>
      </w:pPr>
    </w:p>
    <w:p>
      <w:pPr>
        <w:ind w:right="80" w:firstLine="464"/>
        <w:spacing w:after="0" w:line="287" w:lineRule="auto"/>
        <w:rPr>
          <w:sz w:val="20"/>
          <w:szCs w:val="20"/>
          <w:color w:val="auto"/>
        </w:rPr>
      </w:pPr>
      <w:r>
        <w:rPr>
          <w:rFonts w:ascii="Times New Roman" w:cs="Times New Roman" w:eastAsia="Times New Roman" w:hAnsi="Times New Roman"/>
          <w:sz w:val="17"/>
          <w:szCs w:val="17"/>
          <w:color w:val="auto"/>
        </w:rPr>
        <w:t>Refer to Note 2 to the unaudited condensed consolidated financial statements included elsewhere in this Quarterly Report on Form 10-Q for a discussion of recent accounting pronouncements not yet adopted.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21"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Our filings are available to be viewed and downloaded free of charge through our investor relations website after we file them with the Securities and Exchange Commission (“SEC”). Our filings include our Annual Report on Form 10-K, as amended, Quarterly Reports on Form 10-Q, our Proxy Statement for our annual meeting of stockholders, Current Reports on Form 8-K and other filings with the SEC. Our investor relations website is located at http://investors.twilio.com. The SEC also maintains a website that contains periodic and current reports, proxy statements and other information about issuers, like us, that file electronically with the SEC. The address of that website is www.sec.gov.</w:t>
      </w:r>
    </w:p>
    <w:p>
      <w:pPr>
        <w:spacing w:after="0" w:line="175"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are exposed to certain market risks in the ordinary course of our business, including sensitivities as follows: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23" w:lineRule="exact"/>
        <w:rPr>
          <w:sz w:val="20"/>
          <w:szCs w:val="20"/>
          <w:color w:val="auto"/>
        </w:rPr>
      </w:pPr>
    </w:p>
    <w:p>
      <w:pPr>
        <w:ind w:firstLine="464"/>
        <w:spacing w:after="0" w:line="208" w:lineRule="exact"/>
        <w:rPr>
          <w:sz w:val="20"/>
          <w:szCs w:val="20"/>
          <w:color w:val="auto"/>
        </w:rPr>
      </w:pPr>
      <w:r>
        <w:rPr>
          <w:rFonts w:ascii="Times New Roman" w:cs="Times New Roman" w:eastAsia="Times New Roman" w:hAnsi="Times New Roman"/>
          <w:sz w:val="17"/>
          <w:szCs w:val="17"/>
          <w:color w:val="auto"/>
        </w:rPr>
        <w:t>We had cash, cash equivalents and restricted cash of $632.8 million and marketable securities of $3.6 billion as of September 30, 2022. Cash, cash equivalents and restricted cash consist of bank deposits, money market funds, reverse repurchase agreements and commercial paper. Marketable securities consist primarily of U.S. treasury securities, non-U.S. government securities and high credit quality corporate debt securities. The cash and cash equivalents and marketable securities are held for working capital purposes. Such interest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Currency Exchange Risks</w:t>
      </w:r>
    </w:p>
    <w:p>
      <w:pPr>
        <w:spacing w:after="0" w:line="223" w:lineRule="exact"/>
        <w:rPr>
          <w:sz w:val="20"/>
          <w:szCs w:val="20"/>
          <w:color w:val="auto"/>
        </w:rPr>
      </w:pPr>
    </w:p>
    <w:p>
      <w:pPr>
        <w:jc w:val="both"/>
        <w:ind w:right="160" w:firstLine="464"/>
        <w:spacing w:after="0" w:line="270" w:lineRule="auto"/>
        <w:rPr>
          <w:sz w:val="20"/>
          <w:szCs w:val="20"/>
          <w:color w:val="auto"/>
        </w:rPr>
      </w:pPr>
      <w:r>
        <w:rPr>
          <w:rFonts w:ascii="Times New Roman" w:cs="Times New Roman" w:eastAsia="Times New Roman" w:hAnsi="Times New Roman"/>
          <w:sz w:val="17"/>
          <w:szCs w:val="17"/>
          <w:color w:val="auto"/>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spacing w:after="0" w:line="165" w:lineRule="exact"/>
        <w:rPr>
          <w:sz w:val="20"/>
          <w:szCs w:val="20"/>
          <w:color w:val="auto"/>
        </w:rPr>
      </w:pPr>
    </w:p>
    <w:p>
      <w:pPr>
        <w:ind w:right="20" w:firstLine="464"/>
        <w:spacing w:after="0" w:line="264" w:lineRule="auto"/>
        <w:rPr>
          <w:sz w:val="20"/>
          <w:szCs w:val="20"/>
          <w:color w:val="auto"/>
        </w:rPr>
      </w:pPr>
      <w:r>
        <w:rPr>
          <w:rFonts w:ascii="Times New Roman" w:cs="Times New Roman" w:eastAsia="Times New Roman" w:hAnsi="Times New Roman"/>
          <w:sz w:val="17"/>
          <w:szCs w:val="17"/>
          <w:color w:val="auto"/>
        </w:rPr>
        <w:t>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unaudited condensed consolidated statements of operations included elsewhere in this Quarterly Report on Form 10-Q..</w:t>
      </w:r>
    </w:p>
    <w:p>
      <w:pPr>
        <w:spacing w:after="0" w:line="171" w:lineRule="exact"/>
        <w:rPr>
          <w:sz w:val="20"/>
          <w:szCs w:val="20"/>
          <w:color w:val="auto"/>
        </w:rPr>
      </w:pPr>
    </w:p>
    <w:p>
      <w:pPr>
        <w:ind w:right="120" w:firstLine="464"/>
        <w:spacing w:after="0" w:line="270" w:lineRule="auto"/>
        <w:rPr>
          <w:sz w:val="20"/>
          <w:szCs w:val="20"/>
          <w:color w:val="auto"/>
        </w:rPr>
      </w:pPr>
      <w:r>
        <w:rPr>
          <w:rFonts w:ascii="Times New Roman" w:cs="Times New Roman" w:eastAsia="Times New Roman" w:hAnsi="Times New Roman"/>
          <w:sz w:val="17"/>
          <w:szCs w:val="17"/>
          <w:color w:val="auto"/>
        </w:rPr>
        <w:t>We enter into foreign currency derivative hedging transactions to mitigate our exposure to market risks that may result from changes in foreign currency exchange rates. For further information, refer to Note 7 to our unaudited condensed consolidated financial statements included elsewhere in this Quarterly Report on Form 10-Q.</w:t>
      </w:r>
    </w:p>
    <w:p>
      <w:pPr>
        <w:spacing w:after="0" w:line="165"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A hypothetical 10% change in foreign exchange rates during any of the periods presented would not have had a material impact on our unaudited condensed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19"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(a)</w:t>
        <w:tab/>
        <w:t>Evaluation of Disclosure Controls and Procedures</w:t>
      </w:r>
    </w:p>
    <w:p>
      <w:pPr>
        <w:spacing w:after="0" w:line="221" w:lineRule="exact"/>
        <w:rPr>
          <w:sz w:val="20"/>
          <w:szCs w:val="20"/>
          <w:color w:val="auto"/>
        </w:rPr>
      </w:pPr>
    </w:p>
    <w:p>
      <w:pPr>
        <w:ind w:right="20" w:firstLine="464"/>
        <w:spacing w:after="0" w:line="270"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Principal Financial Officer, has evaluated the effectiveness of our disclosure controls and procedures (as defined in Rules 13a-15(e) and 15d-15(e) under the Exchange Act), as of the end of the period covered by this Quarterly Report on Form 10-Q.</w:t>
      </w:r>
    </w:p>
    <w:p>
      <w:pPr>
        <w:spacing w:after="0" w:line="165"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color w:val="auto"/>
        </w:rPr>
        <w:t>Based on this evaluation, our Chief Executive Officer and our Principal Financial Officer concluded that, as of September 30, 2022,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Principal Financial Officer, as appropriate, to allow timely decisions regarding required disclosures.</w:t>
      </w:r>
    </w:p>
    <w:p>
      <w:pPr>
        <w:spacing w:after="0" w:line="17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(b)</w:t>
        <w:tab/>
        <w:t>Changes in Internal Control</w:t>
      </w:r>
    </w:p>
    <w:p>
      <w:pPr>
        <w:spacing w:after="0" w:line="221" w:lineRule="exact"/>
        <w:rPr>
          <w:sz w:val="20"/>
          <w:szCs w:val="20"/>
          <w:color w:val="auto"/>
        </w:rPr>
      </w:pPr>
    </w:p>
    <w:p>
      <w:pPr>
        <w:jc w:val="both"/>
        <w:ind w:right="140" w:firstLine="464"/>
        <w:spacing w:after="0" w:line="26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in connection with the evaluation required by Rule 13a-15 (d) and 15d-15 (d) of the Exchange Act that occurred during the three months ended September 30, 2022, that materially affected, or are reasonably likely to materially affect, our internal control over financial reporting.</w:t>
      </w:r>
    </w:p>
    <w:p>
      <w:pPr>
        <w:spacing w:after="0" w:line="207" w:lineRule="exact"/>
        <w:rPr>
          <w:sz w:val="20"/>
          <w:szCs w:val="20"/>
          <w:color w:val="auto"/>
        </w:rPr>
      </w:pPr>
    </w:p>
    <w:p>
      <w:pPr>
        <w:ind w:left="460"/>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(c)</w:t>
        <w:tab/>
        <w:t>Inherent Limitations on Effectiveness of Controls</w:t>
      </w:r>
    </w:p>
    <w:p>
      <w:pPr>
        <w:spacing w:after="0" w:line="260" w:lineRule="exact"/>
        <w:rPr>
          <w:sz w:val="20"/>
          <w:szCs w:val="20"/>
          <w:color w:val="auto"/>
        </w:rPr>
      </w:pPr>
    </w:p>
    <w:p>
      <w:pPr>
        <w:ind w:right="100" w:firstLine="464"/>
        <w:spacing w:after="0" w:line="208" w:lineRule="exact"/>
        <w:rPr>
          <w:sz w:val="20"/>
          <w:szCs w:val="20"/>
          <w:color w:val="auto"/>
        </w:rPr>
      </w:pPr>
      <w:r>
        <w:rPr>
          <w:rFonts w:ascii="Times New Roman" w:cs="Times New Roman" w:eastAsia="Times New Roman" w:hAnsi="Times New Roman"/>
          <w:sz w:val="17"/>
          <w:szCs w:val="17"/>
          <w:color w:val="auto"/>
        </w:rPr>
        <w:t>Our management, including our Chief Executive Officer and our Principal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23" w:lineRule="exact"/>
        <w:rPr>
          <w:sz w:val="20"/>
          <w:szCs w:val="20"/>
          <w:color w:val="auto"/>
        </w:rPr>
      </w:pPr>
    </w:p>
    <w:p>
      <w:pPr>
        <w:ind w:right="720" w:firstLine="464"/>
        <w:spacing w:after="0" w:line="287" w:lineRule="auto"/>
        <w:rPr>
          <w:sz w:val="20"/>
          <w:szCs w:val="20"/>
          <w:color w:val="auto"/>
        </w:rPr>
      </w:pPr>
      <w:r>
        <w:rPr>
          <w:rFonts w:ascii="Times New Roman" w:cs="Times New Roman" w:eastAsia="Times New Roman" w:hAnsi="Times New Roman"/>
          <w:sz w:val="17"/>
          <w:szCs w:val="17"/>
          <w:color w:val="auto"/>
        </w:rPr>
        <w:t>Refer to Note 13(b) of our unaudited condensed consolidated financial statements included elsewhere in this Quarterly Report on Form 10-Q for a description of our current material legal proceedings.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19"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Part I, Item 2, “Management’s Discussion and Analysis of Financial Condition and Results of Operations” and our unaudited condensed consolidated financial statements and related notes included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Our Industry</w:t>
      </w:r>
    </w:p>
    <w:p>
      <w:pPr>
        <w:spacing w:after="0" w:line="215" w:lineRule="exact"/>
        <w:rPr>
          <w:sz w:val="20"/>
          <w:szCs w:val="20"/>
          <w:color w:val="auto"/>
        </w:rPr>
      </w:pPr>
    </w:p>
    <w:p>
      <w:pPr>
        <w:ind w:right="20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Macroeconomic uncertainties and the COVID-19 pandemic have in the past and may continue to adversely impact our business, results of operations and financial condition.</w:t>
      </w:r>
    </w:p>
    <w:p>
      <w:pPr>
        <w:spacing w:after="0" w:line="159" w:lineRule="exact"/>
        <w:rPr>
          <w:sz w:val="20"/>
          <w:szCs w:val="20"/>
          <w:color w:val="auto"/>
        </w:rPr>
      </w:pPr>
    </w:p>
    <w:p>
      <w:pPr>
        <w:ind w:firstLine="464"/>
        <w:spacing w:after="0" w:line="238" w:lineRule="auto"/>
        <w:rPr>
          <w:sz w:val="20"/>
          <w:szCs w:val="20"/>
          <w:color w:val="auto"/>
        </w:rPr>
      </w:pPr>
      <w:r>
        <w:rPr>
          <w:rFonts w:ascii="Times New Roman" w:cs="Times New Roman" w:eastAsia="Times New Roman" w:hAnsi="Times New Roman"/>
          <w:sz w:val="17"/>
          <w:szCs w:val="17"/>
          <w:color w:val="auto"/>
        </w:rPr>
        <w:t>Global economic and business activities continue to face widespread macroeconomic uncertainties, including labor shortages and supply chain disruptions, inflation and monetary supply shifts, as well as recession risks, which may continue for an extended period, and which could result in decreased business spending by our customers and prospective customers and business partners and third-party business partners, reduced demand for our solutions, lower renewal rates by our customers, longer or delayed sales cycles, including customers and prospective customers delaying contract signing or contract renewals, or reducing budgets or minimum commitments related to the product and services that we offer, all of which could have an adverse impact on our business operations and financial condition. Specifically, we often enter into annual or multi-year, minimum commitment arrangements with our customers. Certain industries may be more negatively impacted by adverse macroeconomic conditions, like retail, consumer packaged goods, direct-to-consumer and other industries dependent on consumer spending, and the concentration of our customer base within these industries could exacerbate the impacts of a global recession or market uncertainties on our business. Relatedly, given that a majority of our revenue is usage-based, our business may be more severely impacted by macroeconomic conditions than those that rely more primarily on SaaS subscription revenue. Additionally, we generate a portion of our revenue from small and medium-sized businesses, which may be affected by economic downturns and other adverse macroeconomic conditions to a greater extent than larger enterprises, as they typically have more limited financial resources and capital borrowing capacity. Furthermore, we generate a portion of our revenue from certain sectors of the economy that have experienced recent softness, including cryptocurrencies, consumer on-demand, social media, retail and e-commerce, and we have also seen some instances of longer sales cycles more generally. Additionally, if customers fail to pay us or reduce their spending with us, we may be adversely affected by an inability to collect amounts due, the cost of enforcing the terms of our contracts, including litigation, or a reduction in revenue.</w:t>
      </w:r>
    </w:p>
    <w:p>
      <w:pPr>
        <w:spacing w:after="0" w:line="212" w:lineRule="exact"/>
        <w:rPr>
          <w:sz w:val="20"/>
          <w:szCs w:val="20"/>
          <w:color w:val="auto"/>
        </w:rPr>
      </w:pPr>
    </w:p>
    <w:p>
      <w:pPr>
        <w:ind w:firstLine="464"/>
        <w:spacing w:after="0" w:line="239" w:lineRule="auto"/>
        <w:rPr>
          <w:sz w:val="20"/>
          <w:szCs w:val="20"/>
          <w:color w:val="auto"/>
        </w:rPr>
      </w:pPr>
      <w:r>
        <w:rPr>
          <w:rFonts w:ascii="Times New Roman" w:cs="Times New Roman" w:eastAsia="Times New Roman" w:hAnsi="Times New Roman"/>
          <w:sz w:val="17"/>
          <w:szCs w:val="17"/>
          <w:color w:val="auto"/>
        </w:rPr>
        <w:t>Additionally, the global COVID-19 pandemic has disrupted, and may continue to disrupt, our day-to-day operations and the operations of our customers, partners and service providers. The continued uncertainty regarding the trajectory of the pandemic and its impact on the global economy may result in differing levels of demand for our products as the priorities, resources, financial conditions and economic outlook of our customers, partners and service providers change, which could adversely affect or increase the volatility of our financial results. Certain industries were initially more negatively impacted by COVID-19, while others were positively impacted. It has been and may continue to be more difficult for us to forecast usage levels and predict revenue trends for the more adversely impacted industries. Any prolonged contractions in industries historically impacted by COVID-19, along with any effects on supply chain or on other industries in which our customers, partners and service providers operate, could adversely impact our business, results of operations and financial condition. The continuing pandemic could also result in constrained supply or reduced customer demand and willingness to enter into or renew contracts with us, any of which could adversely impact our business, results of operations and overall financial performance in future periods. While we have developed and continue to develop plans to help mitigate the potential negative impact of the pandemic on our business, these efforts may not be effective, and a protracted economic downturn, including due to factors such as labor shortages, supply chain disruptions and inflation, may limit the effectiveness of our mitigation efforts.</w:t>
      </w:r>
    </w:p>
    <w:p>
      <w:pPr>
        <w:spacing w:after="0" w:line="192" w:lineRule="exact"/>
        <w:rPr>
          <w:sz w:val="20"/>
          <w:szCs w:val="20"/>
          <w:color w:val="auto"/>
        </w:rPr>
      </w:pPr>
    </w:p>
    <w:p>
      <w:pPr>
        <w:ind w:right="200" w:firstLine="464"/>
        <w:spacing w:after="0" w:line="287" w:lineRule="auto"/>
        <w:rPr>
          <w:sz w:val="20"/>
          <w:szCs w:val="20"/>
          <w:color w:val="auto"/>
        </w:rPr>
      </w:pPr>
      <w:r>
        <w:rPr>
          <w:rFonts w:ascii="Times New Roman" w:cs="Times New Roman" w:eastAsia="Times New Roman" w:hAnsi="Times New Roman"/>
          <w:sz w:val="17"/>
          <w:szCs w:val="17"/>
          <w:color w:val="auto"/>
        </w:rPr>
        <w:t>To the extent that macroeconomic uncertainties and the COVID-19 pandemic continue to harm our business, results of operations and financial condition, many of the other risks described in this “Risk Factors” section will be exacerbated.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quarterly results may fluctuate, and if we fail to meet securities analysts’ and investors’ expectations, then the trading price of our Class A common stock and the value of your investment could decline substantially.</w:t>
      </w:r>
    </w:p>
    <w:p>
      <w:pPr>
        <w:spacing w:after="0" w:line="146"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Our results of operations, including the levels of our revenue, cost of revenue, gross margin and operating expenses, have fluctuated from quarter to quarter in the past and may continue to vary significantly in the future. These fluctuations are a result of a variety of factors, many of which are outside of our control, and may be difficult to predict and may or may not fully reflect the underlying performance of our business. If our quarterly results of operations or forward-looking quarterly and annual financial guidance fall below the expectations of investors or securities analysts, then the trading price of our Class A common stock could decline substantially. Some of the important factors that may cause our results of operations to fluctuate from quarter to quarter include:</w:t>
      </w:r>
    </w:p>
    <w:p>
      <w:pPr>
        <w:spacing w:after="0" w:line="175" w:lineRule="exact"/>
        <w:rPr>
          <w:sz w:val="20"/>
          <w:szCs w:val="20"/>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increase revenue from existing customers and attract new customers;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amount of revenue from our Active Customer Accounts;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enterprises and international organizations as customers;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security breaches of, technical difficulties with, or interruptions to, the delivery and use of our products on our platform;</w:t>
      </w:r>
    </w:p>
    <w:p>
      <w:pPr>
        <w:spacing w:after="0" w:line="217" w:lineRule="exact"/>
        <w:rPr>
          <w:rFonts w:ascii="Times New Roman" w:cs="Times New Roman" w:eastAsia="Times New Roman" w:hAnsi="Times New Roman"/>
          <w:sz w:val="17"/>
          <w:szCs w:val="17"/>
          <w:color w:val="auto"/>
        </w:rPr>
      </w:pPr>
    </w:p>
    <w:p>
      <w:pPr>
        <w:ind w:left="940" w:right="80" w:hanging="318"/>
        <w:spacing w:after="0" w:line="287"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COVID-19 and other global events and economic conditions on our customers, partners and service providers and the global economy in general;</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introduce new products and enhance existing products;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the actions of our competitors, including pricing changes and the introduction of new products, services and geographies;</w:t>
      </w:r>
    </w:p>
    <w:p>
      <w:pPr>
        <w:spacing w:after="0" w:line="217" w:lineRule="exact"/>
        <w:rPr>
          <w:rFonts w:ascii="Times New Roman" w:cs="Times New Roman" w:eastAsia="Times New Roman" w:hAnsi="Times New Roman"/>
          <w:sz w:val="17"/>
          <w:szCs w:val="17"/>
          <w:color w:val="auto"/>
        </w:rPr>
      </w:pPr>
    </w:p>
    <w:p>
      <w:pPr>
        <w:ind w:left="940" w:right="80" w:hanging="318"/>
        <w:spacing w:after="0" w:line="261"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industry standards, regulations or regulatory enforcement in the United States or internationally, such as the invalidation of the EU-U.S. Privacy Shield by the Court of Justice of the European Union, the implementation and enforcement of new global privacy laws, such as the General Data Protection Regulation (“GDPR”), the California Consumer Privacy Act of 2018 (“CCPA”) and Brazil's General Data Protection Law (Lei Geral de Proteção de Dados Pessoais) (Law No. 13,709/2018), and the adoption of SHAKEN/STIR and other robocalling prevention and anti-spam standards, all of which increase compliance costs;</w:t>
      </w:r>
    </w:p>
    <w:p>
      <w:pPr>
        <w:spacing w:after="0" w:line="174" w:lineRule="exact"/>
        <w:rPr>
          <w:rFonts w:ascii="Times New Roman" w:cs="Times New Roman" w:eastAsia="Times New Roman" w:hAnsi="Times New Roman"/>
          <w:sz w:val="17"/>
          <w:szCs w:val="17"/>
          <w:color w:val="auto"/>
        </w:rPr>
      </w:pPr>
    </w:p>
    <w:p>
      <w:pPr>
        <w:ind w:left="940" w:right="520" w:hanging="318"/>
        <w:spacing w:after="0" w:line="270"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policies or practices of third-party platforms, such as the Apple App Store and the Google Play Store, including with respect to Apple’s Identifier for Advertisers (IDFA), which helps advertisers assess the effectiveness of their advertising efforts, and with respect to transparency regarding data processing;</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new employee hires during a particular period;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network service provider fees that we pay in connection with the delivery of communications on our platform;</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cloud infrastructure fees that we pay in connection with the operation of our platform;</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as a result of our optimization efforts or otherwise;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pricing or maintaining current pricing despite inflationary pressure as a result of negotiations with our larger customers;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expansion and productivity of our sales force, including our enterprise sales force, which has been a focus of our recent expansion efforts;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size and complexity of our customer relationships;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and complexity of the sales cycle for our services, especially for sales to larger enterprises, government and regulated organizations;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58" w:right="379" w:bottom="1440" w:gutter="0" w:footer="0" w:header="0"/>
        </w:sectPr>
      </w:pPr>
    </w:p>
    <w:bookmarkStart w:id="44" w:name="page45"/>
    <w:bookmarkEnd w:id="44"/>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the mix of products that our customers use during a particular period;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the revenue mix of U.S. and international products;</w:t>
      </w:r>
    </w:p>
    <w:p>
      <w:pPr>
        <w:spacing w:after="0" w:line="217" w:lineRule="exact"/>
        <w:rPr>
          <w:rFonts w:ascii="Times New Roman" w:cs="Times New Roman" w:eastAsia="Times New Roman" w:hAnsi="Times New Roman"/>
          <w:sz w:val="17"/>
          <w:szCs w:val="17"/>
          <w:color w:val="auto"/>
        </w:rPr>
      </w:pPr>
    </w:p>
    <w:p>
      <w:pPr>
        <w:ind w:left="940" w:right="160" w:hanging="318"/>
        <w:spacing w:after="0" w:line="287"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costs and capital expenditures related to the operations and expansion of our business, including investments in our international expansion, additional systems and processes and research and development of new products and services;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 connection with mergers, acquisitions or other strategic transactions and the follow-on costs of integration;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customer payments and any difficulty in collecting accounts receivable from customers;</w:t>
      </w:r>
    </w:p>
    <w:p>
      <w:pPr>
        <w:spacing w:after="0" w:line="217" w:lineRule="exact"/>
        <w:rPr>
          <w:rFonts w:ascii="Times New Roman" w:cs="Times New Roman" w:eastAsia="Times New Roman" w:hAnsi="Times New Roman"/>
          <w:sz w:val="17"/>
          <w:szCs w:val="17"/>
          <w:color w:val="auto"/>
        </w:rPr>
      </w:pPr>
    </w:p>
    <w:p>
      <w:pPr>
        <w:ind w:left="940" w:right="120" w:hanging="318"/>
        <w:spacing w:after="0" w:line="270"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including a downturn or recession, rising inflation and rising interest rates, that may adversely affect a prospective customer’s ability or willingness to adopt our products, delay a prospective customer’s adoption decision, reduce the revenue that we generate from the use of our products or affect customer retention;</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shortages, supply chain disruptions and rising inflation and our ability to control costs, including our operating expenses;</w:t>
      </w:r>
    </w:p>
    <w:p>
      <w:pPr>
        <w:spacing w:after="0" w:line="217" w:lineRule="exact"/>
        <w:rPr>
          <w:rFonts w:ascii="Times New Roman" w:cs="Times New Roman" w:eastAsia="Times New Roman" w:hAnsi="Times New Roman"/>
          <w:sz w:val="17"/>
          <w:szCs w:val="17"/>
          <w:color w:val="auto"/>
        </w:rPr>
      </w:pPr>
    </w:p>
    <w:p>
      <w:pPr>
        <w:ind w:left="940" w:right="20" w:hanging="318"/>
        <w:spacing w:after="0" w:line="287"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qualified employees and key personnel, including due to, but not limited to, the potential adverse effects related to our recent restructuring plan (the “Restructuring Plan”) and the actual or perceived declining value of our equity awards;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 and our ability to effectively hedge our foreign currency exposure;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extraordinary expenses such as litigation or other dispute-related settlement payments;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tax and other tax determinations by authorities in the jurisdictions in which we conduct business;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new accounting pronouncements;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stock-based compensation expense.</w:t>
      </w:r>
    </w:p>
    <w:p>
      <w:pPr>
        <w:spacing w:after="0" w:line="217"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color w:val="auto"/>
        </w:rPr>
        <w:t>The occurrence of one or more of the foregoing and other factors may cause our results of operations to vary significantly. As such, we believe that quarter-to-quarter comparisons of our results of operations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173"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Additionally, public health epidemics or pandemics and geopolitical events such as the COVID-19 pandemic and the war in Ukraine, as well as certain large-scale events, such as major elections and sporting events, can significantly impact usage levels on our platform, which has, and could in the future, cause fluctuations in our results of operations. We expect that significantly increased usage of all communications platforms, including ours, during certain seasonal and one-time events could impact delivery and quality of our products during those events. We also tend to experience increased expenses in connection with the hosting of SIGNAL, which we plan to continue to host annually. Such annual and one-time events may cause fluctuations in our results of operations and may impact both our revenue and operating expenses.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Actions that we are taking to restructure our business in alignment with our strategic priorities may not be as effective as anticipated.</w:t>
      </w:r>
    </w:p>
    <w:p>
      <w:pPr>
        <w:spacing w:after="0" w:line="223"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During the third quarter of fiscal year 2022, we commenced the Restructuring Plan designed to reduce operating costs, improve operating margins, and shift our selling capacity to accelerate software sales. We may encounter challenges in the execution of these efforts, and these challenges could impact our financial results.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64" w:right="379" w:bottom="1440" w:gutter="0" w:footer="0" w:header="0"/>
        </w:sectPr>
      </w:pPr>
    </w:p>
    <w:bookmarkStart w:id="45" w:name="page46"/>
    <w:bookmarkEnd w:id="45"/>
    <w:p>
      <w:pPr>
        <w:ind w:firstLine="464"/>
        <w:spacing w:after="0" w:line="257" w:lineRule="auto"/>
        <w:rPr>
          <w:sz w:val="20"/>
          <w:szCs w:val="20"/>
          <w:color w:val="auto"/>
        </w:rPr>
      </w:pPr>
      <w:r>
        <w:rPr>
          <w:rFonts w:ascii="Times New Roman" w:cs="Times New Roman" w:eastAsia="Times New Roman" w:hAnsi="Times New Roman"/>
          <w:sz w:val="17"/>
          <w:szCs w:val="17"/>
          <w:color w:val="auto"/>
        </w:rPr>
        <w:t>Although we believe that the Restructuring Plan will reduce operating costs, improve operating margins and accelerate software sales, we cannot guarantee that the Restructuring Plan will achieve or sustain the targeted benefits, or that the benefits, even if achieved, will be adequate to meet our long-term profitability and operational expectations. As a result of these actions, we may incur additional costs in the short term including cash expenditures for employee transition, notice period and severance payments, employee benefits, and related facilitation costs as well as non-cash expenditures related to vesting of share-based awards that could have the effect of reducing our operating margins. Additional risks associated with the continuing impact of the Restructuring Plan include employee attrition beyond our intended reduction in force, which may also be further exacerbated by the actual or perceived declining value of our equity awards, and adverse effects on employee morale, diversion of management attention, adverse effects to our reputation as an employer, which could make it more difficult for us to hire new employees in the future, and potential failure or delays to meet operational and growth targets due to the loss of qualified employees. If we do not realize the expected benefits or synergies of our restructuring efforts, our business, results of operations and financial condition could be adversely affected.</w:t>
      </w:r>
    </w:p>
    <w:p>
      <w:pPr>
        <w:spacing w:after="0" w:line="173" w:lineRule="exact"/>
        <w:rPr>
          <w:sz w:val="20"/>
          <w:szCs w:val="20"/>
          <w:color w:val="auto"/>
        </w:rPr>
      </w:pPr>
    </w:p>
    <w:p>
      <w:pPr>
        <w:ind w:right="40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46"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7"/>
          <w:szCs w:val="17"/>
          <w:color w:val="auto"/>
        </w:rPr>
        <w:t>We have experienced substantial growth in our business since inception. For example, our headcount has grown from 7,381 employees on September 30, 2021 to 8,992 employees on September 30, 2022, prior to the impact of our Restructuring Plan. We have moved to a virtual on-boarding process since the imposition of COVID-19 restrictions on certain business activities. In addition, we have expanded our international operations. Our international headcount grew from 2,701 employees as of September 30, 2021 to 3,644 employees as of September 30, 2022, prior to the impact of our Restructuring Plan. We have also experienced significant growth in the number of customers, usage and amount of data that our platform and associated infrastructure support. This growth has placed and may continue to place significant demands on our corporate culture, operational infrastructure and management, particularly in light of virtual on-boarding.</w:t>
      </w:r>
    </w:p>
    <w:p>
      <w:pPr>
        <w:spacing w:after="0" w:line="192" w:lineRule="exact"/>
        <w:rPr>
          <w:sz w:val="20"/>
          <w:szCs w:val="20"/>
          <w:color w:val="auto"/>
        </w:rPr>
      </w:pPr>
    </w:p>
    <w:p>
      <w:pPr>
        <w:ind w:right="180" w:firstLine="464"/>
        <w:spacing w:after="0" w:line="239" w:lineRule="auto"/>
        <w:rPr>
          <w:sz w:val="20"/>
          <w:szCs w:val="20"/>
          <w:color w:val="auto"/>
        </w:rPr>
      </w:pPr>
      <w:r>
        <w:rPr>
          <w:rFonts w:ascii="Times New Roman" w:cs="Times New Roman" w:eastAsia="Times New Roman" w:hAnsi="Times New Roman"/>
          <w:sz w:val="17"/>
          <w:szCs w:val="17"/>
          <w:color w:val="auto"/>
        </w:rPr>
        <w:t>We believe that our corporate culture has been a critical component of our success. We have invested substantial time and resources in building our team and nurturing our culture. In addition, the COVID-19 pandemic may have long-term effects on the nature of the office environment and remote working. Our employees have generally continued to work from home as we reopened our offices, and we have announced that Twilio is a remote-first company, under which most employees have a choice about where and how they work with certain constraints to ensure compliance with local law. We face uncertainty as to whether remote-first, and any adjustments we may make to this model, will meet the needs and expectations of our workforce or have an adverse effect on workforce engagement, productivity and retention. In addition, the Restructuring Plan and the actual or perceived declining value of our equity awards may have adverse consequences on our corporate culture which may result in attrition beyond our planned reduction in workforce, decrease employee morale or further impact our ability to retain highly skilled employees. Any failure to preserve the key aspects of our culture as we manage our anticipated growth and organizational changes could hurt our chance for future success, including our ability to recruit and retain employees, and effectively focus on and pursue our corporate objectives. In addition, our remote-first approach may impose additional risks to our business, including unauthorized access to or dissemination of sensitive, proprietary or confidential information. This, in turn, could adversely affect our business, results of operations and financial condition.</w:t>
      </w:r>
    </w:p>
    <w:p>
      <w:pPr>
        <w:spacing w:after="0" w:line="192" w:lineRule="exact"/>
        <w:rPr>
          <w:sz w:val="20"/>
          <w:szCs w:val="20"/>
          <w:color w:val="auto"/>
        </w:rPr>
      </w:pPr>
    </w:p>
    <w:p>
      <w:pPr>
        <w:jc w:val="both"/>
        <w:ind w:right="260" w:firstLine="464"/>
        <w:spacing w:after="0" w:line="264" w:lineRule="auto"/>
        <w:rPr>
          <w:sz w:val="20"/>
          <w:szCs w:val="20"/>
          <w:color w:val="auto"/>
        </w:rPr>
      </w:pPr>
      <w:r>
        <w:rPr>
          <w:rFonts w:ascii="Times New Roman" w:cs="Times New Roman" w:eastAsia="Times New Roman" w:hAnsi="Times New Roman"/>
          <w:sz w:val="17"/>
          <w:szCs w:val="17"/>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 Additionally, our focus on achieving our profitability goals may impact our revenue growth rate.</w:t>
      </w:r>
    </w:p>
    <w:p>
      <w:pPr>
        <w:spacing w:after="0" w:line="171" w:lineRule="exact"/>
        <w:rPr>
          <w:sz w:val="20"/>
          <w:szCs w:val="20"/>
          <w:color w:val="auto"/>
        </w:rPr>
      </w:pPr>
    </w:p>
    <w:p>
      <w:pPr>
        <w:ind w:right="200" w:firstLine="464"/>
        <w:spacing w:after="0" w:line="287" w:lineRule="auto"/>
        <w:rPr>
          <w:sz w:val="20"/>
          <w:szCs w:val="20"/>
          <w:color w:val="auto"/>
        </w:rPr>
      </w:pPr>
      <w:r>
        <w:rPr>
          <w:rFonts w:ascii="Times New Roman" w:cs="Times New Roman" w:eastAsia="Times New Roman" w:hAnsi="Times New Roman"/>
          <w:sz w:val="17"/>
          <w:szCs w:val="17"/>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46" w:name="page47"/>
    <w:bookmarkEnd w:id="46"/>
    <w:p>
      <w:pPr>
        <w:ind w:right="50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depend largely on the continued services of our senior management and other key employees, the loss or incapacitation of any of whom could adversely affect our business, results of operations and financial condition.</w:t>
      </w:r>
    </w:p>
    <w:p>
      <w:pPr>
        <w:spacing w:after="0" w:line="146" w:lineRule="exact"/>
        <w:rPr>
          <w:sz w:val="20"/>
          <w:szCs w:val="20"/>
          <w:color w:val="auto"/>
        </w:rPr>
      </w:pPr>
    </w:p>
    <w:p>
      <w:pPr>
        <w:ind w:firstLine="464"/>
        <w:spacing w:after="0" w:line="208" w:lineRule="exact"/>
        <w:rPr>
          <w:sz w:val="20"/>
          <w:szCs w:val="20"/>
          <w:color w:val="auto"/>
        </w:rPr>
      </w:pPr>
      <w:r>
        <w:rPr>
          <w:rFonts w:ascii="Times New Roman" w:cs="Times New Roman" w:eastAsia="Times New Roman" w:hAnsi="Times New Roman"/>
          <w:sz w:val="17"/>
          <w:szCs w:val="17"/>
          <w:color w:val="auto"/>
        </w:rPr>
        <w:t>Our future performance depends on the continued services and contributions of our senior management and other key employees to execute on our business plan, to develop our products and platform, to deliver our products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founder and Chief Executive Officer, Jeff Lawson. None of our executive officers or other senior management are bound by a written employment agreement and any of them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such loss could significantly delay or prevent the achievement of our business objectives. The loss of the services of any of our senior management or other key employees for any reason could adversely affect our business, results of operations and financial condition.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hire, retain and motivate qualified employees, our business will suffer.</w:t>
      </w:r>
    </w:p>
    <w:p>
      <w:pPr>
        <w:spacing w:after="0" w:line="210" w:lineRule="exact"/>
        <w:rPr>
          <w:sz w:val="20"/>
          <w:szCs w:val="20"/>
          <w:color w:val="auto"/>
        </w:rPr>
      </w:pPr>
    </w:p>
    <w:p>
      <w:pPr>
        <w:ind w:firstLine="464"/>
        <w:spacing w:after="0" w:line="238" w:lineRule="auto"/>
        <w:rPr>
          <w:sz w:val="20"/>
          <w:szCs w:val="20"/>
          <w:color w:val="auto"/>
        </w:rPr>
      </w:pPr>
      <w:r>
        <w:rPr>
          <w:rFonts w:ascii="Times New Roman" w:cs="Times New Roman" w:eastAsia="Times New Roman" w:hAnsi="Times New Roman"/>
          <w:sz w:val="17"/>
          <w:szCs w:val="17"/>
          <w:color w:val="auto"/>
        </w:rPr>
        <w:t>Our future success depends, in part, on our ability to continue to attract and retain highly skilled employees. We believe that there is, and will continue to be, intense competition for highly skilled management, technical, sales and other employees with experience in our industry. In addition, we have experienced and may continue to experience employee turnover as a result of the ongoing “great resignation” occurring throughout the U.S. economy. New employees require training, take time before they achieve full productivity, and may not become as productive as we expect, and we may be unable to hire or retain sufficient numbers of qualified individuals. Additionally, we have focused our hiring efforts on areas such as Segment, Engage and Flex, and we’ve frozen the vast majority of new hires and backfills outside of these core areas. In addition, our remote-first approach to work may not meet the expectations of our workforce. Further, labor is subject to external factors that are beyond our control, including our industry’s highly competitive market for skilled workers and leaders, cost inflation, the COVID-19 pandemic and workforce participation rates. We must provide competitive compensation packages and a high-quality work environment to hire, retain and motivate employees. Volatility in, or the actual or perceived lack of performance of, our stock price may affect our ability to attract, motivate and retain key employees. Furthermore, in September of 2022, we announced the Restructuring Plan, which may have an impact on our ability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To the extent we hire employees from competitors, we also may be subject to allegations that they have been improperly solicited or divulged proprietary or other confidential information. If we are unable to hire, retain and motivate our employees, our business, results of operations and financial condition could be adversely affected.</w:t>
      </w:r>
    </w:p>
    <w:p>
      <w:pPr>
        <w:spacing w:after="0" w:line="193" w:lineRule="exact"/>
        <w:rPr>
          <w:sz w:val="20"/>
          <w:szCs w:val="20"/>
          <w:color w:val="auto"/>
        </w:rPr>
      </w:pPr>
    </w:p>
    <w:p>
      <w:pPr>
        <w:ind w:right="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customers increasing their use of our products, and a loss of customers or decline in their use of our products could adversely affect our business, results of operations and financial condition.</w:t>
      </w:r>
    </w:p>
    <w:p>
      <w:pPr>
        <w:spacing w:after="0" w:line="378" w:lineRule="exact"/>
        <w:rPr>
          <w:sz w:val="20"/>
          <w:szCs w:val="20"/>
          <w:color w:val="auto"/>
        </w:rPr>
      </w:pPr>
    </w:p>
    <w:p>
      <w:pPr>
        <w:ind w:right="20" w:firstLine="464"/>
        <w:spacing w:after="0" w:line="257" w:lineRule="auto"/>
        <w:rPr>
          <w:sz w:val="20"/>
          <w:szCs w:val="20"/>
          <w:color w:val="auto"/>
        </w:rPr>
      </w:pPr>
      <w:r>
        <w:rPr>
          <w:rFonts w:ascii="Times New Roman" w:cs="Times New Roman" w:eastAsia="Times New Roman" w:hAnsi="Times New Roman"/>
          <w:sz w:val="17"/>
          <w:szCs w:val="17"/>
          <w:color w:val="auto"/>
        </w:rPr>
        <w:t>Our ability to grow and generate incremental revenue depends, in part, on our ability to maintain and grow our relationships with existing customers (including any customers acquired in connection with our acquisitions) and to have them increase their usage of our platform. If our customers do not increase their use of our products, then our revenue may decline, and our results of operations may be harmed. Customers are charged based on the usage of our products. Most of our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the value proposition of our products or our ability to meet their needs and expectations, or due to their use of competitors’ products. For example, there have been instances in which technical reliability issues have caused service disruptions with one or more products in our cloud communications platform that have impacted our customers’ ability to use such products for up to several hours. These issues have caused us to incur certain costs associated with offering credits to our affected customers and have had an adverse impact on customer satisfaction. A loss of customers or reduced utilization of our products by customers resulting from service disruptions could adversely affect our business, results of operations and financial condition.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47" w:name="page48"/>
    <w:bookmarkEnd w:id="47"/>
    <w:p>
      <w:pPr>
        <w:ind w:right="20" w:firstLine="464"/>
        <w:spacing w:after="0" w:line="269" w:lineRule="auto"/>
        <w:rPr>
          <w:sz w:val="20"/>
          <w:szCs w:val="20"/>
          <w:color w:val="auto"/>
        </w:rPr>
      </w:pPr>
      <w:r>
        <w:rPr>
          <w:rFonts w:ascii="Times New Roman" w:cs="Times New Roman" w:eastAsia="Times New Roman" w:hAnsi="Times New Roman"/>
          <w:sz w:val="17"/>
          <w:szCs w:val="17"/>
          <w:color w:val="auto"/>
        </w:rPr>
        <w:t>We cannot accurately predict customers’ usage levels, and the loss of customers or reductions in their usage levels of our products may each have a negative impact on our business, results of operations and financial condition and may cause our Dollar-Based Net Expansion Rate to decline in the future if customers are not satisfied with our products, the value proposition of our products or our ability to meet their needs and expectations. If a significant number of customers cease</w:t>
      </w:r>
    </w:p>
    <w:p>
      <w:pPr>
        <w:ind w:right="240"/>
        <w:spacing w:after="0" w:line="270" w:lineRule="auto"/>
        <w:rPr>
          <w:sz w:val="20"/>
          <w:szCs w:val="20"/>
          <w:color w:val="auto"/>
        </w:rPr>
      </w:pPr>
      <w:r>
        <w:rPr>
          <w:rFonts w:ascii="Times New Roman" w:cs="Times New Roman" w:eastAsia="Times New Roman" w:hAnsi="Times New Roman"/>
          <w:sz w:val="17"/>
          <w:szCs w:val="17"/>
          <w:color w:val="auto"/>
        </w:rPr>
        <w:t>using, or reduce their usage of our products, including due to cost-saving measures in the face of macroeconomic uncertainty,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159" w:lineRule="exact"/>
        <w:rPr>
          <w:sz w:val="20"/>
          <w:szCs w:val="20"/>
          <w:color w:val="auto"/>
        </w:rPr>
      </w:pPr>
    </w:p>
    <w:p>
      <w:pPr>
        <w:ind w:right="50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46" w:lineRule="exact"/>
        <w:rPr>
          <w:sz w:val="20"/>
          <w:szCs w:val="20"/>
          <w:color w:val="auto"/>
        </w:rPr>
      </w:pPr>
    </w:p>
    <w:p>
      <w:pPr>
        <w:ind w:right="160" w:firstLine="464"/>
        <w:spacing w:after="0" w:line="258" w:lineRule="auto"/>
        <w:rPr>
          <w:sz w:val="20"/>
          <w:szCs w:val="20"/>
          <w:color w:val="auto"/>
        </w:rPr>
      </w:pPr>
      <w:r>
        <w:rPr>
          <w:rFonts w:ascii="Times New Roman" w:cs="Times New Roman" w:eastAsia="Times New Roman" w:hAnsi="Times New Roman"/>
          <w:sz w:val="17"/>
          <w:szCs w:val="17"/>
          <w:color w:val="auto"/>
        </w:rPr>
        <w:t>We believe that maintaining and enhancing the “Twilio” brand identity and increasing market awareness of our company and products, particularly among developers,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79"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7"/>
          <w:szCs w:val="17"/>
          <w:color w:val="auto"/>
        </w:rPr>
        <w:t>From time to time, our customers have complained about our products, such as complaints about our pricing, the technical reliability of our products and platform, and our customer support. If we do not handle customer complaints effectively, then our brand and reputation may suffer, our customers may lose confidence in us and they may reduce or cease their use of our products. In addition, many of our customers post and discuss on social media about Internet-based products and services, including our products and platform. Our success depends, in part, on our ability to generate positive customer feedback and minimize negative feedback on social media channels where existing and potential customers seek and share information. If actions we take or changes we make to our products or platform upset these customers, then their online commentary could negatively affect our brand, reputation and customer trust. Complaints or negative publicity about us, our products or our platform could adversely impact our ability to attract and retain customers, and otherwise harm our business, results of operations and financial condition.</w:t>
      </w:r>
    </w:p>
    <w:p>
      <w:pPr>
        <w:spacing w:after="0" w:line="175"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including, but not limited to, as a result of recent inflationary pressures.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48" w:name="page49"/>
    <w:bookmarkEnd w:id="48"/>
    <w:p>
      <w:pPr>
        <w:ind w:right="2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market for our products and platform continues to evolve, and may decline or experience limited growth, and is dependent in part on developers continuing to adopt our platform and use our products.</w:t>
      </w:r>
    </w:p>
    <w:p>
      <w:pPr>
        <w:spacing w:after="0" w:line="118" w:lineRule="exact"/>
        <w:rPr>
          <w:sz w:val="20"/>
          <w:szCs w:val="20"/>
          <w:color w:val="auto"/>
        </w:rPr>
      </w:pPr>
    </w:p>
    <w:p>
      <w:pPr>
        <w:ind w:firstLine="464"/>
        <w:spacing w:after="0" w:line="210" w:lineRule="exact"/>
        <w:rPr>
          <w:sz w:val="20"/>
          <w:szCs w:val="20"/>
          <w:color w:val="auto"/>
        </w:rPr>
      </w:pPr>
      <w:r>
        <w:rPr>
          <w:rFonts w:ascii="Times New Roman" w:cs="Times New Roman" w:eastAsia="Times New Roman" w:hAnsi="Times New Roman"/>
          <w:sz w:val="17"/>
          <w:szCs w:val="17"/>
          <w:color w:val="auto"/>
        </w:rPr>
        <w:t>We were founded in 2008, and we have been developing and providing a cloud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platform that enables developers and organizations to integrate voice, messaging, video and email communications capabilities into their software applications. This market continues to evolve and is subject to a number of risks and uncertainties. We believe that our revenue currently constitutes a significant portion of the total revenue in this market, and therefore, we believe that our future success will depend in large part on the growth, if any, and evolution of this market. If developers and organizations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the functionality of our products and bringing new technologies to market to increase market acceptance and use of our platform. Additionally, we will continue to prioritize accelerating software sales, which could have an impact on our results of operations. Our ability to expand the market that our products and platform address depends upon a number of factors, including the cost, performance and perceived value associated with such products and platform. The market for our products and platform could fail to grow significantly or there could be a reduction in demand for our products as a result of a lack of developer acceptance, technological challenges, competing products and services, decreases in spending by current and prospective customers, weakening economic conditions, including due to labor shortages, supply chain disruptions and inflationary pressures, and other causes. If our market does not experience significant growth or demand for our products decreases, then our business, results of operations and financial condition could be adversely affected.</w:t>
      </w:r>
    </w:p>
    <w:p>
      <w:pPr>
        <w:spacing w:after="0" w:line="189" w:lineRule="exact"/>
        <w:rPr>
          <w:sz w:val="20"/>
          <w:szCs w:val="20"/>
          <w:color w:val="auto"/>
        </w:rPr>
      </w:pPr>
    </w:p>
    <w:p>
      <w:pPr>
        <w:ind w:right="36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Breaches of our networks or systems, or those of AWS or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64"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We depend upon our IT systems to conduct virtually all of our business operations, ranging from our internal operations and research and development activities to our marketing and sales efforts and communications with our customers and business partners. We have in the past and may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6"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Individuals or entities may attempt to penetrate our network security, or that of our platform,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employees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w:t>
      </w:r>
    </w:p>
    <w:p>
      <w:pPr>
        <w:spacing w:after="0" w:line="1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color w:val="auto"/>
        </w:rPr>
        <w:t>reputational harm, and diversion of funds. Extortion payments may alleviate or reduce the negative impact of a ransomware attack, but we may be unwilling or unable to make such payments due to, for example, applicable laws or regulations prohibiting such payments. Because the techniques used by such individuals or entities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to deploy our IT resources in a safe and secure manner that does not expose our network systems to security breaches or the loss of data. We have been and expect to be subject to cybersecurity threats and incidents, including denial-of-service attacks, employee errors or individual attempts to gain unauthorized access to information systems. Any data security incidents, including internal malfeasance or inadvertent disclosures by our employees or a third party's fraudulent inducement of our employees to disclose information, unauthorized access or usage, virus or similar breach or disruption of us or our service providers, such as AWS, could result in loss of confidential information, damage to our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49" w:name="page50"/>
    <w:bookmarkEnd w:id="49"/>
    <w:p>
      <w:pPr>
        <w:ind w:right="40"/>
        <w:spacing w:after="0"/>
        <w:rPr>
          <w:sz w:val="20"/>
          <w:szCs w:val="20"/>
          <w:color w:val="auto"/>
        </w:rPr>
      </w:pPr>
      <w:r>
        <w:rPr>
          <w:rFonts w:ascii="Times New Roman" w:cs="Times New Roman" w:eastAsia="Times New Roman" w:hAnsi="Times New Roman"/>
          <w:sz w:val="17"/>
          <w:szCs w:val="17"/>
          <w:color w:val="auto"/>
        </w:rPr>
        <w:t>reputation, erosion of customer trust, loss of customers, litigation, regulatory investigations, fines, penalties and other liabilities. For example, in 2020, SolarWinds Inc., one of our third-party software service providers, was subject to a data security incident. We have completed our investigations of this incident and concluded that there was no adverse impact to us. Additionally, in June and August 2022, we became aware that threat actors had conducted a sophisticated social engineering campaign against some of our employees after having obtained employee names and cell phone numbers from unknown sources. The attack identified in August, which involved smishing text messages that purported to be from our IT department, resulted in the threat actors obtaining some of our employees’ credentials and access to certain data of approximately 209 customers out of our total customer base of approximately 270,000 at that time. We notified and worked with our affected customers. We also took steps to remediate the incident, including enhancing our security training, improving our two factor authentication requirements, implementing additional layers of control within our VPN, reducing access to certain internal applications and tools, and increasing the refresh frequency for access to certain internal applications. Reports indicate that the threat actors also attacked other technology, telecommunication, and cryptocurrency companies.</w:t>
      </w:r>
    </w:p>
    <w:p>
      <w:pPr>
        <w:spacing w:after="0" w:line="381"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7"/>
          <w:szCs w:val="17"/>
          <w:color w:val="auto"/>
        </w:rPr>
        <w:t>Furthermore, we are required to comply with laws and regulations that require us to maintain the security of personal information and we may have contractual and other legal obligations to notify customers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could lead to negative publicity, may cause our customers to lose confidence in the effectiveness of our security measures and require us to expend significant capital and other resources to respond to and/or mitigate the security breach. Accordingly, if our cybersecurity measures or those of AWS or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w:t>
      </w:r>
    </w:p>
    <w:p>
      <w:pPr>
        <w:spacing w:after="0" w:line="182" w:lineRule="exact"/>
        <w:rPr>
          <w:sz w:val="20"/>
          <w:szCs w:val="20"/>
          <w:color w:val="auto"/>
        </w:rPr>
      </w:pPr>
    </w:p>
    <w:p>
      <w:pPr>
        <w:jc w:val="both"/>
        <w:ind w:right="300" w:firstLine="464"/>
        <w:spacing w:after="0" w:line="270" w:lineRule="auto"/>
        <w:rPr>
          <w:sz w:val="20"/>
          <w:szCs w:val="20"/>
          <w:color w:val="auto"/>
        </w:rPr>
      </w:pPr>
      <w:r>
        <w:rPr>
          <w:rFonts w:ascii="Times New Roman" w:cs="Times New Roman" w:eastAsia="Times New Roman" w:hAnsi="Times New Roman"/>
          <w:sz w:val="17"/>
          <w:szCs w:val="17"/>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59" w:lineRule="exact"/>
        <w:rPr>
          <w:sz w:val="20"/>
          <w:szCs w:val="20"/>
          <w:color w:val="auto"/>
        </w:rPr>
      </w:pPr>
    </w:p>
    <w:p>
      <w:pPr>
        <w:ind w:right="20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spacing w:after="0" w:line="146" w:lineRule="exact"/>
        <w:rPr>
          <w:sz w:val="20"/>
          <w:szCs w:val="20"/>
          <w:color w:val="auto"/>
        </w:rPr>
      </w:pPr>
    </w:p>
    <w:p>
      <w:pPr>
        <w:ind w:right="120" w:firstLine="464"/>
        <w:spacing w:after="0" w:line="264" w:lineRule="auto"/>
        <w:rPr>
          <w:sz w:val="20"/>
          <w:szCs w:val="20"/>
          <w:color w:val="auto"/>
        </w:rPr>
      </w:pPr>
      <w:r>
        <w:rPr>
          <w:rFonts w:ascii="Times New Roman" w:cs="Times New Roman" w:eastAsia="Times New Roman" w:hAnsi="Times New Roman"/>
          <w:sz w:val="17"/>
          <w:szCs w:val="17"/>
          <w:color w:val="auto"/>
        </w:rPr>
        <w:t>We and our customers are subject to numerous domestic (for example, CCPA in California) and foreign (for example, the GDPR in the EU) privacy, data protection and data security laws and regulations that restrict the collection, use, disclosure and processing of personal information, including financial and health data. These laws and regulations are evolving, are being tested in courts, may result in increasing regulatory and public scrutiny of our practices relating to personal information and may increase our exposure to regulatory enforcement action, sanctions and litigation.</w:t>
      </w:r>
    </w:p>
    <w:p>
      <w:pPr>
        <w:spacing w:after="0" w:line="171"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7"/>
          <w:szCs w:val="17"/>
          <w:color w:val="auto"/>
        </w:rPr>
        <w:t>The CCPA imposes obligations on businesses to which it applies. These obligations include, but are not limited to, providing specific disclosures in privacy notices and affording California residents certain rights related to their personal information. The CCPA allows for statutory fines for noncompliance. In addition, the California Privacy Rights Act of 2020 (“CPRA”), enforceable from January 1, 2023, will expand the CCPA. Similar laws have been enacted or been proposed at the state and federal levels. For example, Connecticut, Utah, Virginia and Colorado have each passed laws similar to but different from the CPRA that take effect in 2023.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0" w:name="page51"/>
    <w:bookmarkEnd w:id="50"/>
    <w:p>
      <w:pPr>
        <w:ind w:firstLine="464"/>
        <w:spacing w:after="0" w:line="259"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apply to privacy, data protection and data security. For example, the GDPR and the United Kingdom’s GDPR (“UK GDPR”) impose strict requirements for processing the personal information of individuals located, respectively within the European Economic Area (“EEA”) and the United Kingdom (“UK”). For example, under the GDPR, government regulators may impose temporary or definitive bans on data processing, as well as fines. Further, individuals may initiate litigation related to our processing of their personal information. As another example, the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w:t>
      </w:r>
    </w:p>
    <w:p>
      <w:pPr>
        <w:spacing w:after="0" w:line="384" w:lineRule="exact"/>
        <w:rPr>
          <w:sz w:val="20"/>
          <w:szCs w:val="20"/>
          <w:color w:val="auto"/>
        </w:rPr>
      </w:pPr>
    </w:p>
    <w:p>
      <w:pPr>
        <w:ind w:right="300" w:firstLine="464"/>
        <w:spacing w:after="0" w:line="270" w:lineRule="auto"/>
        <w:rPr>
          <w:sz w:val="20"/>
          <w:szCs w:val="20"/>
          <w:color w:val="auto"/>
        </w:rPr>
      </w:pPr>
      <w:r>
        <w:rPr>
          <w:rFonts w:ascii="Times New Roman" w:cs="Times New Roman" w:eastAsia="Times New Roman" w:hAnsi="Times New Roman"/>
          <w:sz w:val="17"/>
          <w:szCs w:val="17"/>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w:t>
      </w:r>
    </w:p>
    <w:p>
      <w:pPr>
        <w:spacing w:after="0" w:line="178" w:lineRule="exact"/>
        <w:rPr>
          <w:sz w:val="20"/>
          <w:szCs w:val="20"/>
          <w:color w:val="auto"/>
        </w:rPr>
      </w:pPr>
    </w:p>
    <w:p>
      <w:pPr>
        <w:ind w:right="140" w:firstLine="464"/>
        <w:spacing w:after="0" w:line="248" w:lineRule="auto"/>
        <w:rPr>
          <w:sz w:val="20"/>
          <w:szCs w:val="20"/>
          <w:color w:val="auto"/>
        </w:rPr>
      </w:pPr>
      <w:r>
        <w:rPr>
          <w:rFonts w:ascii="Times New Roman" w:cs="Times New Roman" w:eastAsia="Times New Roman" w:hAnsi="Times New Roman"/>
          <w:sz w:val="17"/>
          <w:szCs w:val="17"/>
          <w:color w:val="auto"/>
        </w:rPr>
        <w:t>Similarly, with our registration as an interconnected VoIP provider with the Federal Communications Commission (“FCC”), we also must comply with privacy laws associated with customer proprietary network information (“CPNI”) rules in the U.S. If we fail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185"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have begun to support customer workloads that involve the processing of protected health information and are required to sign business associate agreements (“BAAs”) with customers that subject us to the requirements under the U.S. Health Insurance Portability and Accountability Act of 1996 and the U.S. Health Information Technology for Economic and Clinical Health Act as well as state laws that govern health information.</w:t>
      </w:r>
    </w:p>
    <w:p>
      <w:pPr>
        <w:spacing w:after="0" w:line="173"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Our actual or perceived failure to comply with laws, regulations or contractual commitments regarding privacy, data protection and data security could lead to costly legal action, adverse publicity, significant liability, and decreased demand for our services, which could adversely affect our business, results of operations and financial condition.</w:t>
      </w:r>
    </w:p>
    <w:p>
      <w:pPr>
        <w:spacing w:after="0" w:line="165"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As a cumulative example of these risks, because our primary data processing facilities are currently in the U.S., we have experienced hesitancy, reluctance, or refusal by European or multinational customers to continue to use our services due to the potential risk posed to such customers as a result of the Court of Justice July 2020 ruling in the “Schrems II” case, as well as related guidance from the European Data Protection Board. For example, absent appropriate safeguards or other circumstances, the GDPR and laws in Switzerland and the UK generally restrict the transfer of personal information to countries outside of the EEA, such as the United States, that the European Commission does not consider as providing an adequate level of privacy, data protection and data security. On March 25, 2022, the U.S. and EU announced an “agreement in principle” to replace the EU-U.S. Privacy Shield framework with a valid transfer mechanism, but this mechanism has not yet been established. If we cannot implement a valid mechanism for cross-border data transfers, we may face increased exposure to</w:t>
      </w:r>
    </w:p>
    <w:p>
      <w:pPr>
        <w:spacing w:after="0" w:line="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regulatory actions, substantial fines, and injunctions against processing or transferring personal information from Europe or elsewhere. The inability to import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We and our customers are at risk of enforcement actions taken by an EU data protection authority during such time Twilio continues to require data transfers from the EEA for the provision of our services. If we are unable to increase our data processing capabilities in Europe and other countries to limit or eliminate the need for data transfers out of the EEA quickly enough, and other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from Europe.</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64" w:right="379" w:bottom="1440" w:gutter="0" w:footer="0" w:header="0"/>
        </w:sectPr>
      </w:pPr>
    </w:p>
    <w:bookmarkStart w:id="51" w:name="page52"/>
    <w:bookmarkEnd w:id="51"/>
    <w:p>
      <w:pPr>
        <w:spacing w:after="0" w:line="57" w:lineRule="exact"/>
        <w:rPr>
          <w:sz w:val="20"/>
          <w:szCs w:val="20"/>
          <w:color w:val="auto"/>
        </w:rPr>
      </w:pPr>
    </w:p>
    <w:p>
      <w:pPr>
        <w:jc w:val="both"/>
        <w:ind w:right="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spacing w:after="0" w:line="164"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7"/>
          <w:szCs w:val="17"/>
          <w:color w:val="auto"/>
        </w:rPr>
        <w:t>We currently interconnect with fixed and mobile network service providers around the world to enable the use by our customers of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don't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 Despite this, we typically do not change our customers’ pricing as rapidly and as a result, such fee increases could adversely affect our business and results of operations.</w:t>
      </w:r>
    </w:p>
    <w:p>
      <w:pPr>
        <w:spacing w:after="0" w:line="175" w:lineRule="exact"/>
        <w:rPr>
          <w:sz w:val="20"/>
          <w:szCs w:val="20"/>
          <w:color w:val="auto"/>
        </w:rPr>
      </w:pPr>
    </w:p>
    <w:p>
      <w:pPr>
        <w:ind w:right="20" w:firstLine="464"/>
        <w:spacing w:after="0" w:line="256" w:lineRule="auto"/>
        <w:rPr>
          <w:sz w:val="20"/>
          <w:szCs w:val="20"/>
          <w:color w:val="auto"/>
        </w:rPr>
      </w:pPr>
      <w:r>
        <w:rPr>
          <w:rFonts w:ascii="Times New Roman" w:cs="Times New Roman" w:eastAsia="Times New Roman" w:hAnsi="Times New Roman"/>
          <w:sz w:val="17"/>
          <w:szCs w:val="17"/>
          <w:color w:val="auto"/>
        </w:rPr>
        <w:t>At times, network service providers have instituted additional fees due to regulatory, competitive or other industry related changes that increase our network costs. For example, in early 2020, a major U.S. mobile carrier introduced a new Application to Person ("A2P") SMS service offering that adds a new fee for A2P SMS messages delivered to its subscribers, and other U.S. mobile carriers have added or are in the process of adding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do so in the future without a material negative impact to our business. In the case of these new carriers A2P SMS fees, after a short phase-in period where we absorbed the fees, we began on May 1, 2021 to pass these fees directly through to our customers who are sending SMS messages to these carriers' subscribers. We expect that this will increase our revenue and cost of revenue, but will not impact the gross profit dollars received for sending these messages. However, mathematically this will have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spacing w:after="0" w:line="182"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or poor-quality communications with our products, and we could encounter difficulty identifying the source of the problem. The occurrence of errors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75"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75"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We also interconnect with internet service providers around the world to enable the use of our email products by our customers, and we expect that we will continue to rely on internet service providers for network connectivity going forward. Our reliance on internet service providers reduces our control over quality of service and exposes us to potential service outages and rate fluctuations.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ind w:right="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attract new customers in a cost-effective manner, then our business, results of operations and financial condition would be adversely affected.</w:t>
      </w:r>
    </w:p>
    <w:p>
      <w:pPr>
        <w:spacing w:after="0" w:line="146"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In order to grow our business, we must continue to attract new customers in a cost-effective manner. We use a variety of marketing channels to promote our products and platform, such as developer events and developer evangelism, as well as search engine marketing and optimization. We periodically adjust the mix of our other marketing programs such as regional customer events, email campaigns, billboard advertising and public relations initiatives.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and we cannot guarantee that any such investments will lead to the cost-effective acquisition of additional customers. If we are unable to maintain effective marketing programs, then our ability to attract new customers could be adversely affected, our advertising and marketing expenses could increase substantially, and our results of operations may suffer.</w:t>
      </w:r>
    </w:p>
    <w:p>
      <w:pPr>
        <w:spacing w:after="0" w:line="170" w:lineRule="exact"/>
        <w:rPr>
          <w:sz w:val="20"/>
          <w:szCs w:val="20"/>
          <w:color w:val="auto"/>
        </w:rPr>
      </w:pPr>
    </w:p>
    <w:p>
      <w:pPr>
        <w:ind w:right="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do not develop enhancements to our products and introduce new products that achieve market acceptance, our business, results of operations and financial condition could be adversely affected.</w:t>
      </w:r>
    </w:p>
    <w:p>
      <w:pPr>
        <w:spacing w:after="0" w:line="146"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7"/>
          <w:szCs w:val="17"/>
          <w:color w:val="auto"/>
        </w:rPr>
        <w:t>Our ability to attract new customers, increase revenue from existing customers, and increase gross margins depends in part on our ability to enhance and improve our existing products, increase adoption and usage of our products, and introduce new products, particularly products with higher gross margins.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margins. Furthermore, our ability to increase the usage of our products depends, in part, on the development of new use cases for our products, which is typically driven by our developer community and may be outside of our control. We also have invested, and may continue to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Our ability to generate usage of additional products by our customers may also require increasingly sophisticated and more costly sales efforts and result in a longer sales cycle. In addition, adoption of new products or enhancements may put additional strain on our customer support team, which could require us to make additional expenditures related to further hiring and training. If we are unable to successfully enhance our existing products to meet evolving customer requirements, increase adoption and usage of our products, develop and drive adoption of new products, and increase our gross margins, or if our efforts to increase the usage of our products are more expensive than we expect, then our business, results of operations and financial condition would be adversely affected.</w:t>
      </w:r>
    </w:p>
    <w:p>
      <w:pPr>
        <w:spacing w:after="0" w:line="179" w:lineRule="exact"/>
        <w:rPr>
          <w:sz w:val="20"/>
          <w:szCs w:val="20"/>
          <w:color w:val="auto"/>
        </w:rPr>
      </w:pPr>
    </w:p>
    <w:p>
      <w:pPr>
        <w:ind w:right="50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market in which we participate is intensely competitive, and if we do not compete effectively, our business, results of operations and financial condition could be harmed.</w:t>
      </w:r>
    </w:p>
    <w:p>
      <w:pPr>
        <w:spacing w:after="0" w:line="146"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Our competitors fall into four primary categories:</w:t>
      </w:r>
    </w:p>
    <w:p>
      <w:pPr>
        <w:spacing w:after="0" w:line="171" w:lineRule="exact"/>
        <w:rPr>
          <w:sz w:val="20"/>
          <w:szCs w:val="20"/>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on-premises vendors;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regional network service providers that offer limited developer functionality on top of their own physical infrastructure;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smaller software companies that compete with portions of our product line;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software-as a-service (“SaaS”) companies and cloud platform vendors that offer prepackaged applications and platforms.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53" w:name="page54"/>
    <w:bookmarkEnd w:id="53"/>
    <w:p>
      <w:pPr>
        <w:ind w:right="80" w:firstLine="464"/>
        <w:spacing w:after="0" w:line="239" w:lineRule="auto"/>
        <w:rPr>
          <w:sz w:val="20"/>
          <w:szCs w:val="20"/>
          <w:color w:val="auto"/>
        </w:rPr>
      </w:pPr>
      <w:r>
        <w:rPr>
          <w:rFonts w:ascii="Times New Roman" w:cs="Times New Roman" w:eastAsia="Times New Roman" w:hAnsi="Times New Roman"/>
          <w:sz w:val="17"/>
          <w:szCs w:val="17"/>
          <w:color w:val="auto"/>
        </w:rPr>
        <w:t>Some of our competitors and potential competitors are larger and have greater name recognition, longer operating histories, more established customer relationships, larger budgets, lower operating costs, and significantly greater resources than we do. In addition, they have the operating flexibility to bundle competing products and services at little or no perceived incremental cost, including offering them at a lower price as part of a larger sales transaction. As a result, our competitors may be able to respond more quickly and effectively than we can to new or changing opportunities, technologies, standards, customer requirements or changing economic conditions, like inflation or a downturn or a recession. In addition, some competitors may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Customers utilize our products in many ways and use varying levels of functionality that our products offer or are capable of supporting or enabling within their applications. Customers that use many of the features of our products or use our products to support or enable core functionality for their applications may have difficulty or find it impractical to replace our products with a competitor’s products or services, while customers that use only limited functionality may be able to replace our products more easily with competitive offerings. Our customers also may choose to build some of the functionality our products provide or establish direct connectivity with network service providers, which may limit or eliminate their demand for our products.</w:t>
      </w:r>
    </w:p>
    <w:p>
      <w:pPr>
        <w:spacing w:after="0" w:line="191" w:lineRule="exact"/>
        <w:rPr>
          <w:sz w:val="20"/>
          <w:szCs w:val="20"/>
          <w:color w:val="auto"/>
        </w:rPr>
      </w:pPr>
    </w:p>
    <w:p>
      <w:pPr>
        <w:ind w:right="140" w:firstLine="464"/>
        <w:spacing w:after="0" w:line="270" w:lineRule="auto"/>
        <w:rPr>
          <w:sz w:val="20"/>
          <w:szCs w:val="20"/>
          <w:color w:val="auto"/>
        </w:rPr>
      </w:pPr>
      <w:r>
        <w:rPr>
          <w:rFonts w:ascii="Times New Roman" w:cs="Times New Roman" w:eastAsia="Times New Roman" w:hAnsi="Times New Roman"/>
          <w:sz w:val="17"/>
          <w:szCs w:val="17"/>
          <w:color w:val="auto"/>
        </w:rPr>
        <w:t>With the introduction of new products and services and new market entrants, we expect competition to intensify in the future. In addition, some of our customers may choose to use our products and our competitors’ products at the same time. Further, customers and consumers may choose to adopt other forms of electronic communications or alternative communication platforms.</w:t>
      </w:r>
    </w:p>
    <w:p>
      <w:pPr>
        <w:spacing w:after="0" w:line="178" w:lineRule="exact"/>
        <w:rPr>
          <w:sz w:val="20"/>
          <w:szCs w:val="20"/>
          <w:color w:val="auto"/>
        </w:rPr>
      </w:pPr>
    </w:p>
    <w:p>
      <w:pPr>
        <w:ind w:right="40" w:firstLine="464"/>
        <w:spacing w:after="0" w:line="253" w:lineRule="auto"/>
        <w:rPr>
          <w:sz w:val="20"/>
          <w:szCs w:val="20"/>
          <w:color w:val="auto"/>
        </w:rPr>
      </w:pPr>
      <w:r>
        <w:rPr>
          <w:rFonts w:ascii="Times New Roman" w:cs="Times New Roman" w:eastAsia="Times New Roman" w:hAnsi="Times New Roman"/>
          <w:sz w:val="17"/>
          <w:szCs w:val="17"/>
          <w:color w:val="auto"/>
        </w:rPr>
        <w:t>Moreover,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w:t>
      </w:r>
    </w:p>
    <w:p>
      <w:pPr>
        <w:spacing w:after="0" w:line="1"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7"/>
          <w:szCs w:val="17"/>
          <w:color w:val="auto"/>
        </w:rPr>
        <w:t>certain of our competitors engaged in acquisition activity in 2021 and may continue to do so in the future. In addition, some of our competitors have lower list prices than us, which may be attractive to certain customers even if those products have different or lesser functionality. If we are unable to maintain our current pricing due to competitive pressures, including within an inflationary environment, our margins will be reduced and our business, results of operations and financial condition would be adversely affected. In addition,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and may not achieve or sustain profitability in the future.</w:t>
      </w:r>
    </w:p>
    <w:p>
      <w:pPr>
        <w:spacing w:after="0" w:line="223" w:lineRule="exact"/>
        <w:rPr>
          <w:sz w:val="20"/>
          <w:szCs w:val="20"/>
          <w:color w:val="auto"/>
        </w:rPr>
      </w:pPr>
    </w:p>
    <w:p>
      <w:pPr>
        <w:jc w:val="both"/>
        <w:ind w:right="400" w:firstLine="464"/>
        <w:spacing w:after="0" w:line="263" w:lineRule="auto"/>
        <w:rPr>
          <w:sz w:val="20"/>
          <w:szCs w:val="20"/>
          <w:color w:val="auto"/>
        </w:rPr>
      </w:pPr>
      <w:r>
        <w:rPr>
          <w:rFonts w:ascii="Times New Roman" w:cs="Times New Roman" w:eastAsia="Times New Roman" w:hAnsi="Times New Roman"/>
          <w:sz w:val="17"/>
          <w:szCs w:val="17"/>
          <w:color w:val="auto"/>
        </w:rPr>
        <w:t>We have incurred net losses in each year since our inception, including net losses of $1.0 billion, $949.9 million and $491.0 million in the nine months ended September 30, 2022 and the years ended December 31, 2021 and 2020, respectively. We had an accumulated deficit of $3.1 billion as of September 30,</w:t>
      </w:r>
    </w:p>
    <w:p>
      <w:pPr>
        <w:spacing w:after="0" w:line="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2022. We will need to generate and sustain increased revenue levels, and manage our operating expenses, in future periods to become profitable and, even if we do, we may not be able to maintain or increase our level of profitability. We expect to continue to expend substantial financial and other resources on, among other things:</w:t>
      </w:r>
    </w:p>
    <w:p>
      <w:pPr>
        <w:spacing w:after="0" w:line="175" w:lineRule="exact"/>
        <w:rPr>
          <w:sz w:val="20"/>
          <w:szCs w:val="20"/>
          <w:color w:val="auto"/>
        </w:rPr>
      </w:pPr>
    </w:p>
    <w:p>
      <w:pPr>
        <w:ind w:left="940" w:right="120" w:hanging="318"/>
        <w:spacing w:after="0" w:line="287"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our engineering team, improvements in security and data protection, the development of new products, features and functionality and enhancements to our platform;</w:t>
      </w:r>
    </w:p>
    <w:p>
      <w:pPr>
        <w:spacing w:after="0" w:line="151" w:lineRule="exact"/>
        <w:rPr>
          <w:rFonts w:ascii="Times New Roman" w:cs="Times New Roman" w:eastAsia="Times New Roman" w:hAnsi="Times New Roman"/>
          <w:sz w:val="17"/>
          <w:szCs w:val="17"/>
          <w:color w:val="auto"/>
        </w:rPr>
      </w:pPr>
    </w:p>
    <w:p>
      <w:pPr>
        <w:ind w:left="940" w:right="280" w:hanging="318"/>
        <w:spacing w:after="0" w:line="270"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and marketing, including the continued expansion of our direct sales organization and marketing programs, especially for enterprises and for organizations outside of the United States, and expanding our programs directed at increasing our brand awareness among current and new developers;</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our operations and infrastructure, both domestically and internationally;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administration, including legal, accounting and other expenses related to being a public company.</w:t>
      </w:r>
    </w:p>
    <w:p>
      <w:pPr>
        <w:spacing w:after="0" w:line="217"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the value of our business and Class A common stock may significantly decrease.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54" w:name="page55"/>
    <w:bookmarkEnd w:id="54"/>
    <w:p>
      <w:pPr>
        <w:ind w:right="5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increase adoption of our products by enterprises, our business, results of operations and financial condition may be adversely affected.</w:t>
      </w:r>
    </w:p>
    <w:p>
      <w:pPr>
        <w:spacing w:after="0" w:line="146" w:lineRule="exact"/>
        <w:rPr>
          <w:sz w:val="20"/>
          <w:szCs w:val="20"/>
          <w:color w:val="auto"/>
        </w:rPr>
      </w:pPr>
    </w:p>
    <w:p>
      <w:pPr>
        <w:ind w:right="20" w:firstLine="464"/>
        <w:spacing w:after="0" w:line="270" w:lineRule="auto"/>
        <w:rPr>
          <w:sz w:val="20"/>
          <w:szCs w:val="20"/>
          <w:color w:val="auto"/>
        </w:rPr>
      </w:pPr>
      <w:r>
        <w:rPr>
          <w:rFonts w:ascii="Times New Roman" w:cs="Times New Roman" w:eastAsia="Times New Roman" w:hAnsi="Times New Roman"/>
          <w:sz w:val="17"/>
          <w:szCs w:val="17"/>
          <w:color w:val="auto"/>
        </w:rPr>
        <w:t>Historically, we have relied on the adoption of our products by software developers through our self-service model for a majority of our revenue. Our ability to increase our customer base, especially among enterprises, and achieve broader market acceptance of our products will depend, in part, on our ability to effectively organize, focus and train our sales and marketing employees.</w:t>
      </w:r>
    </w:p>
    <w:p>
      <w:pPr>
        <w:spacing w:after="0" w:line="165"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7"/>
          <w:szCs w:val="17"/>
          <w:color w:val="auto"/>
        </w:rPr>
        <w:t>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75" w:lineRule="exact"/>
        <w:rPr>
          <w:sz w:val="20"/>
          <w:szCs w:val="20"/>
          <w:color w:val="auto"/>
        </w:rPr>
      </w:pPr>
    </w:p>
    <w:p>
      <w:pPr>
        <w:ind w:right="40" w:firstLine="464"/>
        <w:spacing w:after="0" w:line="255" w:lineRule="auto"/>
        <w:rPr>
          <w:sz w:val="20"/>
          <w:szCs w:val="20"/>
          <w:color w:val="auto"/>
        </w:rPr>
      </w:pPr>
      <w:r>
        <w:rPr>
          <w:rFonts w:ascii="Times New Roman" w:cs="Times New Roman" w:eastAsia="Times New Roman" w:hAnsi="Times New Roman"/>
          <w:sz w:val="17"/>
          <w:szCs w:val="17"/>
          <w:color w:val="auto"/>
        </w:rPr>
        <w:t>As we seek to increase the adoption of our products by enterprises, including products like Flex, which is primarily aimed at complex contact center implementations at larger companies, and Segment and Engage, which are primarily aimed at complex customer data platform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IT. In addition, while enterprise customers may quickly deploy our products on a limited basis, before they will commit to deploying our products at scale, they often require extensive education about our products and significant customer support time and engage in protracted pricing negotiations, which may not address changing inflationary pressure and reduced information technology budgets. In addition, sales cycles for enterprises are inherently more complex and less predictable than the sales through our self-service model, and some enterprise customers may not use our products enough to generate revenue that justifies the cost to obtain such customers. These complex and resource intensive sales efforts could place additional strain on our product and engineering resources. Further, enterprises, including some of our customers, may choose to develop their own solutions that do not include our products. They also may demand reductions in pricing as their usage of our products increases, notwithstanding increased costs incurred by us to provide such products, which could have an adverse impact on our gross margin. Additionally, economic recessions or slowdowns can result in our enterprise customers terminating their arrangements with us, longer sales cycles, and reduced or limited contract sizes as enterprise organizations focus on general cost reductions in the face of macroeconomic uncertainty.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79" w:lineRule="exact"/>
        <w:rPr>
          <w:sz w:val="20"/>
          <w:szCs w:val="20"/>
          <w:color w:val="auto"/>
        </w:rPr>
      </w:pPr>
    </w:p>
    <w:p>
      <w:pPr>
        <w:ind w:right="4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expand our relationships with existing technology partner customers and add new technology partner customers, our business, results of operations and financial condition could be adversely affected.</w:t>
      </w:r>
    </w:p>
    <w:p>
      <w:pPr>
        <w:spacing w:after="0" w:line="146"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We believe that the continued growth of our business depends in part upon developing and expanding strategic relationships with technology partner customers. Technology partner customers embed our software products in their solutions, such as software applications for contact centers and sales force and marketing automation, and then sell such solutions to other businesses. When potential customers do not have the available developer resources to build their own applications, we refer them to either our technology partners who embed our products in the solutions that they sell to other businesses or our consulting partners who provide consulting and development services for organizations that have limited software development expertise to build our platform into their software applications.</w:t>
      </w:r>
    </w:p>
    <w:p>
      <w:pPr>
        <w:spacing w:after="0" w:line="160" w:lineRule="exact"/>
        <w:rPr>
          <w:sz w:val="20"/>
          <w:szCs w:val="20"/>
          <w:color w:val="auto"/>
        </w:rPr>
      </w:pPr>
    </w:p>
    <w:p>
      <w:pPr>
        <w:ind w:firstLine="464"/>
        <w:spacing w:after="0" w:line="245" w:lineRule="auto"/>
        <w:rPr>
          <w:sz w:val="20"/>
          <w:szCs w:val="20"/>
          <w:color w:val="auto"/>
        </w:rPr>
      </w:pPr>
      <w:r>
        <w:rPr>
          <w:rFonts w:ascii="Times New Roman" w:cs="Times New Roman" w:eastAsia="Times New Roman" w:hAnsi="Times New Roman"/>
          <w:sz w:val="17"/>
          <w:szCs w:val="17"/>
          <w:color w:val="auto"/>
        </w:rPr>
        <w:t>As part of our growth strategy, we intend to expand our relationships with existing technology partner customers and add new technology partner customers. If we fail to expand our relationships with existing technology partner customers or establish relationships with new technology partner customers in a timely and cost-effective manner, or at all, including due to cost-saving measures of existing and prospective technology partners in the face of macroeconomic uncertainty, then our business, results of operations and financial condition could be adversely affected. Additionally, even if we are successful at building these relationships but there are problems or issues with integrating our products into the solutions of these customers, our reputation and ability to grow our business may be harmed.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depends in part on our ability to drive the adoption of our products by international customers.</w:t>
      </w:r>
    </w:p>
    <w:p>
      <w:pPr>
        <w:spacing w:after="0" w:line="223"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In the nine months ended September 30, 2022, and the years ended December 31, 2021 and 2020, we derived 34%, 34% and 27% of our revenue, respectively, from customer accounts located outside the United States. The future success of our business will depend, in part, on our ability to expand our customer base worldwide. While we have been rapidly expanding our sales efforts internationally, our experience in selling our products outside of the United States is, and our ability to conduct business in local currencies in certain jurisdictions may be or is, limited. Furthermore, our developer-first business model may not be successful or have the same traction outside the United States. As a result, our investment in marketing our products to these potential customers may not be successful. If we are unable to increase the revenue that we derive from international customers, then our business, results of operations and financial condition may be adversely affected.</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are continuing to expand our international operations, which exposes us to significant risks.</w:t>
      </w:r>
    </w:p>
    <w:p>
      <w:pPr>
        <w:spacing w:after="0" w:line="223"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We are continuing to expand our international operations to increase our revenue from customers outside of the United States as part of our growth strategy. Between September 30, 2021 and September 30, 2022, our international headcount grew from 2,701 employees to 3,644 employees. We expect to continue to hire employees outside of the United States to reach new customers and gain access to additional technical talent. Operating in international markets requires significant resources and management attention and will subject us to regulatory, economic and political risks in addition to those we already face in the United States. Because of our limited experience with international operations or with developing and managing sales in international markets, our international expansion efforts may not be successful.</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addition, we will face risks in doing business internationally that could adversely affect our business, including:</w:t>
      </w:r>
    </w:p>
    <w:p>
      <w:pPr>
        <w:spacing w:after="0" w:line="217" w:lineRule="exact"/>
        <w:rPr>
          <w:sz w:val="20"/>
          <w:szCs w:val="20"/>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 and actions taken by central banks to counter inflation;</w:t>
      </w:r>
    </w:p>
    <w:p>
      <w:pPr>
        <w:spacing w:after="0" w:line="217" w:lineRule="exact"/>
        <w:rPr>
          <w:rFonts w:ascii="Times New Roman" w:cs="Times New Roman" w:eastAsia="Times New Roman" w:hAnsi="Times New Roman"/>
          <w:sz w:val="17"/>
          <w:szCs w:val="17"/>
          <w:color w:val="auto"/>
        </w:rPr>
      </w:pPr>
    </w:p>
    <w:p>
      <w:pPr>
        <w:ind w:left="940" w:right="620" w:hanging="318"/>
        <w:spacing w:after="0" w:line="287"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price our products in competitive international markets;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different sources of competition or other changes to our current competitive landscape;</w:t>
      </w:r>
    </w:p>
    <w:p>
      <w:pPr>
        <w:spacing w:after="0" w:line="217" w:lineRule="exact"/>
        <w:rPr>
          <w:rFonts w:ascii="Times New Roman" w:cs="Times New Roman" w:eastAsia="Times New Roman" w:hAnsi="Times New Roman"/>
          <w:sz w:val="17"/>
          <w:szCs w:val="17"/>
          <w:color w:val="auto"/>
        </w:rPr>
      </w:pPr>
    </w:p>
    <w:p>
      <w:pPr>
        <w:ind w:left="940" w:right="20" w:hanging="318"/>
        <w:spacing w:after="0" w:line="270"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understanding, reconciling, and implementing technical controls to address, different technical standards, data privacy and telecommunications regulations, registration and certification requirements outside the United States, which could prevent customers from deploying our products or limit their usage;</w:t>
      </w:r>
    </w:p>
    <w:p>
      <w:pPr>
        <w:spacing w:after="0" w:line="165" w:lineRule="exact"/>
        <w:rPr>
          <w:rFonts w:ascii="Times New Roman" w:cs="Times New Roman" w:eastAsia="Times New Roman" w:hAnsi="Times New Roman"/>
          <w:sz w:val="17"/>
          <w:szCs w:val="17"/>
          <w:color w:val="auto"/>
        </w:rPr>
      </w:pPr>
    </w:p>
    <w:p>
      <w:pPr>
        <w:ind w:left="940" w:hanging="318"/>
        <w:spacing w:after="0" w:line="270"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the GDPR and Brazil's General Data Protection Law (Lei Geral de Proteção de Dados Pessoais) (Law No. 13,709/2018), and laws, regulations and industry standards relating to data privacy, data protection, data localization and data security enacted in countries and other regions in which we operate or do business;</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greater difficulty collecting accounts receivable and longer payment cycles;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or more variable network service provider fees outside of the United States;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adapt and localize our products for specific countries;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offer customer support in various languages;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understanding and complying with local laws, regulations and customs in non-U.S. jurisdictions;</w:t>
      </w:r>
    </w:p>
    <w:p>
      <w:pPr>
        <w:spacing w:after="0" w:line="217" w:lineRule="exact"/>
        <w:rPr>
          <w:rFonts w:ascii="Times New Roman" w:cs="Times New Roman" w:eastAsia="Times New Roman" w:hAnsi="Times New Roman"/>
          <w:sz w:val="17"/>
          <w:szCs w:val="17"/>
          <w:color w:val="auto"/>
        </w:rPr>
      </w:pPr>
    </w:p>
    <w:p>
      <w:pPr>
        <w:ind w:left="940" w:right="20" w:hanging="318"/>
        <w:spacing w:after="0" w:line="287"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export controls and economic sanctions regulations administered by the Department of Commerce's Bureau of Industry and Security and the Treasury Department’s Office of Foreign Assets Control;</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various anti-bribery and anti-corruption laws such as the Foreign Corrupt Practices Act and United Kingdom Bribery Act of 2010;</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international trade policies, tariffs and other non-tariff barriers, such as quotas and local content rules;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56" w:name="page57"/>
    <w:bookmarkEnd w:id="56"/>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limited protection for intellectual property rights in some countries;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tax consequences;</w:t>
      </w:r>
    </w:p>
    <w:p>
      <w:pPr>
        <w:spacing w:after="0" w:line="217" w:lineRule="exact"/>
        <w:rPr>
          <w:rFonts w:ascii="Times New Roman" w:cs="Times New Roman" w:eastAsia="Times New Roman" w:hAnsi="Times New Roman"/>
          <w:sz w:val="17"/>
          <w:szCs w:val="17"/>
          <w:color w:val="auto"/>
        </w:rPr>
      </w:pPr>
    </w:p>
    <w:p>
      <w:pPr>
        <w:ind w:left="940" w:right="34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control regulations, which might restrict or prohibit our conversion of other currencies into U.S. dollars;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transfer of funds;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of political relations between the United States and other countries;</w:t>
      </w:r>
    </w:p>
    <w:p>
      <w:pPr>
        <w:spacing w:after="0" w:line="217"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51" w:lineRule="exact"/>
        <w:rPr>
          <w:rFonts w:ascii="Times New Roman" w:cs="Times New Roman" w:eastAsia="Times New Roman" w:hAnsi="Times New Roman"/>
          <w:sz w:val="17"/>
          <w:szCs w:val="17"/>
          <w:color w:val="auto"/>
        </w:rPr>
      </w:pPr>
    </w:p>
    <w:p>
      <w:pPr>
        <w:ind w:left="940" w:right="360" w:hanging="318"/>
        <w:spacing w:after="0" w:line="270"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spacing w:after="0" w:line="165"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may be impacted and fluctuate as we expand our operations and customer base worldwide.</w:t>
      </w:r>
    </w:p>
    <w:p>
      <w:pPr>
        <w:spacing w:after="0" w:line="165" w:lineRule="exact"/>
        <w:rPr>
          <w:sz w:val="20"/>
          <w:szCs w:val="20"/>
          <w:color w:val="auto"/>
        </w:rPr>
      </w:pPr>
    </w:p>
    <w:p>
      <w:pPr>
        <w:ind w:right="200" w:firstLine="464"/>
        <w:spacing w:after="0" w:line="287" w:lineRule="auto"/>
        <w:rPr>
          <w:sz w:val="20"/>
          <w:szCs w:val="20"/>
          <w:color w:val="auto"/>
        </w:rPr>
      </w:pPr>
      <w:r>
        <w:rPr>
          <w:rFonts w:ascii="Times New Roman" w:cs="Times New Roman" w:eastAsia="Times New Roman" w:hAnsi="Times New Roman"/>
          <w:sz w:val="17"/>
          <w:szCs w:val="17"/>
          <w:color w:val="auto"/>
        </w:rPr>
        <w:t>Our failure to manage any of these risks successfully could harm our international operations, and adversely affect our business, results of operations and financial condition.</w:t>
      </w:r>
    </w:p>
    <w:p>
      <w:pPr>
        <w:spacing w:after="0" w:line="123" w:lineRule="exact"/>
        <w:rPr>
          <w:sz w:val="20"/>
          <w:szCs w:val="20"/>
          <w:color w:val="auto"/>
        </w:rPr>
      </w:pPr>
    </w:p>
    <w:p>
      <w:pPr>
        <w:ind w:right="240" w:firstLine="464"/>
        <w:spacing w:after="0" w:line="229" w:lineRule="exact"/>
        <w:rPr>
          <w:sz w:val="20"/>
          <w:szCs w:val="20"/>
          <w:color w:val="auto"/>
        </w:rPr>
      </w:pPr>
      <w:r>
        <w:rPr>
          <w:rFonts w:ascii="Times New Roman" w:cs="Times New Roman" w:eastAsia="Times New Roman" w:hAnsi="Times New Roman"/>
          <w:sz w:val="17"/>
          <w:szCs w:val="17"/>
          <w:b w:val="1"/>
          <w:bCs w:val="1"/>
          <w:i w:val="1"/>
          <w:iCs w:val="1"/>
          <w:color w:val="auto"/>
        </w:rPr>
        <w:t>Certain of our products are subject to telecommunications</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related regulations, and future legislative or regulatory actions could adversely affect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-213995</wp:posOffset>
            </wp:positionV>
            <wp:extent cx="622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71" w:lineRule="exact"/>
        <w:rPr>
          <w:sz w:val="20"/>
          <w:szCs w:val="20"/>
          <w:color w:val="auto"/>
        </w:rPr>
      </w:pPr>
    </w:p>
    <w:p>
      <w:pPr>
        <w:ind w:right="60" w:firstLine="464"/>
        <w:spacing w:after="0" w:line="257" w:lineRule="auto"/>
        <w:rPr>
          <w:sz w:val="20"/>
          <w:szCs w:val="20"/>
          <w:color w:val="auto"/>
        </w:rPr>
      </w:pPr>
      <w:r>
        <w:rPr>
          <w:rFonts w:ascii="Times New Roman" w:cs="Times New Roman" w:eastAsia="Times New Roman" w:hAnsi="Times New Roman"/>
          <w:sz w:val="17"/>
          <w:szCs w:val="17"/>
          <w:color w:val="auto"/>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Any enforcement action by the FCC, which may be a public process, would hurt our reputation in the industry, could erode customer trust, possibly impair our ability to sell our VoIP products to customers and could adversely affect our business, results of operations and financial condition.</w:t>
      </w:r>
    </w:p>
    <w:p>
      <w:pPr>
        <w:spacing w:after="0" w:line="179"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Certain of our products are subject to a number of FCC regulations and laws that are administered by the FCC. Among others, we must comply (in whole or in part) with:</w:t>
      </w:r>
    </w:p>
    <w:p>
      <w:pPr>
        <w:spacing w:after="0" w:line="151" w:lineRule="exact"/>
        <w:rPr>
          <w:sz w:val="20"/>
          <w:szCs w:val="20"/>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Communications Act of 1934, as amended, which regulates communications services and the provision of such services;</w:t>
      </w:r>
    </w:p>
    <w:p>
      <w:pPr>
        <w:spacing w:after="0" w:line="217" w:lineRule="exact"/>
        <w:rPr>
          <w:rFonts w:ascii="Times New Roman" w:cs="Times New Roman" w:eastAsia="Times New Roman" w:hAnsi="Times New Roman"/>
          <w:sz w:val="17"/>
          <w:szCs w:val="17"/>
          <w:color w:val="auto"/>
        </w:rPr>
      </w:pPr>
    </w:p>
    <w:p>
      <w:pPr>
        <w:ind w:left="940" w:right="64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Telephone Consumer Protection Act, which limits the use of automatic dialing systems for calls and texts, artificial or prerecorded voice messages and fax machines;</w:t>
      </w:r>
    </w:p>
    <w:p>
      <w:pPr>
        <w:spacing w:after="0" w:line="151" w:lineRule="exact"/>
        <w:rPr>
          <w:rFonts w:ascii="Times New Roman" w:cs="Times New Roman" w:eastAsia="Times New Roman" w:hAnsi="Times New Roman"/>
          <w:sz w:val="17"/>
          <w:szCs w:val="17"/>
          <w:color w:val="auto"/>
        </w:rPr>
      </w:pPr>
    </w:p>
    <w:p>
      <w:pPr>
        <w:ind w:left="940" w:right="48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Communications Assistance for Law Enforcement Act, which requires covered entities to assist law enforcement in undertaking electronic surveillance;</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safeguard the privacy of certain customer information;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64" w:right="379" w:bottom="1440" w:gutter="0" w:footer="0" w:header="0"/>
        </w:sectPr>
      </w:pPr>
    </w:p>
    <w:bookmarkStart w:id="57" w:name="page58"/>
    <w:bookmarkEnd w:id="57"/>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annual FCC regulatory fees and contributions to FCC-administered funds based on our interstate and international revenues;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rules pertaining to access to our services by people with disabilities and contributions to the Telecommunications Relay Services fund.</w:t>
      </w:r>
    </w:p>
    <w:p>
      <w:pPr>
        <w:spacing w:after="0" w:line="217" w:lineRule="exact"/>
        <w:rPr>
          <w:sz w:val="20"/>
          <w:szCs w:val="20"/>
          <w:color w:val="auto"/>
        </w:rPr>
      </w:pPr>
    </w:p>
    <w:p>
      <w:pPr>
        <w:ind w:right="1060" w:firstLine="464"/>
        <w:spacing w:after="0" w:line="287" w:lineRule="auto"/>
        <w:rPr>
          <w:sz w:val="20"/>
          <w:szCs w:val="20"/>
          <w:color w:val="auto"/>
        </w:rPr>
      </w:pPr>
      <w:r>
        <w:rPr>
          <w:rFonts w:ascii="Times New Roman" w:cs="Times New Roman" w:eastAsia="Times New Roman" w:hAnsi="Times New Roman"/>
          <w:sz w:val="17"/>
          <w:szCs w:val="17"/>
          <w:color w:val="auto"/>
        </w:rPr>
        <w:t>In addition, Congress and the FCC are attempting to mitigate the scourge of robocalls by requiring participation in a technical standard called SHAKEN/STIR, which allows voice carriers to authenticate caller ID, prohibiting malicious spoofing.</w:t>
      </w:r>
    </w:p>
    <w:p>
      <w:pPr>
        <w:spacing w:after="0" w:line="151" w:lineRule="exact"/>
        <w:rPr>
          <w:sz w:val="20"/>
          <w:szCs w:val="20"/>
          <w:color w:val="auto"/>
        </w:rPr>
      </w:pPr>
    </w:p>
    <w:p>
      <w:pPr>
        <w:ind w:right="120" w:firstLine="464"/>
        <w:spacing w:after="0" w:line="257" w:lineRule="auto"/>
        <w:rPr>
          <w:sz w:val="20"/>
          <w:szCs w:val="20"/>
          <w:color w:val="auto"/>
        </w:rPr>
      </w:pPr>
      <w:r>
        <w:rPr>
          <w:rFonts w:ascii="Times New Roman" w:cs="Times New Roman" w:eastAsia="Times New Roman" w:hAnsi="Times New Roman"/>
          <w:sz w:val="17"/>
          <w:szCs w:val="17"/>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76" w:lineRule="exact"/>
        <w:rPr>
          <w:sz w:val="20"/>
          <w:szCs w:val="20"/>
          <w:color w:val="auto"/>
        </w:rPr>
      </w:pPr>
    </w:p>
    <w:p>
      <w:pPr>
        <w:jc w:val="both"/>
        <w:ind w:right="100" w:firstLine="464"/>
        <w:spacing w:after="0" w:line="270" w:lineRule="auto"/>
        <w:rPr>
          <w:sz w:val="20"/>
          <w:szCs w:val="20"/>
          <w:color w:val="auto"/>
        </w:rPr>
      </w:pPr>
      <w:r>
        <w:rPr>
          <w:rFonts w:ascii="Times New Roman" w:cs="Times New Roman" w:eastAsia="Times New Roman" w:hAnsi="Times New Roman"/>
          <w:sz w:val="17"/>
          <w:szCs w:val="17"/>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65"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As we continue to expand internationally, we have become subject to telecommunications laws and regulations in the foreign countries where we offer our products. Internationally, we currently offer our products across 180 countries.</w:t>
      </w:r>
    </w:p>
    <w:p>
      <w:pPr>
        <w:spacing w:after="0" w:line="151"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7"/>
          <w:szCs w:val="17"/>
          <w:color w:val="auto"/>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communications platform-as-a-service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Specifically, the Australian Communications and Media Authority in 2019 issued a formal finding against several companies, including our Company, for failure to upload data into a centralized database for emergency services and, in the future, regulatory authorities in other jurisdictions in which we operate may also determine that we are a telecommunications company subject to similar regulations.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58" w:name="page59"/>
    <w:bookmarkEnd w:id="58"/>
    <w:p>
      <w:pPr>
        <w:ind w:right="80" w:firstLine="464"/>
        <w:spacing w:after="0" w:line="258" w:lineRule="auto"/>
        <w:rPr>
          <w:sz w:val="20"/>
          <w:szCs w:val="20"/>
          <w:color w:val="auto"/>
        </w:rPr>
      </w:pPr>
      <w:r>
        <w:rPr>
          <w:rFonts w:ascii="Times New Roman" w:cs="Times New Roman" w:eastAsia="Times New Roman" w:hAnsi="Times New Roman"/>
          <w:sz w:val="17"/>
          <w:szCs w:val="17"/>
          <w:color w:val="auto"/>
        </w:rPr>
        <w:t>Moreover,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147" w:lineRule="exact"/>
        <w:rPr>
          <w:sz w:val="20"/>
          <w:szCs w:val="20"/>
          <w:color w:val="auto"/>
        </w:rPr>
      </w:pPr>
    </w:p>
    <w:p>
      <w:pPr>
        <w:ind w:right="80" w:firstLine="464"/>
        <w:spacing w:after="0" w:line="229" w:lineRule="exact"/>
        <w:rPr>
          <w:sz w:val="20"/>
          <w:szCs w:val="20"/>
          <w:color w:val="auto"/>
        </w:rPr>
      </w:pPr>
      <w:r>
        <w:rPr>
          <w:rFonts w:ascii="Times New Roman" w:cs="Times New Roman" w:eastAsia="Times New Roman" w:hAnsi="Times New Roman"/>
          <w:sz w:val="17"/>
          <w:szCs w:val="17"/>
          <w:b w:val="1"/>
          <w:bCs w:val="1"/>
          <w:i w:val="1"/>
          <w:iCs w:val="1"/>
          <w:color w:val="auto"/>
        </w:rPr>
        <w:t>If we are unable to obtain or retain geographical, mobile, regional, local or toll</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i w:val="1"/>
          <w:iCs w:val="1"/>
          <w:color w:val="auto"/>
        </w:rPr>
        <w:t>free numbers, or to effectively process requests to port such numbers in a timely manner due to industry regulations, our business and results of operations may be adversely affected.</w:t>
      </w:r>
    </w:p>
    <w:p>
      <w:pPr>
        <w:spacing w:after="0" w:line="191"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73"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7"/>
          <w:szCs w:val="17"/>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79"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73" w:lineRule="exact"/>
        <w:rPr>
          <w:sz w:val="20"/>
          <w:szCs w:val="20"/>
          <w:color w:val="auto"/>
        </w:rPr>
      </w:pPr>
    </w:p>
    <w:p>
      <w:pPr>
        <w:ind w:right="140" w:firstLine="464"/>
        <w:spacing w:after="0" w:line="260" w:lineRule="auto"/>
        <w:rPr>
          <w:sz w:val="20"/>
          <w:szCs w:val="20"/>
          <w:color w:val="auto"/>
        </w:rPr>
      </w:pPr>
      <w:r>
        <w:rPr>
          <w:rFonts w:ascii="Times New Roman" w:cs="Times New Roman" w:eastAsia="Times New Roman" w:hAnsi="Times New Roman"/>
          <w:sz w:val="17"/>
          <w:szCs w:val="17"/>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Any of the foregoing factors could adversely affect our business, results of operations and financial condition.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59" w:name="page60"/>
    <w:bookmarkEnd w:id="59"/>
    <w:p>
      <w:pPr>
        <w:ind w:right="20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146"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The market for communications in general, and cloud communications in particular,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including but not limited to SHAKEN/STIR and applicable industry standards,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79" w:lineRule="exact"/>
        <w:rPr>
          <w:sz w:val="20"/>
          <w:szCs w:val="20"/>
          <w:color w:val="auto"/>
        </w:rPr>
      </w:pPr>
    </w:p>
    <w:p>
      <w:pPr>
        <w:ind w:right="60" w:firstLine="464"/>
        <w:spacing w:after="0" w:line="256" w:lineRule="auto"/>
        <w:rPr>
          <w:sz w:val="20"/>
          <w:szCs w:val="20"/>
          <w:color w:val="auto"/>
        </w:rPr>
      </w:pPr>
      <w:r>
        <w:rPr>
          <w:rFonts w:ascii="Times New Roman" w:cs="Times New Roman" w:eastAsia="Times New Roman" w:hAnsi="Times New Roman"/>
          <w:sz w:val="17"/>
          <w:szCs w:val="17"/>
          <w:color w:val="auto"/>
        </w:rPr>
        <w:t>Our platform must integrate with a variety of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Third party platforms may also implement changes to their privacy policies or practices that may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76" w:lineRule="exact"/>
        <w:rPr>
          <w:sz w:val="20"/>
          <w:szCs w:val="20"/>
          <w:color w:val="auto"/>
        </w:rPr>
      </w:pPr>
    </w:p>
    <w:p>
      <w:pPr>
        <w:ind w:right="1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substantially rely upon Amazon Web Services to operate our platform, and any disruption of or interference with our use of Amazon Web Services would adversely affect our business, results of operations and financial condition.</w:t>
      </w:r>
    </w:p>
    <w:p>
      <w:pPr>
        <w:spacing w:after="0" w:line="146"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7"/>
          <w:szCs w:val="17"/>
          <w:color w:val="auto"/>
        </w:rPr>
        <w:t>We outsource a substantial majority of our cloud infrastructure to Amazon Web Services (“AWS”), which hosts our products and platform.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Capacity constraints could be due to a number of potential causes, including technical failures, natural disasters, public health epidemics or pandemics such as COVID-19, fraud or security attacks. In addition, if our security, or that of AWS, is compromised, or our products or platform are unavailable or our users are unable to use our products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products become more complex and the usage of our products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 result in negative publicity which could harm our reputation and brand and may adversely affect the usage of our platform.</w:t>
      </w:r>
    </w:p>
    <w:p>
      <w:pPr>
        <w:spacing w:after="0" w:line="177"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7"/>
          <w:szCs w:val="17"/>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AWS provides us with computing and storage capacity pursuant to an agreement that continues until terminated by either party. AWS may terminate the agreement for cause upon notice and upon our failure to cure a breach within 30 days from the date of such notification and may, in some cases, suspend the agreement immediately for cause upon notice. Although we expect that we could receive similar services from other third parties, if any of our arrangements with AWS are terminated, we could experience interruptions on our platform and in our ability to make our products available to customers, as well as delays and additional expenses in arranging alternative cloud infrastructure services.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58" w:right="359" w:bottom="1440" w:gutter="0" w:footer="0" w:header="0"/>
        </w:sectPr>
      </w:pPr>
    </w:p>
    <w:bookmarkStart w:id="60" w:name="page61"/>
    <w:bookmarkEnd w:id="60"/>
    <w:p>
      <w:pPr>
        <w:ind w:right="140" w:firstLine="464"/>
        <w:spacing w:after="0" w:line="270" w:lineRule="auto"/>
        <w:rPr>
          <w:sz w:val="20"/>
          <w:szCs w:val="20"/>
          <w:color w:val="auto"/>
        </w:rPr>
      </w:pPr>
      <w:r>
        <w:rPr>
          <w:rFonts w:ascii="Times New Roman" w:cs="Times New Roman" w:eastAsia="Times New Roman" w:hAnsi="Times New Roman"/>
          <w:sz w:val="17"/>
          <w:szCs w:val="17"/>
          <w:color w:val="auto"/>
        </w:rPr>
        <w:t>Any of the above circumstances or events may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59" w:lineRule="exact"/>
        <w:rPr>
          <w:sz w:val="20"/>
          <w:szCs w:val="20"/>
          <w:color w:val="auto"/>
        </w:rPr>
      </w:pPr>
    </w:p>
    <w:p>
      <w:pPr>
        <w:ind w:right="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typically provide monthly uptime service level commitments of a minimum of 99.95% under our agreements with customers. If we fail to meet these contractual commitments, then our business, results of operations and financial condition could be adversely affected.</w:t>
      </w:r>
    </w:p>
    <w:p>
      <w:pPr>
        <w:spacing w:after="0" w:line="146"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Our agreements with customers typically provide for service level commitments. If we suffer extended periods of downtime for our products or platform and we are unable to meet these commitments, then we are contractually obligated to provide a service credit, which is typically 10% of the customer’s amounts due for the month in question. For example, there have been instances in which technical reliability issues have caused service disruptions with one or more products in our cloud communications platform that have impacted our customers’ ability to use such products for up to several hours. These issues have caused us to incur certain costs associated with offering credits to our affected customers and have had an adverse impact on customer satisfaction. In addition, the performance and availability of AWS or other service providers that provide our cloud infrastructures is outside of our control and, therefore, we are not in full control of whether we meet our service level commitments. A loss of customers or reduced utilization of our products by customers resulting from unscheduled downtime or service disruptions could adversely affect our business, results of operations and financial condition.</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Defects or errors in our products could diminish demand for our products, harm our business and results of operations and subject us to liability.</w:t>
      </w:r>
    </w:p>
    <w:p>
      <w:pPr>
        <w:spacing w:after="0" w:line="223"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and erode customer trust.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69" w:lineRule="exact"/>
        <w:rPr>
          <w:sz w:val="20"/>
          <w:szCs w:val="20"/>
          <w:color w:val="auto"/>
        </w:rPr>
      </w:pPr>
    </w:p>
    <w:p>
      <w:pPr>
        <w:ind w:right="1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46" w:lineRule="exact"/>
        <w:rPr>
          <w:sz w:val="20"/>
          <w:szCs w:val="20"/>
          <w:color w:val="auto"/>
        </w:rPr>
      </w:pPr>
    </w:p>
    <w:p>
      <w:pPr>
        <w:jc w:val="both"/>
        <w:ind w:right="260" w:firstLine="464"/>
        <w:spacing w:after="0" w:line="260" w:lineRule="auto"/>
        <w:rPr>
          <w:sz w:val="20"/>
          <w:szCs w:val="20"/>
          <w:color w:val="auto"/>
        </w:rPr>
      </w:pPr>
      <w:r>
        <w:rPr>
          <w:rFonts w:ascii="Times New Roman" w:cs="Times New Roman" w:eastAsia="Times New Roman" w:hAnsi="Times New Roman"/>
          <w:sz w:val="17"/>
          <w:szCs w:val="17"/>
          <w:color w:val="auto"/>
        </w:rPr>
        <w:t>In the nine months ended September 30, 2022 and the years ended December 31, 2021 and 2020, our 10 largest Active Customer Accounts generated an aggregate of 12%, 11% and 14% of our revenue, respectively. In the event that any of our large customers do not continue to use our products, use fewer of our products, or use our products in a more limited capacity, or not at all, our business, results of operations and financial condition could be adversely affected.</w:t>
      </w:r>
    </w:p>
    <w:p>
      <w:pPr>
        <w:ind w:right="100"/>
        <w:spacing w:after="0" w:line="259" w:lineRule="auto"/>
        <w:rPr>
          <w:sz w:val="20"/>
          <w:szCs w:val="20"/>
          <w:color w:val="auto"/>
        </w:rPr>
      </w:pPr>
      <w:r>
        <w:rPr>
          <w:rFonts w:ascii="Times New Roman" w:cs="Times New Roman" w:eastAsia="Times New Roman" w:hAnsi="Times New Roman"/>
          <w:sz w:val="17"/>
          <w:szCs w:val="17"/>
          <w:color w:val="auto"/>
        </w:rPr>
        <w:t>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69" w:lineRule="exact"/>
        <w:rPr>
          <w:sz w:val="20"/>
          <w:szCs w:val="20"/>
          <w:color w:val="auto"/>
        </w:rPr>
      </w:pPr>
    </w:p>
    <w:p>
      <w:pPr>
        <w:ind w:right="1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develop and maintain successful relationships with consulting partners, our business, results of operations and financial condition could be adversely affected.</w:t>
      </w:r>
    </w:p>
    <w:p>
      <w:pPr>
        <w:spacing w:after="0" w:line="146" w:lineRule="exact"/>
        <w:rPr>
          <w:sz w:val="20"/>
          <w:szCs w:val="20"/>
          <w:color w:val="auto"/>
        </w:rPr>
      </w:pPr>
    </w:p>
    <w:p>
      <w:pPr>
        <w:ind w:right="100" w:firstLine="464"/>
        <w:spacing w:after="0" w:line="210" w:lineRule="exact"/>
        <w:rPr>
          <w:sz w:val="20"/>
          <w:szCs w:val="20"/>
          <w:color w:val="auto"/>
        </w:rPr>
      </w:pPr>
      <w:r>
        <w:rPr>
          <w:rFonts w:ascii="Times New Roman" w:cs="Times New Roman" w:eastAsia="Times New Roman" w:hAnsi="Times New Roman"/>
          <w:sz w:val="17"/>
          <w:szCs w:val="17"/>
          <w:color w:val="auto"/>
        </w:rPr>
        <w:t>We believe that continued growth of our business depends in part upon identifying, developing and maintaining strategic relationships with consulting partners. As part of our growth strategy, we intend to further develop partnerships and specific solution areas with consulting partners. If we fail to establish these relationships in a timely and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effective manner, or at all, then our business, results of operations and financial condition could be adversely affected. Additionally, even if we are successful at developing these relationships but there are problems or issues with the integrations or enterprises are not willing to purchase through consulting partners, our reputation and ability to grow our business may be adversely affected.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64" w:right="359" w:bottom="1440" w:gutter="0" w:footer="0" w:header="0"/>
        </w:sectPr>
      </w:pPr>
    </w:p>
    <w:bookmarkStart w:id="61" w:name="page62"/>
    <w:bookmarkEnd w:id="61"/>
    <w:p>
      <w:pPr>
        <w:ind w:right="1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customer support may adversely affect our relationships with our customers and prospective customers, and adversely affect our business, results of operations and financial condition.</w:t>
      </w:r>
    </w:p>
    <w:p>
      <w:pPr>
        <w:spacing w:after="0" w:line="146" w:lineRule="exact"/>
        <w:rPr>
          <w:sz w:val="20"/>
          <w:szCs w:val="20"/>
          <w:color w:val="auto"/>
        </w:rPr>
      </w:pPr>
    </w:p>
    <w:p>
      <w:pPr>
        <w:ind w:firstLine="464"/>
        <w:spacing w:after="0" w:line="208" w:lineRule="exact"/>
        <w:rPr>
          <w:sz w:val="20"/>
          <w:szCs w:val="20"/>
          <w:color w:val="auto"/>
        </w:rPr>
      </w:pPr>
      <w:r>
        <w:rPr>
          <w:rFonts w:ascii="Times New Roman" w:cs="Times New Roman" w:eastAsia="Times New Roman" w:hAnsi="Times New Roman"/>
          <w:sz w:val="17"/>
          <w:szCs w:val="17"/>
          <w:color w:val="auto"/>
        </w:rPr>
        <w:t>Many of our customers depend on our customer support team to assist them in deploying our products effectively to help them to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developers. Any failure to maintain high-quality customer support, or a market perception that we do not maintain high-quality customer support, could erode customer trust and adversely affect our reputation, business, results of operations and financial condition.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Failure to set optimal prices for our products could adversely impact our business, results of operations and financial condition.</w:t>
      </w:r>
    </w:p>
    <w:p>
      <w:pPr>
        <w:spacing w:after="0" w:line="223" w:lineRule="exact"/>
        <w:rPr>
          <w:sz w:val="20"/>
          <w:szCs w:val="20"/>
          <w:color w:val="auto"/>
        </w:rPr>
      </w:pPr>
    </w:p>
    <w:p>
      <w:pPr>
        <w:ind w:right="180" w:firstLine="464"/>
        <w:spacing w:after="0" w:line="264" w:lineRule="auto"/>
        <w:rPr>
          <w:sz w:val="20"/>
          <w:szCs w:val="20"/>
          <w:color w:val="auto"/>
        </w:rPr>
      </w:pPr>
      <w:r>
        <w:rPr>
          <w:rFonts w:ascii="Times New Roman" w:cs="Times New Roman" w:eastAsia="Times New Roman" w:hAnsi="Times New Roman"/>
          <w:sz w:val="17"/>
          <w:szCs w:val="17"/>
          <w:color w:val="auto"/>
        </w:rPr>
        <w:t>For certain of our products, we primarily charge our customers based on their use of such products ("usage-based pricing"). One of the challenges to our usage-based pricing is that the fees that we pay to network service providers over whose networks we transmit communications can vary daily or weekly and are affected by volume and other factors that may be outside of our control and difficult to predict. This can result in us incurring increased costs that we may be unable or unwilling to pass through to our customers, which could adversely impact our business, results of operations and financial condition.</w:t>
      </w:r>
    </w:p>
    <w:p>
      <w:pPr>
        <w:spacing w:after="0" w:line="171" w:lineRule="exact"/>
        <w:rPr>
          <w:sz w:val="20"/>
          <w:szCs w:val="20"/>
          <w:color w:val="auto"/>
        </w:rPr>
      </w:pPr>
    </w:p>
    <w:p>
      <w:pPr>
        <w:ind w:firstLine="464"/>
        <w:spacing w:after="0" w:line="209" w:lineRule="exact"/>
        <w:rPr>
          <w:sz w:val="20"/>
          <w:szCs w:val="20"/>
          <w:color w:val="auto"/>
        </w:rPr>
      </w:pPr>
      <w:r>
        <w:rPr>
          <w:rFonts w:ascii="Times New Roman" w:cs="Times New Roman" w:eastAsia="Times New Roman" w:hAnsi="Times New Roman"/>
          <w:sz w:val="17"/>
          <w:szCs w:val="17"/>
          <w:color w:val="auto"/>
        </w:rPr>
        <w:t>We expect that we may need to change our pricing from time to time. In the past, we have sometimes reduced our prices either for individual customers in connection with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agreements or for a particular product. 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which are a primary focus for our direct sales efforts, may demand substantial price concessions. In addition, if the mix of products sold changes, including for a shift to IP</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products, then we may need to, or choose to, revise our pricing. As a result, in the future we may be required or choose to reduce our prices or change our pricing model, which could adversely affect our business, results of operations and financial condition.</w:t>
      </w:r>
    </w:p>
    <w:p>
      <w:pPr>
        <w:spacing w:after="0" w:line="185" w:lineRule="exact"/>
        <w:rPr>
          <w:sz w:val="20"/>
          <w:szCs w:val="20"/>
          <w:color w:val="auto"/>
        </w:rPr>
      </w:pPr>
    </w:p>
    <w:p>
      <w:pPr>
        <w:ind w:right="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been sued and may, in the future, be sued by third parties for alleged infringement of their proprietary rights, which could adversely affect our business, results of operations and financial condition.</w:t>
      </w:r>
    </w:p>
    <w:p>
      <w:pPr>
        <w:spacing w:after="0" w:line="146" w:lineRule="exact"/>
        <w:rPr>
          <w:sz w:val="20"/>
          <w:szCs w:val="20"/>
          <w:color w:val="auto"/>
        </w:rPr>
      </w:pPr>
    </w:p>
    <w:p>
      <w:pPr>
        <w:ind w:right="160" w:firstLine="464"/>
        <w:spacing w:after="0" w:line="208" w:lineRule="exact"/>
        <w:rPr>
          <w:sz w:val="20"/>
          <w:szCs w:val="20"/>
          <w:color w:val="auto"/>
        </w:rPr>
      </w:pPr>
      <w:r>
        <w:rPr>
          <w:rFonts w:ascii="Times New Roman" w:cs="Times New Roman" w:eastAsia="Times New Roman" w:hAnsi="Times New Roman"/>
          <w:sz w:val="17"/>
          <w:szCs w:val="17"/>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third party intellectual property claims. Our future success depends, in part, on not infringing the intellectual property rights of others and we may be unaware of the intellectual property rights of others that may cover some or all of our technology. Our competitors or other third parties have claimed and may, in the future, claim that our products or platform and underlying technology are infringing upon their intellectual property rights, and we may be found to be infringing upon such rights. For example, Telesign Corporation (“Telesign”) sued us in 2015 and 2016 alleging that we infringed four U.S. patents. The patent infringement allegations in the lawsuits related to our two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factor authentication use case, </w:t>
      </w:r>
      <w:r>
        <w:rPr>
          <w:rFonts w:ascii="Times New Roman" w:cs="Times New Roman" w:eastAsia="Times New Roman" w:hAnsi="Times New Roman"/>
          <w:sz w:val="17"/>
          <w:szCs w:val="17"/>
          <w:i w:val="1"/>
          <w:iCs w:val="1"/>
          <w:color w:val="auto"/>
        </w:rPr>
        <w:t>Authy</w:t>
      </w:r>
      <w:r>
        <w:rPr>
          <w:rFonts w:ascii="Times New Roman" w:cs="Times New Roman" w:eastAsia="Times New Roman" w:hAnsi="Times New Roman"/>
          <w:sz w:val="17"/>
          <w:szCs w:val="17"/>
          <w:color w:val="auto"/>
        </w:rPr>
        <w:t>, and an API tool to find information about a phone number. On October 19, 2018, a United States District Court in the Northern District of California entered judgment in our favor on all asserted claims, which was affirmed on appeal. We intend to vigorously defend ourselves against such lawsuits. During the course of these lawsuits, there may be announcements of the results of hearings and motions and other interim developments related to the litigation. If securities analysts or investors regard these announcements as negative, the trading price of our Class A common stock may decline.</w:t>
      </w:r>
    </w:p>
    <w:p>
      <w:pPr>
        <w:spacing w:after="0" w:line="192" w:lineRule="exact"/>
        <w:rPr>
          <w:sz w:val="20"/>
          <w:szCs w:val="20"/>
          <w:color w:val="auto"/>
        </w:rPr>
      </w:pPr>
    </w:p>
    <w:p>
      <w:pPr>
        <w:ind w:right="60" w:firstLine="464"/>
        <w:spacing w:after="0" w:line="209" w:lineRule="exact"/>
        <w:rPr>
          <w:sz w:val="20"/>
          <w:szCs w:val="20"/>
          <w:color w:val="auto"/>
        </w:rPr>
      </w:pPr>
      <w:r>
        <w:rPr>
          <w:rFonts w:ascii="Times New Roman" w:cs="Times New Roman" w:eastAsia="Times New Roman" w:hAnsi="Times New Roman"/>
          <w:sz w:val="17"/>
          <w:szCs w:val="17"/>
          <w:color w:val="auto"/>
        </w:rPr>
        <w:t>Any claims or litigation could cause us to incur significant expenses and, if successfully asserted against us, could require that we pay substantial damages or ongoing royalty payments, prevent us from offering our products, or require that we comply with other unfavorable terms. We may also be obligated to indemnify our customers or business partners in connection with any such litigation and to obtain licenses or modify our products or platform, which could further exhaust our resources. Litigation is inherently uncertain and even if we were to prevail in the event of claims or litigation against us, any claim or litigation regarding intellectual property could be costly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divert the attention of our management and other employees from our business. Patent infringement, trademark infringement, trade secret misappropriation and other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62" w:name="page63"/>
    <w:bookmarkEnd w:id="62"/>
    <w:p>
      <w:pPr>
        <w:ind w:right="400"/>
        <w:spacing w:after="0" w:line="287" w:lineRule="auto"/>
        <w:rPr>
          <w:sz w:val="20"/>
          <w:szCs w:val="20"/>
          <w:color w:val="auto"/>
        </w:rPr>
      </w:pPr>
      <w:r>
        <w:rPr>
          <w:rFonts w:ascii="Times New Roman" w:cs="Times New Roman" w:eastAsia="Times New Roman" w:hAnsi="Times New Roman"/>
          <w:sz w:val="17"/>
          <w:szCs w:val="17"/>
          <w:color w:val="auto"/>
        </w:rPr>
        <w:t>intellectual property claims and proceedings brought against us, whether successful or not, could harm our brand, business, results of operations and financial condition.</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Indemnity provisions in various agreements potentially expose us to substantial liability for data breach, intellectual property infringement and other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losses.</w:t>
      </w:r>
    </w:p>
    <w:p>
      <w:pPr>
        <w:spacing w:after="0" w:line="200" w:lineRule="exact"/>
        <w:rPr>
          <w:sz w:val="20"/>
          <w:szCs w:val="20"/>
          <w:color w:val="auto"/>
        </w:rPr>
      </w:pPr>
    </w:p>
    <w:p>
      <w:pPr>
        <w:ind w:right="100" w:firstLine="464"/>
        <w:spacing w:after="0" w:line="260" w:lineRule="auto"/>
        <w:rPr>
          <w:sz w:val="20"/>
          <w:szCs w:val="20"/>
          <w:color w:val="auto"/>
        </w:rPr>
      </w:pPr>
      <w:r>
        <w:rPr>
          <w:rFonts w:ascii="Times New Roman" w:cs="Times New Roman" w:eastAsia="Times New Roman" w:hAnsi="Times New Roman"/>
          <w:sz w:val="17"/>
          <w:szCs w:val="17"/>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loss or exposure of confidential or sensitive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results of operations and financial condition.</w:t>
      </w:r>
    </w:p>
    <w:p>
      <w:pPr>
        <w:spacing w:after="0" w:line="170" w:lineRule="exact"/>
        <w:rPr>
          <w:sz w:val="20"/>
          <w:szCs w:val="20"/>
          <w:color w:val="auto"/>
        </w:rPr>
      </w:pPr>
    </w:p>
    <w:p>
      <w:pPr>
        <w:ind w:right="3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46"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brand and the proprietary methods and technologies that we develop under patent and other intellectual property laws in the U.S. and in non-U.S. jurisdictions so that we can prevent others from using our inventions and proprietary information. As of December 31, 2021, in the United States, we had been issued 197 patents, which expire between 2029 and 2040. As of such date, we also had 36 issued patents in non-U.S. jurisdictions, all of which are related to U.S. patents and patent applications. We have also filed various applications for protection of certain aspects of our intellectual property in the United States and internationally. There can be no assurance that additional patents will be issued or that any patents that have been issued or that may be issued in the future will provide significant protection for our intellectual property. As of December 31, 2021, we had 50 registered trademarks in the United States and 416 registered trademarks in non-U.S. jurisdictions. If we fail to protect our intellectual property rights adequately, our competitors might gain access to our technology and our business, results of operations and financial condition may be adversely affected.</w:t>
      </w:r>
    </w:p>
    <w:p>
      <w:pPr>
        <w:spacing w:after="0" w:line="175" w:lineRule="exact"/>
        <w:rPr>
          <w:sz w:val="20"/>
          <w:szCs w:val="20"/>
          <w:color w:val="auto"/>
        </w:rPr>
      </w:pPr>
    </w:p>
    <w:p>
      <w:pPr>
        <w:ind w:right="40" w:firstLine="464"/>
        <w:spacing w:after="0" w:line="208" w:lineRule="exact"/>
        <w:rPr>
          <w:sz w:val="20"/>
          <w:szCs w:val="20"/>
          <w:color w:val="auto"/>
        </w:rPr>
      </w:pPr>
      <w:r>
        <w:rPr>
          <w:rFonts w:ascii="Times New Roman" w:cs="Times New Roman" w:eastAsia="Times New Roman" w:hAnsi="Times New Roman"/>
          <w:sz w:val="17"/>
          <w:szCs w:val="17"/>
          <w:color w:val="auto"/>
        </w:rPr>
        <w:t>There can be no assurance that the particular forms of intellectual property protection that we seek, including business decisions about when to file patent applications and trademark applications, will be adequate to protect our business. We could be required to spend significant resources to monitor and protect our intellectual property rights. Litigation has in the past, and may be necessary in the future, to enforce our intellectual property rights, determine the validity and scope of our proprietary rights or those of others, or defend against claims of infringement or invalidity. Such litigation could be costly,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193" w:lineRule="exact"/>
        <w:rPr>
          <w:sz w:val="20"/>
          <w:szCs w:val="20"/>
          <w:color w:val="auto"/>
        </w:rPr>
      </w:pPr>
    </w:p>
    <w:p>
      <w:pPr>
        <w:ind w:right="20" w:firstLine="464"/>
        <w:spacing w:after="0" w:line="209" w:lineRule="exact"/>
        <w:rPr>
          <w:sz w:val="20"/>
          <w:szCs w:val="20"/>
          <w:color w:val="auto"/>
        </w:rPr>
      </w:pPr>
      <w:r>
        <w:rPr>
          <w:rFonts w:ascii="Times New Roman" w:cs="Times New Roman" w:eastAsia="Times New Roman" w:hAnsi="Times New Roman"/>
          <w:sz w:val="17"/>
          <w:szCs w:val="17"/>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litigation could be necessary to enforce and determine the scope of our proprietary rights, and failure to obtain or maintain trade secret protection could adversely affect our competitive business position.</w:t>
      </w:r>
    </w:p>
    <w:p>
      <w:pPr>
        <w:spacing w:after="0" w:line="191"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In addition, the laws of some countries do not protect intellectual property and other proprietary rights to the same extent as the laws of the United States. To the extent we expand our international activities, whether through acquisitions, international product development, regulatory compliance of local data sovereignty, or improving our services (e.g. reducing latency or ensuring redundancy) our exposure to unauthorized copying, transfer and use of our proprietary technology or information may increase.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63" w:name="page64"/>
    <w:bookmarkEnd w:id="63"/>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159" w:lineRule="exact"/>
        <w:rPr>
          <w:sz w:val="20"/>
          <w:szCs w:val="20"/>
          <w:color w:val="auto"/>
        </w:rPr>
      </w:pPr>
    </w:p>
    <w:p>
      <w:pPr>
        <w:ind w:right="36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acquire or invest in companies, which may divert our management’s attention and result in debt or dilution to our stockholders. We may be unable to integrate acquired businesses and technologies successfully or achieve the expected benefits of such acquisitions or investments.</w:t>
      </w:r>
    </w:p>
    <w:p>
      <w:pPr>
        <w:spacing w:after="0" w:line="146"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We actively evaluate and consider potential strategic transactions, including acquisitions of, or investments in, businesses, technologies, services, products and other assets in the future. For example, in November 2020, we acquired Segment for a total purchase price of $3.0 billion, of which approximately $2.5 billion represented the value of our Class A common stock issued at closing. The estimated transaction value of $3.2 billion, as previously announced, included certain shares of Class A common stock and assumed equity awards that are subject to future vesting. Accordingly, at closing, our stockholders incurred substantial dilution. Any future acquisitions or strategic transactions may result in additional dilution or require us to take on debt in order to finance any such transactions. For further risks related to our acquisitions, please see below under “Risks Related to our Acquisitions.” We also may enter into relationships with other businesses to expand our products and platform, which could involve preferred or exclusive licenses, additional channels of distribution, discount pricing or investments in other companies, such as our recent minority investment of $750.0 million in Syniverse Corporation that closed in May 2022.</w:t>
      </w:r>
    </w:p>
    <w:p>
      <w:pPr>
        <w:spacing w:after="0" w:line="175"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Any acquisition, investment or business relationship may result in unforeseen operating difficulties and expenditures. In particular, we may encounter difficulties or delays in assimilating or integrating the businesses, technologies, products, employees or operations of the acquired companies, particularly if the key employees of the acquired company choose not to work for us, their products or services are not easily adapted to work with our platform, or we have difficulty retaining the customers of any acquired business due to changes in ownership, management or otherwise. In addition, we may discover liabilities or deficiencies associated with the assets or companies we acquire or ineffective or inadequate controls, procedures or policies at an acquired business that were not identified in advance, any of which could result in significant unanticipated costs.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Negotiating these transactions can be time consuming, difficult and expensive, and our ability to complete these transactions may often be subject to</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approvals that are beyond our control. Consequently, these transactions, even if announced, may not be completed. For one or more of those transactions, we may:</w:t>
      </w:r>
    </w:p>
    <w:p>
      <w:pPr>
        <w:spacing w:after="0" w:line="200" w:lineRule="exact"/>
        <w:rPr>
          <w:sz w:val="20"/>
          <w:szCs w:val="20"/>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additional equity securities that would dilute our existing stockholders;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cash that we may need in the future to operate our business;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large charges or substantial liabilities;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debt on terms unfavorable to us or that we are unable to repay;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encounter difficulties retaining key employees of the acquired company or integrating diverse software codes or business cultures;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securities that are illiquid or decline in value;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encounter difficulties retaining the acquired company's customers; or</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 subject to adverse tax consequences, substantial depreciation, or deferred compensation charges.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occurrence of any of these foregoing could adversely affect our business, results of operations and financial condition.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64" w:name="page65"/>
    <w:bookmarkEnd w:id="64"/>
    <w:p>
      <w:pPr>
        <w:ind w:right="4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46"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7"/>
          <w:szCs w:val="17"/>
          <w:color w:val="auto"/>
        </w:rPr>
        <w:t>The Federal Controlling the Assault of Non-Solicited Pornography and Marketing Act of 2003, or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387" w:lineRule="exact"/>
        <w:rPr>
          <w:sz w:val="20"/>
          <w:szCs w:val="20"/>
          <w:color w:val="auto"/>
        </w:rPr>
      </w:pPr>
    </w:p>
    <w:p>
      <w:pPr>
        <w:jc w:val="both"/>
        <w:ind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64" w:lineRule="exact"/>
        <w:rPr>
          <w:sz w:val="20"/>
          <w:szCs w:val="20"/>
          <w:color w:val="auto"/>
        </w:rPr>
      </w:pPr>
    </w:p>
    <w:p>
      <w:pPr>
        <w:ind w:right="220" w:firstLine="464"/>
        <w:spacing w:after="0" w:line="264" w:lineRule="auto"/>
        <w:rPr>
          <w:sz w:val="20"/>
          <w:szCs w:val="20"/>
          <w:color w:val="auto"/>
        </w:rPr>
      </w:pPr>
      <w:r>
        <w:rPr>
          <w:rFonts w:ascii="Times New Roman" w:cs="Times New Roman" w:eastAsia="Times New Roman" w:hAnsi="Times New Roman"/>
          <w:sz w:val="17"/>
          <w:szCs w:val="17"/>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 attorneys general or</w:t>
      </w:r>
    </w:p>
    <w:p>
      <w:pPr>
        <w:spacing w:after="0" w:line="4" w:lineRule="exact"/>
        <w:rPr>
          <w:sz w:val="20"/>
          <w:szCs w:val="20"/>
          <w:color w:val="auto"/>
        </w:rPr>
      </w:pPr>
    </w:p>
    <w:p>
      <w:pPr>
        <w:jc w:val="both"/>
        <w:ind w:right="160"/>
        <w:spacing w:after="0" w:line="211" w:lineRule="exact"/>
        <w:rPr>
          <w:sz w:val="20"/>
          <w:szCs w:val="20"/>
          <w:color w:val="auto"/>
        </w:rPr>
      </w:pPr>
      <w:r>
        <w:rPr>
          <w:rFonts w:ascii="Times New Roman" w:cs="Times New Roman" w:eastAsia="Times New Roman" w:hAnsi="Times New Roman"/>
          <w:sz w:val="17"/>
          <w:szCs w:val="17"/>
          <w:color w:val="auto"/>
        </w:rPr>
        <w:t>other state actor enforcement. Class action suits are the most common method for private enforcement. This has resulted in civil claims against our company and requests for information through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191"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Moreover,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spacing w:after="0" w:line="166" w:lineRule="exact"/>
        <w:rPr>
          <w:sz w:val="20"/>
          <w:szCs w:val="20"/>
          <w:color w:val="auto"/>
        </w:rPr>
      </w:pPr>
    </w:p>
    <w:p>
      <w:pPr>
        <w:ind w:right="40" w:firstLine="464"/>
        <w:spacing w:after="0" w:line="243" w:lineRule="auto"/>
        <w:rPr>
          <w:sz w:val="20"/>
          <w:szCs w:val="20"/>
          <w:color w:val="auto"/>
        </w:rPr>
      </w:pPr>
      <w:r>
        <w:rPr>
          <w:rFonts w:ascii="Times New Roman" w:cs="Times New Roman" w:eastAsia="Times New Roman" w:hAnsi="Times New Roman"/>
          <w:sz w:val="17"/>
          <w:szCs w:val="17"/>
          <w:color w:val="auto"/>
        </w:rPr>
        <w:t>Moreover, our customers’ and other users’ promotion of their products and services through our platform might not comply with federal, state, and foreign laws or of contractual requirements imposed by carriers, such as the CTIA Shortcode Agreement, The Campaign Registry, and associated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65" w:name="page66"/>
    <w:bookmarkEnd w:id="65"/>
    <w:p>
      <w:pPr>
        <w:spacing w:after="0" w:line="238" w:lineRule="auto"/>
        <w:rPr>
          <w:sz w:val="20"/>
          <w:szCs w:val="20"/>
          <w:color w:val="auto"/>
        </w:rPr>
      </w:pPr>
      <w:r>
        <w:rPr>
          <w:rFonts w:ascii="Times New Roman" w:cs="Times New Roman" w:eastAsia="Times New Roman" w:hAnsi="Times New Roman"/>
          <w:sz w:val="17"/>
          <w:szCs w:val="17"/>
          <w:color w:val="auto"/>
        </w:rPr>
        <w:t>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There are various Congressional and legal efforts to eliminate or restrict the scope of the protections under Section 230, which limits the liability of internet platforms for third-party content that is transmitted via those platforms and for good-faith moderation of offensive content. In addition, Florida and Texas adopted statutes intended to reduce or eliminate the protections granted under Section 230, although implementation of both statutes has been stayed by various federal courts, including the U.S. Supreme Court. On August 18, the parties in the Florida case requested, and were granted, a stay of the appeals court mandate pending Supreme Court review, and on September 21, 2022, Florida requested that the Supreme Court review the case. On September 16, the U.S. Court of Appeals for the Fifth Circuit issued a decision upholding the Texas law. On September 30, the parties in that case filed an unopposed motion to stay the Fifth Circuit decision pending Supreme Court review, and the Fifth Circuit granted that request on October 13. The conflict between the decisions on the two laws increases the likelihood that the Supreme Court will review these statutes. Florida recently amended its statute in an effort to address issues that led the court to issue the stay. Similar legislation has been introduced in other states in 2022. Further, on October 3, 2022, the U.S. Supreme Court agreed to hear a case to determine whether Google should be liable for damages because YouTube’s suggestion algorithm promoted radical Islamic videos that incited a terrorist attack in France.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negatively affect our ability to sell our products and subject us to possible litigation.</w:t>
      </w:r>
    </w:p>
    <w:p>
      <w:pPr>
        <w:spacing w:after="0" w:line="223" w:lineRule="exact"/>
        <w:rPr>
          <w:sz w:val="20"/>
          <w:szCs w:val="20"/>
          <w:color w:val="auto"/>
        </w:rPr>
      </w:pPr>
    </w:p>
    <w:p>
      <w:pPr>
        <w:ind w:right="40" w:firstLine="464"/>
        <w:spacing w:after="0" w:line="207" w:lineRule="exact"/>
        <w:rPr>
          <w:sz w:val="20"/>
          <w:szCs w:val="20"/>
          <w:color w:val="auto"/>
        </w:rPr>
      </w:pPr>
      <w:r>
        <w:rPr>
          <w:rFonts w:ascii="Times New Roman" w:cs="Times New Roman" w:eastAsia="Times New Roman" w:hAnsi="Times New Roman"/>
          <w:sz w:val="17"/>
          <w:szCs w:val="17"/>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engineer our products or platform or discontinue offering our products to customers in the event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engineering cannot be accomplished on a timely basis. Any of the foregoing could require us to devote additional research and development resources to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engineer our products or platform, could result in customer dissatisfaction and may adversely affect our business, results of operations and financial condition.</w:t>
      </w:r>
    </w:p>
    <w:p>
      <w:pPr>
        <w:spacing w:after="0" w:line="191" w:lineRule="exact"/>
        <w:rPr>
          <w:sz w:val="20"/>
          <w:szCs w:val="20"/>
          <w:color w:val="auto"/>
        </w:rPr>
      </w:pPr>
    </w:p>
    <w:p>
      <w:pPr>
        <w:ind w:right="1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59" w:lineRule="exact"/>
        <w:rPr>
          <w:sz w:val="20"/>
          <w:szCs w:val="20"/>
          <w:color w:val="auto"/>
        </w:rPr>
      </w:pPr>
    </w:p>
    <w:p>
      <w:pPr>
        <w:ind w:right="60" w:firstLine="464"/>
        <w:spacing w:after="0" w:line="195" w:lineRule="exact"/>
        <w:rPr>
          <w:sz w:val="20"/>
          <w:szCs w:val="20"/>
          <w:color w:val="auto"/>
        </w:rPr>
      </w:pPr>
      <w:r>
        <w:rPr>
          <w:rFonts w:ascii="Times New Roman" w:cs="Times New Roman" w:eastAsia="Times New Roman" w:hAnsi="Times New Roman"/>
          <w:sz w:val="17"/>
          <w:szCs w:val="17"/>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commerce or communications generally or result in reductions in the demand for Internet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products and services such as our products and platform. In particular, a re-adoption of “network neutrality” rules in the United States, which President Biden supported during his campaign, could affect the services used by us and our customers. California’s state network neutrality law went into effect after a federal district court denied a motion for preliminary injunction on March 10, 2021, and that decision was affirmed by the U.S. Court of Appeals for the Ninth Circuit on January 28, 2022, and on April 20, 2022 it declined to rehear the case. The appellants did not appeal to the U.S. Supreme Court. A temporary injunction preventing implementation of a similar law in Vermont expired on April 20, 2022, but the challenge to that law remains pending. A number of other states have adopted or are adopting or considering legislation or executive actions that would regulate the conduct of broadband providers. In addition, the use of the Internet as a business tool could be adversely affected due to delays in the development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66" w:name="page67"/>
    <w:bookmarkEnd w:id="66"/>
    <w:p>
      <w:pPr>
        <w:spacing w:after="0" w:line="208" w:lineRule="exact"/>
        <w:rPr>
          <w:sz w:val="20"/>
          <w:szCs w:val="20"/>
          <w:color w:val="auto"/>
        </w:rPr>
      </w:pPr>
      <w:r>
        <w:rPr>
          <w:rFonts w:ascii="Times New Roman" w:cs="Times New Roman" w:eastAsia="Times New Roman" w:hAnsi="Times New Roman"/>
          <w:sz w:val="17"/>
          <w:szCs w:val="17"/>
          <w:color w:val="auto"/>
        </w:rPr>
        <w:t>adoption of new standards and protocols to handle increased demands of Internet activity, security, reliability, cost, ease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technology industry is subject to increasing scrutiny that could result in government actions that would negatively affect our business.</w:t>
      </w:r>
    </w:p>
    <w:p>
      <w:pPr>
        <w:spacing w:after="0" w:line="223"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7"/>
          <w:szCs w:val="17"/>
          <w:color w:val="auto"/>
        </w:rPr>
        <w:t>The technology industry is subject to intense media, political and regulatory scrutiny, both domestic and foreign, including on issues related to antitrust, privacy, and artificial intelligence, which exposes us to government investigations, legal actions and penalties. For instance, various regulatory agencies, including competition and consumer protection authorities, have active proceedings and investigations concerning multiple technology companies on antitrust and other issues. If we become subject to such investigations, we could be liable for substantial fines and penalties, be required to change our products and services or alter our business operations, receive negative publicity, or be subject to civil litigation, all of which could harm our business. Lawmakers also have proposed new laws and regulations, and modifications to existing laws and regulations, that affect the activities of technology companies, such as the recent legislative efforts to eliminate or modify Section 230 of the Communications Decency Act and to regulate platforms that offer apps and other similar actions in some U.S. states. If such laws and regulations are enacted or modified, they could impact us, even if they are not intended to affect our company. In addition, the introduction of new products and services, expansion of our activities in certain jurisdictions, or other actions that we may take may subject us to additional laws, regulations, and other scrutiny. The increased scrutiny of certain acquisitions in the technology industry also could affect our ability to enter into strategic transactions or to acquire other businesses.</w:t>
      </w:r>
    </w:p>
    <w:p>
      <w:pPr>
        <w:spacing w:after="0" w:line="390" w:lineRule="exact"/>
        <w:rPr>
          <w:sz w:val="20"/>
          <w:szCs w:val="20"/>
          <w:color w:val="auto"/>
        </w:rPr>
      </w:pPr>
    </w:p>
    <w:p>
      <w:pPr>
        <w:jc w:val="both"/>
        <w:ind w:right="80" w:firstLine="464"/>
        <w:spacing w:after="0" w:line="270" w:lineRule="auto"/>
        <w:rPr>
          <w:sz w:val="20"/>
          <w:szCs w:val="20"/>
          <w:color w:val="auto"/>
        </w:rPr>
      </w:pPr>
      <w:r>
        <w:rPr>
          <w:rFonts w:ascii="Times New Roman" w:cs="Times New Roman" w:eastAsia="Times New Roman" w:hAnsi="Times New Roman"/>
          <w:sz w:val="17"/>
          <w:szCs w:val="17"/>
          <w:color w:val="auto"/>
        </w:rPr>
        <w:t>Compliance with new or modified laws and regulations could increase the cost of conducting our business, limit the opportunities to increase our revenues, or prevent us from offering products or services. There can be no assurance that our employees, contractors or agents will not violate such laws and regulations. If we are found to have violated laws and regulations, it could materially adversely affect our reputation, financial condition and results of operations.</w:t>
      </w:r>
    </w:p>
    <w:p>
      <w:pPr>
        <w:spacing w:after="0" w:line="165" w:lineRule="exact"/>
        <w:rPr>
          <w:sz w:val="20"/>
          <w:szCs w:val="20"/>
          <w:color w:val="auto"/>
        </w:rPr>
      </w:pPr>
    </w:p>
    <w:p>
      <w:pPr>
        <w:ind w:right="180" w:firstLine="464"/>
        <w:spacing w:after="0" w:line="264" w:lineRule="auto"/>
        <w:rPr>
          <w:sz w:val="20"/>
          <w:szCs w:val="20"/>
          <w:color w:val="auto"/>
        </w:rPr>
      </w:pPr>
      <w:r>
        <w:rPr>
          <w:rFonts w:ascii="Times New Roman" w:cs="Times New Roman" w:eastAsia="Times New Roman" w:hAnsi="Times New Roman"/>
          <w:sz w:val="17"/>
          <w:szCs w:val="17"/>
          <w:color w:val="auto"/>
        </w:rPr>
        <w:t>We also could be harmed by government investigations, litigation, or changes in laws and regulations directed at our customers, business partners, or suppliers in the technology industry that have the effect of limiting our ability to do business with those entities. There can be no assurance that our business will not be materially adversely affected, individually or in the aggregate, by the outcomes of such investigations, litigation or changes to laws and regulations in the future.</w:t>
      </w:r>
    </w:p>
    <w:p>
      <w:pPr>
        <w:spacing w:after="0" w:line="165"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46"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From time to time,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w:t>
      </w:r>
    </w:p>
    <w:p>
      <w:pPr>
        <w:spacing w:after="0" w:line="175"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67" w:name="page68"/>
    <w:bookmarkEnd w:id="67"/>
    <w:p>
      <w:pPr>
        <w:ind w:right="16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global operations subject us to potential liability under export control, economic trade sanctions, anti-corruption, and other laws and regulations, and such violations could impair our ability to compete in international markets and could subject us to liability for compliance violations.</w:t>
      </w:r>
    </w:p>
    <w:p>
      <w:pPr>
        <w:spacing w:after="0" w:line="146" w:lineRule="exact"/>
        <w:rPr>
          <w:sz w:val="20"/>
          <w:szCs w:val="20"/>
          <w:color w:val="auto"/>
        </w:rPr>
      </w:pPr>
    </w:p>
    <w:p>
      <w:pPr>
        <w:ind w:firstLine="464"/>
        <w:spacing w:after="0" w:line="207" w:lineRule="exact"/>
        <w:rPr>
          <w:sz w:val="20"/>
          <w:szCs w:val="20"/>
          <w:color w:val="auto"/>
        </w:rPr>
      </w:pPr>
      <w:r>
        <w:rPr>
          <w:rFonts w:ascii="Times New Roman" w:cs="Times New Roman" w:eastAsia="Times New Roman" w:hAnsi="Times New Roman"/>
          <w:sz w:val="17"/>
          <w:szCs w:val="17"/>
          <w:color w:val="auto"/>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are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197" w:lineRule="exact"/>
        <w:rPr>
          <w:sz w:val="20"/>
          <w:szCs w:val="20"/>
          <w:color w:val="auto"/>
        </w:rPr>
      </w:pPr>
    </w:p>
    <w:p>
      <w:pPr>
        <w:ind w:firstLine="464"/>
        <w:spacing w:after="0" w:line="208" w:lineRule="exact"/>
        <w:rPr>
          <w:sz w:val="20"/>
          <w:szCs w:val="20"/>
          <w:color w:val="auto"/>
        </w:rPr>
      </w:pPr>
      <w:r>
        <w:rPr>
          <w:rFonts w:ascii="Times New Roman" w:cs="Times New Roman" w:eastAsia="Times New Roman" w:hAnsi="Times New Roman"/>
          <w:sz w:val="17"/>
          <w:szCs w:val="17"/>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distributed systems or, in some cases, prevent the export of our products or provision of our services to some countries altogether.</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are also subject to U.S. and foreign anti-corruption and anti-bribery laws, including the Foreign Corrupt Practices Act, as amended, the UK Bribery Act</w:t>
      </w:r>
    </w:p>
    <w:p>
      <w:pPr>
        <w:spacing w:after="0" w:line="4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2010, and other anti-corruption laws and regulations in the countries in which we conduct activities. Anti-corruption laws are interpreted broadly and generally prohibit corrupt payments by our employees and third parties acting on our behalf from directly or indirectly authorizing, offering, or providing, improper payments or things of value to recipients in the public or private sector, and also require that we maintain accurate books and records and adequate internal controls. Our employees or third parties acting on our behalf may fail to comply with our policies, resulting in violations of applicable anti-corruption laws and regulations. Such violations could result in significant fines and penalties, criminal liability for us, our individual officers or employees, prohibitions on our ability to conduct business, and potential reputational damage.</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reliance on SaaS technologies from third parties may adversely affect our business, results of operations and financial condition.</w:t>
      </w:r>
    </w:p>
    <w:p>
      <w:pPr>
        <w:spacing w:after="0" w:line="223"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We rely on hosted SaaS technologies from third parties in order to operate critical internal functions of our business, including enterprise resource planning, customer support and customer relations management services. If these services become unavailable due to extended outages or interruptions, or because they are no longer available on commercially reasonable terms or prices, our expenses could increase.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results of operations and financial condition.</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have additional tax liabilities, which could harm our business, results of operations and financial condition.</w:t>
      </w:r>
    </w:p>
    <w:p>
      <w:pPr>
        <w:spacing w:after="0" w:line="236" w:lineRule="exact"/>
        <w:rPr>
          <w:sz w:val="20"/>
          <w:szCs w:val="20"/>
          <w:color w:val="auto"/>
        </w:rPr>
      </w:pPr>
    </w:p>
    <w:p>
      <w:pPr>
        <w:ind w:right="120" w:firstLine="464"/>
        <w:spacing w:after="0" w:line="271" w:lineRule="auto"/>
        <w:rPr>
          <w:sz w:val="20"/>
          <w:szCs w:val="20"/>
          <w:color w:val="auto"/>
        </w:rPr>
      </w:pPr>
      <w:r>
        <w:rPr>
          <w:rFonts w:ascii="Times New Roman" w:cs="Times New Roman" w:eastAsia="Times New Roman" w:hAnsi="Times New Roman"/>
          <w:sz w:val="17"/>
          <w:szCs w:val="17"/>
          <w:color w:val="auto"/>
        </w:rPr>
        <w:t>Significant judgments and estimates are required in determining our provision for income taxes and other tax liabilities. Our tax expense may be impacted, for example, if tax laws change or are clarified to our detriment or if tax authorities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58" w:right="359" w:bottom="1440" w:gutter="0" w:footer="0" w:header="0"/>
        </w:sectPr>
      </w:pPr>
    </w:p>
    <w:bookmarkStart w:id="68" w:name="page69"/>
    <w:bookmarkEnd w:id="68"/>
    <w:p>
      <w:pPr>
        <w:ind w:right="60"/>
        <w:spacing w:after="0" w:line="208" w:lineRule="exact"/>
        <w:rPr>
          <w:sz w:val="20"/>
          <w:szCs w:val="20"/>
          <w:color w:val="auto"/>
        </w:rPr>
      </w:pPr>
      <w:r>
        <w:rPr>
          <w:rFonts w:ascii="Times New Roman" w:cs="Times New Roman" w:eastAsia="Times New Roman" w:hAnsi="Times New Roman"/>
          <w:sz w:val="17"/>
          <w:szCs w:val="17"/>
          <w:color w:val="auto"/>
        </w:rPr>
        <w:t>successfully challenge the tax positions that we take, such as, for example, positions relating to the arms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w:t>
      </w:r>
    </w:p>
    <w:p>
      <w:pPr>
        <w:spacing w:after="0" w:line="355" w:lineRule="exact"/>
        <w:rPr>
          <w:sz w:val="20"/>
          <w:szCs w:val="20"/>
          <w:color w:val="auto"/>
        </w:rPr>
      </w:pPr>
    </w:p>
    <w:p>
      <w:pPr>
        <w:ind w:right="20" w:firstLine="464"/>
        <w:spacing w:after="0" w:line="218" w:lineRule="exact"/>
        <w:rPr>
          <w:sz w:val="20"/>
          <w:szCs w:val="20"/>
          <w:color w:val="auto"/>
        </w:rPr>
      </w:pPr>
      <w:r>
        <w:rPr>
          <w:rFonts w:ascii="Times New Roman" w:cs="Times New Roman" w:eastAsia="Times New Roman" w:hAnsi="Times New Roman"/>
          <w:sz w:val="17"/>
          <w:szCs w:val="17"/>
          <w:color w:val="auto"/>
        </w:rPr>
        <w:t>We conduct operations in many tax jurisdictions throughout the United States and internationally. In many of these jurisdictions,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income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taxes, such as sales, VAT, GST, and telecommunications taxes, are assessed on our operations or our sales to customers. We are subject to indirect taxes, and may be subject to certain other taxes, in some of these jurisdictions. We collect certain telecommunications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taxes from our customers in certain jurisdictions, and we expect to continue expanding the number of jurisdictions in which we will collect these taxes in the future.</w:t>
      </w:r>
    </w:p>
    <w:p>
      <w:pPr>
        <w:spacing w:after="0" w:line="190" w:lineRule="exact"/>
        <w:rPr>
          <w:sz w:val="20"/>
          <w:szCs w:val="20"/>
          <w:color w:val="auto"/>
        </w:rPr>
      </w:pPr>
    </w:p>
    <w:p>
      <w:pPr>
        <w:ind w:right="20" w:firstLine="464"/>
        <w:spacing w:after="0" w:line="264" w:lineRule="auto"/>
        <w:rPr>
          <w:sz w:val="20"/>
          <w:szCs w:val="20"/>
          <w:color w:val="auto"/>
        </w:rPr>
      </w:pPr>
      <w:r>
        <w:rPr>
          <w:rFonts w:ascii="Times New Roman" w:cs="Times New Roman" w:eastAsia="Times New Roman" w:hAnsi="Times New Roman"/>
          <w:sz w:val="17"/>
          <w:szCs w:val="17"/>
          <w:color w:val="auto"/>
        </w:rPr>
        <w:t>Many states are also pursuing legislative expansion of the scope of goods and services that are subject to sales and similar taxes as well as the circumstances in which a vendor of goods and services must collect such taxes. Following the U.S.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71"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We reserved $27.7 million and $21.6 million for domestic jurisdictions and jurisdictions outside of the U.S., respectively, on our September 30, 2022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3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are in discussions with certain jurisdictions regarding potential sales and other indirect taxes for prior periods that we may owe. If any of these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jurisdictions disagree with management's assumptions and analysis, the assessment of our tax exposure could differ materially from management's current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estimates. For example, San Francisco City and County has assessed us for $38.8 million in taxes, including interest and penalties, which exceeded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 million we had accrued for that assessment. We have paid the full amount, as required by law, and the payment made in excess of the accrued amount 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reflected as a deposit on our balance sheet. We believe, however, that this assessment is incorrect and, after failing to reach a settlement, filed a lawsuit on May 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 contesting the assessment. The court has set a trial date of March 6, 2023. However, litigation is uncertain and a ruling against us may adversely affect our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position and results of operations.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global operations and structure subject us to potentially adverse tax consequences.</w:t>
      </w:r>
    </w:p>
    <w:p>
      <w:pPr>
        <w:spacing w:after="0" w:line="223" w:lineRule="exact"/>
        <w:rPr>
          <w:sz w:val="20"/>
          <w:szCs w:val="20"/>
          <w:color w:val="auto"/>
        </w:rPr>
      </w:pPr>
    </w:p>
    <w:p>
      <w:pPr>
        <w:ind w:right="20" w:firstLine="464"/>
        <w:spacing w:after="0" w:line="208" w:lineRule="exact"/>
        <w:rPr>
          <w:sz w:val="20"/>
          <w:szCs w:val="20"/>
          <w:color w:val="auto"/>
        </w:rPr>
      </w:pPr>
      <w:r>
        <w:rPr>
          <w:rFonts w:ascii="Times New Roman" w:cs="Times New Roman" w:eastAsia="Times New Roman" w:hAnsi="Times New Roman"/>
          <w:sz w:val="17"/>
          <w:szCs w:val="17"/>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tax charges, higher effective tax rates, reduced cash flows and lower overall profitability of our operations.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Changes in global and U.S. tax legislation may adversely affect our financial condition, results of operations, and cash flows.</w:t>
      </w:r>
    </w:p>
    <w:p>
      <w:pPr>
        <w:spacing w:after="0" w:line="223"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results of operations, cash flows, and effective tax rates where we have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69" w:name="page70"/>
    <w:bookmarkEnd w:id="69"/>
    <w:p>
      <w:pPr>
        <w:ind w:right="40"/>
        <w:spacing w:after="0" w:line="257" w:lineRule="auto"/>
        <w:rPr>
          <w:sz w:val="20"/>
          <w:szCs w:val="20"/>
          <w:color w:val="auto"/>
        </w:rPr>
      </w:pPr>
      <w:r>
        <w:rPr>
          <w:rFonts w:ascii="Times New Roman" w:cs="Times New Roman" w:eastAsia="Times New Roman" w:hAnsi="Times New Roman"/>
          <w:sz w:val="17"/>
          <w:szCs w:val="17"/>
          <w:color w:val="auto"/>
        </w:rPr>
        <w:t>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 For example, on August 16, 2022, President Biden signed into law the Inflation Reduction Act (“IRA”), which includes a new fifteen percent alternative minimum tax on the “adjusted financial statement income” of certain large corporations for tax years beginning after December 31, 2022, and a one percent excise tax on share buybacks made on or after January 1, 2023. The IRA may require complex computations to be performed that were not previously required in U.S. tax law, which could require significant judgments to be made in interpretation of the provisions of the IRA, significant estimates in calculations, and the preparation and analysis of information not previously relevant or regularly produced. Pending further guidance from the U.S. Treasury Department and the IRS on the IRA, and the possibility of future changes to tax laws, it is possible that the IRA could increase our tax liability, which could in turn adversely impact our business, cash flows, results of operations and financial position.</w:t>
      </w:r>
    </w:p>
    <w:p>
      <w:pPr>
        <w:spacing w:after="0" w:line="179" w:lineRule="exact"/>
        <w:rPr>
          <w:sz w:val="20"/>
          <w:szCs w:val="20"/>
          <w:color w:val="auto"/>
        </w:rPr>
      </w:pPr>
    </w:p>
    <w:p>
      <w:pPr>
        <w:ind w:right="140" w:firstLine="464"/>
        <w:spacing w:after="0" w:line="208" w:lineRule="exact"/>
        <w:rPr>
          <w:sz w:val="20"/>
          <w:szCs w:val="20"/>
          <w:color w:val="auto"/>
        </w:rPr>
      </w:pPr>
      <w:r>
        <w:rPr>
          <w:rFonts w:ascii="Times New Roman" w:cs="Times New Roman" w:eastAsia="Times New Roman" w:hAnsi="Times New Roman"/>
          <w:sz w:val="17"/>
          <w:szCs w:val="17"/>
          <w:color w:val="auto"/>
        </w:rPr>
        <w:t>Certain government agencies in jurisdictions where we and our affiliates do business have had an extended focus on issues related to the taxation of multinational companies. In addition, the Organisation for Economic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by members of the Inclusive Framework delineating an implementation plan, and on December 20, 2021, the OECD released model rules for the domestic implementation of a 15% global minimum tax. Further, several countries have proposed or enacted taxes applicable to digital services, which could apply to our business.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w:t>
      </w:r>
    </w:p>
    <w:p>
      <w:pPr>
        <w:spacing w:after="0" w:line="193"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The governments of countries in which we operate and other governmental bodies could make unprecedented assertions about how taxation is determined in their jurisdictions that are contrary to the way in which we have interpreted and historically applied the rules and regulations in our tax returns filed in such jurisdictions. New laws could significantly increase our tax obligations in the countries in which we do business or require us to change the way we operate our business. As a result of the large and expanding scale of our international business activities, many of these changes to the taxation of our activities could increase our worldwide effective tax rate and harm our financial position, results of operations, and cash flows.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fraudulent activity relating to our products, we could incur substantial costs.</w:t>
      </w:r>
    </w:p>
    <w:p>
      <w:pPr>
        <w:spacing w:after="0" w:line="223"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7"/>
          <w:szCs w:val="17"/>
          <w:color w:val="auto"/>
        </w:rPr>
        <w:t>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require additional capital to support our business, and this capital might not be available on acceptable terms, if at all.</w:t>
      </w:r>
    </w:p>
    <w:p>
      <w:pPr>
        <w:spacing w:after="0" w:line="223"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73" w:lineRule="exact"/>
        <w:rPr>
          <w:sz w:val="20"/>
          <w:szCs w:val="20"/>
          <w:color w:val="auto"/>
        </w:rPr>
      </w:pPr>
    </w:p>
    <w:p>
      <w:pPr>
        <w:ind w:right="2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exposure to foreign currency exchange rate fluctuations, and such fluctuations could adversely affect our business, results of operations and financial condition.</w:t>
      </w:r>
    </w:p>
    <w:p>
      <w:pPr>
        <w:spacing w:after="0" w:line="146" w:lineRule="exact"/>
        <w:rPr>
          <w:sz w:val="20"/>
          <w:szCs w:val="20"/>
          <w:color w:val="auto"/>
        </w:rPr>
      </w:pPr>
    </w:p>
    <w:p>
      <w:pPr>
        <w:ind w:right="40" w:firstLine="464"/>
        <w:spacing w:after="0" w:line="208" w:lineRule="exact"/>
        <w:rPr>
          <w:sz w:val="20"/>
          <w:szCs w:val="20"/>
          <w:color w:val="auto"/>
        </w:rPr>
      </w:pPr>
      <w:r>
        <w:rPr>
          <w:rFonts w:ascii="Times New Roman" w:cs="Times New Roman" w:eastAsia="Times New Roman" w:hAnsi="Times New Roman"/>
          <w:sz w:val="17"/>
          <w:szCs w:val="17"/>
          <w:color w:val="auto"/>
        </w:rPr>
        <w:t>As our international operations expand, our exposure to the effects of fluctuations in currency exchange rates grows. For example, global geopolitical events, such as the war in Ukraine, economic events, public health epidemics and pandemics such as the COVID-19 pandemic, trade tariff developments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locations in the respective local currency. Fluctuations in the exchange rates between the U.S. dollar and other currencies could result in an increase to the U.S. dollar equivalent of such expenses.</w:t>
      </w:r>
    </w:p>
    <w:p>
      <w:pPr>
        <w:spacing w:after="0" w:line="195"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173"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color w:val="auto"/>
        </w:rPr>
        <w:t>We recently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losses and certain other tax attributes to offset future taxable income and taxes may be subject to certain limitations.</w:t>
      </w:r>
    </w:p>
    <w:p>
      <w:pPr>
        <w:spacing w:after="0" w:line="223"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As of December 31, 2021, we had U.S. federal, state and foreign net operating loss carryforwards (“NOLs”), of $4.2 billion, $2.7 billion and $268.7 million,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71" w:name="page72"/>
    <w:bookmarkEnd w:id="71"/>
    <w:p>
      <w:pPr>
        <w:ind w:firstLine="464"/>
        <w:spacing w:after="0" w:line="264" w:lineRule="auto"/>
        <w:rPr>
          <w:sz w:val="20"/>
          <w:szCs w:val="20"/>
          <w:color w:val="auto"/>
        </w:rPr>
      </w:pPr>
      <w:r>
        <w:rPr>
          <w:rFonts w:ascii="Times New Roman" w:cs="Times New Roman" w:eastAsia="Times New Roman" w:hAnsi="Times New Roman"/>
          <w:sz w:val="17"/>
          <w:szCs w:val="17"/>
          <w:color w:val="auto"/>
        </w:rPr>
        <w:t>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spacing w:after="0" w:line="171" w:lineRule="exact"/>
        <w:rPr>
          <w:sz w:val="20"/>
          <w:szCs w:val="20"/>
          <w:color w:val="auto"/>
        </w:rPr>
      </w:pPr>
    </w:p>
    <w:p>
      <w:pPr>
        <w:ind w:right="60" w:firstLine="464"/>
        <w:spacing w:after="0" w:line="209" w:lineRule="exact"/>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(the “Code”), and corresponding provisions of state law, a corporation that undergoes an “ownership change” (generally defined as a greater than 50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percentage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point cumulative change (by value) in the equity ownership of certain stockholders over a rolling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is subject to limitations on its ability to utilize its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change NOLs and other pre-change tax attributes to offset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prove to be incorrect, our results of operations could be adversely affected.</w:t>
      </w:r>
    </w:p>
    <w:p>
      <w:pPr>
        <w:spacing w:after="0" w:line="223"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69" w:lineRule="exact"/>
        <w:rPr>
          <w:sz w:val="20"/>
          <w:szCs w:val="20"/>
          <w:color w:val="auto"/>
        </w:rPr>
      </w:pPr>
    </w:p>
    <w:p>
      <w:pPr>
        <w:ind w:right="5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financial accounting standards or practices may cause adverse, unexpected financial reporting fluctuations and affect our results of operations.</w:t>
      </w:r>
    </w:p>
    <w:p>
      <w:pPr>
        <w:spacing w:after="0" w:line="146"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67" w:lineRule="exact"/>
        <w:rPr>
          <w:sz w:val="20"/>
          <w:szCs w:val="20"/>
          <w:color w:val="auto"/>
        </w:rPr>
      </w:pPr>
    </w:p>
    <w:p>
      <w:pPr>
        <w:ind w:right="40" w:firstLine="464"/>
        <w:spacing w:after="0" w:line="262" w:lineRule="auto"/>
        <w:rPr>
          <w:sz w:val="20"/>
          <w:szCs w:val="20"/>
          <w:color w:val="auto"/>
        </w:rPr>
      </w:pPr>
      <w:r>
        <w:rPr>
          <w:rFonts w:ascii="Times New Roman" w:cs="Times New Roman" w:eastAsia="Times New Roman" w:hAnsi="Times New Roman"/>
          <w:sz w:val="17"/>
          <w:szCs w:val="17"/>
          <w:color w:val="auto"/>
        </w:rPr>
        <w:t xml:space="preserve">For example, Accounting Standards Codification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that became effective January 1, 2019, had a material impact on our consolidated financial statements as described in detail in Note 2 to the consolidated financial statements included in our Annual Report on Form 10-K for the year ended December 31, 2020, filed with the SEC on February 26, 2021.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69" w:lineRule="exact"/>
        <w:rPr>
          <w:sz w:val="20"/>
          <w:szCs w:val="20"/>
          <w:color w:val="auto"/>
        </w:rPr>
      </w:pPr>
    </w:p>
    <w:p>
      <w:pPr>
        <w:ind w:right="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46" w:lineRule="exact"/>
        <w:rPr>
          <w:sz w:val="20"/>
          <w:szCs w:val="20"/>
          <w:color w:val="auto"/>
        </w:rPr>
      </w:pPr>
    </w:p>
    <w:p>
      <w:pPr>
        <w:ind w:right="60" w:firstLine="464"/>
        <w:spacing w:after="0" w:line="210" w:lineRule="exact"/>
        <w:rPr>
          <w:sz w:val="20"/>
          <w:szCs w:val="20"/>
          <w:color w:val="auto"/>
        </w:rPr>
      </w:pPr>
      <w:r>
        <w:rPr>
          <w:rFonts w:ascii="Times New Roman" w:cs="Times New Roman" w:eastAsia="Times New Roman" w:hAnsi="Times New Roman"/>
          <w:sz w:val="17"/>
          <w:szCs w:val="17"/>
          <w:color w:val="auto"/>
        </w:rPr>
        <w:t>As a public company, we are required to maintain internal control over financial reporting and to report any material weaknesses in such internal control. Section 404 of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64" w:right="399" w:bottom="1440" w:gutter="0" w:footer="0" w:header="0"/>
        </w:sectPr>
      </w:pPr>
    </w:p>
    <w:bookmarkStart w:id="72" w:name="page73"/>
    <w:bookmarkEnd w:id="72"/>
    <w:p>
      <w:pPr>
        <w:ind w:firstLine="464"/>
        <w:spacing w:after="0" w:line="256"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Class A common stock. In addition, if we are unable to continue to meet these requirements, we may not be able to remain listed on the New York Stock Exchange or the Long-Term Stock Exchange.</w:t>
      </w:r>
    </w:p>
    <w:p>
      <w:pPr>
        <w:spacing w:after="0" w:line="3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our goodwill or intangible assets become impaired, we may be required to record a significant charge to earnings.</w:t>
      </w:r>
    </w:p>
    <w:p>
      <w:pPr>
        <w:spacing w:after="0" w:line="223" w:lineRule="exact"/>
        <w:rPr>
          <w:sz w:val="20"/>
          <w:szCs w:val="20"/>
          <w:color w:val="auto"/>
        </w:rPr>
      </w:pPr>
    </w:p>
    <w:p>
      <w:pPr>
        <w:ind w:right="20" w:firstLine="464"/>
        <w:spacing w:after="0" w:line="264" w:lineRule="auto"/>
        <w:rPr>
          <w:sz w:val="20"/>
          <w:szCs w:val="20"/>
          <w:color w:val="auto"/>
        </w:rPr>
      </w:pPr>
      <w:r>
        <w:rPr>
          <w:rFonts w:ascii="Times New Roman" w:cs="Times New Roman" w:eastAsia="Times New Roman" w:hAnsi="Times New Roman"/>
          <w:sz w:val="17"/>
          <w:szCs w:val="17"/>
          <w:color w:val="auto"/>
        </w:rPr>
        <w:t>We review our intangible assets for impairment when events or changes in circumstances indicate the carrying value may not be recoverable. Goodwill is required to be tested for impairment at least annually. As of September 30, 2022, we carried a net $6.2 billion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6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has been volatile and may continue to be volatile, and you could lose all or part of your investment.</w:t>
      </w:r>
    </w:p>
    <w:p>
      <w:pPr>
        <w:spacing w:after="0" w:line="223" w:lineRule="exact"/>
        <w:rPr>
          <w:sz w:val="20"/>
          <w:szCs w:val="20"/>
          <w:color w:val="auto"/>
        </w:rPr>
      </w:pPr>
    </w:p>
    <w:p>
      <w:pPr>
        <w:jc w:val="both"/>
        <w:ind w:right="160" w:firstLine="464"/>
        <w:spacing w:after="0" w:line="264" w:lineRule="auto"/>
        <w:rPr>
          <w:sz w:val="20"/>
          <w:szCs w:val="20"/>
          <w:color w:val="auto"/>
        </w:rPr>
      </w:pPr>
      <w:r>
        <w:rPr>
          <w:rFonts w:ascii="Times New Roman" w:cs="Times New Roman" w:eastAsia="Times New Roman" w:hAnsi="Times New Roman"/>
          <w:sz w:val="17"/>
          <w:szCs w:val="17"/>
          <w:color w:val="auto"/>
        </w:rPr>
        <w:t>Prior to our initial public offering in June 2016, there was no public market for shares of our Class A common stock. On June 23, 2016, we sold shares of our Class A common stock to the public at $15.00 per share. From June 23, 2016, the date that our Class A common stock started trading on the New York Stock Exchange, through September 30, 2022, the trading price of our Class A common stock has ranged from $22.80 per share to $457.30 per share. The trading price of our Class A common stock may continue to fluctuate significantly in response to numerous factors, many of which are beyond our control, including:</w:t>
      </w:r>
    </w:p>
    <w:p>
      <w:pPr>
        <w:spacing w:after="0" w:line="171" w:lineRule="exact"/>
        <w:rPr>
          <w:sz w:val="20"/>
          <w:szCs w:val="20"/>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 to time;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trading prices and trading volumes of technology stocks;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our industry in particular;</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our Class A common stock by us or our stockholders;</w:t>
      </w:r>
    </w:p>
    <w:p>
      <w:pPr>
        <w:spacing w:after="0" w:line="217"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or services;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217" w:lineRule="exact"/>
        <w:rPr>
          <w:rFonts w:ascii="Times New Roman" w:cs="Times New Roman" w:eastAsia="Times New Roman" w:hAnsi="Times New Roman"/>
          <w:sz w:val="17"/>
          <w:szCs w:val="17"/>
          <w:color w:val="auto"/>
        </w:rPr>
      </w:pPr>
    </w:p>
    <w:p>
      <w:pPr>
        <w:ind w:left="940" w:right="260" w:hanging="318"/>
        <w:spacing w:after="0" w:line="287"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industry standards, regulations or regulatory enforcement in the United States or internationally, GDPR, the California Consumer Privacy Act of 2018 and other privacy or cybersecurity regulations that may be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73" w:name="page74"/>
    <w:bookmarkEnd w:id="73"/>
    <w:p>
      <w:pPr>
        <w:ind w:left="940" w:right="500"/>
        <w:spacing w:after="0" w:line="287" w:lineRule="auto"/>
        <w:rPr>
          <w:sz w:val="20"/>
          <w:szCs w:val="20"/>
          <w:color w:val="auto"/>
        </w:rPr>
      </w:pPr>
      <w:r>
        <w:rPr>
          <w:rFonts w:ascii="Times New Roman" w:cs="Times New Roman" w:eastAsia="Times New Roman" w:hAnsi="Times New Roman"/>
          <w:sz w:val="17"/>
          <w:szCs w:val="17"/>
          <w:color w:val="auto"/>
        </w:rPr>
        <w:t>implemented in the future, SHAKEN/STIR and other robocalling prevention and anti-spam standards and increased costs associated with such compliance, as well as enhanced Know-Your-Client processes that impact our ability to market, sell or deliver our products;</w:t>
      </w:r>
    </w:p>
    <w:p>
      <w:pPr>
        <w:spacing w:after="0" w:line="151" w:lineRule="exact"/>
        <w:rPr>
          <w:sz w:val="20"/>
          <w:szCs w:val="20"/>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acquisitions of businesses, products, services or technologies by us or our competitors;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 in our management, including changes in the pace of hiring; and</w:t>
      </w:r>
    </w:p>
    <w:p>
      <w:pPr>
        <w:spacing w:after="0" w:line="217"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political, social, economic and market conditions, in both domestic and foreign markets, including the effects of the COVID-19 pandemic and the war in Ukraine on the global economy, labor shortages, supply chain disruptions, inflation, increased interest rates and slow or negative growth of our markets.</w:t>
      </w:r>
    </w:p>
    <w:p>
      <w:pPr>
        <w:spacing w:after="0" w:line="165"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of shares of our Class A common stock could cause the market price of our Class A common stock to decline.</w:t>
      </w:r>
    </w:p>
    <w:p>
      <w:pPr>
        <w:spacing w:after="0" w:line="223" w:lineRule="exact"/>
        <w:rPr>
          <w:sz w:val="20"/>
          <w:szCs w:val="20"/>
          <w:color w:val="auto"/>
        </w:rPr>
      </w:pPr>
    </w:p>
    <w:p>
      <w:pPr>
        <w:ind w:right="580" w:firstLine="464"/>
        <w:spacing w:after="0" w:line="287" w:lineRule="auto"/>
        <w:rPr>
          <w:sz w:val="20"/>
          <w:szCs w:val="20"/>
          <w:color w:val="auto"/>
        </w:rPr>
      </w:pPr>
      <w:r>
        <w:rPr>
          <w:rFonts w:ascii="Times New Roman" w:cs="Times New Roman" w:eastAsia="Times New Roman" w:hAnsi="Times New Roman"/>
          <w:sz w:val="17"/>
          <w:szCs w:val="17"/>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51" w:lineRule="exact"/>
        <w:rPr>
          <w:sz w:val="20"/>
          <w:szCs w:val="20"/>
          <w:color w:val="auto"/>
        </w:rPr>
      </w:pPr>
    </w:p>
    <w:p>
      <w:pPr>
        <w:jc w:val="both"/>
        <w:ind w:right="160" w:firstLine="464"/>
        <w:spacing w:after="0" w:line="270" w:lineRule="auto"/>
        <w:rPr>
          <w:sz w:val="20"/>
          <w:szCs w:val="20"/>
          <w:color w:val="auto"/>
        </w:rPr>
      </w:pPr>
      <w:r>
        <w:rPr>
          <w:rFonts w:ascii="Times New Roman" w:cs="Times New Roman" w:eastAsia="Times New Roman" w:hAnsi="Times New Roman"/>
          <w:sz w:val="17"/>
          <w:szCs w:val="17"/>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59" w:lineRule="exact"/>
        <w:rPr>
          <w:sz w:val="20"/>
          <w:szCs w:val="20"/>
          <w:color w:val="auto"/>
        </w:rPr>
      </w:pPr>
    </w:p>
    <w:p>
      <w:pPr>
        <w:ind w:right="1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their respective affiliates. This limits or precludes holders of our Class A common stock from the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67" w:lineRule="exact"/>
        <w:rPr>
          <w:sz w:val="20"/>
          <w:szCs w:val="20"/>
          <w:color w:val="auto"/>
        </w:rPr>
      </w:pPr>
    </w:p>
    <w:p>
      <w:pPr>
        <w:ind w:firstLine="464"/>
        <w:spacing w:after="0" w:line="208" w:lineRule="exact"/>
        <w:rPr>
          <w:sz w:val="20"/>
          <w:szCs w:val="20"/>
          <w:color w:val="auto"/>
        </w:rPr>
      </w:pPr>
      <w:r>
        <w:rPr>
          <w:rFonts w:ascii="Times New Roman" w:cs="Times New Roman" w:eastAsia="Times New Roman" w:hAnsi="Times New Roman"/>
          <w:sz w:val="17"/>
          <w:szCs w:val="17"/>
          <w:color w:val="auto"/>
        </w:rPr>
        <w:t>Our Class B common stock has 10 votes per share, and our Class A common stock has one vote per share. As of September 30, 2022, our directors, executive officers and their respective affiliates, held in the aggregate 21.0% of the voting power of our capital stock. Because of the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one voting ratio between our Class B common stock and Class A common stock, the holders of our Class B common stock collectively will continue to have concentrated control of the combined voting power of our common stock and therefore may be able to control certain matters submitted to our stockholders for approval until the earlier of (i) June 28, 2023, or (ii) the date the holders of two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thirds of our Class B common stock elect to convert the Class B common stock to Class A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74" w:name="page75"/>
    <w:bookmarkEnd w:id="74"/>
    <w:p>
      <w:pPr>
        <w:ind w:firstLine="464"/>
        <w:spacing w:after="0" w:line="270" w:lineRule="auto"/>
        <w:rPr>
          <w:sz w:val="20"/>
          <w:szCs w:val="20"/>
          <w:color w:val="auto"/>
        </w:rPr>
      </w:pPr>
      <w:r>
        <w:rPr>
          <w:rFonts w:ascii="Times New Roman" w:cs="Times New Roman" w:eastAsia="Times New Roman" w:hAnsi="Times New Roman"/>
          <w:sz w:val="17"/>
          <w:szCs w:val="17"/>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59" w:lineRule="exact"/>
        <w:rPr>
          <w:sz w:val="20"/>
          <w:szCs w:val="20"/>
          <w:color w:val="auto"/>
        </w:rPr>
      </w:pPr>
    </w:p>
    <w:p>
      <w:pPr>
        <w:ind w:right="2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46" w:lineRule="exact"/>
        <w:rPr>
          <w:sz w:val="20"/>
          <w:szCs w:val="20"/>
          <w:color w:val="auto"/>
        </w:rPr>
      </w:pPr>
    </w:p>
    <w:p>
      <w:pPr>
        <w:ind w:right="120" w:firstLine="464"/>
        <w:spacing w:after="0" w:line="261" w:lineRule="auto"/>
        <w:rPr>
          <w:sz w:val="20"/>
          <w:szCs w:val="20"/>
          <w:color w:val="auto"/>
        </w:rPr>
      </w:pPr>
      <w:r>
        <w:rPr>
          <w:rFonts w:ascii="Times New Roman" w:cs="Times New Roman" w:eastAsia="Times New Roman" w:hAnsi="Times New Roman"/>
          <w:sz w:val="17"/>
          <w:szCs w:val="17"/>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46" w:lineRule="exact"/>
        <w:rPr>
          <w:sz w:val="20"/>
          <w:szCs w:val="20"/>
          <w:color w:val="auto"/>
        </w:rPr>
      </w:pPr>
    </w:p>
    <w:p>
      <w:pPr>
        <w:ind w:right="520" w:firstLine="464"/>
        <w:spacing w:after="0" w:line="229" w:lineRule="exact"/>
        <w:rPr>
          <w:sz w:val="20"/>
          <w:szCs w:val="20"/>
          <w:color w:val="auto"/>
        </w:rPr>
      </w:pPr>
      <w:r>
        <w:rPr>
          <w:rFonts w:ascii="Times New Roman" w:cs="Times New Roman" w:eastAsia="Times New Roman" w:hAnsi="Times New Roman"/>
          <w:sz w:val="17"/>
          <w:szCs w:val="17"/>
          <w:b w:val="1"/>
          <w:bCs w:val="1"/>
          <w:i w:val="1"/>
          <w:iCs w:val="1"/>
          <w:color w:val="auto"/>
        </w:rPr>
        <w:t>Anti</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takeover provisions contained in our amended and restated certificate of incorporation and second amended and restated bylaws, as well as provisions of Delaware law, could impair a takeover attempt.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-213995</wp:posOffset>
            </wp:positionV>
            <wp:extent cx="622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71" w:lineRule="exact"/>
        <w:rPr>
          <w:sz w:val="20"/>
          <w:szCs w:val="20"/>
          <w:color w:val="auto"/>
        </w:rPr>
      </w:pPr>
    </w:p>
    <w:p>
      <w:pPr>
        <w:jc w:val="both"/>
        <w:ind w:right="320" w:firstLine="464"/>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second amended and restated bylaws include provisions:</w:t>
      </w:r>
    </w:p>
    <w:p>
      <w:pPr>
        <w:spacing w:after="0" w:line="165" w:lineRule="exact"/>
        <w:rPr>
          <w:sz w:val="20"/>
          <w:szCs w:val="20"/>
          <w:color w:val="auto"/>
        </w:rPr>
      </w:pPr>
    </w:p>
    <w:p>
      <w:pPr>
        <w:ind w:left="940" w:right="280" w:hanging="318"/>
        <w:spacing w:after="0" w:line="28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liability of, and providing indemnification to, our directors and officers;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ability of our stockholders to call and bring business before special meetings;</w:t>
      </w:r>
    </w:p>
    <w:p>
      <w:pPr>
        <w:spacing w:after="0" w:line="217" w:lineRule="exact"/>
        <w:rPr>
          <w:rFonts w:ascii="Times New Roman" w:cs="Times New Roman" w:eastAsia="Times New Roman" w:hAnsi="Times New Roman"/>
          <w:sz w:val="17"/>
          <w:szCs w:val="17"/>
          <w:color w:val="auto"/>
        </w:rPr>
      </w:pPr>
    </w:p>
    <w:p>
      <w:pPr>
        <w:ind w:left="940" w:right="140" w:hanging="318"/>
        <w:spacing w:after="0" w:line="270"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36" w:lineRule="exact"/>
        <w:rPr>
          <w:rFonts w:ascii="Times New Roman" w:cs="Times New Roman" w:eastAsia="Times New Roman" w:hAnsi="Times New Roman"/>
          <w:sz w:val="17"/>
          <w:szCs w:val="17"/>
          <w:color w:val="auto"/>
        </w:rPr>
      </w:pPr>
    </w:p>
    <w:p>
      <w:pPr>
        <w:ind w:left="920" w:hanging="298"/>
        <w:spacing w:after="0" w:line="196" w:lineRule="exact"/>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our board of directors is classified into three classes of directors with staggered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terms;</w:t>
      </w:r>
    </w:p>
    <w:p>
      <w:pPr>
        <w:spacing w:after="0" w:line="24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which requires all stockholder actions to be taken at a meeting of our stockholders;</w:t>
      </w:r>
    </w:p>
    <w:p>
      <w:pPr>
        <w:spacing w:after="0" w:line="217" w:lineRule="exact"/>
        <w:rPr>
          <w:rFonts w:ascii="Times New Roman" w:cs="Times New Roman" w:eastAsia="Times New Roman" w:hAnsi="Times New Roman"/>
          <w:sz w:val="17"/>
          <w:szCs w:val="17"/>
          <w:color w:val="auto"/>
        </w:rPr>
      </w:pPr>
    </w:p>
    <w:p>
      <w:pPr>
        <w:ind w:left="940" w:right="20" w:hanging="318"/>
        <w:spacing w:after="0" w:line="28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advance notice of stockholder proposals for business to be conducted at meetings of our stockholders and for nominations of candidates for election to our board of directors;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controlling the procedures for the conduct and scheduling of board of directors and stockholder meetings; and</w:t>
      </w:r>
    </w:p>
    <w:p>
      <w:pPr>
        <w:spacing w:after="0" w:line="217" w:lineRule="exact"/>
        <w:rPr>
          <w:rFonts w:ascii="Times New Roman" w:cs="Times New Roman" w:eastAsia="Times New Roman" w:hAnsi="Times New Roman"/>
          <w:sz w:val="17"/>
          <w:szCs w:val="17"/>
          <w:color w:val="auto"/>
        </w:rPr>
      </w:pPr>
    </w:p>
    <w:p>
      <w:pPr>
        <w:ind w:left="940" w:right="20" w:hanging="318"/>
        <w:spacing w:after="0" w:line="270"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management.</w:t>
      </w:r>
    </w:p>
    <w:p>
      <w:pPr>
        <w:spacing w:after="0" w:line="217" w:lineRule="exact"/>
        <w:rPr>
          <w:sz w:val="20"/>
          <w:szCs w:val="20"/>
          <w:color w:val="auto"/>
        </w:rPr>
      </w:pPr>
    </w:p>
    <w:p>
      <w:pPr>
        <w:ind w:right="200" w:firstLine="464"/>
        <w:spacing w:after="0" w:line="218" w:lineRule="exact"/>
        <w:rPr>
          <w:sz w:val="20"/>
          <w:szCs w:val="20"/>
          <w:color w:val="auto"/>
        </w:rPr>
      </w:pPr>
      <w:r>
        <w:rPr>
          <w:rFonts w:ascii="Times New Roman" w:cs="Times New Roman" w:eastAsia="Times New Roman" w:hAnsi="Times New Roman"/>
          <w:sz w:val="17"/>
          <w:szCs w:val="17"/>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thirds of our outstanding common stock not held by such 15% or greater stockholder.</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64" w:right="379" w:bottom="1440" w:gutter="0" w:footer="0" w:header="0"/>
        </w:sectPr>
      </w:pPr>
    </w:p>
    <w:bookmarkStart w:id="75" w:name="page76"/>
    <w:bookmarkEnd w:id="75"/>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Any provision of our amended and restated certificate of incorporation, second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59" w:lineRule="exact"/>
        <w:rPr>
          <w:sz w:val="20"/>
          <w:szCs w:val="20"/>
          <w:color w:val="auto"/>
        </w:rPr>
      </w:pPr>
    </w:p>
    <w:p>
      <w:pPr>
        <w:ind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second amended and restated bylaws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64"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Our second amended and restated bylaws provides that the Court of Chancery of the State of Delaware is the exclusive forum for the following types of actions or proceedings under Delaware statutory or common law:</w:t>
      </w:r>
    </w:p>
    <w:p>
      <w:pPr>
        <w:spacing w:after="0" w:line="151" w:lineRule="exact"/>
        <w:rPr>
          <w:sz w:val="20"/>
          <w:szCs w:val="20"/>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our behalf;</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breach of fiduciary duty owed by our directors, officers, employees or our stockholders;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arising under the Delaware General Corporation Law;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that is governed by the internal-affairs doctrine (the “Delaware Forum Provision”).</w:t>
      </w:r>
    </w:p>
    <w:p>
      <w:pPr>
        <w:spacing w:after="0" w:line="217" w:lineRule="exact"/>
        <w:rPr>
          <w:sz w:val="20"/>
          <w:szCs w:val="20"/>
          <w:color w:val="auto"/>
        </w:rPr>
      </w:pPr>
    </w:p>
    <w:p>
      <w:pPr>
        <w:ind w:right="100" w:firstLine="464"/>
        <w:spacing w:after="0" w:line="260" w:lineRule="auto"/>
        <w:rPr>
          <w:sz w:val="20"/>
          <w:szCs w:val="20"/>
          <w:color w:val="auto"/>
        </w:rPr>
      </w:pPr>
      <w:r>
        <w:rPr>
          <w:rFonts w:ascii="Times New Roman" w:cs="Times New Roman" w:eastAsia="Times New Roman" w:hAnsi="Times New Roman"/>
          <w:sz w:val="17"/>
          <w:szCs w:val="17"/>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73" w:lineRule="exact"/>
        <w:rPr>
          <w:sz w:val="20"/>
          <w:szCs w:val="20"/>
          <w:color w:val="auto"/>
        </w:rPr>
      </w:pPr>
    </w:p>
    <w:p>
      <w:pPr>
        <w:jc w:val="both"/>
        <w:ind w:right="20" w:firstLine="464"/>
        <w:spacing w:after="0" w:line="264" w:lineRule="auto"/>
        <w:rPr>
          <w:sz w:val="20"/>
          <w:szCs w:val="20"/>
          <w:color w:val="auto"/>
        </w:rPr>
      </w:pPr>
      <w:r>
        <w:rPr>
          <w:rFonts w:ascii="Times New Roman" w:cs="Times New Roman" w:eastAsia="Times New Roman" w:hAnsi="Times New Roman"/>
          <w:sz w:val="17"/>
          <w:szCs w:val="17"/>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second amended and restated bylaws to be inapplicable or unenforceable in an action, we may incur additional costs associated with resolving the dispute in other jurisdictions, which could seriously harm our business.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declare any dividends in the foreseeable future.</w:t>
      </w:r>
    </w:p>
    <w:p>
      <w:pPr>
        <w:spacing w:after="0" w:line="223" w:lineRule="exact"/>
        <w:rPr>
          <w:sz w:val="20"/>
          <w:szCs w:val="20"/>
          <w:color w:val="auto"/>
        </w:rPr>
      </w:pPr>
    </w:p>
    <w:p>
      <w:pPr>
        <w:ind w:right="160" w:firstLine="464"/>
        <w:spacing w:after="0" w:line="270" w:lineRule="auto"/>
        <w:rPr>
          <w:sz w:val="20"/>
          <w:szCs w:val="20"/>
          <w:color w:val="auto"/>
        </w:rPr>
      </w:pPr>
      <w:r>
        <w:rPr>
          <w:rFonts w:ascii="Times New Roman" w:cs="Times New Roman" w:eastAsia="Times New Roman" w:hAnsi="Times New Roman"/>
          <w:sz w:val="17"/>
          <w:szCs w:val="17"/>
          <w:color w:val="auto"/>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16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could adversely affect our financial condition.</w:t>
      </w:r>
    </w:p>
    <w:p>
      <w:pPr>
        <w:spacing w:after="0" w:line="223" w:lineRule="exact"/>
        <w:rPr>
          <w:sz w:val="20"/>
          <w:szCs w:val="20"/>
          <w:color w:val="auto"/>
        </w:rPr>
      </w:pPr>
    </w:p>
    <w:p>
      <w:pPr>
        <w:ind w:right="20" w:firstLine="464"/>
        <w:spacing w:after="0" w:line="287" w:lineRule="auto"/>
        <w:rPr>
          <w:sz w:val="20"/>
          <w:szCs w:val="20"/>
          <w:color w:val="auto"/>
        </w:rPr>
      </w:pPr>
      <w:r>
        <w:rPr>
          <w:rFonts w:ascii="Times New Roman" w:cs="Times New Roman" w:eastAsia="Times New Roman" w:hAnsi="Times New Roman"/>
          <w:sz w:val="17"/>
          <w:szCs w:val="17"/>
          <w:color w:val="auto"/>
        </w:rPr>
        <w:t>As of September 30, 2022, we had $1.0 billion of indebtedness outstanding (excluding intercompany indebtedness). Our indebtedness could have important consequences, including:</w:t>
      </w:r>
    </w:p>
    <w:p>
      <w:pPr>
        <w:spacing w:after="0" w:line="151" w:lineRule="exact"/>
        <w:rPr>
          <w:sz w:val="20"/>
          <w:szCs w:val="20"/>
          <w:color w:val="auto"/>
        </w:rPr>
      </w:pPr>
    </w:p>
    <w:p>
      <w:pPr>
        <w:ind w:left="940" w:right="600" w:hanging="318"/>
        <w:spacing w:after="0" w:line="287"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to fund future working capital, capital expenditures, acquisitions or other general corporate requirements;</w:t>
      </w:r>
    </w:p>
    <w:p>
      <w:pPr>
        <w:spacing w:after="0" w:line="151" w:lineRule="exact"/>
        <w:rPr>
          <w:rFonts w:ascii="Times New Roman" w:cs="Times New Roman" w:eastAsia="Times New Roman" w:hAnsi="Times New Roman"/>
          <w:sz w:val="17"/>
          <w:szCs w:val="17"/>
          <w:color w:val="auto"/>
        </w:rPr>
      </w:pPr>
    </w:p>
    <w:p>
      <w:pPr>
        <w:ind w:left="940" w:right="140" w:hanging="318"/>
        <w:spacing w:after="0" w:line="287"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adverse changes in general economic, industry and competitive conditions;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64" w:right="379" w:bottom="1440" w:gutter="0" w:footer="0" w:header="0"/>
        </w:sectPr>
      </w:pPr>
    </w:p>
    <w:bookmarkStart w:id="76" w:name="page77"/>
    <w:bookmarkEnd w:id="76"/>
    <w:p>
      <w:pPr>
        <w:ind w:left="940" w:hanging="318"/>
        <w:spacing w:after="0" w:line="287"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exposing us to the risk of increased interest rates as certain of our borrowings, including borrowings under a future revolving credit facility, may be at variable rates of interest; and</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cost of borrowing.</w:t>
      </w:r>
    </w:p>
    <w:p>
      <w:pPr>
        <w:spacing w:after="0" w:line="204" w:lineRule="exact"/>
        <w:rPr>
          <w:sz w:val="20"/>
          <w:szCs w:val="20"/>
          <w:color w:val="auto"/>
        </w:rPr>
      </w:pPr>
    </w:p>
    <w:p>
      <w:pPr>
        <w:ind w:firstLine="464"/>
        <w:spacing w:after="0" w:line="245" w:lineRule="auto"/>
        <w:rPr>
          <w:sz w:val="20"/>
          <w:szCs w:val="20"/>
          <w:color w:val="auto"/>
        </w:rPr>
      </w:pPr>
      <w:r>
        <w:rPr>
          <w:rFonts w:ascii="Times New Roman" w:cs="Times New Roman" w:eastAsia="Times New Roman" w:hAnsi="Times New Roman"/>
          <w:sz w:val="17"/>
          <w:szCs w:val="17"/>
          <w:color w:val="auto"/>
        </w:rPr>
        <w:t>In addition, the indenture governs our 3.625% notes due 2029 (the “2029 Notes”) and our 3.875% notes due 2031 (the “2031 Notes,” and together with the 2029 Notes, the “Notes”) and contains restrictive covenants that limit our ability to engage in activities that may be in our long-term best interest. Our failure to comply with those covenants could result in an event of default which, under the indenture governing the Notes,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w:t>
      </w:r>
    </w:p>
    <w:p>
      <w:pPr>
        <w:spacing w:after="0" w:line="182" w:lineRule="exact"/>
        <w:rPr>
          <w:sz w:val="20"/>
          <w:szCs w:val="20"/>
          <w:color w:val="auto"/>
        </w:rPr>
      </w:pPr>
    </w:p>
    <w:p>
      <w:pPr>
        <w:ind w:right="1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46"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Our ability to make scheduled payments on or to refinance our debt obligations, including the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71" w:lineRule="exact"/>
        <w:rPr>
          <w:sz w:val="20"/>
          <w:szCs w:val="20"/>
          <w:color w:val="auto"/>
        </w:rPr>
      </w:pPr>
    </w:p>
    <w:p>
      <w:pPr>
        <w:jc w:val="both"/>
        <w:ind w:right="120" w:firstLine="464"/>
        <w:spacing w:after="0" w:line="260" w:lineRule="auto"/>
        <w:rPr>
          <w:sz w:val="20"/>
          <w:szCs w:val="20"/>
          <w:color w:val="auto"/>
        </w:rPr>
      </w:pPr>
      <w:r>
        <w:rPr>
          <w:rFonts w:ascii="Times New Roman" w:cs="Times New Roman" w:eastAsia="Times New Roman" w:hAnsi="Times New Roman"/>
          <w:sz w:val="17"/>
          <w:szCs w:val="17"/>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Notes. Our ability to restructure or refinance our debt will depend on, among other things, the condition of the capital markets and our financial condition at such time.</w:t>
      </w:r>
    </w:p>
    <w:p>
      <w:pPr>
        <w:spacing w:after="0" w:line="256" w:lineRule="auto"/>
        <w:rPr>
          <w:sz w:val="20"/>
          <w:szCs w:val="20"/>
          <w:color w:val="auto"/>
        </w:rPr>
      </w:pPr>
      <w:r>
        <w:rPr>
          <w:rFonts w:ascii="Times New Roman" w:cs="Times New Roman" w:eastAsia="Times New Roman" w:hAnsi="Times New Roman"/>
          <w:sz w:val="17"/>
          <w:szCs w:val="17"/>
          <w:color w:val="auto"/>
        </w:rPr>
        <w:t>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72" w:lineRule="exact"/>
        <w:rPr>
          <w:sz w:val="20"/>
          <w:szCs w:val="20"/>
          <w:color w:val="auto"/>
        </w:rPr>
      </w:pPr>
    </w:p>
    <w:p>
      <w:pPr>
        <w:ind w:right="1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46"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7"/>
          <w:szCs w:val="17"/>
          <w:color w:val="auto"/>
        </w:rPr>
        <w:t>If we cannot make scheduled payments on our indebtedness, we will be in default and holders of the Notes and other indebtedness could declare all outstanding principal and interest to be due and payable, the lenders under a future revolving credit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indenture governing the Notes contain cross-default provisions that could result in the acceleration of all of our indebtedness.</w:t>
      </w:r>
    </w:p>
    <w:p>
      <w:pPr>
        <w:spacing w:after="0" w:line="223" w:lineRule="exact"/>
        <w:rPr>
          <w:sz w:val="20"/>
          <w:szCs w:val="20"/>
          <w:color w:val="auto"/>
        </w:rPr>
      </w:pPr>
    </w:p>
    <w:p>
      <w:pPr>
        <w:ind w:right="20" w:firstLine="464"/>
        <w:spacing w:after="0" w:line="259" w:lineRule="auto"/>
        <w:rPr>
          <w:sz w:val="20"/>
          <w:szCs w:val="20"/>
          <w:color w:val="auto"/>
        </w:rPr>
      </w:pPr>
      <w:r>
        <w:rPr>
          <w:rFonts w:ascii="Times New Roman" w:cs="Times New Roman" w:eastAsia="Times New Roman" w:hAnsi="Times New Roman"/>
          <w:sz w:val="17"/>
          <w:szCs w:val="17"/>
          <w:color w:val="auto"/>
        </w:rPr>
        <w:t>A breach of the covenants under the indenture governing the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a revolving credit facility may permit the lenders thereunder to terminate all commitments to extend further credit under that facility. Furthermore, if we were unable to repay amounts due and payable under a secured credit facility, those lenders could proceed against the collateral granted to them to secure that indebtedness. In the event our note holders accelerate the repayment of our borrowings, we and our guarantors may not have sufficient assets to repay that indebtedness. Additionally, we may not be able to borrow money from other lenders to enable us to refinance our indebtedness.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64" w:right="3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Acquisitions</w:t>
      </w:r>
    </w:p>
    <w:p>
      <w:pPr>
        <w:spacing w:after="0" w:line="215" w:lineRule="exact"/>
        <w:rPr>
          <w:sz w:val="20"/>
          <w:szCs w:val="20"/>
          <w:color w:val="auto"/>
        </w:rPr>
      </w:pPr>
    </w:p>
    <w:p>
      <w:pPr>
        <w:ind w:right="5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realize potential benefits from our recent acquisitions, partnerships and investments because of difficulties related to integration, the achievement of synergies, and other challenges.</w:t>
      </w:r>
    </w:p>
    <w:p>
      <w:pPr>
        <w:spacing w:after="0" w:line="146" w:lineRule="exact"/>
        <w:rPr>
          <w:sz w:val="20"/>
          <w:szCs w:val="20"/>
          <w:color w:val="auto"/>
        </w:rPr>
      </w:pPr>
    </w:p>
    <w:p>
      <w:pPr>
        <w:ind w:firstLine="464"/>
        <w:spacing w:after="0" w:line="208" w:lineRule="exact"/>
        <w:rPr>
          <w:sz w:val="20"/>
          <w:szCs w:val="20"/>
          <w:color w:val="auto"/>
        </w:rPr>
      </w:pPr>
      <w:r>
        <w:rPr>
          <w:rFonts w:ascii="Times New Roman" w:cs="Times New Roman" w:eastAsia="Times New Roman" w:hAnsi="Times New Roman"/>
          <w:sz w:val="17"/>
          <w:szCs w:val="17"/>
          <w:color w:val="auto"/>
        </w:rPr>
        <w:t>We regularly acquire or invest in businesses and technologies that are complementary to our business through acquisitions, partnerships or investments, including several transactions in fiscal year 2021.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completion process that takes longer than originally anticipated. In addition, the following issues, among others, must be addressed in order to realize the anticipated benefits of our acquisitions, partnerships or investments:</w:t>
      </w:r>
    </w:p>
    <w:p>
      <w:pPr>
        <w:spacing w:after="0" w:line="195" w:lineRule="exact"/>
        <w:rPr>
          <w:sz w:val="20"/>
          <w:szCs w:val="20"/>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combining the acquired businesses' corporate functions with our corporate functions;</w:t>
      </w:r>
    </w:p>
    <w:p>
      <w:pPr>
        <w:spacing w:after="0" w:line="217"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combining acquired businesses with our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51" w:lineRule="exact"/>
        <w:rPr>
          <w:rFonts w:ascii="Times New Roman" w:cs="Times New Roman" w:eastAsia="Times New Roman" w:hAnsi="Times New Roman"/>
          <w:sz w:val="17"/>
          <w:szCs w:val="17"/>
          <w:color w:val="auto"/>
        </w:rPr>
      </w:pPr>
    </w:p>
    <w:p>
      <w:pPr>
        <w:ind w:left="940" w:right="20" w:hanging="318"/>
        <w:spacing w:after="0" w:line="287"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existing agreements with customers, distributors, providers, talent and vendors and avoiding delays in entering into new agreements with prospective customers, distributors, providers, talent and vendors;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whether and how to address possible differences in corporate cultures and management philosophies;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the companies’ administrative and information technology infrastructure;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products and technology that allow value to be unlocked in the future;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and forecasting the financial impact of such acquisitions, partnerships and investments, including accounting charges;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effecting potential actions that may be required in connection with obtaining regulatory approvals.</w:t>
      </w:r>
    </w:p>
    <w:p>
      <w:pPr>
        <w:spacing w:after="0" w:line="217" w:lineRule="exact"/>
        <w:rPr>
          <w:sz w:val="20"/>
          <w:szCs w:val="20"/>
          <w:color w:val="auto"/>
        </w:rPr>
      </w:pPr>
    </w:p>
    <w:p>
      <w:pPr>
        <w:ind w:right="520" w:firstLine="464"/>
        <w:spacing w:after="0" w:line="224" w:lineRule="exact"/>
        <w:rPr>
          <w:sz w:val="20"/>
          <w:szCs w:val="20"/>
          <w:color w:val="auto"/>
        </w:rPr>
      </w:pPr>
      <w:r>
        <w:rPr>
          <w:rFonts w:ascii="Times New Roman" w:cs="Times New Roman" w:eastAsia="Times New Roman" w:hAnsi="Times New Roman"/>
          <w:sz w:val="17"/>
          <w:szCs w:val="17"/>
          <w:color w:val="auto"/>
        </w:rPr>
        <w:t>In addition, at times the attention of certain members of our management and resources may be focused on integration of the acquired businesses and diverted from day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business operations, which may disrupt our ongoing business.</w:t>
      </w:r>
    </w:p>
    <w:p>
      <w:pPr>
        <w:spacing w:after="0" w:line="172"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59" w:lineRule="exact"/>
        <w:rPr>
          <w:sz w:val="20"/>
          <w:szCs w:val="20"/>
          <w:color w:val="auto"/>
        </w:rPr>
      </w:pPr>
    </w:p>
    <w:p>
      <w:pPr>
        <w:ind w:right="3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Purchase price accounting in connection with our acquisitions requires estimates that may be subject to change and could impact our consolidated financial statements and future results of operations and financial position.</w:t>
      </w:r>
    </w:p>
    <w:p>
      <w:pPr>
        <w:spacing w:after="0" w:line="146"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Pursuant to the acquisition method of accounting, the purchase price we pay for our acquired businesses is allocated to the underlying tangible and intangible assets acquired and liabilities assumed based on their respective fair market values with any excess purchase price allocated to goodwill. The acquisition method of accounting is dependent upon certain valuations and other studies that are preliminary. Differences between these preliminary estimates and the final acquisition accounting may occur, and these differences could have a material impact on the consolidated financial statements and the combined company’s future results of operations and financial position.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78" w:name="page79"/>
    <w:bookmarkEnd w:id="78"/>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Any legal proceedings or claims against us could be costly and time-consuming to defend and could harm our reputation regardless of the outcome.</w:t>
      </w:r>
    </w:p>
    <w:p>
      <w:pPr>
        <w:spacing w:after="0" w:line="223" w:lineRule="exact"/>
        <w:rPr>
          <w:sz w:val="20"/>
          <w:szCs w:val="20"/>
          <w:color w:val="auto"/>
        </w:rPr>
      </w:pPr>
    </w:p>
    <w:p>
      <w:pPr>
        <w:ind w:right="160" w:firstLine="464"/>
        <w:spacing w:after="0" w:line="261" w:lineRule="auto"/>
        <w:rPr>
          <w:sz w:val="20"/>
          <w:szCs w:val="20"/>
          <w:color w:val="auto"/>
        </w:rPr>
      </w:pPr>
      <w:r>
        <w:rPr>
          <w:rFonts w:ascii="Times New Roman" w:cs="Times New Roman" w:eastAsia="Times New Roman" w:hAnsi="Times New Roman"/>
          <w:sz w:val="17"/>
          <w:szCs w:val="17"/>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169" w:lineRule="exact"/>
        <w:rPr>
          <w:sz w:val="20"/>
          <w:szCs w:val="20"/>
          <w:color w:val="auto"/>
        </w:rPr>
      </w:pPr>
    </w:p>
    <w:p>
      <w:pPr>
        <w:ind w:right="6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Unfavorable conditions in our industry or the global economy or reductions in spending on information technology and communications could adversely affect our business, results of operations and financial condition.</w:t>
      </w:r>
    </w:p>
    <w:p>
      <w:pPr>
        <w:spacing w:after="0" w:line="146" w:lineRule="exact"/>
        <w:rPr>
          <w:sz w:val="20"/>
          <w:szCs w:val="20"/>
          <w:color w:val="auto"/>
        </w:rPr>
      </w:pPr>
    </w:p>
    <w:p>
      <w:pPr>
        <w:ind w:right="20" w:firstLine="464"/>
        <w:spacing w:after="0" w:line="256" w:lineRule="auto"/>
        <w:rPr>
          <w:sz w:val="20"/>
          <w:szCs w:val="20"/>
          <w:color w:val="auto"/>
        </w:rPr>
      </w:pPr>
      <w:r>
        <w:rPr>
          <w:rFonts w:ascii="Times New Roman" w:cs="Times New Roman" w:eastAsia="Times New Roman" w:hAnsi="Times New Roman"/>
          <w:sz w:val="17"/>
          <w:szCs w:val="17"/>
          <w:color w:val="auto"/>
        </w:rPr>
        <w:t>Our results of operations may vary based on the impact of changes in our industry or the global economy on our customers. Our results of operations depend in part on demand for information technology and cloud communications. In addition, our revenue is dependent on the usage of our products, which in turn is influenced by the scale of business that our customers are conducting. To the extent that weak or volatile economic conditions, including due to the COVID-19 pandemic, labor shortages, supply chain disruptions and inflation, geopolitical developments, such as the war in Ukraine and the implementation of, or changes to or further expansions of, trade sanctions, export restrictions, tariffs, and embargoes, and other events outside of our control, result in a reduced volume of business for, and communications by, our customers and prospective customers, demand for, and use of, our products may decline. Furthermore, weak economic conditions may make it more difficult to collect on outstanding accounts receivable and increase our expenses. Additionally, we generate a portion of our revenue from small and medium-sized businesses, which may be affected by economic downturns and other adverse macroeconomic conditions to a greater extent than enterprises, and typically have more limited financial resources, including capital borrowing capacity, than enterprises. If our customers reduce their use of our products, or prospective customers delay adoption or elect not to adopt our products, as a result of a weak economy or rising inflation and increased costs, this could adversely affect our business, results of operations and financial condition.</w:t>
      </w:r>
    </w:p>
    <w:p>
      <w:pPr>
        <w:spacing w:after="0" w:line="176" w:lineRule="exact"/>
        <w:rPr>
          <w:sz w:val="20"/>
          <w:szCs w:val="20"/>
          <w:color w:val="auto"/>
        </w:rPr>
      </w:pPr>
    </w:p>
    <w:p>
      <w:pPr>
        <w:ind w:right="4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terrorism or war.</w:t>
      </w:r>
    </w:p>
    <w:p>
      <w:pPr>
        <w:spacing w:after="0" w:line="146"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7"/>
          <w:szCs w:val="17"/>
          <w:color w:val="auto"/>
        </w:rPr>
        <w:t>Our business operations are subject to interruption by natural disasters, flooding, fire, power shortages, public health epidemics or pandemics such as COVID-19,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such as the war in Ukraine, could cause disruptions in our or our customers’ businesses, national economies or the world economy as a whole.</w:t>
      </w:r>
    </w:p>
    <w:p>
      <w:pPr>
        <w:spacing w:after="0" w:line="179"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75" w:lineRule="exact"/>
        <w:rPr>
          <w:sz w:val="20"/>
          <w:szCs w:val="20"/>
          <w:color w:val="auto"/>
        </w:rPr>
      </w:pPr>
    </w:p>
    <w:p>
      <w:pPr>
        <w:ind w:right="160" w:firstLine="464"/>
        <w:spacing w:after="0" w:line="258" w:lineRule="auto"/>
        <w:rPr>
          <w:sz w:val="20"/>
          <w:szCs w:val="20"/>
          <w:color w:val="auto"/>
        </w:rPr>
      </w:pPr>
      <w:r>
        <w:rPr>
          <w:rFonts w:ascii="Times New Roman" w:cs="Times New Roman" w:eastAsia="Times New Roman" w:hAnsi="Times New Roman"/>
          <w:sz w:val="17"/>
          <w:szCs w:val="17"/>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users may harm our reputation and our ability to retain existing users and attract new users.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Climate change may have an impact on our business.</w:t>
      </w:r>
    </w:p>
    <w:p>
      <w:pPr>
        <w:spacing w:after="0" w:line="223"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7"/>
          <w:szCs w:val="17"/>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and domestic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expect to be subject to increased regulations, reporting requirements, standards or expectations regarding the environmental impacts of our business.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Unregistered Sales of Equity Securities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Exhibits</w:t>
      </w:r>
    </w:p>
    <w:p>
      <w:pPr>
        <w:spacing w:after="0" w:line="223" w:lineRule="exact"/>
        <w:rPr>
          <w:sz w:val="20"/>
          <w:szCs w:val="20"/>
          <w:color w:val="auto"/>
        </w:rPr>
      </w:pPr>
    </w:p>
    <w:p>
      <w:pPr>
        <w:ind w:right="260" w:firstLine="464"/>
        <w:spacing w:after="0" w:line="287" w:lineRule="auto"/>
        <w:rPr>
          <w:sz w:val="20"/>
          <w:szCs w:val="20"/>
          <w:color w:val="auto"/>
        </w:rPr>
      </w:pPr>
      <w:r>
        <w:rPr>
          <w:rFonts w:ascii="Times New Roman" w:cs="Times New Roman" w:eastAsia="Times New Roman" w:hAnsi="Times New Roman"/>
          <w:sz w:val="17"/>
          <w:szCs w:val="17"/>
          <w:color w:val="auto"/>
        </w:rPr>
        <w:t>The documents listed in the Exhibit Index of this Quarterly Report on Form 10-Q are incorporated by reference or are filed with this Quarterly Report on Form 10-Q, in each case as indicated therein.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1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700" w:type="dxa"/>
            <w:vAlign w:val="bottom"/>
            <w:gridSpan w:val="9"/>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700" w:type="dxa"/>
            <w:vAlign w:val="bottom"/>
            <w:gridSpan w:val="9"/>
            <w:vMerge w:val="continue"/>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0" w:type="dxa"/>
            <w:vAlign w:val="bottom"/>
          </w:tcPr>
          <w:p>
            <w:pPr>
              <w:spacing w:after="0"/>
              <w:rPr>
                <w:sz w:val="1"/>
                <w:szCs w:val="1"/>
                <w:color w:val="auto"/>
              </w:rPr>
            </w:pPr>
          </w:p>
        </w:tc>
      </w:tr>
      <w:tr>
        <w:trPr>
          <w:trHeight w:val="139"/>
        </w:trPr>
        <w:tc>
          <w:tcPr>
            <w:tcW w:w="1000" w:type="dxa"/>
            <w:vAlign w:val="bottom"/>
            <w:tcBorders>
              <w:top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140" w:type="dxa"/>
            <w:vAlign w:val="bottom"/>
            <w:tcBorders>
              <w:top w:val="single" w:sz="8" w:color="auto"/>
            </w:tcBorders>
            <w:gridSpan w:val="9"/>
          </w:tcPr>
          <w:p>
            <w:pPr>
              <w:spacing w:after="0" w:line="139" w:lineRule="exact"/>
              <w:rPr>
                <w:sz w:val="20"/>
                <w:szCs w:val="20"/>
                <w:color w:val="auto"/>
              </w:rPr>
            </w:pPr>
            <w:r>
              <w:rPr>
                <w:rFonts w:ascii="Times New Roman" w:cs="Times New Roman" w:eastAsia="Times New Roman" w:hAnsi="Times New Roman"/>
                <w:sz w:val="14"/>
                <w:szCs w:val="14"/>
                <w:color w:val="0000FF"/>
              </w:rPr>
              <w:t>Amended and Restated Non-Employee Director Compensation Policy</w:t>
            </w: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Exchange Act Rules 13a-14(a) or</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top w:val="single" w:sz="8" w:color="0000FF"/>
              <w:bottom w:val="single" w:sz="8" w:color="0000FF"/>
            </w:tcBorders>
            <w:gridSpan w:val="3"/>
          </w:tcPr>
          <w:p>
            <w:pPr>
              <w:spacing w:after="0" w:line="122" w:lineRule="exact"/>
              <w:rPr>
                <w:sz w:val="20"/>
                <w:szCs w:val="20"/>
                <w:color w:val="auto"/>
              </w:rPr>
            </w:pPr>
            <w:r>
              <w:rPr>
                <w:rFonts w:ascii="Times New Roman" w:cs="Times New Roman" w:eastAsia="Times New Roman" w:hAnsi="Times New Roman"/>
                <w:sz w:val="14"/>
                <w:szCs w:val="14"/>
                <w:color w:val="0000FF"/>
                <w:w w:val="97"/>
              </w:rPr>
              <w:t>15d-14(a), as adopted pursuant to Section 302 of the Sarbanes-Oxley Act of 2002</w:t>
            </w:r>
          </w:p>
        </w:tc>
        <w:tc>
          <w:tcPr>
            <w:tcW w:w="440" w:type="dxa"/>
            <w:vAlign w:val="bottom"/>
            <w:tcBorders>
              <w:top w:val="single" w:sz="8" w:color="0000FF"/>
            </w:tcBorders>
            <w:gridSpan w:val="4"/>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7"/>
              </w:rPr>
              <w:t>Certification of the Chief Operating Officer (Principal Financial Officer) pursuant to</w:t>
            </w:r>
          </w:p>
        </w:tc>
        <w:tc>
          <w:tcPr>
            <w:tcW w:w="620" w:type="dxa"/>
            <w:vAlign w:val="bottom"/>
            <w:gridSpan w:val="6"/>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60" w:type="dxa"/>
            <w:vAlign w:val="bottom"/>
            <w:gridSpan w:val="10"/>
          </w:tcPr>
          <w:p>
            <w:pPr>
              <w:spacing w:after="0" w:line="122" w:lineRule="exact"/>
              <w:rPr>
                <w:sz w:val="20"/>
                <w:szCs w:val="20"/>
                <w:color w:val="auto"/>
              </w:rPr>
            </w:pPr>
            <w:r>
              <w:rPr>
                <w:rFonts w:ascii="Times New Roman" w:cs="Times New Roman" w:eastAsia="Times New Roman" w:hAnsi="Times New Roman"/>
                <w:sz w:val="14"/>
                <w:szCs w:val="14"/>
                <w:color w:val="0000FF"/>
              </w:rPr>
              <w:t>Exchange Act Rules 13a-14(a) or 15d-14(a), as adopted pursuant to Section 302 of the</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40" w:type="dxa"/>
            <w:vAlign w:val="bottom"/>
            <w:tcBorders>
              <w:top w:val="single" w:sz="8" w:color="0000FF"/>
            </w:tcBorders>
            <w:gridSpan w:val="5"/>
          </w:tcPr>
          <w:p>
            <w:pPr>
              <w:spacing w:after="0" w:line="109" w:lineRule="exact"/>
              <w:rPr>
                <w:sz w:val="20"/>
                <w:szCs w:val="20"/>
                <w:color w:val="auto"/>
              </w:rPr>
            </w:pPr>
            <w:r>
              <w:rPr>
                <w:rFonts w:ascii="Times New Roman" w:cs="Times New Roman" w:eastAsia="Times New Roman" w:hAnsi="Times New Roman"/>
                <w:sz w:val="11"/>
                <w:szCs w:val="11"/>
                <w:color w:val="0000FF"/>
              </w:rPr>
              <w:t>Sarbanes-Oxley Act of 2002</w:t>
            </w:r>
          </w:p>
        </w:tc>
        <w:tc>
          <w:tcPr>
            <w:tcW w:w="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6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and Chief Operating Officer (Principal Financial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Furnished herewith</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00" w:type="dxa"/>
            <w:vAlign w:val="bottom"/>
            <w:tcBorders>
              <w:top w:val="single" w:sz="8" w:color="0000FF"/>
            </w:tcBorders>
            <w:gridSpan w:val="8"/>
          </w:tcPr>
          <w:p>
            <w:pPr>
              <w:spacing w:after="0" w:line="122"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 Section 906 of the</w:t>
            </w:r>
          </w:p>
        </w:tc>
        <w:tc>
          <w:tcPr>
            <w:tcW w:w="160" w:type="dxa"/>
            <w:vAlign w:val="bottom"/>
            <w:gridSpan w:val="2"/>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60" w:type="dxa"/>
            <w:vAlign w:val="bottom"/>
            <w:tcBorders>
              <w:top w:val="single" w:sz="8" w:color="0000FF"/>
            </w:tcBorders>
            <w:gridSpan w:val="6"/>
          </w:tcPr>
          <w:p>
            <w:pPr>
              <w:spacing w:after="0" w:line="109" w:lineRule="exact"/>
              <w:rPr>
                <w:sz w:val="20"/>
                <w:szCs w:val="20"/>
                <w:color w:val="auto"/>
              </w:rPr>
            </w:pPr>
            <w:r>
              <w:rPr>
                <w:rFonts w:ascii="Times New Roman" w:cs="Times New Roman" w:eastAsia="Times New Roman" w:hAnsi="Times New Roman"/>
                <w:sz w:val="11"/>
                <w:szCs w:val="11"/>
                <w:color w:val="0000FF"/>
              </w:rPr>
              <w:t>Sarbanes-Oxley Act of 2002</w:t>
            </w:r>
          </w:p>
        </w:tc>
        <w:tc>
          <w:tcPr>
            <w:tcW w:w="500" w:type="dxa"/>
            <w:vAlign w:val="bottom"/>
            <w:gridSpan w:val="4"/>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70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8"/>
                <w:szCs w:val="18"/>
                <w:color w:val="auto"/>
              </w:rPr>
            </w:pPr>
          </w:p>
        </w:tc>
        <w:tc>
          <w:tcPr>
            <w:tcW w:w="52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20"/>
                <w:szCs w:val="20"/>
                <w:color w:val="auto"/>
              </w:rPr>
            </w:pPr>
          </w:p>
        </w:tc>
        <w:tc>
          <w:tcPr>
            <w:tcW w:w="52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24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21"/>
                <w:szCs w:val="21"/>
                <w:color w:val="auto"/>
              </w:rPr>
            </w:pPr>
          </w:p>
        </w:tc>
        <w:tc>
          <w:tcPr>
            <w:tcW w:w="52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24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21"/>
                <w:szCs w:val="21"/>
                <w:color w:val="auto"/>
              </w:rPr>
            </w:pPr>
          </w:p>
        </w:tc>
        <w:tc>
          <w:tcPr>
            <w:tcW w:w="52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24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21"/>
                <w:szCs w:val="21"/>
                <w:color w:val="auto"/>
              </w:rPr>
            </w:pPr>
          </w:p>
        </w:tc>
        <w:tc>
          <w:tcPr>
            <w:tcW w:w="52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24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21"/>
                <w:szCs w:val="21"/>
                <w:color w:val="auto"/>
              </w:rPr>
            </w:pPr>
          </w:p>
        </w:tc>
        <w:tc>
          <w:tcPr>
            <w:tcW w:w="52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120" w:right="5060" w:hanging="1100"/>
        <w:spacing w:after="0" w:line="238" w:lineRule="auto"/>
        <w:tabs>
          <w:tab w:leader="none" w:pos="11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with Interactive Data File (formatted as Inline XBRL with applicable taxonomy extension information contained in Exhibits 101)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w:t>
      </w:r>
    </w:p>
    <w:p>
      <w:pPr>
        <w:spacing w:after="0" w:line="1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Indicates management control of a compensatory plan, contract or agreement.</w:t>
      </w:r>
    </w:p>
    <w:p>
      <w:pPr>
        <w:ind w:left="620" w:right="80" w:hanging="617"/>
        <w:spacing w:after="0" w:line="255" w:lineRule="auto"/>
        <w:tabs>
          <w:tab w:leader="none" w:pos="20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80" w:name="page81"/>
    <w:bookmarkEnd w:id="80"/>
    <w:p>
      <w:pPr>
        <w:ind w:left="53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387"/>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Twilio Inc.</w:t>
      </w:r>
    </w:p>
    <w:p>
      <w:pPr>
        <w:spacing w:after="0" w:line="286" w:lineRule="exact"/>
        <w:rPr>
          <w:sz w:val="20"/>
          <w:szCs w:val="20"/>
          <w:color w:val="auto"/>
        </w:rPr>
      </w:pPr>
    </w:p>
    <w:p>
      <w:pPr>
        <w:ind w:left="780"/>
        <w:spacing w:after="0"/>
        <w:tabs>
          <w:tab w:leader="none" w:pos="7760" w:val="left"/>
        </w:tabs>
        <w:rPr>
          <w:sz w:val="20"/>
          <w:szCs w:val="20"/>
          <w:color w:val="auto"/>
        </w:rPr>
      </w:pPr>
      <w:r>
        <w:rPr>
          <w:rFonts w:ascii="Times New Roman" w:cs="Times New Roman" w:eastAsia="Times New Roman" w:hAnsi="Times New Roman"/>
          <w:sz w:val="17"/>
          <w:szCs w:val="17"/>
          <w:color w:val="auto"/>
        </w:rPr>
        <w:t>November 4, 2022</w:t>
      </w:r>
      <w:r>
        <w:rPr>
          <w:sz w:val="20"/>
          <w:szCs w:val="20"/>
          <w:color w:val="auto"/>
        </w:rPr>
        <w:tab/>
      </w:r>
      <w:r>
        <w:rPr>
          <w:rFonts w:ascii="Times New Roman" w:cs="Times New Roman" w:eastAsia="Times New Roman" w:hAnsi="Times New Roman"/>
          <w:sz w:val="15"/>
          <w:szCs w:val="15"/>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17145</wp:posOffset>
            </wp:positionV>
            <wp:extent cx="3168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Jeff Lawson</w:t>
      </w:r>
    </w:p>
    <w:p>
      <w:pPr>
        <w:jc w:val="center"/>
        <w:ind w:left="5500"/>
        <w:spacing w:after="0"/>
        <w:rPr>
          <w:sz w:val="20"/>
          <w:szCs w:val="20"/>
          <w:color w:val="auto"/>
        </w:rPr>
      </w:pPr>
      <w:r>
        <w:rPr>
          <w:rFonts w:ascii="Times New Roman" w:cs="Times New Roman" w:eastAsia="Times New Roman" w:hAnsi="Times New Roman"/>
          <w:sz w:val="17"/>
          <w:szCs w:val="17"/>
          <w:i w:val="1"/>
          <w:iCs w:val="1"/>
          <w:color w:val="auto"/>
        </w:rPr>
        <w:t>Director and Chief Executive Officer (Principal Executive Officer)</w:t>
      </w:r>
    </w:p>
    <w:p>
      <w:pPr>
        <w:spacing w:after="0" w:line="225" w:lineRule="exact"/>
        <w:rPr>
          <w:sz w:val="20"/>
          <w:szCs w:val="20"/>
          <w:color w:val="auto"/>
        </w:rPr>
      </w:pPr>
    </w:p>
    <w:p>
      <w:pPr>
        <w:ind w:left="780"/>
        <w:spacing w:after="0"/>
        <w:tabs>
          <w:tab w:leader="none" w:pos="7180" w:val="left"/>
        </w:tabs>
        <w:rPr>
          <w:sz w:val="20"/>
          <w:szCs w:val="20"/>
          <w:color w:val="auto"/>
        </w:rPr>
      </w:pPr>
      <w:r>
        <w:rPr>
          <w:rFonts w:ascii="Times New Roman" w:cs="Times New Roman" w:eastAsia="Times New Roman" w:hAnsi="Times New Roman"/>
          <w:sz w:val="17"/>
          <w:szCs w:val="17"/>
          <w:color w:val="auto"/>
        </w:rPr>
        <w:t>November 4, 2022</w:t>
      </w:r>
      <w:r>
        <w:rPr>
          <w:sz w:val="20"/>
          <w:szCs w:val="20"/>
          <w:color w:val="auto"/>
        </w:rPr>
        <w:tab/>
      </w:r>
      <w:r>
        <w:rPr>
          <w:rFonts w:ascii="Times New Roman" w:cs="Times New Roman" w:eastAsia="Times New Roman" w:hAnsi="Times New Roman"/>
          <w:sz w:val="15"/>
          <w:szCs w:val="15"/>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17145</wp:posOffset>
            </wp:positionV>
            <wp:extent cx="3168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Khozema Z. Shipchandler</w:t>
      </w:r>
    </w:p>
    <w:p>
      <w:pPr>
        <w:jc w:val="center"/>
        <w:ind w:left="5500"/>
        <w:spacing w:after="0"/>
        <w:rPr>
          <w:sz w:val="20"/>
          <w:szCs w:val="20"/>
          <w:color w:val="auto"/>
        </w:rPr>
      </w:pPr>
      <w:r>
        <w:rPr>
          <w:rFonts w:ascii="Times New Roman" w:cs="Times New Roman" w:eastAsia="Times New Roman" w:hAnsi="Times New Roman"/>
          <w:sz w:val="17"/>
          <w:szCs w:val="17"/>
          <w:i w:val="1"/>
          <w:iCs w:val="1"/>
          <w:color w:val="auto"/>
        </w:rPr>
        <w:t>Chief Operating Officer (Principal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0800"/>
          </w:cols>
          <w:pgMar w:left="320" w:top="1060" w:right="7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Twilio Inc.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Non-Employee Director Compensation Policy</w:t>
      </w:r>
    </w:p>
    <w:p>
      <w:pPr>
        <w:spacing w:after="0" w:line="201" w:lineRule="exact"/>
        <w:rPr>
          <w:sz w:val="20"/>
          <w:szCs w:val="20"/>
          <w:color w:val="auto"/>
        </w:rPr>
      </w:pPr>
    </w:p>
    <w:p>
      <w:pPr>
        <w:jc w:val="both"/>
        <w:ind w:right="200"/>
        <w:spacing w:after="0" w:line="236" w:lineRule="auto"/>
        <w:rPr>
          <w:sz w:val="20"/>
          <w:szCs w:val="20"/>
          <w:color w:val="auto"/>
        </w:rPr>
      </w:pPr>
      <w:r>
        <w:rPr>
          <w:rFonts w:ascii="Times New Roman" w:cs="Times New Roman" w:eastAsia="Times New Roman" w:hAnsi="Times New Roman"/>
          <w:sz w:val="20"/>
          <w:szCs w:val="20"/>
          <w:color w:val="auto"/>
        </w:rPr>
        <w:t>The purpose of this Amended and Restated Non-Employee Director Compensation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of Twilio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to provide a total compensation package that enables the Company to attract and retain, on a long-term basis, high- caliber directors who are not employees or officers of the Company or its subsidiaries (“</w:t>
      </w:r>
      <w:r>
        <w:rPr>
          <w:rFonts w:ascii="Times New Roman" w:cs="Times New Roman" w:eastAsia="Times New Roman" w:hAnsi="Times New Roman"/>
          <w:sz w:val="20"/>
          <w:szCs w:val="20"/>
          <w:u w:val="single" w:color="auto"/>
          <w:color w:val="auto"/>
        </w:rPr>
        <w:t>Outside Directors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right="180"/>
        <w:spacing w:after="0" w:line="212" w:lineRule="auto"/>
        <w:rPr>
          <w:sz w:val="20"/>
          <w:szCs w:val="20"/>
          <w:color w:val="auto"/>
        </w:rPr>
      </w:pPr>
      <w:r>
        <w:rPr>
          <w:rFonts w:ascii="Times New Roman" w:cs="Times New Roman" w:eastAsia="Times New Roman" w:hAnsi="Times New Roman"/>
          <w:sz w:val="21"/>
          <w:szCs w:val="21"/>
          <w:color w:val="auto"/>
        </w:rPr>
        <w:t>In furtherance of the purpose stated above, all Outside Directors who will continue as a member of the Board of Directors following the Company’s Annual Meeting of Stockholders shall receive, as compensation for services provided to the Company, grants of restricted stock units on the dates and with the Values as set forth below. Such grants shall vest as set forth below; provided, however that all grants and all vesting shall cease if the director resigns from our Board of Directors or otherwise ceases to serve as a director (or in the case of committee retainers or lead independent director retainer, ceases to serve on the applicable committee, or in their capacity as a lead independent director), unless the Board of Directors determines that the circumstances warrant continuation of vesting. An Outside Director must be in service to the Company as an Outside Director on the date of grant in order to be eligible to receive such grant.</w:t>
      </w:r>
    </w:p>
    <w:p>
      <w:pPr>
        <w:spacing w:after="0" w:line="172" w:lineRule="exact"/>
        <w:rPr>
          <w:sz w:val="20"/>
          <w:szCs w:val="20"/>
          <w:color w:val="auto"/>
        </w:rPr>
      </w:pPr>
    </w:p>
    <w:p>
      <w:pPr>
        <w:ind w:left="340" w:hanging="337"/>
        <w:spacing w:after="0"/>
        <w:tabs>
          <w:tab w:leader="none" w:pos="340"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Equity Retainers and Annual Grant</w:t>
      </w:r>
    </w:p>
    <w:p>
      <w:pPr>
        <w:spacing w:after="0" w:line="214" w:lineRule="exact"/>
        <w:rPr>
          <w:sz w:val="20"/>
          <w:szCs w:val="20"/>
          <w:color w:val="auto"/>
        </w:rPr>
      </w:pPr>
    </w:p>
    <w:p>
      <w:pPr>
        <w:ind w:left="440" w:hanging="437"/>
        <w:spacing w:after="0"/>
        <w:tabs>
          <w:tab w:leader="none" w:pos="4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Equity Retainer for Board Membership</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$45,000 for general availability and participation in meetings and conference calls of our Board of Directors.</w:t>
      </w:r>
    </w:p>
    <w:p>
      <w:pPr>
        <w:spacing w:after="0" w:line="184" w:lineRule="exact"/>
        <w:rPr>
          <w:sz w:val="20"/>
          <w:szCs w:val="20"/>
          <w:color w:val="auto"/>
        </w:rPr>
      </w:pPr>
    </w:p>
    <w:p>
      <w:pPr>
        <w:ind w:right="5400" w:firstLine="3"/>
        <w:spacing w:after="0" w:line="435" w:lineRule="auto"/>
        <w:tabs>
          <w:tab w:leader="none" w:pos="44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Equity Annual Retainers for Committee Membership</w:t>
      </w:r>
      <w:r>
        <w:rPr>
          <w:rFonts w:ascii="Times New Roman" w:cs="Times New Roman" w:eastAsia="Times New Roman" w:hAnsi="Times New Roman"/>
          <w:sz w:val="21"/>
          <w:szCs w:val="21"/>
          <w:color w:val="auto"/>
        </w:rPr>
        <w:t>: Audit Committee Chairperson: $26,000</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Audit Committee member (other than Chairperson): $13,000</w:t>
      </w:r>
    </w:p>
    <w:p>
      <w:pPr>
        <w:spacing w:after="0" w:line="19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and Talent Management Committee Chairperson: $20,000</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Compensation and Talent Management Committee member (other than Chairperson): $10,000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Nominating and Corporate Governance Committee Chairperson: $12,000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Nominating and Corporate Governance Committee member (other than Chairperson): $6,000</w:t>
      </w:r>
    </w:p>
    <w:p>
      <w:pPr>
        <w:spacing w:after="0" w:line="339" w:lineRule="exact"/>
        <w:rPr>
          <w:sz w:val="20"/>
          <w:szCs w:val="20"/>
          <w:color w:val="auto"/>
        </w:rPr>
      </w:pPr>
    </w:p>
    <w:p>
      <w:pPr>
        <w:ind w:left="440" w:hanging="437"/>
        <w:spacing w:after="0"/>
        <w:tabs>
          <w:tab w:leader="none" w:pos="4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Annual Equity Retainer for Lead Independent Director</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$30,000 for serving as lead independent director of our Board of Directors.</w:t>
      </w:r>
    </w:p>
    <w:p>
      <w:pPr>
        <w:spacing w:after="0" w:line="223" w:lineRule="exact"/>
        <w:rPr>
          <w:sz w:val="20"/>
          <w:szCs w:val="20"/>
          <w:color w:val="auto"/>
        </w:rPr>
      </w:pPr>
    </w:p>
    <w:p>
      <w:pPr>
        <w:ind w:left="460" w:hanging="457"/>
        <w:spacing w:after="0"/>
        <w:tabs>
          <w:tab w:leader="none" w:pos="4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Grant</w:t>
      </w:r>
    </w:p>
    <w:p>
      <w:pPr>
        <w:spacing w:after="0" w:line="23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1"/>
          <w:szCs w:val="21"/>
          <w:color w:val="auto"/>
        </w:rPr>
        <w:t>Each Outside Director who will continue as a member of the Board of Directors following such Annual Meeting of Stockholders will be entitled to receive a grant of restricted stock units (the “</w:t>
      </w:r>
      <w:r>
        <w:rPr>
          <w:rFonts w:ascii="Times New Roman" w:cs="Times New Roman" w:eastAsia="Times New Roman" w:hAnsi="Times New Roman"/>
          <w:sz w:val="21"/>
          <w:szCs w:val="21"/>
          <w:u w:val="single" w:color="auto"/>
          <w:color w:val="auto"/>
        </w:rPr>
        <w:t>Annual Grant</w:t>
      </w:r>
      <w:r>
        <w:rPr>
          <w:rFonts w:ascii="Times New Roman" w:cs="Times New Roman" w:eastAsia="Times New Roman" w:hAnsi="Times New Roman"/>
          <w:sz w:val="21"/>
          <w:szCs w:val="21"/>
          <w:color w:val="auto"/>
        </w:rPr>
        <w:t>”) with a Value of $250,000.</w:t>
      </w:r>
    </w:p>
    <w:p>
      <w:pPr>
        <w:sectPr>
          <w:pgSz w:w="11900" w:h="16838" w:orient="portrait"/>
          <w:cols w:equalWidth="0" w:num="1">
            <w:col w:w="11240"/>
          </w:cols>
          <w:pgMar w:left="320" w:top="566"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hanging="437"/>
        <w:spacing w:after="0"/>
        <w:tabs>
          <w:tab w:leader="none" w:pos="4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Terms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grants set forth in clauses (a), (b), (c) and (d) above shall be referred to in the aggregate as the “</w:t>
      </w:r>
      <w:r>
        <w:rPr>
          <w:rFonts w:ascii="Times New Roman" w:cs="Times New Roman" w:eastAsia="Times New Roman" w:hAnsi="Times New Roman"/>
          <w:sz w:val="21"/>
          <w:szCs w:val="21"/>
          <w:u w:val="single" w:color="auto"/>
          <w:color w:val="auto"/>
        </w:rPr>
        <w:t>Retainer and Annual Grants</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jc w:val="both"/>
        <w:ind w:right="300"/>
        <w:spacing w:after="0" w:line="253" w:lineRule="auto"/>
        <w:rPr>
          <w:sz w:val="20"/>
          <w:szCs w:val="20"/>
          <w:color w:val="auto"/>
        </w:rPr>
      </w:pPr>
      <w:r>
        <w:rPr>
          <w:rFonts w:ascii="Times New Roman" w:cs="Times New Roman" w:eastAsia="Times New Roman" w:hAnsi="Times New Roman"/>
          <w:sz w:val="20"/>
          <w:szCs w:val="20"/>
          <w:color w:val="auto"/>
        </w:rPr>
        <w:t>The Retainer and Annual Grants shall be granted in four installments over the course of the year that commences on the date of each Annual Meeting of Stockholders, with such grants to be made on each (1) September 15, (2) December 15, (3) March 15 and (4) the earlier of (i) June 15; or (ii) the day that is immediately prior to the next subsequent Annual Meeting of Stockholders (each such date, a “</w:t>
      </w:r>
      <w:r>
        <w:rPr>
          <w:rFonts w:ascii="Times New Roman" w:cs="Times New Roman" w:eastAsia="Times New Roman" w:hAnsi="Times New Roman"/>
          <w:sz w:val="20"/>
          <w:szCs w:val="20"/>
          <w:u w:val="single" w:color="auto"/>
          <w:color w:val="auto"/>
        </w:rPr>
        <w:t>Quarterly Date</w:t>
      </w:r>
      <w:r>
        <w:rPr>
          <w:rFonts w:ascii="Times New Roman" w:cs="Times New Roman" w:eastAsia="Times New Roman" w:hAnsi="Times New Roman"/>
          <w:sz w:val="20"/>
          <w:szCs w:val="20"/>
          <w:color w:val="auto"/>
        </w:rPr>
        <w:t>,” and each such grant, a “</w:t>
      </w:r>
      <w:r>
        <w:rPr>
          <w:rFonts w:ascii="Times New Roman" w:cs="Times New Roman" w:eastAsia="Times New Roman" w:hAnsi="Times New Roman"/>
          <w:sz w:val="20"/>
          <w:szCs w:val="20"/>
          <w:u w:val="single" w:color="auto"/>
          <w:color w:val="auto"/>
        </w:rPr>
        <w:t>Quarterly Grant</w:t>
      </w:r>
      <w:r>
        <w:rPr>
          <w:rFonts w:ascii="Times New Roman" w:cs="Times New Roman" w:eastAsia="Times New Roman" w:hAnsi="Times New Roman"/>
          <w:sz w:val="20"/>
          <w:szCs w:val="20"/>
          <w:color w:val="auto"/>
        </w:rPr>
        <w:t>”). The value of each Quarterly Grant shall be equal to the Value of the portion of the Retainer and Annual Grants applicable to the period beginning on the day after the immediately preceding Quarterly Date and ending on the then-current Quarterly Date (the “</w:t>
      </w:r>
      <w:r>
        <w:rPr>
          <w:rFonts w:ascii="Times New Roman" w:cs="Times New Roman" w:eastAsia="Times New Roman" w:hAnsi="Times New Roman"/>
          <w:sz w:val="20"/>
          <w:szCs w:val="20"/>
          <w:u w:val="single" w:color="auto"/>
          <w:color w:val="auto"/>
        </w:rPr>
        <w:t>Quarterly Period</w:t>
      </w:r>
      <w:r>
        <w:rPr>
          <w:rFonts w:ascii="Times New Roman" w:cs="Times New Roman" w:eastAsia="Times New Roman" w:hAnsi="Times New Roman"/>
          <w:sz w:val="20"/>
          <w:szCs w:val="20"/>
          <w:color w:val="auto"/>
        </w:rPr>
        <w:t>”), based on the Board and committee roles held by the Outside Director during such Quarterly Period. Each Quarterly Grant shall be fully vested upon the date of grant.</w:t>
      </w:r>
    </w:p>
    <w:p>
      <w:pPr>
        <w:spacing w:after="0" w:line="181" w:lineRule="exact"/>
        <w:rPr>
          <w:sz w:val="20"/>
          <w:szCs w:val="20"/>
          <w:color w:val="auto"/>
        </w:rPr>
      </w:pPr>
    </w:p>
    <w:p>
      <w:pPr>
        <w:ind w:left="420" w:hanging="417"/>
        <w:spacing w:after="0"/>
        <w:tabs>
          <w:tab w:leader="none" w:pos="420"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Initial Equity Grant</w:t>
      </w:r>
    </w:p>
    <w:p>
      <w:pPr>
        <w:spacing w:after="0" w:line="214" w:lineRule="exact"/>
        <w:rPr>
          <w:sz w:val="20"/>
          <w:szCs w:val="20"/>
          <w:color w:val="auto"/>
        </w:rPr>
      </w:pPr>
    </w:p>
    <w:p>
      <w:pPr>
        <w:jc w:val="both"/>
        <w:ind w:right="300"/>
        <w:spacing w:after="0" w:line="217" w:lineRule="auto"/>
        <w:rPr>
          <w:sz w:val="20"/>
          <w:szCs w:val="20"/>
          <w:color w:val="auto"/>
        </w:rPr>
      </w:pPr>
      <w:r>
        <w:rPr>
          <w:rFonts w:ascii="Times New Roman" w:cs="Times New Roman" w:eastAsia="Times New Roman" w:hAnsi="Times New Roman"/>
          <w:sz w:val="21"/>
          <w:szCs w:val="21"/>
          <w:color w:val="auto"/>
        </w:rPr>
        <w:t>Upon initial election or appointment to the Board of Directors, each new Outside Director will receive an initial, one-time grant of restricted stock units (the “</w:t>
      </w:r>
      <w:r>
        <w:rPr>
          <w:rFonts w:ascii="Times New Roman" w:cs="Times New Roman" w:eastAsia="Times New Roman" w:hAnsi="Times New Roman"/>
          <w:sz w:val="21"/>
          <w:szCs w:val="21"/>
          <w:u w:val="single" w:color="auto"/>
          <w:color w:val="auto"/>
        </w:rPr>
        <w:t>Initial Grant</w:t>
      </w:r>
      <w:r>
        <w:rPr>
          <w:rFonts w:ascii="Times New Roman" w:cs="Times New Roman" w:eastAsia="Times New Roman" w:hAnsi="Times New Roman"/>
          <w:sz w:val="21"/>
          <w:szCs w:val="21"/>
          <w:color w:val="auto"/>
        </w:rPr>
        <w:t>”) with a Value of $575,000, that vests annually over three years; provided, however, if a new Outside Director is elected or appointed on a date other than at the Company’s Annual Meeting of Stockholders,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of such Value shall be pro-rated by the amount of time between such election or appointment and the one-year anniversary of the Annual Meeting of Stockholders held most recently prior to such election or appointment (such date, the “</w:t>
      </w:r>
      <w:r>
        <w:rPr>
          <w:rFonts w:ascii="Times New Roman" w:cs="Times New Roman" w:eastAsia="Times New Roman" w:hAnsi="Times New Roman"/>
          <w:sz w:val="21"/>
          <w:szCs w:val="21"/>
          <w:u w:val="single" w:color="auto"/>
          <w:color w:val="auto"/>
        </w:rPr>
        <w:t>Initial Vesting Date</w:t>
      </w:r>
      <w:r>
        <w:rPr>
          <w:rFonts w:ascii="Times New Roman" w:cs="Times New Roman" w:eastAsia="Times New Roman" w:hAnsi="Times New Roman"/>
          <w:sz w:val="21"/>
          <w:szCs w:val="21"/>
          <w:color w:val="auto"/>
        </w:rPr>
        <w:t>”), and such pro-rated portion shall vest on the Initial Vesting Date. The other two-thirds (2/3</w:t>
      </w:r>
      <w:r>
        <w:rPr>
          <w:rFonts w:ascii="Times New Roman" w:cs="Times New Roman" w:eastAsia="Times New Roman" w:hAnsi="Times New Roman"/>
          <w:sz w:val="26"/>
          <w:szCs w:val="26"/>
          <w:color w:val="auto"/>
          <w:vertAlign w:val="superscript"/>
        </w:rPr>
        <w:t>rds</w:t>
      </w:r>
      <w:r>
        <w:rPr>
          <w:rFonts w:ascii="Times New Roman" w:cs="Times New Roman" w:eastAsia="Times New Roman" w:hAnsi="Times New Roman"/>
          <w:sz w:val="21"/>
          <w:szCs w:val="21"/>
          <w:color w:val="auto"/>
        </w:rPr>
        <w:t>) of the Initial Grant shall vest as follows: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of the Initial Grant shall vest on the one year anniversary of the Initial Vesting Date and the other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of the Initial Grant shall vest on the two year anniversary of the Initial Vesting Date. This Initial Grant applies to Outside Directors who are first elected or appointed to the Board of Directors effective as of or subsequent to June 1, 2020. For the avoidance of doubt, the Initial Grant may only be granted once to any Outside Director.</w:t>
      </w:r>
    </w:p>
    <w:p>
      <w:pPr>
        <w:spacing w:after="0" w:line="196" w:lineRule="exact"/>
        <w:rPr>
          <w:sz w:val="20"/>
          <w:szCs w:val="20"/>
          <w:color w:val="auto"/>
        </w:rPr>
      </w:pPr>
    </w:p>
    <w:p>
      <w:pPr>
        <w:ind w:left="500" w:hanging="497"/>
        <w:spacing w:after="0"/>
        <w:tabs>
          <w:tab w:leader="none" w:pos="500"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General</w:t>
      </w:r>
    </w:p>
    <w:p>
      <w:pPr>
        <w:spacing w:after="0" w:line="214"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1"/>
          <w:szCs w:val="21"/>
          <w:color w:val="auto"/>
        </w:rPr>
        <w:t>All grants of equity awards to Outside Directors pursuant to this Policy will be automatic and nondiscretionary and will be made in accordance with the following provisions:</w:t>
      </w:r>
    </w:p>
    <w:p>
      <w:pPr>
        <w:spacing w:after="0" w:line="129" w:lineRule="exact"/>
        <w:rPr>
          <w:sz w:val="20"/>
          <w:szCs w:val="20"/>
          <w:color w:val="auto"/>
        </w:rPr>
      </w:pPr>
    </w:p>
    <w:p>
      <w:pPr>
        <w:jc w:val="both"/>
        <w:ind w:right="240"/>
        <w:spacing w:after="0" w:line="215" w:lineRule="auto"/>
        <w:rPr>
          <w:sz w:val="20"/>
          <w:szCs w:val="20"/>
          <w:color w:val="auto"/>
        </w:rPr>
      </w:pPr>
      <w:r>
        <w:rPr>
          <w:rFonts w:ascii="Times New Roman" w:cs="Times New Roman" w:eastAsia="Times New Roman" w:hAnsi="Times New Roman"/>
          <w:sz w:val="21"/>
          <w:szCs w:val="21"/>
          <w:u w:val="single" w:color="auto"/>
          <w:color w:val="auto"/>
        </w:rPr>
        <w:t>Value</w:t>
      </w:r>
      <w:r>
        <w:rPr>
          <w:rFonts w:ascii="Times New Roman" w:cs="Times New Roman" w:eastAsia="Times New Roman" w:hAnsi="Times New Roman"/>
          <w:sz w:val="21"/>
          <w:szCs w:val="21"/>
          <w:color w:val="auto"/>
        </w:rPr>
        <w:t>. For purposes of this Policy, “</w:t>
      </w:r>
      <w:r>
        <w:rPr>
          <w:rFonts w:ascii="Times New Roman" w:cs="Times New Roman" w:eastAsia="Times New Roman" w:hAnsi="Times New Roman"/>
          <w:sz w:val="21"/>
          <w:szCs w:val="21"/>
          <w:u w:val="single" w:color="auto"/>
          <w:color w:val="auto"/>
        </w:rPr>
        <w:t>Value</w:t>
      </w:r>
      <w:r>
        <w:rPr>
          <w:rFonts w:ascii="Times New Roman" w:cs="Times New Roman" w:eastAsia="Times New Roman" w:hAnsi="Times New Roman"/>
          <w:sz w:val="21"/>
          <w:szCs w:val="21"/>
          <w:color w:val="auto"/>
        </w:rPr>
        <w:t>” means with respect to any award of restricted stock units, the product of (A) the average closing market price on the New York Stock Exchange (or such other market on which the Company’s Class A common stock is then principally listed) of one share of the Company’s Class A common stock over the 30-day period ending five business days immediately before the effective date of grant, and (B) the aggregate number of shares pursuant to such award. If the Value of each grant of restricted stock units is denominated in dollars, the number of shares of restricted stock units that are granted pursuant to each award shall be rounded down to the nearest whole share.</w:t>
      </w:r>
    </w:p>
    <w:p>
      <w:pPr>
        <w:spacing w:after="0" w:line="23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1"/>
          <w:szCs w:val="21"/>
          <w:u w:val="single" w:color="auto"/>
          <w:color w:val="auto"/>
        </w:rPr>
        <w:t>Revisions</w:t>
      </w:r>
      <w:r>
        <w:rPr>
          <w:rFonts w:ascii="Times New Roman" w:cs="Times New Roman" w:eastAsia="Times New Roman" w:hAnsi="Times New Roman"/>
          <w:sz w:val="21"/>
          <w:szCs w:val="21"/>
          <w:color w:val="auto"/>
        </w:rPr>
        <w:t>. The Compensation Committee in its discretion may change and otherwise revise the terms of awards to be granted under this Policy, including, without limitation, the number of</w:t>
      </w:r>
    </w:p>
    <w:p>
      <w:pPr>
        <w:sectPr>
          <w:pgSz w:w="11900" w:h="16838" w:orient="portrait"/>
          <w:cols w:equalWidth="0" w:num="1">
            <w:col w:w="11240"/>
          </w:cols>
          <w:pgMar w:left="320" w:top="56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329"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21"/>
          <w:szCs w:val="21"/>
          <w:color w:val="auto"/>
        </w:rPr>
        <w:t>shares subject thereto, for awards of the same or different type granted on or after the date the Compensation Committee determines to make any such change or revision.</w:t>
      </w:r>
    </w:p>
    <w:p>
      <w:pPr>
        <w:spacing w:after="0" w:line="194"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21"/>
          <w:szCs w:val="21"/>
          <w:u w:val="single" w:color="auto"/>
          <w:color w:val="auto"/>
        </w:rPr>
        <w:t>Sale Event Acceleration</w:t>
      </w:r>
      <w:r>
        <w:rPr>
          <w:rFonts w:ascii="Times New Roman" w:cs="Times New Roman" w:eastAsia="Times New Roman" w:hAnsi="Times New Roman"/>
          <w:sz w:val="21"/>
          <w:szCs w:val="21"/>
          <w:color w:val="auto"/>
        </w:rPr>
        <w:t>. In the event of a Sale Event (as defined in the Company’s 2016 Stock Option and Incentive Plan (as amended from time to time, the “2016 Plan”)), the equity retainer awards granted to Outside Directors pursuant to this Policy shall become 100% vested.</w:t>
      </w:r>
    </w:p>
    <w:p>
      <w:pPr>
        <w:spacing w:after="0" w:line="18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0"/>
          <w:szCs w:val="20"/>
          <w:b w:val="1"/>
          <w:bCs w:val="1"/>
          <w:u w:val="single" w:color="auto"/>
          <w:color w:val="auto"/>
        </w:rPr>
        <w:t>Expenses</w:t>
      </w:r>
    </w:p>
    <w:p>
      <w:pPr>
        <w:spacing w:after="0" w:line="214"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21"/>
          <w:szCs w:val="21"/>
          <w:color w:val="auto"/>
        </w:rPr>
        <w:t>The Company will reimburse all reasonable out-of-pocket expenses incurred by Outside Directors in attending meetings of the Board of Directors or any Committee thereof.</w:t>
      </w:r>
    </w:p>
    <w:p>
      <w:pPr>
        <w:spacing w:after="0" w:line="164" w:lineRule="exact"/>
        <w:rPr>
          <w:sz w:val="20"/>
          <w:szCs w:val="20"/>
          <w:color w:val="auto"/>
        </w:rPr>
      </w:pPr>
    </w:p>
    <w:p>
      <w:pPr>
        <w:ind w:left="380" w:hanging="377"/>
        <w:spacing w:after="0"/>
        <w:tabs>
          <w:tab w:leader="none" w:pos="380"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Maximum Annual Compensation</w:t>
      </w:r>
    </w:p>
    <w:p>
      <w:pPr>
        <w:spacing w:after="0" w:line="214" w:lineRule="exact"/>
        <w:rPr>
          <w:sz w:val="20"/>
          <w:szCs w:val="20"/>
          <w:color w:val="auto"/>
        </w:rPr>
      </w:pPr>
    </w:p>
    <w:p>
      <w:pPr>
        <w:jc w:val="both"/>
        <w:ind w:right="220"/>
        <w:spacing w:after="0" w:line="217" w:lineRule="auto"/>
        <w:rPr>
          <w:sz w:val="20"/>
          <w:szCs w:val="20"/>
          <w:color w:val="auto"/>
        </w:rPr>
      </w:pPr>
      <w:r>
        <w:rPr>
          <w:rFonts w:ascii="Times New Roman" w:cs="Times New Roman" w:eastAsia="Times New Roman" w:hAnsi="Times New Roman"/>
          <w:sz w:val="21"/>
          <w:szCs w:val="21"/>
          <w:color w:val="auto"/>
        </w:rPr>
        <w:t>The aggregate amount of compensation, excluding expense reimbursement paid to any Outside Director in a calendar year period shall not exceed $750,000 (or such other limit as may be set forth in Section 3(b) of the 2016 Plan or any similar provision of a successor plan). For this purpose, the “amount” of equity compensation paid in a calendar year shall be determined based on the grant date fair value thereof, as determined in accordance with ASC 718 or its successor provision, but excluding the impact of estimated forfeitures related to service-based vesting conditions.</w:t>
      </w:r>
    </w:p>
    <w:p>
      <w:pPr>
        <w:spacing w:after="0" w:line="297" w:lineRule="exact"/>
        <w:rPr>
          <w:sz w:val="20"/>
          <w:szCs w:val="20"/>
          <w:color w:val="auto"/>
        </w:rPr>
      </w:pPr>
    </w:p>
    <w:p>
      <w:pPr>
        <w:jc w:val="both"/>
        <w:ind w:right="220"/>
        <w:spacing w:after="0" w:line="237" w:lineRule="auto"/>
        <w:rPr>
          <w:sz w:val="20"/>
          <w:szCs w:val="20"/>
          <w:color w:val="auto"/>
        </w:rPr>
      </w:pPr>
      <w:r>
        <w:rPr>
          <w:rFonts w:ascii="Times New Roman" w:cs="Times New Roman" w:eastAsia="Times New Roman" w:hAnsi="Times New Roman"/>
          <w:sz w:val="21"/>
          <w:szCs w:val="21"/>
          <w:b w:val="1"/>
          <w:bCs w:val="1"/>
          <w:color w:val="auto"/>
        </w:rPr>
        <w:t>Date Policy Approved</w:t>
      </w:r>
      <w:r>
        <w:rPr>
          <w:rFonts w:ascii="Times New Roman" w:cs="Times New Roman" w:eastAsia="Times New Roman" w:hAnsi="Times New Roman"/>
          <w:sz w:val="21"/>
          <w:szCs w:val="21"/>
          <w:color w:val="auto"/>
        </w:rPr>
        <w:t>: May 7, 2016, as amended on April 12, 2017, June 14, 2018, March 13, 2019, June 1, 2020, May 7, 2021,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March 16, 2022 and September 15, 2022.</w:t>
      </w:r>
    </w:p>
    <w:p>
      <w:pPr>
        <w:sectPr>
          <w:pgSz w:w="11900" w:h="16838" w:orient="portrait"/>
          <w:cols w:equalWidth="0" w:num="1">
            <w:col w:w="11240"/>
          </w:cols>
          <w:pgMar w:left="320" w:top="566" w:right="339" w:bottom="1440" w:gutter="0" w:footer="0" w:header="0"/>
        </w:sectPr>
      </w:pPr>
    </w:p>
    <w:bookmarkStart w:id="84" w:name="page85"/>
    <w:bookmarkEnd w:id="84"/>
    <w:p>
      <w:pPr>
        <w:ind w:left="10440"/>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RULE 13a-14(a) OR 15d-14(a)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SARBANES-OXLEY ACT OF 2002</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Jeff Lawson, certify that:</w:t>
      </w:r>
    </w:p>
    <w:p>
      <w:pPr>
        <w:spacing w:after="0" w:line="176" w:lineRule="exact"/>
        <w:rPr>
          <w:sz w:val="20"/>
          <w:szCs w:val="20"/>
          <w:color w:val="auto"/>
        </w:rPr>
      </w:pPr>
    </w:p>
    <w:p>
      <w:pPr>
        <w:ind w:left="1240" w:hanging="618"/>
        <w:spacing w:after="0"/>
        <w:tabs>
          <w:tab w:leader="none" w:pos="12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Twilio Inc.;</w:t>
      </w:r>
    </w:p>
    <w:p>
      <w:pPr>
        <w:spacing w:after="0" w:line="188" w:lineRule="exact"/>
        <w:rPr>
          <w:rFonts w:ascii="Times New Roman" w:cs="Times New Roman" w:eastAsia="Times New Roman" w:hAnsi="Times New Roman"/>
          <w:sz w:val="15"/>
          <w:szCs w:val="15"/>
          <w:color w:val="auto"/>
        </w:rPr>
      </w:pPr>
    </w:p>
    <w:p>
      <w:pPr>
        <w:ind w:right="300" w:firstLine="622"/>
        <w:spacing w:after="0" w:line="289" w:lineRule="auto"/>
        <w:tabs>
          <w:tab w:leader="none" w:pos="1238"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Times New Roman" w:cs="Times New Roman" w:eastAsia="Times New Roman" w:hAnsi="Times New Roman"/>
          <w:sz w:val="15"/>
          <w:szCs w:val="15"/>
          <w:color w:val="auto"/>
        </w:rPr>
      </w:pPr>
    </w:p>
    <w:p>
      <w:pPr>
        <w:ind w:right="380" w:firstLine="622"/>
        <w:spacing w:after="0" w:line="307" w:lineRule="auto"/>
        <w:tabs>
          <w:tab w:leader="none" w:pos="1238"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Times New Roman" w:cs="Times New Roman" w:eastAsia="Times New Roman" w:hAnsi="Times New Roman"/>
          <w:sz w:val="15"/>
          <w:szCs w:val="15"/>
          <w:color w:val="auto"/>
        </w:rPr>
      </w:pPr>
    </w:p>
    <w:p>
      <w:pPr>
        <w:ind w:right="100" w:firstLine="622"/>
        <w:spacing w:after="0" w:line="307" w:lineRule="auto"/>
        <w:tabs>
          <w:tab w:leader="none" w:pos="1238"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Times New Roman" w:cs="Times New Roman" w:eastAsia="Times New Roman" w:hAnsi="Times New Roman"/>
          <w:sz w:val="15"/>
          <w:szCs w:val="15"/>
          <w:color w:val="auto"/>
        </w:rPr>
      </w:pPr>
    </w:p>
    <w:p>
      <w:pPr>
        <w:ind w:right="20" w:firstLine="1241"/>
        <w:spacing w:after="0" w:line="279" w:lineRule="auto"/>
        <w:tabs>
          <w:tab w:leader="none" w:pos="1848"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Times New Roman" w:cs="Times New Roman" w:eastAsia="Times New Roman" w:hAnsi="Times New Roman"/>
          <w:sz w:val="15"/>
          <w:szCs w:val="15"/>
          <w:color w:val="auto"/>
        </w:rPr>
      </w:pPr>
    </w:p>
    <w:p>
      <w:pPr>
        <w:ind w:firstLine="1241"/>
        <w:spacing w:after="0" w:line="279" w:lineRule="auto"/>
        <w:tabs>
          <w:tab w:leader="none" w:pos="1856"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Times New Roman" w:cs="Times New Roman" w:eastAsia="Times New Roman" w:hAnsi="Times New Roman"/>
          <w:sz w:val="15"/>
          <w:szCs w:val="15"/>
          <w:color w:val="auto"/>
        </w:rPr>
      </w:pPr>
    </w:p>
    <w:p>
      <w:pPr>
        <w:ind w:right="40" w:firstLine="1241"/>
        <w:spacing w:after="0" w:line="307" w:lineRule="auto"/>
        <w:tabs>
          <w:tab w:leader="none" w:pos="1848"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5"/>
          <w:szCs w:val="15"/>
          <w:color w:val="auto"/>
        </w:rPr>
      </w:pPr>
    </w:p>
    <w:p>
      <w:pPr>
        <w:jc w:val="both"/>
        <w:ind w:right="220" w:firstLine="1241"/>
        <w:spacing w:after="0" w:line="279" w:lineRule="auto"/>
        <w:tabs>
          <w:tab w:leader="none" w:pos="1856"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Times New Roman" w:cs="Times New Roman" w:eastAsia="Times New Roman" w:hAnsi="Times New Roman"/>
          <w:sz w:val="15"/>
          <w:szCs w:val="15"/>
          <w:color w:val="auto"/>
        </w:rPr>
      </w:pPr>
    </w:p>
    <w:p>
      <w:pPr>
        <w:ind w:right="20" w:firstLine="622"/>
        <w:spacing w:after="0" w:line="289" w:lineRule="auto"/>
        <w:tabs>
          <w:tab w:leader="none" w:pos="1238"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6" w:lineRule="exact"/>
        <w:rPr>
          <w:rFonts w:ascii="Times New Roman" w:cs="Times New Roman" w:eastAsia="Times New Roman" w:hAnsi="Times New Roman"/>
          <w:sz w:val="15"/>
          <w:szCs w:val="15"/>
          <w:color w:val="auto"/>
        </w:rPr>
      </w:pPr>
    </w:p>
    <w:p>
      <w:pPr>
        <w:ind w:right="140" w:firstLine="1241"/>
        <w:spacing w:after="0" w:line="289" w:lineRule="auto"/>
        <w:tabs>
          <w:tab w:leader="none" w:pos="1848"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Times New Roman" w:cs="Times New Roman" w:eastAsia="Times New Roman" w:hAnsi="Times New Roman"/>
          <w:sz w:val="15"/>
          <w:szCs w:val="15"/>
          <w:color w:val="auto"/>
        </w:rPr>
      </w:pPr>
    </w:p>
    <w:p>
      <w:pPr>
        <w:ind w:left="1860" w:hanging="619"/>
        <w:spacing w:after="0"/>
        <w:tabs>
          <w:tab w:leader="none" w:pos="186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w:t>
      </w:r>
    </w:p>
    <w:p>
      <w:pPr>
        <w:spacing w:after="0" w:line="27"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November 4, 2022</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5001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Jeff Lawson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Chief Executive Officer (Principal Executive Officer)</w:t>
      </w:r>
    </w:p>
    <w:p>
      <w:pPr>
        <w:sectPr>
          <w:pgSz w:w="11900" w:h="16838" w:orient="portrait"/>
          <w:cols w:equalWidth="0" w:num="1">
            <w:col w:w="11240"/>
          </w:cols>
          <w:pgMar w:left="320" w:top="1026" w:right="339" w:bottom="1440" w:gutter="0" w:footer="0" w:header="0"/>
        </w:sectPr>
      </w:pPr>
    </w:p>
    <w:bookmarkStart w:id="85" w:name="page86"/>
    <w:bookmarkEnd w:id="85"/>
    <w:p>
      <w:pPr>
        <w:ind w:left="10440"/>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2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5"/>
          <w:szCs w:val="15"/>
          <w:b w:val="1"/>
          <w:bCs w:val="1"/>
          <w:color w:val="auto"/>
        </w:rPr>
        <w:t>CERTIFICATION PURSUANT TO RULE 13a-14(a) OR 15d-14(a) OF</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5"/>
          <w:szCs w:val="15"/>
          <w:b w:val="1"/>
          <w:bCs w:val="1"/>
          <w:color w:val="auto"/>
        </w:rPr>
        <w:t>THE SECURITIES EXCHANGE ACT OF 1934,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Khozema Z. Shipchandler certify that:</w:t>
      </w:r>
    </w:p>
    <w:p>
      <w:pPr>
        <w:spacing w:after="0" w:line="188" w:lineRule="exact"/>
        <w:rPr>
          <w:sz w:val="20"/>
          <w:szCs w:val="20"/>
          <w:color w:val="auto"/>
        </w:rPr>
      </w:pPr>
    </w:p>
    <w:p>
      <w:pPr>
        <w:ind w:left="1240" w:hanging="618"/>
        <w:spacing w:after="0"/>
        <w:tabs>
          <w:tab w:leader="none" w:pos="12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Twilio Inc.;</w:t>
      </w:r>
    </w:p>
    <w:p>
      <w:pPr>
        <w:spacing w:after="0" w:line="175" w:lineRule="exact"/>
        <w:rPr>
          <w:rFonts w:ascii="Times New Roman" w:cs="Times New Roman" w:eastAsia="Times New Roman" w:hAnsi="Times New Roman"/>
          <w:sz w:val="15"/>
          <w:szCs w:val="15"/>
          <w:color w:val="auto"/>
        </w:rPr>
      </w:pPr>
    </w:p>
    <w:p>
      <w:pPr>
        <w:ind w:right="300" w:firstLine="622"/>
        <w:spacing w:after="0" w:line="307" w:lineRule="auto"/>
        <w:tabs>
          <w:tab w:leader="none" w:pos="1238"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Times New Roman" w:cs="Times New Roman" w:eastAsia="Times New Roman" w:hAnsi="Times New Roman"/>
          <w:sz w:val="15"/>
          <w:szCs w:val="15"/>
          <w:color w:val="auto"/>
        </w:rPr>
      </w:pPr>
    </w:p>
    <w:p>
      <w:pPr>
        <w:ind w:right="380" w:firstLine="622"/>
        <w:spacing w:after="0" w:line="289" w:lineRule="auto"/>
        <w:tabs>
          <w:tab w:leader="none" w:pos="1238"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Times New Roman" w:cs="Times New Roman" w:eastAsia="Times New Roman" w:hAnsi="Times New Roman"/>
          <w:sz w:val="15"/>
          <w:szCs w:val="15"/>
          <w:color w:val="auto"/>
        </w:rPr>
      </w:pPr>
    </w:p>
    <w:p>
      <w:pPr>
        <w:ind w:right="100" w:firstLine="622"/>
        <w:spacing w:after="0" w:line="289" w:lineRule="auto"/>
        <w:tabs>
          <w:tab w:leader="none" w:pos="1238"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5"/>
          <w:szCs w:val="15"/>
          <w:color w:val="auto"/>
        </w:rPr>
      </w:pPr>
    </w:p>
    <w:p>
      <w:pPr>
        <w:ind w:right="20" w:firstLine="1241"/>
        <w:spacing w:after="0" w:line="279" w:lineRule="auto"/>
        <w:tabs>
          <w:tab w:leader="none" w:pos="1848"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Times New Roman" w:cs="Times New Roman" w:eastAsia="Times New Roman" w:hAnsi="Times New Roman"/>
          <w:sz w:val="15"/>
          <w:szCs w:val="15"/>
          <w:color w:val="auto"/>
        </w:rPr>
      </w:pPr>
    </w:p>
    <w:p>
      <w:pPr>
        <w:ind w:firstLine="1241"/>
        <w:spacing w:after="0" w:line="279" w:lineRule="auto"/>
        <w:tabs>
          <w:tab w:leader="none" w:pos="1856"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Times New Roman" w:cs="Times New Roman" w:eastAsia="Times New Roman" w:hAnsi="Times New Roman"/>
          <w:sz w:val="15"/>
          <w:szCs w:val="15"/>
          <w:color w:val="auto"/>
        </w:rPr>
      </w:pPr>
    </w:p>
    <w:p>
      <w:pPr>
        <w:ind w:right="40" w:firstLine="1241"/>
        <w:spacing w:after="0" w:line="289" w:lineRule="auto"/>
        <w:tabs>
          <w:tab w:leader="none" w:pos="1848"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5"/>
          <w:szCs w:val="15"/>
          <w:color w:val="auto"/>
        </w:rPr>
      </w:pPr>
    </w:p>
    <w:p>
      <w:pPr>
        <w:jc w:val="both"/>
        <w:ind w:right="220" w:firstLine="1241"/>
        <w:spacing w:after="0" w:line="279" w:lineRule="auto"/>
        <w:tabs>
          <w:tab w:leader="none" w:pos="1856"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15"/>
          <w:szCs w:val="15"/>
          <w:color w:val="auto"/>
        </w:rPr>
      </w:pPr>
    </w:p>
    <w:p>
      <w:pPr>
        <w:ind w:right="20" w:firstLine="622"/>
        <w:spacing w:after="0" w:line="307" w:lineRule="auto"/>
        <w:tabs>
          <w:tab w:leader="none" w:pos="1238"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Times New Roman" w:cs="Times New Roman" w:eastAsia="Times New Roman" w:hAnsi="Times New Roman"/>
          <w:sz w:val="15"/>
          <w:szCs w:val="15"/>
          <w:color w:val="auto"/>
        </w:rPr>
      </w:pPr>
    </w:p>
    <w:p>
      <w:pPr>
        <w:ind w:right="140" w:firstLine="1241"/>
        <w:spacing w:after="0" w:line="307" w:lineRule="auto"/>
        <w:tabs>
          <w:tab w:leader="none" w:pos="1848"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Times New Roman" w:cs="Times New Roman" w:eastAsia="Times New Roman" w:hAnsi="Times New Roman"/>
          <w:sz w:val="15"/>
          <w:szCs w:val="15"/>
          <w:color w:val="auto"/>
        </w:rPr>
      </w:pPr>
    </w:p>
    <w:p>
      <w:pPr>
        <w:ind w:left="1860" w:hanging="619"/>
        <w:spacing w:after="0"/>
        <w:tabs>
          <w:tab w:leader="none" w:pos="186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w:t>
      </w:r>
    </w:p>
    <w:p>
      <w:pPr>
        <w:spacing w:after="0" w:line="2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November 4, 2022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391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912870"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Khozema Z. Shipchandler</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Chief Operating Officer (Principal Accounting and Financial Officer)</w:t>
      </w:r>
    </w:p>
    <w:p>
      <w:pPr>
        <w:sectPr>
          <w:pgSz w:w="11900" w:h="16838" w:orient="portrait"/>
          <w:cols w:equalWidth="0" w:num="1">
            <w:col w:w="11240"/>
          </w:cols>
          <w:pgMar w:left="320" w:top="85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24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 AND CHIEF FINANCIAL OFFICER</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1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2"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5"/>
          <w:szCs w:val="15"/>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Jeff Lawson, Chief Executive Officer of Twilio Inc. (the “Company”), and Khozema Z. Shipchandler, Chief Operating Officer of the Company, each hereby certifies that, to the best of his knowledge:</w:t>
      </w:r>
    </w:p>
    <w:p>
      <w:pPr>
        <w:spacing w:after="0" w:line="140" w:lineRule="exact"/>
        <w:rPr>
          <w:sz w:val="20"/>
          <w:szCs w:val="20"/>
          <w:color w:val="auto"/>
        </w:rPr>
      </w:pPr>
    </w:p>
    <w:p>
      <w:pPr>
        <w:ind w:right="120" w:firstLine="622"/>
        <w:spacing w:after="0" w:line="307" w:lineRule="auto"/>
        <w:tabs>
          <w:tab w:leader="none" w:pos="1238"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Quarterly Report on Form 10-Q for the quarter ended September 30, 2022, to which this Certification is attached as Exhibit 32.1 (the “Periodic Report”), fully complies with the requirements of Section 13(a) or Section 15(d) of the Exchange Act; and</w:t>
      </w:r>
    </w:p>
    <w:p>
      <w:pPr>
        <w:spacing w:after="0" w:line="100" w:lineRule="exact"/>
        <w:rPr>
          <w:rFonts w:ascii="Times New Roman" w:cs="Times New Roman" w:eastAsia="Times New Roman" w:hAnsi="Times New Roman"/>
          <w:sz w:val="15"/>
          <w:szCs w:val="15"/>
          <w:color w:val="auto"/>
        </w:rPr>
      </w:pPr>
    </w:p>
    <w:p>
      <w:pPr>
        <w:ind w:left="1240" w:hanging="618"/>
        <w:spacing w:after="0"/>
        <w:tabs>
          <w:tab w:leader="none" w:pos="12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November 4, 2022</w:t>
      </w:r>
    </w:p>
    <w:p>
      <w:pPr>
        <w:spacing w:after="0" w:line="17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20955</wp:posOffset>
            </wp:positionV>
            <wp:extent cx="391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12870" cy="8255"/>
                    </a:xfrm>
                    <a:prstGeom prst="rect">
                      <a:avLst/>
                    </a:prstGeom>
                    <a:noFill/>
                  </pic:spPr>
                </pic:pic>
              </a:graphicData>
            </a:graphic>
          </wp:anchor>
        </w:drawing>
      </w:r>
    </w:p>
    <w:p>
      <w:pPr>
        <w:spacing w:after="0" w:line="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Jeff Lawson</w:t>
      </w:r>
    </w:p>
    <w:p>
      <w:pPr>
        <w:spacing w:after="0" w:line="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i w:val="1"/>
          <w:iCs w:val="1"/>
          <w:color w:val="auto"/>
        </w:rPr>
        <w:t>Chief Executive Officer (Principal Executive Officer)</w:t>
      </w:r>
    </w:p>
    <w:p>
      <w:pPr>
        <w:spacing w:after="0" w:line="28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20955</wp:posOffset>
            </wp:positionV>
            <wp:extent cx="391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12870" cy="8255"/>
                    </a:xfrm>
                    <a:prstGeom prst="rect">
                      <a:avLst/>
                    </a:prstGeom>
                    <a:noFill/>
                  </pic:spPr>
                </pic:pic>
              </a:graphicData>
            </a:graphic>
          </wp:anchor>
        </w:drawing>
      </w:r>
    </w:p>
    <w:p>
      <w:pPr>
        <w:spacing w:after="0" w:line="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Khozema Z. Shipchandler</w:t>
      </w:r>
    </w:p>
    <w:p>
      <w:pPr>
        <w:spacing w:after="0" w:line="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i w:val="1"/>
          <w:iCs w:val="1"/>
          <w:color w:val="auto"/>
        </w:rPr>
        <w:t>Chief Operating Officer (Principal Accounting and Financial Officer)</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2"/>
    </w:lvl>
    <w:lvl w:ilvl="1">
      <w:lvlJc w:val="left"/>
      <w:lvlText w:val="(%2)"/>
      <w:numFmt w:val="lowerLetter"/>
      <w:start w:val="1"/>
    </w:lvl>
  </w:abstractNum>
  <w:abstractNum w:abstractNumId="7">
    <w:nsid w:val="1E7FF521"/>
    <w:multiLevelType w:val="hybridMultilevel"/>
    <w:lvl w:ilvl="0">
      <w:lvlJc w:val="left"/>
      <w:lvlText w:val="(%1)"/>
      <w:numFmt w:val="lowerLetter"/>
      <w:start w:val="2"/>
    </w:lvl>
  </w:abstractNum>
  <w:abstractNum w:abstractNumId="8">
    <w:nsid w:val="7C3DBD3D"/>
    <w:multiLevelType w:val="hybridMultilevel"/>
    <w:lvl w:ilvl="0">
      <w:lvlJc w:val="left"/>
      <w:lvlText w:val="(%1)"/>
      <w:numFmt w:val="lowerLetter"/>
      <w:start w:val="3"/>
    </w:lvl>
  </w:abstractNum>
  <w:abstractNum w:abstractNumId="9">
    <w:nsid w:val="737B8DDC"/>
    <w:multiLevelType w:val="hybridMultilevel"/>
    <w:lvl w:ilvl="0">
      <w:lvlJc w:val="left"/>
      <w:lvlText w:val="(%1)"/>
      <w:numFmt w:val="lowerLetter"/>
      <w:start w:val="4"/>
    </w:lvl>
  </w:abstractNum>
  <w:abstractNum w:abstractNumId="10">
    <w:nsid w:val="6CEAF087"/>
    <w:multiLevelType w:val="hybridMultilevel"/>
    <w:lvl w:ilvl="0">
      <w:lvlJc w:val="left"/>
      <w:lvlText w:val="(%1)"/>
      <w:numFmt w:val="lowerLetter"/>
      <w:start w:val="5"/>
    </w:lvl>
  </w:abstractNum>
  <w:abstractNum w:abstractNumId="11">
    <w:nsid w:val="22221A70"/>
    <w:multiLevelType w:val="hybridMultilevel"/>
    <w:lvl w:ilvl="0">
      <w:lvlJc w:val="left"/>
      <w:lvlText w:val="(%1)"/>
      <w:numFmt w:val="lowerLetter"/>
      <w:start w:val="6"/>
    </w:lvl>
  </w:abstractNum>
  <w:abstractNum w:abstractNumId="12">
    <w:nsid w:val="4516DDE9"/>
    <w:multiLevelType w:val="hybridMultilevel"/>
    <w:lvl w:ilvl="0">
      <w:lvlJc w:val="left"/>
      <w:lvlText w:val="(%1)"/>
      <w:numFmt w:val="lowerLetter"/>
      <w:start w:val="7"/>
    </w:lvl>
  </w:abstractNum>
  <w:abstractNum w:abstractNumId="13">
    <w:nsid w:val="3006C83E"/>
    <w:multiLevelType w:val="hybridMultilevel"/>
    <w:lvl w:ilvl="0">
      <w:lvlJc w:val="left"/>
      <w:lvlText w:val="(%1)"/>
      <w:numFmt w:val="lowerLetter"/>
      <w:start w:val="8"/>
    </w:lvl>
  </w:abstractNum>
  <w:abstractNum w:abstractNumId="14">
    <w:nsid w:val="614FD4A1"/>
    <w:multiLevelType w:val="hybridMultilevel"/>
    <w:lvl w:ilvl="0">
      <w:lvlJc w:val="left"/>
      <w:lvlText w:val="(%1)"/>
      <w:numFmt w:val="lowerRoman"/>
      <w:start w:val="1"/>
    </w:lvl>
  </w:abstractNum>
  <w:abstractNum w:abstractNumId="15">
    <w:nsid w:val="419AC241"/>
    <w:multiLevelType w:val="hybridMultilevel"/>
    <w:lvl w:ilvl="0">
      <w:lvlJc w:val="left"/>
      <w:lvlText w:val="(%1)"/>
      <w:numFmt w:val="lowerLetter"/>
      <w:start w:val="10"/>
    </w:lvl>
  </w:abstractNum>
  <w:abstractNum w:abstractNumId="16">
    <w:nsid w:val="5577F8E1"/>
    <w:multiLevelType w:val="hybridMultilevel"/>
    <w:lvl w:ilvl="0">
      <w:lvlJc w:val="left"/>
      <w:lvlText w:val="%1."/>
      <w:numFmt w:val="decimal"/>
      <w:start w:val="3"/>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lowerLetter"/>
      <w:start w:val="2"/>
    </w:lvl>
  </w:abstractNum>
  <w:abstractNum w:abstractNumId="19">
    <w:nsid w:val="3804823E"/>
    <w:multiLevelType w:val="hybridMultilevel"/>
    <w:lvl w:ilvl="0">
      <w:lvlJc w:val="left"/>
      <w:lvlText w:val="(%1)"/>
      <w:numFmt w:val="lowerLetter"/>
      <w:start w:val="3"/>
    </w:lvl>
  </w:abstractNum>
  <w:abstractNum w:abstractNumId="20">
    <w:nsid w:val="77465F01"/>
    <w:multiLevelType w:val="hybridMultilevel"/>
    <w:lvl w:ilvl="0">
      <w:lvlJc w:val="left"/>
      <w:lvlText w:val="(%1)"/>
      <w:numFmt w:val="lowerLetter"/>
      <w:start w:val="4"/>
    </w:lvl>
  </w:abstractNum>
  <w:abstractNum w:abstractNumId="21">
    <w:nsid w:val="7724C67E"/>
    <w:multiLevelType w:val="hybridMultilevel"/>
    <w:lvl w:ilvl="0">
      <w:lvlJc w:val="left"/>
      <w:lvlText w:val="%1."/>
      <w:numFmt w:val="decimal"/>
      <w:start w:val="14"/>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04"/>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upperLetter"/>
      <w:start w:val="9"/>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lowerLetter"/>
      <w:start w:val="2"/>
    </w:lvl>
  </w:abstractNum>
  <w:abstractNum w:abstractNumId="44">
    <w:nsid w:val="684A481A"/>
    <w:multiLevelType w:val="hybridMultilevel"/>
    <w:lvl w:ilvl="0">
      <w:lvlJc w:val="left"/>
      <w:lvlText w:val="(%1)"/>
      <w:numFmt w:val="lowerLetter"/>
      <w:start w:val="3"/>
    </w:lvl>
  </w:abstractNum>
  <w:abstractNum w:abstractNumId="45">
    <w:nsid w:val="579478FE"/>
    <w:multiLevelType w:val="hybridMultilevel"/>
    <w:lvl w:ilvl="0">
      <w:lvlJc w:val="left"/>
      <w:lvlText w:val="(%1)"/>
      <w:numFmt w:val="lowerLetter"/>
      <w:start w:val="4"/>
    </w:lvl>
  </w:abstractNum>
  <w:abstractNum w:abstractNumId="46">
    <w:nsid w:val="749ABB43"/>
    <w:multiLevelType w:val="hybridMultilevel"/>
    <w:lvl w:ilvl="0">
      <w:lvlJc w:val="left"/>
      <w:lvlText w:val="(%1)"/>
      <w:numFmt w:val="lowerLetter"/>
      <w:start w:val="5"/>
    </w:lvl>
  </w:abstractNum>
  <w:abstractNum w:abstractNumId="47">
    <w:nsid w:val="3DC240FB"/>
    <w:multiLevelType w:val="hybridMultilevel"/>
    <w:lvl w:ilvl="0">
      <w:lvlJc w:val="left"/>
      <w:lvlText w:val="%1."/>
      <w:numFmt w:val="upperLetter"/>
      <w:start w:val="35"/>
    </w:lvl>
  </w:abstractNum>
  <w:abstractNum w:abstractNumId="48">
    <w:nsid w:val="1BA026FA"/>
    <w:multiLevelType w:val="hybridMultilevel"/>
    <w:lvl w:ilvl="0">
      <w:lvlJc w:val="left"/>
      <w:lvlText w:val="%1."/>
      <w:numFmt w:val="upperLetter"/>
      <w:start w:val="61"/>
    </w:lvl>
  </w:abstractNum>
  <w:abstractNum w:abstractNumId="49">
    <w:nsid w:val="79A1DEAA"/>
    <w:multiLevelType w:val="hybridMultilevel"/>
    <w:lvl w:ilvl="0">
      <w:lvlJc w:val="left"/>
      <w:lvlText w:val="%1."/>
      <w:numFmt w:val="upperLetter"/>
      <w:start w:val="22"/>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2022-11-04T16:34:52Z</dcterms:created>
  <dcterms:modified xsi:type="dcterms:W3CDTF">2022-11-04T16:34:52Z</dcterms:modified>
</cp:coreProperties>
</file>