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960" w:hanging="64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229" w:lineRule="exact"/>
        <w:rPr>
          <w:sz w:val="24"/>
          <w:szCs w:val="24"/>
          <w:color w:val="auto"/>
        </w:rPr>
      </w:pPr>
    </w:p>
    <w:p>
      <w:pPr>
        <w:ind w:left="960" w:hanging="6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ind w:left="35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001-37806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Twilio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Delaware</w:t>
            </w:r>
          </w:p>
        </w:tc>
        <w:tc>
          <w:tcPr>
            <w:tcW w:w="160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26-2574840</w:t>
            </w:r>
          </w:p>
        </w:tc>
      </w:tr>
      <w:tr>
        <w:trPr>
          <w:trHeight w:val="149"/>
        </w:trPr>
        <w:tc>
          <w:tcPr>
            <w:tcW w:w="1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tcPr>
          <w:p>
            <w:pPr>
              <w:jc w:val="center"/>
              <w:ind w:left="27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375 Beale Street, Suite 300</w:t>
      </w:r>
    </w:p>
    <w:p>
      <w:pPr>
        <w:jc w:val="center"/>
        <w:ind w:right="-39"/>
        <w:spacing w:after="0" w:line="223" w:lineRule="auto"/>
        <w:rPr>
          <w:sz w:val="20"/>
          <w:szCs w:val="20"/>
          <w:color w:val="auto"/>
        </w:rPr>
      </w:pPr>
      <w:r>
        <w:rPr>
          <w:rFonts w:ascii="Arial" w:cs="Arial" w:eastAsia="Arial" w:hAnsi="Arial"/>
          <w:sz w:val="14"/>
          <w:szCs w:val="14"/>
          <w:b w:val="1"/>
          <w:bCs w:val="1"/>
          <w:color w:val="auto"/>
        </w:rPr>
        <w:t>San Francisco, California 94105</w:t>
      </w:r>
    </w:p>
    <w:p>
      <w:pPr>
        <w:jc w:val="center"/>
        <w:ind w:right="-39"/>
        <w:spacing w:after="0"/>
        <w:rPr>
          <w:sz w:val="20"/>
          <w:szCs w:val="20"/>
          <w:color w:val="auto"/>
        </w:rPr>
      </w:pPr>
      <w:r>
        <w:rPr>
          <w:rFonts w:ascii="Arial" w:cs="Arial" w:eastAsia="Arial" w:hAnsi="Arial"/>
          <w:sz w:val="14"/>
          <w:szCs w:val="14"/>
          <w:color w:val="auto"/>
        </w:rPr>
        <w:t>(Address of principal executive offices) (Zip Code)</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(415) 390-2337</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340" w:type="dxa"/>
        <w:tblCellMar>
          <w:top w:w="0" w:type="dxa"/>
          <w:left w:w="0" w:type="dxa"/>
          <w:bottom w:w="0" w:type="dxa"/>
          <w:right w:w="0" w:type="dxa"/>
        </w:tblCellMar>
      </w:tblPr>
      <w:tr>
        <w:trPr>
          <w:trHeight w:val="172"/>
        </w:trPr>
        <w:tc>
          <w:tcPr>
            <w:tcW w:w="48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52"/>
        </w:trPr>
        <w:tc>
          <w:tcPr>
            <w:tcW w:w="2060" w:type="dxa"/>
            <w:vAlign w:val="bottom"/>
          </w:tcPr>
          <w:p>
            <w:pPr>
              <w:spacing w:after="0"/>
              <w:rPr>
                <w:sz w:val="24"/>
                <w:szCs w:val="24"/>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2"/>
              </w:rPr>
              <w:t>Title of each class</w:t>
            </w:r>
          </w:p>
        </w:tc>
        <w:tc>
          <w:tcPr>
            <w:tcW w:w="1080" w:type="dxa"/>
            <w:vAlign w:val="bottom"/>
          </w:tcPr>
          <w:p>
            <w:pPr>
              <w:spacing w:after="0"/>
              <w:rPr>
                <w:sz w:val="24"/>
                <w:szCs w:val="24"/>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31"/>
        </w:trPr>
        <w:tc>
          <w:tcPr>
            <w:tcW w:w="2060" w:type="dxa"/>
            <w:vAlign w:val="bottom"/>
          </w:tcPr>
          <w:p>
            <w:pPr>
              <w:spacing w:after="0"/>
              <w:rPr>
                <w:sz w:val="11"/>
                <w:szCs w:val="11"/>
                <w:color w:val="auto"/>
              </w:rPr>
            </w:pPr>
          </w:p>
        </w:tc>
        <w:tc>
          <w:tcPr>
            <w:tcW w:w="2780" w:type="dxa"/>
            <w:vAlign w:val="bottom"/>
            <w:gridSpan w:val="2"/>
          </w:tcPr>
          <w:p>
            <w:pPr>
              <w:jc w:val="center"/>
              <w:ind w:right="20"/>
              <w:spacing w:after="0" w:line="131" w:lineRule="exact"/>
              <w:rPr>
                <w:sz w:val="20"/>
                <w:szCs w:val="20"/>
                <w:color w:val="auto"/>
              </w:rPr>
            </w:pPr>
            <w:r>
              <w:rPr>
                <w:rFonts w:ascii="Arial" w:cs="Arial" w:eastAsia="Arial" w:hAnsi="Arial"/>
                <w:sz w:val="14"/>
                <w:szCs w:val="14"/>
                <w:color w:val="auto"/>
                <w:w w:val="87"/>
              </w:rPr>
              <w:t>Class A Common Stock, par value $0.001 per</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172"/>
        </w:trPr>
        <w:tc>
          <w:tcPr>
            <w:tcW w:w="2060" w:type="dxa"/>
            <w:vAlign w:val="bottom"/>
          </w:tcPr>
          <w:p>
            <w:pPr>
              <w:spacing w:after="0"/>
              <w:rPr>
                <w:sz w:val="14"/>
                <w:szCs w:val="14"/>
                <w:color w:val="auto"/>
              </w:rPr>
            </w:pPr>
          </w:p>
        </w:tc>
        <w:tc>
          <w:tcPr>
            <w:tcW w:w="2780" w:type="dxa"/>
            <w:vAlign w:val="bottom"/>
            <w:gridSpan w:val="2"/>
          </w:tcPr>
          <w:p>
            <w:pPr>
              <w:jc w:val="center"/>
              <w:ind w:right="20"/>
              <w:spacing w:after="0"/>
              <w:rPr>
                <w:sz w:val="20"/>
                <w:szCs w:val="20"/>
                <w:color w:val="auto"/>
              </w:rPr>
            </w:pPr>
            <w:r>
              <w:rPr>
                <w:rFonts w:ascii="Arial" w:cs="Arial" w:eastAsia="Arial" w:hAnsi="Arial"/>
                <w:sz w:val="14"/>
                <w:szCs w:val="14"/>
                <w:color w:val="auto"/>
                <w:w w:val="79"/>
              </w:rPr>
              <w:t>share</w:t>
            </w:r>
          </w:p>
        </w:tc>
        <w:tc>
          <w:tcPr>
            <w:tcW w:w="1080" w:type="dxa"/>
            <w:vAlign w:val="bottom"/>
          </w:tcPr>
          <w:p>
            <w:pPr>
              <w:spacing w:after="0"/>
              <w:rPr>
                <w:sz w:val="14"/>
                <w:szCs w:val="14"/>
                <w:color w:val="auto"/>
              </w:rPr>
            </w:pPr>
          </w:p>
        </w:tc>
        <w:tc>
          <w:tcPr>
            <w:tcW w:w="2780" w:type="dxa"/>
            <w:vAlign w:val="bottom"/>
            <w:gridSpan w:val="2"/>
          </w:tcPr>
          <w:p>
            <w:pPr>
              <w:jc w:val="center"/>
              <w:spacing w:after="0"/>
              <w:rPr>
                <w:sz w:val="20"/>
                <w:szCs w:val="20"/>
                <w:color w:val="auto"/>
              </w:rPr>
            </w:pPr>
            <w:r>
              <w:rPr>
                <w:rFonts w:ascii="Arial" w:cs="Arial" w:eastAsia="Arial" w:hAnsi="Arial"/>
                <w:sz w:val="14"/>
                <w:szCs w:val="14"/>
                <w:color w:val="auto"/>
                <w:w w:val="87"/>
              </w:rPr>
              <w:t>The New York Stock Exchange</w:t>
            </w:r>
          </w:p>
        </w:tc>
      </w:tr>
      <w:tr>
        <w:trPr>
          <w:trHeight w:val="365"/>
        </w:trPr>
        <w:tc>
          <w:tcPr>
            <w:tcW w:w="484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80" w:type="dxa"/>
            <w:vAlign w:val="bottom"/>
          </w:tcPr>
          <w:p>
            <w:pPr>
              <w:spacing w:after="0"/>
              <w:rPr>
                <w:sz w:val="17"/>
                <w:szCs w:val="17"/>
                <w:color w:val="auto"/>
              </w:rPr>
            </w:pPr>
          </w:p>
        </w:tc>
      </w:tr>
    </w:tbl>
    <w:p>
      <w:pPr>
        <w:spacing w:after="0" w:line="200" w:lineRule="exact"/>
        <w:rPr>
          <w:sz w:val="24"/>
          <w:szCs w:val="24"/>
          <w:color w:val="auto"/>
        </w:rPr>
      </w:pPr>
    </w:p>
    <w:p>
      <w:pPr>
        <w:spacing w:after="0" w:line="237" w:lineRule="exact"/>
        <w:rPr>
          <w:sz w:val="24"/>
          <w:szCs w:val="24"/>
          <w:color w:val="auto"/>
        </w:rPr>
      </w:pPr>
    </w:p>
    <w:p>
      <w:pPr>
        <w:ind w:left="340"/>
        <w:spacing w:after="0" w:line="138" w:lineRule="exact"/>
        <w:tabs>
          <w:tab w:leader="none" w:pos="718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sz w:val="24"/>
          <w:szCs w:val="24"/>
          <w:color w:val="auto"/>
        </w:rPr>
      </w:pPr>
    </w:p>
    <w:p>
      <w:pPr>
        <w:ind w:left="340"/>
        <w:spacing w:after="0" w:line="138" w:lineRule="exact"/>
        <w:tabs>
          <w:tab w:leader="none" w:pos="68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38"/>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40" w:firstLine="338"/>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sz w:val="24"/>
          <w:szCs w:val="24"/>
          <w:color w:val="auto"/>
        </w:rPr>
      </w:pPr>
    </w:p>
    <w:p>
      <w:pPr>
        <w:ind w:right="30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85" w:right="279" w:bottom="0" w:gutter="0" w:footer="0" w:header="0"/>
        </w:sectPr>
      </w:pPr>
    </w:p>
    <w:bookmarkStart w:id="1" w:name="page2"/>
    <w:bookmarkEnd w:id="1"/>
    <w:p>
      <w:pPr>
        <w:ind w:left="4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Non-accelerated filer o</w:t>
      </w:r>
    </w:p>
    <w:p>
      <w:pPr>
        <w:jc w:val="center"/>
        <w:ind w:right="1080"/>
        <w:spacing w:after="0" w:line="221" w:lineRule="auto"/>
        <w:rPr>
          <w:sz w:val="20"/>
          <w:szCs w:val="20"/>
          <w:color w:val="auto"/>
        </w:rPr>
      </w:pPr>
      <w:r>
        <w:rPr>
          <w:rFonts w:ascii="Arial" w:cs="Arial" w:eastAsia="Arial" w:hAnsi="Arial"/>
          <w:sz w:val="14"/>
          <w:szCs w:val="14"/>
          <w:color w:val="auto"/>
        </w:rPr>
        <w:t>(Do not check if a</w:t>
      </w:r>
    </w:p>
    <w:p>
      <w:pPr>
        <w:jc w:val="center"/>
        <w:ind w:right="10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0"/>
          <w:szCs w:val="20"/>
          <w:color w:val="auto"/>
        </w:rPr>
      </w:pPr>
    </w:p>
    <w:p>
      <w:pPr>
        <w:sectPr>
          <w:pgSz w:w="11900" w:h="16838" w:orient="portrait"/>
          <w:cols w:equalWidth="0" w:num="4">
            <w:col w:w="2680" w:space="720"/>
            <w:col w:w="1940" w:space="720"/>
            <w:col w:w="2580" w:space="720"/>
            <w:col w:w="2060"/>
          </w:cols>
          <w:pgMar w:left="240" w:top="104" w:right="239" w:bottom="1440" w:gutter="0" w:footer="0" w:header="0"/>
        </w:sectPr>
      </w:pPr>
    </w:p>
    <w:p>
      <w:pPr>
        <w:spacing w:after="0" w:line="15" w:lineRule="exact"/>
        <w:rPr>
          <w:sz w:val="20"/>
          <w:szCs w:val="20"/>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0"/>
          <w:szCs w:val="20"/>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aggregate market value of stock held by non-affiliates as of June 30, 2017, was $1,678 million based upon $29.11 per share, the closing price for such date on the New York Stock Exchange.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On January 31, 2018, the registrant had 70,176,391 shares of Class A common stock and 24,054,845 shares of Class B common stock outstanding.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0"/>
          <w:szCs w:val="20"/>
          <w:color w:val="auto"/>
        </w:rPr>
      </w:pPr>
    </w:p>
    <w:p>
      <w:pPr>
        <w:ind w:right="60" w:firstLine="338"/>
        <w:spacing w:after="0" w:line="318" w:lineRule="auto"/>
        <w:rPr>
          <w:sz w:val="20"/>
          <w:szCs w:val="20"/>
          <w:color w:val="auto"/>
        </w:rPr>
      </w:pPr>
      <w:r>
        <w:rPr>
          <w:rFonts w:ascii="Arial" w:cs="Arial" w:eastAsia="Arial" w:hAnsi="Arial"/>
          <w:sz w:val="12"/>
          <w:szCs w:val="12"/>
          <w:color w:val="auto"/>
        </w:rPr>
        <w:t>Portions of the registrant's definitive Proxy Statement for the 2018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w w:val="91"/>
              </w:rPr>
              <w:t>Twilio Inc.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17"/>
          </w:tcPr>
          <w:p>
            <w:pPr>
              <w:jc w:val="center"/>
              <w:ind w:right="2260"/>
              <w:spacing w:after="0"/>
              <w:rPr>
                <w:sz w:val="20"/>
                <w:szCs w:val="20"/>
                <w:color w:val="auto"/>
              </w:rPr>
            </w:pPr>
            <w:r>
              <w:rPr>
                <w:rFonts w:ascii="Arial" w:cs="Arial" w:eastAsia="Arial" w:hAnsi="Arial"/>
                <w:sz w:val="18"/>
                <w:szCs w:val="18"/>
                <w:b w:val="1"/>
                <w:bCs w:val="1"/>
                <w:color w:val="auto"/>
                <w:w w:val="91"/>
              </w:rPr>
              <w:t>Annual Report on Form 10-K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17"/>
          </w:tcPr>
          <w:p>
            <w:pPr>
              <w:jc w:val="center"/>
              <w:ind w:right="2280"/>
              <w:spacing w:after="0"/>
              <w:rPr>
                <w:sz w:val="20"/>
                <w:szCs w:val="20"/>
                <w:color w:val="auto"/>
              </w:rPr>
            </w:pPr>
            <w:r>
              <w:rPr>
                <w:rFonts w:ascii="Arial" w:cs="Arial" w:eastAsia="Arial" w:hAnsi="Arial"/>
                <w:sz w:val="18"/>
                <w:szCs w:val="18"/>
                <w:b w:val="1"/>
                <w:bCs w:val="1"/>
                <w:color w:val="auto"/>
                <w:w w:val="88"/>
              </w:rPr>
              <w:t>For the Fiscal Year Ended December 31, 2017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17"/>
          </w:tcPr>
          <w:p>
            <w:pPr>
              <w:ind w:left="76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vMerge w:val="restart"/>
          </w:tcPr>
          <w:p>
            <w:pPr>
              <w:jc w:val="cente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3780" w:type="dxa"/>
            <w:vAlign w:val="bottom"/>
            <w:gridSpan w:val="9"/>
            <w:vMerge w:val="restart"/>
          </w:tcPr>
          <w:p>
            <w:pPr>
              <w:spacing w:after="0"/>
              <w:rPr>
                <w:sz w:val="24"/>
                <w:szCs w:val="2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Item 1.</w:t>
              </w:r>
            </w:hyperlink>
          </w:p>
        </w:tc>
        <w:tc>
          <w:tcPr>
            <w:tcW w:w="220" w:type="dxa"/>
            <w:vAlign w:val="bottom"/>
            <w:gridSpan w:val="4"/>
            <w:vMerge w:val="restart"/>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0000EE"/>
            </w:tcBorders>
            <w:vMerge w:val="continue"/>
          </w:tcPr>
          <w:p>
            <w:pPr>
              <w:spacing w:after="0"/>
              <w:rPr>
                <w:sz w:val="14"/>
                <w:szCs w:val="14"/>
                <w:color w:val="auto"/>
              </w:rPr>
            </w:pPr>
          </w:p>
        </w:tc>
        <w:tc>
          <w:tcPr>
            <w:tcW w:w="3780" w:type="dxa"/>
            <w:vAlign w:val="bottom"/>
            <w:gridSpan w:val="9"/>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6800" w:type="dxa"/>
            <w:vAlign w:val="bottom"/>
            <w:gridSpan w:val="2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1B.</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Unresolved Staff Comments</w:t>
              </w:r>
            </w:hyperlink>
          </w:p>
        </w:tc>
        <w:tc>
          <w:tcPr>
            <w:tcW w:w="5700" w:type="dxa"/>
            <w:vAlign w:val="bottom"/>
            <w:gridSpan w:val="1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2.</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Properties</w:t>
              </w:r>
            </w:hyperlink>
          </w:p>
        </w:tc>
        <w:tc>
          <w:tcPr>
            <w:tcW w:w="6980" w:type="dxa"/>
            <w:vAlign w:val="bottom"/>
            <w:gridSpan w:val="2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3.</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53">
              <w:r>
                <w:rPr>
                  <w:rFonts w:ascii="Arial" w:cs="Arial" w:eastAsia="Arial" w:hAnsi="Arial"/>
                  <w:sz w:val="18"/>
                  <w:szCs w:val="18"/>
                  <w:b w:val="1"/>
                  <w:bCs w:val="1"/>
                  <w:color w:val="0000EE"/>
                  <w:w w:val="91"/>
                </w:rPr>
                <w:t>Item 4.</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Borders>
              <w:top w:val="single" w:sz="8" w:color="0000EE"/>
              <w:bottom w:val="single" w:sz="8" w:color="0000EE"/>
            </w:tcBorders>
            <w:vMerge w:val="restart"/>
          </w:tcPr>
          <w:p>
            <w:pPr>
              <w:spacing w:after="0"/>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5.</w:t>
              </w:r>
            </w:hyperlink>
          </w:p>
        </w:tc>
        <w:tc>
          <w:tcPr>
            <w:tcW w:w="220" w:type="dxa"/>
            <w:vAlign w:val="bottom"/>
            <w:gridSpan w:val="4"/>
            <w:vMerge w:val="restart"/>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w:t>
              </w:r>
            </w:hyperlink>
          </w:p>
        </w:tc>
        <w:tc>
          <w:tcPr>
            <w:tcW w:w="37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vMerge w:val="continue"/>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Market for Registrant's Common Equity, Related Stockholder Matters and Issuer Purchases of Equity</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Item 6.</w:t>
              </w:r>
            </w:hyperlink>
          </w:p>
        </w:tc>
        <w:tc>
          <w:tcPr>
            <w:tcW w:w="220" w:type="dxa"/>
            <w:vAlign w:val="bottom"/>
            <w:gridSpan w:val="4"/>
            <w:vMerge w:val="restart"/>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Securities</w:t>
              </w:r>
            </w:hyperlink>
          </w:p>
        </w:tc>
        <w:tc>
          <w:tcPr>
            <w:tcW w:w="6820" w:type="dxa"/>
            <w:vAlign w:val="bottom"/>
            <w:gridSpan w:val="2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Selected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61">
              <w:r>
                <w:rPr>
                  <w:rFonts w:ascii="Arial" w:cs="Arial" w:eastAsia="Arial" w:hAnsi="Arial"/>
                  <w:sz w:val="18"/>
                  <w:szCs w:val="18"/>
                  <w:b w:val="1"/>
                  <w:bCs w:val="1"/>
                  <w:color w:val="0000EE"/>
                  <w:w w:val="91"/>
                </w:rPr>
                <w:t>Item 7.</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83">
              <w:r>
                <w:rPr>
                  <w:rFonts w:ascii="Arial" w:cs="Arial" w:eastAsia="Arial" w:hAnsi="Arial"/>
                  <w:sz w:val="18"/>
                  <w:szCs w:val="18"/>
                  <w:b w:val="1"/>
                  <w:bCs w:val="1"/>
                  <w:color w:val="0000EE"/>
                  <w:w w:val="94"/>
                </w:rPr>
                <w:t>Item 7A.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Quantitative and Qualitative Disclosures About Market Risk</w:t>
              </w:r>
            </w:hyperlink>
          </w:p>
        </w:tc>
        <w:tc>
          <w:tcPr>
            <w:tcW w:w="344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85">
              <w:r>
                <w:rPr>
                  <w:rFonts w:ascii="Arial" w:cs="Arial" w:eastAsia="Arial" w:hAnsi="Arial"/>
                  <w:sz w:val="18"/>
                  <w:szCs w:val="18"/>
                  <w:b w:val="1"/>
                  <w:bCs w:val="1"/>
                  <w:color w:val="0000EE"/>
                  <w:w w:val="91"/>
                </w:rPr>
                <w:t>Item 8.</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Financial Statements and Supplementary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136">
              <w:r>
                <w:rPr>
                  <w:rFonts w:ascii="Arial" w:cs="Arial" w:eastAsia="Arial" w:hAnsi="Arial"/>
                  <w:sz w:val="18"/>
                  <w:szCs w:val="18"/>
                  <w:b w:val="1"/>
                  <w:bCs w:val="1"/>
                  <w:color w:val="0000EE"/>
                  <w:w w:val="91"/>
                </w:rPr>
                <w:t>Item 9.</w:t>
              </w:r>
            </w:hyperlink>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gridSpan w:val="25"/>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Changes in and Disagreements with Accountants on Accounting and Financial Disclosure</w:t>
              </w:r>
            </w:hyperlink>
          </w:p>
        </w:tc>
        <w:tc>
          <w:tcPr>
            <w:tcW w:w="138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gridSpan w:val="4"/>
          </w:tcPr>
          <w:p>
            <w:pPr>
              <w:spacing w:after="0" w:line="196" w:lineRule="exact"/>
              <w:rPr>
                <w:rFonts w:ascii="Arial" w:cs="Arial" w:eastAsia="Arial" w:hAnsi="Arial"/>
                <w:sz w:val="18"/>
                <w:szCs w:val="18"/>
                <w:b w:val="1"/>
                <w:bCs w:val="1"/>
                <w:color w:val="0000EE"/>
                <w:w w:val="94"/>
              </w:rPr>
            </w:pPr>
            <w:hyperlink w:anchor="page136">
              <w:r>
                <w:rPr>
                  <w:rFonts w:ascii="Arial" w:cs="Arial" w:eastAsia="Arial" w:hAnsi="Arial"/>
                  <w:sz w:val="18"/>
                  <w:szCs w:val="18"/>
                  <w:b w:val="1"/>
                  <w:bCs w:val="1"/>
                  <w:color w:val="0000EE"/>
                  <w:w w:val="94"/>
                </w:rPr>
                <w:t>Item 9A.</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gridSpan w:val="2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3"/>
          </w:tcPr>
          <w:p>
            <w:pPr>
              <w:spacing w:after="0" w:line="196" w:lineRule="exact"/>
              <w:rPr>
                <w:rFonts w:ascii="Arial" w:cs="Arial" w:eastAsia="Arial" w:hAnsi="Arial"/>
                <w:sz w:val="18"/>
                <w:szCs w:val="18"/>
                <w:b w:val="1"/>
                <w:bCs w:val="1"/>
                <w:color w:val="0000EE"/>
                <w:w w:val="91"/>
              </w:rPr>
            </w:pPr>
            <w:hyperlink w:anchor="page137">
              <w:r>
                <w:rPr>
                  <w:rFonts w:ascii="Arial" w:cs="Arial" w:eastAsia="Arial" w:hAnsi="Arial"/>
                  <w:sz w:val="18"/>
                  <w:szCs w:val="18"/>
                  <w:b w:val="1"/>
                  <w:bCs w:val="1"/>
                  <w:color w:val="0000EE"/>
                  <w:w w:val="91"/>
                </w:rPr>
                <w:t>Item 9B.</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Other Information</w:t>
              </w:r>
            </w:hyperlink>
          </w:p>
        </w:tc>
        <w:tc>
          <w:tcPr>
            <w:tcW w:w="5980" w:type="dxa"/>
            <w:vAlign w:val="bottom"/>
            <w:gridSpan w:val="1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60" w:type="dxa"/>
            <w:vAlign w:val="bottom"/>
            <w:tcBorders>
              <w:top w:val="single" w:sz="8" w:color="0000EE"/>
              <w:bottom w:val="single" w:sz="8" w:color="0000EE"/>
            </w:tcBorders>
            <w:gridSpan w:val="3"/>
            <w:vMerge w:val="restart"/>
          </w:tcPr>
          <w:p>
            <w:pPr>
              <w:spacing w:after="0"/>
              <w:rPr>
                <w:rFonts w:ascii="Arial" w:cs="Arial" w:eastAsia="Arial" w:hAnsi="Arial"/>
                <w:sz w:val="18"/>
                <w:szCs w:val="18"/>
                <w:b w:val="1"/>
                <w:bCs w:val="1"/>
                <w:color w:val="0000EE"/>
                <w:w w:val="95"/>
              </w:rPr>
            </w:pPr>
            <w:hyperlink w:anchor="page138">
              <w:r>
                <w:rPr>
                  <w:rFonts w:ascii="Arial" w:cs="Arial" w:eastAsia="Arial" w:hAnsi="Arial"/>
                  <w:sz w:val="18"/>
                  <w:szCs w:val="18"/>
                  <w:b w:val="1"/>
                  <w:bCs w:val="1"/>
                  <w:color w:val="0000EE"/>
                  <w:w w:val="95"/>
                </w:rPr>
                <w:t>Item 10.</w:t>
              </w:r>
            </w:hyperlink>
          </w:p>
        </w:tc>
        <w:tc>
          <w:tcPr>
            <w:tcW w:w="10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PART III</w:t>
              </w:r>
            </w:hyperlink>
          </w:p>
        </w:tc>
        <w:tc>
          <w:tcPr>
            <w:tcW w:w="370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7800" w:type="dxa"/>
            <w:vAlign w:val="bottom"/>
            <w:gridSpan w:val="29"/>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Directors, Executive Officers and Corporate Governance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2"/>
          </w:tcPr>
          <w:p>
            <w:pPr>
              <w:spacing w:after="0" w:line="196" w:lineRule="exact"/>
              <w:rPr>
                <w:rFonts w:ascii="Arial" w:cs="Arial" w:eastAsia="Arial" w:hAnsi="Arial"/>
                <w:sz w:val="18"/>
                <w:szCs w:val="18"/>
                <w:b w:val="1"/>
                <w:bCs w:val="1"/>
                <w:color w:val="0000EE"/>
                <w:w w:val="89"/>
              </w:rPr>
            </w:pPr>
            <w:hyperlink w:anchor="page138">
              <w:r>
                <w:rPr>
                  <w:rFonts w:ascii="Arial" w:cs="Arial" w:eastAsia="Arial" w:hAnsi="Arial"/>
                  <w:sz w:val="18"/>
                  <w:szCs w:val="18"/>
                  <w:b w:val="1"/>
                  <w:bCs w:val="1"/>
                  <w:color w:val="0000EE"/>
                  <w:w w:val="89"/>
                </w:rPr>
                <w:t>Item 11.</w:t>
              </w:r>
            </w:hyperlink>
          </w:p>
        </w:tc>
        <w:tc>
          <w:tcPr>
            <w:tcW w:w="1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2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Executive Compensation</w:t>
              </w:r>
            </w:hyperlink>
          </w:p>
        </w:tc>
        <w:tc>
          <w:tcPr>
            <w:tcW w:w="370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Item 12.</w:t>
              </w:r>
            </w:hyperlink>
          </w:p>
        </w:tc>
        <w:tc>
          <w:tcPr>
            <w:tcW w:w="7800" w:type="dxa"/>
            <w:vAlign w:val="bottom"/>
            <w:gridSpan w:val="29"/>
          </w:tcPr>
          <w:p>
            <w:pPr>
              <w:ind w:left="100"/>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Security Ownership of Certain Beneficial Owners and Management and Related Stockholder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Item 13.</w:t>
              </w:r>
            </w:hyperlink>
          </w:p>
        </w:tc>
        <w:tc>
          <w:tcPr>
            <w:tcW w:w="7800" w:type="dxa"/>
            <w:vAlign w:val="bottom"/>
            <w:gridSpan w:val="29"/>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Item 14.</w:t>
              </w:r>
            </w:hyperlink>
          </w:p>
        </w:tc>
        <w:tc>
          <w:tcPr>
            <w:tcW w:w="7800" w:type="dxa"/>
            <w:vAlign w:val="bottom"/>
            <w:gridSpan w:val="29"/>
          </w:tcPr>
          <w:p>
            <w:pPr>
              <w:ind w:left="1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Principal Accountant Fees and Services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12"/>
            <w:vMerge w:val="restart"/>
          </w:tcPr>
          <w:p>
            <w:pPr>
              <w:jc w:val="center"/>
              <w:ind w:right="3720"/>
              <w:spacing w:after="0"/>
              <w:rPr>
                <w:rFonts w:ascii="Arial" w:cs="Arial" w:eastAsia="Arial" w:hAnsi="Arial"/>
                <w:sz w:val="18"/>
                <w:szCs w:val="18"/>
                <w:b w:val="1"/>
                <w:bCs w:val="1"/>
                <w:color w:val="0000EE"/>
                <w:w w:val="95"/>
              </w:rPr>
            </w:pPr>
            <w:hyperlink w:anchor="page139">
              <w:r>
                <w:rPr>
                  <w:rFonts w:ascii="Arial" w:cs="Arial" w:eastAsia="Arial" w:hAnsi="Arial"/>
                  <w:sz w:val="18"/>
                  <w:szCs w:val="18"/>
                  <w:b w:val="1"/>
                  <w:bCs w:val="1"/>
                  <w:color w:val="0000EE"/>
                  <w:w w:val="95"/>
                </w:rPr>
                <w:t>PART IV</w:t>
              </w:r>
            </w:hyperlink>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60" w:type="dxa"/>
            <w:vAlign w:val="bottom"/>
            <w:gridSpan w:val="5"/>
            <w:vMerge w:val="restart"/>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Item 15.</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vMerge w:val="continue"/>
          </w:tcPr>
          <w:p>
            <w:pPr>
              <w:spacing w:after="0"/>
              <w:rPr>
                <w:sz w:val="17"/>
                <w:szCs w:val="17"/>
                <w:color w:val="auto"/>
              </w:rPr>
            </w:pPr>
          </w:p>
        </w:tc>
        <w:tc>
          <w:tcPr>
            <w:tcW w:w="3400" w:type="dxa"/>
            <w:vAlign w:val="bottom"/>
            <w:gridSpan w:val="17"/>
          </w:tcPr>
          <w:p>
            <w:pPr>
              <w:ind w:left="10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370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8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Item 16.</w:t>
              </w:r>
            </w:hyperlink>
          </w:p>
        </w:tc>
        <w:tc>
          <w:tcPr>
            <w:tcW w:w="7800" w:type="dxa"/>
            <w:vAlign w:val="bottom"/>
            <w:gridSpan w:val="29"/>
          </w:tcPr>
          <w:p>
            <w:pPr>
              <w:ind w:left="10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Form 10-K Summary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top w:val="single" w:sz="8" w:color="0000EE"/>
            </w:tcBorders>
            <w:gridSpan w:val="7"/>
          </w:tcPr>
          <w:p>
            <w:pPr>
              <w:spacing w:after="0"/>
              <w:rPr>
                <w:sz w:val="24"/>
                <w:szCs w:val="24"/>
                <w:color w:val="auto"/>
              </w:rPr>
            </w:pPr>
          </w:p>
        </w:tc>
        <w:tc>
          <w:tcPr>
            <w:tcW w:w="2400" w:type="dxa"/>
            <w:vAlign w:val="bottom"/>
            <w:gridSpan w:val="12"/>
          </w:tcPr>
          <w:p>
            <w:pPr>
              <w:jc w:val="center"/>
              <w:ind w:left="19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"Exchange Act"),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8" w:lineRule="exact"/>
        <w:rPr>
          <w:sz w:val="20"/>
          <w:szCs w:val="20"/>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gross margin and operating expenses, ability to generate positive cash flow and ability to achieve and sustain profitability;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expected results from changes in our relationship with our larger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technology trends, such as the use of and demand for cloud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global software developer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enterprises and international organizations as customers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and expand partnerships with independent software vendors and system integrators;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technology affecting our products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our network service provider coverage and connectivity;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pass on our savings associated with our platform optimization efforts to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into new markets and manage our international expansion;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investments in sales and marketing and research and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including GDPR and other privacy regulations that may be implemented in the future.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 Item 1A,"Risk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20" w:firstLine="351"/>
        <w:spacing w:after="0" w:line="306" w:lineRule="auto"/>
        <w:rPr>
          <w:sz w:val="20"/>
          <w:szCs w:val="20"/>
          <w:color w:val="auto"/>
        </w:rPr>
      </w:pPr>
      <w:r>
        <w:rPr>
          <w:rFonts w:ascii="Arial" w:cs="Arial" w:eastAsia="Arial" w:hAnsi="Arial"/>
          <w:sz w:val="16"/>
          <w:szCs w:val="16"/>
          <w:color w:val="auto"/>
        </w:rPr>
        <w:t>Software developers are reinventing nearly every aspect of business today. Yet as developers, we repeatedly encountered an area where we could not innovate—communications. Because communication is a fundamental human activity and vital to building great businesses, we wanted to incorporate communications into our software applications, but the barriers to innovation were too high. Twilio was started to solve this problem.</w:t>
      </w:r>
    </w:p>
    <w:p>
      <w:pPr>
        <w:spacing w:after="0" w:line="16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believe the future of communications will be written in software, by the developers of the world—our customers. By empowering them, our mission is to fuel the future of communications.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Cloud platforms are a new category of software that enable developers to build and manage applications without the complexity of creating and maintaining the underlying infrastructure. These platforms have arisen to enable a fast pace of innovation across a range of categories, such as computing and storage. We are the leader in the Cloud Communications Platform category. We enable developers to build, scale and operate real-time communications within software applications.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platform consists of three layers: our Engagement Cloud, Programmable Communications Cloud and Super Network. Our Engagement Cloud software is a set of Application Programming Interfaces ("APIs") that handles the higher-level communication logic needed for nearly every type of customer engagement. These APIs are focused on the business challenges that a developer is looking to address, allowing our customers to more quickly and easily build better ways to engage with their customers throughout their journey. Our Programmable Communications Cloud software is a set of APIs that enables developers to embed voice, messaging and video capabilities into their applications. The Programmable Communications Cloud is designed to support almost all the fundamental ways humans communicate, unlocking innovators to address just about any communication market. The Super Network is our software layer that allows our customers' software to communicate with connected devices globally. It interconnects with communications networks around the world and continually analyzes data to optimize the quality and cost of communications that flow through our platform. The Super Network also contains a set of API's giving our customers access to more foundational components of our platform, like phone numbers.</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had 48,979 Active Customer Accounts as of December 31, 2017, representing organizations big and small, old and young, across nearly every industry, with one thing in common: they are competing by using the power of software to build differentiation through communications. With our platform, our customers are disrupting existing industries and creating new ones. For example, our customers' software applications use our platform to notify a diner when a table is ready, provide enhanced application security through two-factor authentication, connect potential buyers to real estate agents, and power large, omni-channel contact centers. The range of applications that developers build with the Twilio platform has proven to be nearly limitless.</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goal is for Twilio to be in the toolkit of every software developer in the world. Because big ideas often start small, we encourage developers to experiment and iterate on our platform. We love when developers explore what they can do with Twilio, because one day they may have a business problem that they will use our products to solve.</w:t>
      </w:r>
    </w:p>
    <w:p>
      <w:pPr>
        <w:spacing w:after="0" w:line="194"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our customers succeed, we share in their success through our usage-based revenue model. Our revenue grows as customers increase their usage of a product, extend their usage of a product to new applications or adopt a new product. We believe the most useful indicator of this increased activity from our existing customer accounts is our Dollar-Based Net Expansion Rate, which was 128% and 161% for the years ended December 31, 2017 and 2016, respectively. See Part II, Item 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Operations—Key Business Metrics—Dollar-Based Net Expansion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Approach</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Twilio's mission is to fuel the future of communications. We enable developers to build, scale and operate real-time communications within software applications.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every application can be enhanced through the power of communication. Over time, we believe that all of our communications that do not occur in person will be integrated into software applications. Our platform approach enables developers to build this future.</w:t>
      </w:r>
    </w:p>
    <w:p>
      <w:pPr>
        <w:spacing w:after="0" w:line="186" w:lineRule="exact"/>
        <w:rPr>
          <w:sz w:val="20"/>
          <w:szCs w:val="20"/>
          <w:color w:val="auto"/>
        </w:rPr>
      </w:pPr>
    </w:p>
    <w:p>
      <w:pPr>
        <w:jc w:val="both"/>
        <w:ind w:right="240" w:firstLine="351"/>
        <w:spacing w:after="0" w:line="370" w:lineRule="auto"/>
        <w:rPr>
          <w:sz w:val="20"/>
          <w:szCs w:val="20"/>
          <w:color w:val="auto"/>
        </w:rPr>
      </w:pPr>
      <w:r>
        <w:rPr>
          <w:rFonts w:ascii="Arial" w:cs="Arial" w:eastAsia="Arial" w:hAnsi="Arial"/>
          <w:sz w:val="15"/>
          <w:szCs w:val="15"/>
          <w:color w:val="auto"/>
        </w:rPr>
        <w:t>Using our software, developers are able to incorporate communications into applications that span a range of industries and functionalities. Our Solution Partner customers, which embed our products in the solutions they sell to other businesses, are also able to leverage our products to deliver their applications.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Use Cases</w:t>
      </w:r>
    </w:p>
    <w:p>
      <w:pPr>
        <w:spacing w:after="0" w:line="233" w:lineRule="exact"/>
        <w:rPr>
          <w:sz w:val="20"/>
          <w:szCs w:val="20"/>
          <w:color w:val="auto"/>
        </w:rPr>
      </w:pPr>
    </w:p>
    <w:p>
      <w:pPr>
        <w:ind w:left="1080" w:right="200" w:hanging="532"/>
        <w:spacing w:after="0" w:line="378"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Anonymous Communications. </w:t>
      </w:r>
      <w:r>
        <w:rPr>
          <w:rFonts w:ascii="Arial" w:cs="Arial" w:eastAsia="Arial" w:hAnsi="Arial"/>
          <w:sz w:val="15"/>
          <w:szCs w:val="15"/>
          <w:color w:val="auto"/>
        </w:rPr>
        <w:t>Enabling users to have a trusted means of communications where they prefer not to share private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like their telephone number. Examples include conversations between drivers and riders or texting after meeting through a dating website.</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Alerts and Notifications. </w:t>
      </w:r>
      <w:r>
        <w:rPr>
          <w:rFonts w:ascii="Arial" w:cs="Arial" w:eastAsia="Arial" w:hAnsi="Arial"/>
          <w:sz w:val="16"/>
          <w:szCs w:val="16"/>
          <w:color w:val="auto"/>
        </w:rPr>
        <w:t>Alerting a user that an event has occurred, such as when a table is ready, a flight is delayed or a package is shipped.</w:t>
      </w:r>
    </w:p>
    <w:p>
      <w:pPr>
        <w:spacing w:after="0" w:line="261" w:lineRule="exact"/>
        <w:rPr>
          <w:rFonts w:ascii="Arial" w:cs="Arial" w:eastAsia="Arial" w:hAnsi="Arial"/>
          <w:sz w:val="16"/>
          <w:szCs w:val="16"/>
          <w:color w:val="auto"/>
        </w:rPr>
      </w:pPr>
    </w:p>
    <w:p>
      <w:pPr>
        <w:ind w:left="1080" w:right="80" w:hanging="532"/>
        <w:spacing w:after="0" w:line="27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Contact Center. </w:t>
      </w:r>
      <w:r>
        <w:rPr>
          <w:rFonts w:ascii="Arial" w:cs="Arial" w:eastAsia="Arial" w:hAnsi="Arial"/>
          <w:sz w:val="18"/>
          <w:szCs w:val="18"/>
          <w:color w:val="auto"/>
        </w:rPr>
        <w:t>Improving customer support of powering customer care teams with voice, messaging and video capabilities that integrate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other systems to add context, such as a caller's support ticket history of present location.</w:t>
      </w:r>
    </w:p>
    <w:p>
      <w:pPr>
        <w:spacing w:after="0" w:line="187" w:lineRule="exact"/>
        <w:rPr>
          <w:rFonts w:ascii="Arial" w:cs="Arial" w:eastAsia="Arial" w:hAnsi="Arial"/>
          <w:sz w:val="18"/>
          <w:szCs w:val="18"/>
          <w:color w:val="auto"/>
        </w:rPr>
      </w:pPr>
    </w:p>
    <w:p>
      <w:pPr>
        <w:ind w:left="1080" w:right="140" w:hanging="532"/>
        <w:spacing w:after="0" w:line="27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Call Tracking. </w:t>
      </w:r>
      <w:r>
        <w:rPr>
          <w:rFonts w:ascii="Arial" w:cs="Arial" w:eastAsia="Arial" w:hAnsi="Arial"/>
          <w:sz w:val="18"/>
          <w:szCs w:val="18"/>
          <w:color w:val="auto"/>
        </w:rPr>
        <w:t>Using phone numbers to provide detailed analytics on phone calls to measure the effectiveness of marketing campaigns or lead</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activities in a manner similar to how web analytics track and measure online activity.</w:t>
      </w:r>
    </w:p>
    <w:p>
      <w:pPr>
        <w:spacing w:after="0" w:line="200" w:lineRule="exact"/>
        <w:rPr>
          <w:rFonts w:ascii="Arial" w:cs="Arial" w:eastAsia="Arial" w:hAnsi="Arial"/>
          <w:sz w:val="18"/>
          <w:szCs w:val="18"/>
          <w:color w:val="auto"/>
        </w:rPr>
      </w:pPr>
    </w:p>
    <w:p>
      <w:pPr>
        <w:ind w:left="1080" w:right="620" w:hanging="532"/>
        <w:spacing w:after="0" w:line="27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Mobile Marketing. </w:t>
      </w:r>
      <w:r>
        <w:rPr>
          <w:rFonts w:ascii="Arial" w:cs="Arial" w:eastAsia="Arial" w:hAnsi="Arial"/>
          <w:sz w:val="18"/>
          <w:szCs w:val="18"/>
          <w:color w:val="auto"/>
        </w:rPr>
        <w:t>Integrating messaging with marketing automation technology, allowing organizations to deliver targeted and timely</w:t>
      </w:r>
      <w:r>
        <w:rPr>
          <w:rFonts w:ascii="Arial" w:cs="Arial" w:eastAsia="Arial" w:hAnsi="Arial"/>
          <w:sz w:val="18"/>
          <w:szCs w:val="18"/>
          <w:b w:val="1"/>
          <w:bCs w:val="1"/>
          <w:color w:val="auto"/>
        </w:rPr>
        <w:t xml:space="preserve"> </w:t>
      </w:r>
      <w:r>
        <w:rPr>
          <w:rFonts w:ascii="Arial" w:cs="Arial" w:eastAsia="Arial" w:hAnsi="Arial"/>
          <w:sz w:val="18"/>
          <w:szCs w:val="18"/>
          <w:color w:val="auto"/>
        </w:rPr>
        <w:t>contextualized communications to consumers.</w:t>
      </w:r>
    </w:p>
    <w:p>
      <w:pPr>
        <w:spacing w:after="0" w:line="187" w:lineRule="exact"/>
        <w:rPr>
          <w:rFonts w:ascii="Arial" w:cs="Arial" w:eastAsia="Arial" w:hAnsi="Arial"/>
          <w:sz w:val="18"/>
          <w:szCs w:val="18"/>
          <w:color w:val="auto"/>
        </w:rPr>
      </w:pPr>
    </w:p>
    <w:p>
      <w:pPr>
        <w:ind w:left="1080" w:right="640" w:hanging="532"/>
        <w:spacing w:after="0" w:line="27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User Security. </w:t>
      </w:r>
      <w:r>
        <w:rPr>
          <w:rFonts w:ascii="Arial" w:cs="Arial" w:eastAsia="Arial" w:hAnsi="Arial"/>
          <w:sz w:val="18"/>
          <w:szCs w:val="18"/>
          <w:color w:val="auto"/>
        </w:rPr>
        <w:t>Verifying user identity through two-factor authentication prior to log-in or validating transactions within an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workflow. This adds an additional layer of security to any application.</w:t>
      </w:r>
    </w:p>
    <w:p>
      <w:pPr>
        <w:spacing w:after="0" w:line="187" w:lineRule="exact"/>
        <w:rPr>
          <w:rFonts w:ascii="Arial" w:cs="Arial" w:eastAsia="Arial" w:hAnsi="Arial"/>
          <w:sz w:val="18"/>
          <w:szCs w:val="18"/>
          <w:color w:val="auto"/>
        </w:rPr>
      </w:pPr>
    </w:p>
    <w:p>
      <w:pPr>
        <w:ind w:left="1080" w:right="140" w:hanging="532"/>
        <w:spacing w:after="0" w:line="26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Twilio For Good. </w:t>
      </w:r>
      <w:r>
        <w:rPr>
          <w:rFonts w:ascii="Arial" w:cs="Arial" w:eastAsia="Arial" w:hAnsi="Arial"/>
          <w:sz w:val="18"/>
          <w:szCs w:val="18"/>
          <w:color w:val="auto"/>
        </w:rPr>
        <w:t>Partnering with nonprofit organizations through Twilio.org, to use the power of communications to help solve social</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challenges, such as an SMS hotline to fight human trafficking, an emergency volunteer dispatch system and appointment reminders for medical visits in developing 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Cloud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developers can build a broad range of applications on our platform, certain use cases are more common. Our Engagement Cloud APIs build upon our Programmable Communications Cloud to offer more fully implemented functionality for a specific purpose, such as two-factor authentication or skills-based routing in a contact center, thereby saving developers significant time in building their applications.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color w:val="auto"/>
        </w:rPr>
        <w:t>Part of our core strategy is to provide a broad set of lower level building blocks (i.e. the products in our Programmable Communications Cloud and Super Network) that can be used to build virtually any use case. By doing this, we allow developers' creativity to flourish across the widest set of use cases—some of which haven't even been invented yet. As we observe what use cases are most common, and the work flows our customers find most challenging, we create the products in our Engagement Cloud to bring these learnings to a broader audience.</w:t>
      </w:r>
    </w:p>
    <w:p>
      <w:pPr>
        <w:spacing w:after="0" w:line="16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higher level APIs we have created in this layer of our platform are focused on addressing a massive opportunity to recreate and modernize the field of customer engagement. The means by which most companies engage with their customers is archaic and disjointed, made more glaring by the pace of development in other areas of communication. Our products in the Engagement Cloud combine the flexibility provided by our platform model along with the learnings we've gained over the past ten years focused on driving success at tens of thousands of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Programmable Communications Cloud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Programmable Communications Cloud provides a range of products that enables developers to embed voice, messaging and video capabilities into their applications. Our easy-to-use developer APIs provide a programmatic channel to access our software. Developers can utilize our intuitive programming language, TwiML, to specify application functions such as &lt;Dial&gt;, &lt;Record&gt; and &lt;Play&gt;, leveraging our software to manage the complexity of executing the specified functions.</w:t>
      </w:r>
    </w:p>
    <w:p>
      <w:pPr>
        <w:spacing w:after="0" w:line="197"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Our Programmable Communications Cloud consists of software products that can be used individually or in combination to build rich contextual communications within applications. We do not aim to provide complete business solutions, rather our Programmable Communications Cloud offers flexible building blocks that enable our customers to build what they need. Our Programmable Communications Cloud includes:</w:t>
      </w:r>
    </w:p>
    <w:p>
      <w:pPr>
        <w:spacing w:after="0" w:line="168" w:lineRule="exact"/>
        <w:rPr>
          <w:sz w:val="20"/>
          <w:szCs w:val="20"/>
          <w:color w:val="auto"/>
        </w:rPr>
      </w:pPr>
    </w:p>
    <w:p>
      <w:pPr>
        <w:ind w:left="1080" w:right="40" w:hanging="532"/>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Programmable Voice. </w:t>
      </w:r>
      <w:r>
        <w:rPr>
          <w:rFonts w:ascii="Arial" w:cs="Arial" w:eastAsia="Arial" w:hAnsi="Arial"/>
          <w:sz w:val="16"/>
          <w:szCs w:val="16"/>
          <w:color w:val="auto"/>
        </w:rPr>
        <w:t>Our Programmable Voice software products allow developers to build solutions to make and receive phone calls globally,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incorporate advanced voice functionality such as text-to-speech, conferencing, recording and transcription. Programmable Voice, through our advanced call control software, allows developers to build customized applications that address use cases such as contact centers, call tracking and analytics solutions and anonymized communications.</w:t>
      </w:r>
    </w:p>
    <w:p>
      <w:pPr>
        <w:spacing w:after="0" w:line="184" w:lineRule="exact"/>
        <w:rPr>
          <w:rFonts w:ascii="Arial" w:cs="Arial" w:eastAsia="Arial" w:hAnsi="Arial"/>
          <w:sz w:val="16"/>
          <w:szCs w:val="16"/>
          <w:color w:val="auto"/>
        </w:rPr>
      </w:pPr>
    </w:p>
    <w:p>
      <w:pPr>
        <w:ind w:left="1080" w:right="220" w:hanging="532"/>
        <w:spacing w:after="0" w:line="25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Programmable Messaging. </w:t>
      </w:r>
      <w:r>
        <w:rPr>
          <w:rFonts w:ascii="Arial" w:cs="Arial" w:eastAsia="Arial" w:hAnsi="Arial"/>
          <w:sz w:val="18"/>
          <w:szCs w:val="18"/>
          <w:color w:val="auto"/>
        </w:rPr>
        <w:t>Our Programmable Messaging software products allow developers to build solutions to send and receive text</w:t>
      </w:r>
      <w:r>
        <w:rPr>
          <w:rFonts w:ascii="Arial" w:cs="Arial" w:eastAsia="Arial" w:hAnsi="Arial"/>
          <w:sz w:val="18"/>
          <w:szCs w:val="18"/>
          <w:b w:val="1"/>
          <w:bCs w:val="1"/>
          <w:color w:val="auto"/>
        </w:rPr>
        <w:t xml:space="preserve"> </w:t>
      </w:r>
      <w:r>
        <w:rPr>
          <w:rFonts w:ascii="Arial" w:cs="Arial" w:eastAsia="Arial" w:hAnsi="Arial"/>
          <w:sz w:val="18"/>
          <w:szCs w:val="18"/>
          <w:color w:val="auto"/>
        </w:rPr>
        <w:t>messages globally, and incorporate advanced messaging functionality such as emoji, picture messaging and localized languages. Our customers use Programmable Messaging, through software controls, to power use cases, such as appointment reminders, delivery notifications, order confirmations and customer care.</w:t>
      </w:r>
    </w:p>
    <w:p>
      <w:pPr>
        <w:spacing w:after="0" w:line="203"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Programmable Video. </w:t>
      </w:r>
      <w:r>
        <w:rPr>
          <w:rFonts w:ascii="Arial" w:cs="Arial" w:eastAsia="Arial" w:hAnsi="Arial"/>
          <w:sz w:val="18"/>
          <w:szCs w:val="18"/>
          <w:color w:val="auto"/>
        </w:rPr>
        <w:t>Our Programmable Video software products enable developers to build next-generation mobile and web applications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embedded video, including for use cases such as customer care, collaboration and physician consultations.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 Network</w:t>
      </w:r>
    </w:p>
    <w:p>
      <w:pPr>
        <w:spacing w:after="0" w:line="225"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Our Programmable Communications Cloud is built on top of our global software layer, which we call our Super Network. Our Super Network interfaces intelligently with communications networks globally. We use software to construct a high performance network that continuously optimizes quality and deliverability for our customers. Our Super Network breaks down the geopolitical boundaries and scale limitations of physical network infrastructure and provides our customers that use our Programmable Communications Cloud and Engagement Cloud offering access to over 180 countries.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Super Network also contains a set of API's giving our customers access to more foundational components of our platform, such as phone numbers.</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strategically built out our global infrastructure and operate in 27 cloud data centers in nine geographically distinct regions. These data centers serve as interconnection points with network service providers and customers alike, giving us a truly global reach and a redundant means to connect businesses with billions of customers all over the world. Our provider relationships and deployed infrastructure have allowed us to catalogue the many different communications standards that exist today and offer them up to businesses as one consolidated platform with simple, easy-to-use APIs. We are continually adding new network service provider relationships as we scale, and we are not dependent upon any single network service provider to conduct our business.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strength of Twilio's Super Network comes from the software intelligence we've embedded throughout our communications network. By leveraging our software expertise we eliminate the traditional complexities and uncertainties of telecommunications and deliver a consistent and high quality communications platform for our customers. This allows customers to spend less time focusing on mastering the highly specialized and complex telecommunications industry and more time focusing on building best-in-class customer engagement experiences. Our proprietary technology selects which network service providers to use and routes the communications in order to optimize the quality and cost of the communications across our product offerings.</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Super Network analyzes massive volumes of data from our traffic, the applications that power it, and the underlying provider networks in order to optimize our customers' communications for quality and cost. As such, with every new message and call, our Super Network becomes more robust, intelligent and efficient, enabling us to provide better performance and deliverability for our customers. Our Super Network's sophistication becomes increasingly difficult for others to replicate over time as it is continually learning, improving and scaling.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 for Innovators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goal is to include Twilio in the toolkit of every developer in the world. Because big ideas often start small, developers need the freedom and tools to experiment and iterate on their ideas.</w:t>
      </w:r>
    </w:p>
    <w:p>
      <w:pPr>
        <w:spacing w:after="0" w:line="186"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order to empower developers to experiment, our developer-first business model is low friction, eliminating the upfront costs, time and complexity that typically hinder innovation. We call this approach our Business Model for Innovators, which empowers developers by reducing friction and upfront costs, encouraging experimentation, and enabling developers to grow as customers as their ideas succeed. Developers can begin building with a free trial. They have access to self-service documentation and free customer support to guide them through the process. Once developers determine that our software meets their needs, they can flexibly increase consumption and pay based on usage. In short, we acquire developers like consumers and enable them to spend like enterprises.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the leader in the Cloud Communications Platform category based on revenue, market share and reputation, and intend to continue to set the pace for innovation. We will continue to invest aggressively in our platform approach, which prioritizes increasing our reach and scale. We intend to pursue the following growth strategies:</w:t>
      </w:r>
    </w:p>
    <w:p>
      <w:pPr>
        <w:spacing w:after="0" w:line="202" w:lineRule="exact"/>
        <w:rPr>
          <w:sz w:val="20"/>
          <w:szCs w:val="20"/>
          <w:color w:val="auto"/>
        </w:rPr>
      </w:pPr>
    </w:p>
    <w:p>
      <w:pPr>
        <w:ind w:left="1080" w:right="100" w:hanging="532"/>
        <w:spacing w:after="0" w:line="310"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Continue Significant Investment in our Technology Platform. </w:t>
      </w:r>
      <w:r>
        <w:rPr>
          <w:rFonts w:ascii="Arial" w:cs="Arial" w:eastAsia="Arial" w:hAnsi="Arial"/>
          <w:sz w:val="16"/>
          <w:szCs w:val="16"/>
          <w:color w:val="auto"/>
        </w:rPr>
        <w:t>We will continue to invest in building new software capabilities and extending</w:t>
      </w:r>
      <w:r>
        <w:rPr>
          <w:rFonts w:ascii="Arial" w:cs="Arial" w:eastAsia="Arial" w:hAnsi="Arial"/>
          <w:sz w:val="16"/>
          <w:szCs w:val="16"/>
          <w:b w:val="1"/>
          <w:bCs w:val="1"/>
          <w:color w:val="auto"/>
        </w:rPr>
        <w:t xml:space="preserve"> </w:t>
      </w:r>
      <w:r>
        <w:rPr>
          <w:rFonts w:ascii="Arial" w:cs="Arial" w:eastAsia="Arial" w:hAnsi="Arial"/>
          <w:sz w:val="16"/>
          <w:szCs w:val="16"/>
          <w:color w:val="auto"/>
        </w:rPr>
        <w:t>our platform to bring the power of contextual communications to a broader range of applications, geographies and customers. We have a substantial research and development team, comprising approximately 50% of our headcount as of December 31, 2017.</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40" w:hanging="532"/>
        <w:spacing w:after="0" w:line="29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Grow Our Developer Community and Accelerate Adoption. </w:t>
      </w:r>
      <w:r>
        <w:rPr>
          <w:rFonts w:ascii="Arial" w:cs="Arial" w:eastAsia="Arial" w:hAnsi="Arial"/>
          <w:sz w:val="16"/>
          <w:szCs w:val="16"/>
          <w:color w:val="auto"/>
        </w:rPr>
        <w:t>We will continue to enhance our relationships with developers globally and seek</w:t>
      </w:r>
      <w:r>
        <w:rPr>
          <w:rFonts w:ascii="Arial" w:cs="Arial" w:eastAsia="Arial" w:hAnsi="Arial"/>
          <w:sz w:val="16"/>
          <w:szCs w:val="16"/>
          <w:b w:val="1"/>
          <w:bCs w:val="1"/>
          <w:color w:val="auto"/>
        </w:rPr>
        <w:t xml:space="preserve"> </w:t>
      </w:r>
      <w:r>
        <w:rPr>
          <w:rFonts w:ascii="Arial" w:cs="Arial" w:eastAsia="Arial" w:hAnsi="Arial"/>
          <w:sz w:val="16"/>
          <w:szCs w:val="16"/>
          <w:color w:val="auto"/>
        </w:rPr>
        <w:t>to increase the number of developers on our platform. As of December 31, 2017, we had 48,979 Active Customer Accounts and well over one million registered developer accounts registered on our platform. In addition to adding new developers, we believe there is significant opportunity for revenue growth from developers who have already registered accounts with us but who have not yet built their software applications with us, or whose applications are in their infancy and will grow with Twilio into an Active Customer Account.</w:t>
      </w:r>
    </w:p>
    <w:p>
      <w:pPr>
        <w:spacing w:after="0" w:line="188" w:lineRule="exact"/>
        <w:rPr>
          <w:rFonts w:ascii="Arial" w:cs="Arial" w:eastAsia="Arial" w:hAnsi="Arial"/>
          <w:sz w:val="16"/>
          <w:szCs w:val="16"/>
          <w:color w:val="auto"/>
        </w:rPr>
      </w:pPr>
    </w:p>
    <w:p>
      <w:pPr>
        <w:ind w:left="1080" w:hanging="532"/>
        <w:spacing w:after="0" w:line="29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Increase Our International Presence. </w:t>
      </w:r>
      <w:r>
        <w:rPr>
          <w:rFonts w:ascii="Arial" w:cs="Arial" w:eastAsia="Arial" w:hAnsi="Arial"/>
          <w:sz w:val="16"/>
          <w:szCs w:val="16"/>
          <w:color w:val="auto"/>
        </w:rPr>
        <w:t>Our platform operates in over 180 countries today, making it as simple to communicate from São Paulo as</w:t>
      </w:r>
      <w:r>
        <w:rPr>
          <w:rFonts w:ascii="Arial" w:cs="Arial" w:eastAsia="Arial" w:hAnsi="Arial"/>
          <w:sz w:val="16"/>
          <w:szCs w:val="16"/>
          <w:b w:val="1"/>
          <w:bCs w:val="1"/>
          <w:color w:val="auto"/>
        </w:rPr>
        <w:t xml:space="preserve"> </w:t>
      </w:r>
      <w:r>
        <w:rPr>
          <w:rFonts w:ascii="Arial" w:cs="Arial" w:eastAsia="Arial" w:hAnsi="Arial"/>
          <w:sz w:val="16"/>
          <w:szCs w:val="16"/>
          <w:color w:val="auto"/>
        </w:rPr>
        <w:t>it is from San Francisco. Customers outside the United States are increasingly adopting our platform, and for the years ended December 31, 2016 and 2017, revenue from international customer accounts accounted for 16% and 23% of our total revenue, respectively. We are investing to meet the requirements of a broader range of global developers and enterprises. We plan to grow internationally by continuing to expand our operations outside of the United States and collaborating with international strategic partners.</w:t>
      </w:r>
    </w:p>
    <w:p>
      <w:pPr>
        <w:spacing w:after="0" w:line="175" w:lineRule="exact"/>
        <w:rPr>
          <w:rFonts w:ascii="Arial" w:cs="Arial" w:eastAsia="Arial" w:hAnsi="Arial"/>
          <w:sz w:val="16"/>
          <w:szCs w:val="16"/>
          <w:color w:val="auto"/>
        </w:rPr>
      </w:pPr>
    </w:p>
    <w:p>
      <w:pPr>
        <w:ind w:left="1080" w:right="120" w:hanging="532"/>
        <w:spacing w:after="0" w:line="25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Expand Focus on Enterprises. </w:t>
      </w:r>
      <w:r>
        <w:rPr>
          <w:rFonts w:ascii="Arial" w:cs="Arial" w:eastAsia="Arial" w:hAnsi="Arial"/>
          <w:sz w:val="18"/>
          <w:szCs w:val="18"/>
          <w:color w:val="auto"/>
        </w:rPr>
        <w:t>We plan to drive greater awareness and adoption of Twilio from enterprises across industries. We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increase our investment in sales and marketing to meet evolving enterprise needs globally, in addition to extending our enterprise-focused use cases and platform capabilities, like our Twilio Enterprise Plan. Additionally, we believe there is significant opportunity to expand our relationships with existing enterprise customers.</w:t>
      </w:r>
    </w:p>
    <w:p>
      <w:pPr>
        <w:spacing w:after="0" w:line="203" w:lineRule="exact"/>
        <w:rPr>
          <w:rFonts w:ascii="Arial" w:cs="Arial" w:eastAsia="Arial" w:hAnsi="Arial"/>
          <w:sz w:val="18"/>
          <w:szCs w:val="18"/>
          <w:color w:val="auto"/>
        </w:rPr>
      </w:pPr>
    </w:p>
    <w:p>
      <w:pPr>
        <w:ind w:left="1080" w:right="120" w:hanging="532"/>
        <w:spacing w:after="0" w:line="25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Further Enable Solution Partner Customers. </w:t>
      </w:r>
      <w:r>
        <w:rPr>
          <w:rFonts w:ascii="Arial" w:cs="Arial" w:eastAsia="Arial" w:hAnsi="Arial"/>
          <w:sz w:val="18"/>
          <w:szCs w:val="18"/>
          <w:color w:val="auto"/>
        </w:rPr>
        <w:t>We have relationships with a number of Solution Partner customers that embed our products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solutions that they sell to other businesses. We intend to expand our relationships with existing Solution Partner customers and to add new Solution Partner customers. We plan to invest in a range of initiatives to encourage increased collaboration with, and generation of revenue from, Solution Partner customers.</w:t>
      </w:r>
    </w:p>
    <w:p>
      <w:pPr>
        <w:spacing w:after="0" w:line="217"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Expand ISV Development Platform and SI Partnerships. </w:t>
      </w:r>
      <w:r>
        <w:rPr>
          <w:rFonts w:ascii="Arial" w:cs="Arial" w:eastAsia="Arial" w:hAnsi="Arial"/>
          <w:sz w:val="16"/>
          <w:szCs w:val="16"/>
          <w:color w:val="auto"/>
        </w:rPr>
        <w:t>We have started developing relationships with independent software vendor ("ISV")</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platforms and system integrators ("SIs"). ISV development platforms integrate Twilio to extend the functionality of their platforms, which expands our reach to a broader range of customers. SIs provide consulting and development services for organizations that have limited software development expertise to build our platform into their software applications. We generate revenue through our relationships with ISV development platforms and SIs when our products are used within the software or applications into which they are integrated by ISV development platforms and SIs. We do not share usage-based revenue with ISV development platforms or SIs, nor do we pay them to include our products in their offerings. We intend to continue to invest in and develop the ecosystem for our solutions in partnership with ISV development platforms and SIs to accelerate awareness and adoption of our platform.</w:t>
      </w:r>
    </w:p>
    <w:p>
      <w:pPr>
        <w:spacing w:after="0" w:line="179" w:lineRule="exact"/>
        <w:rPr>
          <w:rFonts w:ascii="Arial" w:cs="Arial" w:eastAsia="Arial" w:hAnsi="Arial"/>
          <w:sz w:val="16"/>
          <w:szCs w:val="16"/>
          <w:color w:val="auto"/>
        </w:rPr>
      </w:pPr>
    </w:p>
    <w:p>
      <w:pPr>
        <w:ind w:left="1080" w:right="20" w:hanging="532"/>
        <w:spacing w:after="0" w:line="293"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Selectively Pursue Acquisitions and Strategic Investments. </w:t>
      </w:r>
      <w:r>
        <w:rPr>
          <w:rFonts w:ascii="Arial" w:cs="Arial" w:eastAsia="Arial" w:hAnsi="Arial"/>
          <w:sz w:val="16"/>
          <w:szCs w:val="16"/>
          <w:color w:val="auto"/>
        </w:rPr>
        <w:t>We may selectively pursue acquisitions and strategic investments in businesses and</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that strengthen our platform. In February 2015, we acquired Authy, a leading provider of authentication-as-a-service for large-scale applications. With the integration of Authy, we now provide a cloud-based API to seamlessly embed two-factor authentication and phone verification into any application. In November 2016, we acquired the proprietary Web Real-Time-Communication ("WebRTC") media processing technologies built by the team behind the Kurento Open Source Project. The Kurento Media Server capabilities, including large group communications, transcoding, recording and advanced media processing, has been integrated into Twilio Programmable Video.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February 2017, we acquired Beepsend, AB, a messaging provider based in Sweden specializing in messaging and SMS solutions.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 and Leadership Principles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core values, called our "Nine Values," are at the center of everything that we do. As a company built by developers for developers, these values guide us to work in a way that exemplifies many attributes of the developer ethos. These are not mere words on the wall. We introduce these values to new hires upon joining our company, and we continually weave these values into everything we do. Our values provide a guide for the way our teams work, communicate, set goals and make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130810</wp:posOffset>
            </wp:positionV>
            <wp:extent cx="4965700" cy="3044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6570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leadership is a behavior, not a position. In addition to our values, we have articulated the leadership traits we all strive to achieve. Our leadership principles apply to every Twilion, not just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managers or executives, and provide a personal growth path for employees in their journeys to become better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148590</wp:posOffset>
            </wp:positionV>
            <wp:extent cx="5282565" cy="3044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256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combination of our Nine Values and our leadership principles has created a blueprint for how Twilions worldwide interact with customers and with each other, and for how they respond to new challenges and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Twilio.org</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believe we can create greater social good through better communications. Through Twilio.org, which is a part of our company and not a separate legal entity, we donate and discount our products to nonprofits, who use our products to engage their audience, expand their reach and focus on making a meaningful change in the world. Twilio.org's mission is to send a billion messages for good. To that end, in 2015, we reserved 1% of our common stock to fund operations of Twilio.org. In our follow-on public offering in October 2016, we sold 100,000 shares of Class A common stock and raised $3.9 million to fund and support the operations of Twilio.org. In December 2016, Twilio.org donated the full $3.9 million proceeds into an independent Donor Advised Fund ("DAF") to further our philanthropic goals. In November 2017, Twilio.org donated 45,383 shares of Class A common stock with a fair value of $1.2 million into the same DAF. Both donations were treated as charitable contributions in our consolidated statements of operations included elsewhere in this Annual Report on Form 10-K. As of December 31, 2017, the total remaining shares reserved for Twilio.org was 635,014.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Engagement Cloud</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While developers can build a broad range of applications on our platform, certain use cases are more common. Our Engagement Cloud APIs build upon our Programmable Communications Cloud to offer more fully implemented functionality for a specific purpose, such as two-factor authentication or skills-based routing in a contact center, thereby saving developers significant time in building their applications.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 Security</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Identity and communications are closely linked, and this is a critical business need for our customers. Using our two-factor authentication APIs, developers can add an extra layer of security to their applications with second-factor passwords sent to a user's phone via SMS, voice or push notifications. Our Account Security products include:</w:t>
      </w:r>
    </w:p>
    <w:p>
      <w:pPr>
        <w:spacing w:after="0" w:line="202" w:lineRule="exact"/>
        <w:rPr>
          <w:sz w:val="20"/>
          <w:szCs w:val="20"/>
          <w:color w:val="auto"/>
        </w:rPr>
      </w:pPr>
    </w:p>
    <w:p>
      <w:pPr>
        <w:ind w:left="1080" w:right="320" w:hanging="532"/>
        <w:spacing w:after="0" w:line="262"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Authy. </w:t>
      </w:r>
      <w:r>
        <w:rPr>
          <w:rFonts w:ascii="Arial" w:cs="Arial" w:eastAsia="Arial" w:hAnsi="Arial"/>
          <w:sz w:val="18"/>
          <w:szCs w:val="18"/>
          <w:color w:val="auto"/>
        </w:rPr>
        <w:t>Provides user authentication codes through a variety of formats based on the developer's needs. Authentication codes can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Authy app on registered mobile phones, desktop, or smart devices or via SMS and voice automated phone calls. In addition, authentication can be determined through a push notification on registered smartphones</w:t>
      </w:r>
    </w:p>
    <w:p>
      <w:pPr>
        <w:spacing w:after="0" w:line="213"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Lookup. </w:t>
      </w:r>
      <w:r>
        <w:rPr>
          <w:rFonts w:ascii="Arial" w:cs="Arial" w:eastAsia="Arial" w:hAnsi="Arial"/>
          <w:sz w:val="18"/>
          <w:szCs w:val="18"/>
          <w:color w:val="auto"/>
        </w:rPr>
        <w:t>Allows developers to validate number format, device type, and provider prior to sending messages or initiating calls.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Verify. </w:t>
      </w:r>
      <w:r>
        <w:rPr>
          <w:rFonts w:ascii="Arial" w:cs="Arial" w:eastAsia="Arial" w:hAnsi="Arial"/>
          <w:sz w:val="15"/>
          <w:szCs w:val="15"/>
          <w:color w:val="auto"/>
        </w:rPr>
        <w:t>Allows developers to deliver a one-time passcode through SMS or voice to verify that a user is in possession of the device being registered</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TaskRouter</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software product that enables intelligent multi-task routing in contact centers to optimize workflows, such as routing a call to an available agent. A task can be a phone call, SMS, chat message, lead, support ticket or even machine learning from a connected device.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charge on a per-use basis for most of our Engagement Cloud APIs.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Programmable Communications Cloud</w:t>
      </w:r>
    </w:p>
    <w:p>
      <w:pPr>
        <w:spacing w:after="0" w:line="225" w:lineRule="exact"/>
        <w:rPr>
          <w:sz w:val="20"/>
          <w:szCs w:val="20"/>
          <w:color w:val="auto"/>
        </w:rPr>
      </w:pPr>
    </w:p>
    <w:p>
      <w:pPr>
        <w:ind w:right="780" w:firstLine="351"/>
        <w:spacing w:after="0" w:line="306" w:lineRule="auto"/>
        <w:rPr>
          <w:sz w:val="20"/>
          <w:szCs w:val="20"/>
          <w:color w:val="auto"/>
        </w:rPr>
      </w:pPr>
      <w:r>
        <w:rPr>
          <w:rFonts w:ascii="Arial" w:cs="Arial" w:eastAsia="Arial" w:hAnsi="Arial"/>
          <w:sz w:val="16"/>
          <w:szCs w:val="16"/>
          <w:color w:val="auto"/>
        </w:rPr>
        <w:t>Our Programmable Communications Cloud consists of software for voice, messaging, video and authentication that empowers developers to build applications that can communicate with connected devices globally. We do not aim to provide complete business solutions, rather our Programmable Communications Cloud offers flexible building blocks that enable our customers to build what they need.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Programmable Voice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Programmable Voice software products allow developers to build solutions to make and receive phone calls globally, and to incorporate advanced voice functionality such as text-to-speech, conferencing, recording and transcription. Programmable Voice, through our advanced call control software, allows developers to build customized applications that address use cases such as contact centers, call tracking and analytics solutions and anonymized communications. Our voice software works over both the traditional public switch telephone network, and over Internet Protocol. Programmable Voice includes:</w:t>
      </w:r>
    </w:p>
    <w:p>
      <w:pPr>
        <w:spacing w:after="0" w:line="174" w:lineRule="exact"/>
        <w:rPr>
          <w:sz w:val="20"/>
          <w:szCs w:val="20"/>
          <w:color w:val="auto"/>
        </w:rPr>
      </w:pPr>
    </w:p>
    <w:p>
      <w:pPr>
        <w:ind w:left="1080" w:right="300" w:hanging="532"/>
        <w:spacing w:after="0" w:line="339"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Twilio Voice. </w:t>
      </w:r>
      <w:r>
        <w:rPr>
          <w:rFonts w:ascii="Arial" w:cs="Arial" w:eastAsia="Arial" w:hAnsi="Arial"/>
          <w:sz w:val="16"/>
          <w:szCs w:val="16"/>
          <w:color w:val="auto"/>
        </w:rPr>
        <w:t>Initiate, receive and manage phone calls globally, end to end through traditional voice technology or between web browsers and</w:t>
      </w:r>
      <w:r>
        <w:rPr>
          <w:rFonts w:ascii="Arial" w:cs="Arial" w:eastAsia="Arial" w:hAnsi="Arial"/>
          <w:sz w:val="16"/>
          <w:szCs w:val="16"/>
          <w:b w:val="1"/>
          <w:bCs w:val="1"/>
          <w:color w:val="auto"/>
        </w:rPr>
        <w:t xml:space="preserve"> </w:t>
      </w:r>
      <w:r>
        <w:rPr>
          <w:rFonts w:ascii="Arial" w:cs="Arial" w:eastAsia="Arial" w:hAnsi="Arial"/>
          <w:sz w:val="16"/>
          <w:szCs w:val="16"/>
          <w:color w:val="auto"/>
        </w:rPr>
        <w:t>landlines or mobile phones. Voice calling can also be integrated natively in Apple iOS and Google Android apps.</w:t>
      </w:r>
    </w:p>
    <w:p>
      <w:pPr>
        <w:spacing w:after="0" w:line="15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Call Recording. </w:t>
      </w:r>
      <w:r>
        <w:rPr>
          <w:rFonts w:ascii="Arial" w:cs="Arial" w:eastAsia="Arial" w:hAnsi="Arial"/>
          <w:sz w:val="18"/>
          <w:szCs w:val="18"/>
          <w:color w:val="auto"/>
        </w:rPr>
        <w:t>Securely record, store, transcribe and retrieve voice calls in the cloud.</w:t>
      </w:r>
    </w:p>
    <w:p>
      <w:pPr>
        <w:spacing w:after="0" w:line="238" w:lineRule="exact"/>
        <w:rPr>
          <w:rFonts w:ascii="Arial" w:cs="Arial" w:eastAsia="Arial" w:hAnsi="Arial"/>
          <w:sz w:val="18"/>
          <w:szCs w:val="18"/>
          <w:color w:val="auto"/>
        </w:rPr>
      </w:pPr>
    </w:p>
    <w:p>
      <w:pPr>
        <w:ind w:left="1080" w:right="420" w:hanging="532"/>
        <w:spacing w:after="0" w:line="378"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Global Conference. </w:t>
      </w:r>
      <w:r>
        <w:rPr>
          <w:rFonts w:ascii="Arial" w:cs="Arial" w:eastAsia="Arial" w:hAnsi="Arial"/>
          <w:sz w:val="15"/>
          <w:szCs w:val="15"/>
          <w:color w:val="auto"/>
        </w:rPr>
        <w:t>Integrate audio conferencing that intelligently routes calls through cloud data centers in the closest of seven geographic</w:t>
      </w:r>
      <w:r>
        <w:rPr>
          <w:rFonts w:ascii="Arial" w:cs="Arial" w:eastAsia="Arial" w:hAnsi="Arial"/>
          <w:sz w:val="15"/>
          <w:szCs w:val="15"/>
          <w:b w:val="1"/>
          <w:bCs w:val="1"/>
          <w:color w:val="auto"/>
        </w:rPr>
        <w:t xml:space="preserve"> </w:t>
      </w:r>
      <w:r>
        <w:rPr>
          <w:rFonts w:ascii="Arial" w:cs="Arial" w:eastAsia="Arial" w:hAnsi="Arial"/>
          <w:sz w:val="15"/>
          <w:szCs w:val="15"/>
          <w:color w:val="auto"/>
        </w:rPr>
        <w:t>regions to reduce latency. Scales from Basic, for a limited number of participants, to Epic, for an unlimited number of participants.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charge on a per-minute basis for most of our Programmable Voice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Programmable Messaging</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Programmable Messaging software products allow developers to build solutions to send and receive text messages globally, and incorporate advanced messaging functionality such as emoji, picture messaging and localized languages. Our customers use Programmable Messaging, through software controls, to power use cases, such as appointment reminders, delivery notifications, order confirmations and customer care. We offer messaging over long-code numbers, short-code numbers, messaging apps such as Facebook Messenger and over IP through our Android, iOS and JavaScript software development kits. Programmable Messaging includes:</w:t>
      </w:r>
    </w:p>
    <w:p>
      <w:pPr>
        <w:spacing w:after="0" w:line="20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Twilio SMS. </w:t>
      </w:r>
      <w:r>
        <w:rPr>
          <w:rFonts w:ascii="Arial" w:cs="Arial" w:eastAsia="Arial" w:hAnsi="Arial"/>
          <w:sz w:val="16"/>
          <w:szCs w:val="16"/>
          <w:color w:val="auto"/>
        </w:rPr>
        <w:t>Programmatically send, receive and track SMS messages around the world, supporting localized languages in nearly every market.</w:t>
      </w:r>
    </w:p>
    <w:p>
      <w:pPr>
        <w:spacing w:after="0" w:line="275" w:lineRule="exact"/>
        <w:rPr>
          <w:rFonts w:ascii="Arial" w:cs="Arial" w:eastAsia="Arial" w:hAnsi="Arial"/>
          <w:sz w:val="16"/>
          <w:szCs w:val="16"/>
          <w:color w:val="auto"/>
        </w:rPr>
      </w:pPr>
    </w:p>
    <w:p>
      <w:pPr>
        <w:ind w:left="1080" w:right="340" w:hanging="532"/>
        <w:spacing w:after="0" w:line="27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Twilio MMS. </w:t>
      </w:r>
      <w:r>
        <w:rPr>
          <w:rFonts w:ascii="Arial" w:cs="Arial" w:eastAsia="Arial" w:hAnsi="Arial"/>
          <w:sz w:val="18"/>
          <w:szCs w:val="18"/>
          <w:color w:val="auto"/>
        </w:rPr>
        <w:t>Exchange picture messages and more over U.S. and Canadian phone numbers from customer applications with built-in image</w:t>
      </w:r>
      <w:r>
        <w:rPr>
          <w:rFonts w:ascii="Arial" w:cs="Arial" w:eastAsia="Arial" w:hAnsi="Arial"/>
          <w:sz w:val="18"/>
          <w:szCs w:val="18"/>
          <w:b w:val="1"/>
          <w:bCs w:val="1"/>
          <w:color w:val="auto"/>
        </w:rPr>
        <w:t xml:space="preserve"> </w:t>
      </w:r>
      <w:r>
        <w:rPr>
          <w:rFonts w:ascii="Arial" w:cs="Arial" w:eastAsia="Arial" w:hAnsi="Arial"/>
          <w:sz w:val="18"/>
          <w:szCs w:val="18"/>
          <w:color w:val="auto"/>
        </w:rPr>
        <w:t>transcoding and media storage.</w:t>
      </w:r>
    </w:p>
    <w:p>
      <w:pPr>
        <w:spacing w:after="0" w:line="187" w:lineRule="exact"/>
        <w:rPr>
          <w:rFonts w:ascii="Arial" w:cs="Arial" w:eastAsia="Arial" w:hAnsi="Arial"/>
          <w:sz w:val="18"/>
          <w:szCs w:val="18"/>
          <w:color w:val="auto"/>
        </w:rPr>
      </w:pPr>
    </w:p>
    <w:p>
      <w:pPr>
        <w:ind w:left="1080" w:right="620" w:hanging="532"/>
        <w:spacing w:after="0" w:line="27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Copilot. </w:t>
      </w:r>
      <w:r>
        <w:rPr>
          <w:rFonts w:ascii="Arial" w:cs="Arial" w:eastAsia="Arial" w:hAnsi="Arial"/>
          <w:sz w:val="18"/>
          <w:szCs w:val="18"/>
          <w:color w:val="auto"/>
        </w:rPr>
        <w:t>Intelligent software layer that handles tasks, such as dynamically sending messages from a phone number that best matches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location of the recipient based on a global pool of numbers.</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Programmable Chat. </w:t>
      </w:r>
      <w:r>
        <w:rPr>
          <w:rFonts w:ascii="Arial" w:cs="Arial" w:eastAsia="Arial" w:hAnsi="Arial"/>
          <w:sz w:val="18"/>
          <w:szCs w:val="18"/>
          <w:color w:val="auto"/>
        </w:rPr>
        <w:t>Deploy contextual, in-app messaging at global scale.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Channels. </w:t>
      </w:r>
      <w:r>
        <w:rPr>
          <w:rFonts w:ascii="Arial" w:cs="Arial" w:eastAsia="Arial" w:hAnsi="Arial"/>
          <w:sz w:val="16"/>
          <w:szCs w:val="16"/>
          <w:color w:val="auto"/>
        </w:rPr>
        <w:t>Programmatically send, receive and track messages to messaging apps such as Facebook Messenger and Viber globally.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Toll-Free SMS. </w:t>
      </w:r>
      <w:r>
        <w:rPr>
          <w:rFonts w:ascii="Arial" w:cs="Arial" w:eastAsia="Arial" w:hAnsi="Arial"/>
          <w:sz w:val="16"/>
          <w:szCs w:val="16"/>
          <w:color w:val="auto"/>
        </w:rPr>
        <w:t>Send and receive text messages with the same toll-free number used for voice calls in the United States and Canada.</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charge on a per-message basis for most of our Programmable Messaging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Programmable Video</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Programmable Video provides developers with the building blocks to add voice and video to web and mobile applications. Developers can address multiple use cases such as remote customer care, multi-party collaboration, video consultations and more by leveraging Programmable Video's global cloud infrastructure and powerful SDKs to build on WebRTC. Programmable Video includes:</w:t>
      </w:r>
    </w:p>
    <w:p>
      <w:pPr>
        <w:spacing w:after="0" w:line="202" w:lineRule="exact"/>
        <w:rPr>
          <w:sz w:val="20"/>
          <w:szCs w:val="20"/>
          <w:color w:val="auto"/>
        </w:rPr>
      </w:pPr>
    </w:p>
    <w:p>
      <w:pPr>
        <w:ind w:left="1080" w:right="80" w:hanging="532"/>
        <w:spacing w:after="0" w:line="27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Twilio Video. </w:t>
      </w:r>
      <w:r>
        <w:rPr>
          <w:rFonts w:ascii="Arial" w:cs="Arial" w:eastAsia="Arial" w:hAnsi="Arial"/>
          <w:sz w:val="18"/>
          <w:szCs w:val="18"/>
          <w:color w:val="auto"/>
        </w:rPr>
        <w:t>Create rich, multi-party video experiences in web and mobile applications with features such as one-to-one and multi-party video</w:t>
      </w:r>
      <w:r>
        <w:rPr>
          <w:rFonts w:ascii="Arial" w:cs="Arial" w:eastAsia="Arial" w:hAnsi="Arial"/>
          <w:sz w:val="18"/>
          <w:szCs w:val="18"/>
          <w:b w:val="1"/>
          <w:bCs w:val="1"/>
          <w:color w:val="auto"/>
        </w:rPr>
        <w:t xml:space="preserve"> </w:t>
      </w:r>
      <w:r>
        <w:rPr>
          <w:rFonts w:ascii="Arial" w:cs="Arial" w:eastAsia="Arial" w:hAnsi="Arial"/>
          <w:sz w:val="18"/>
          <w:szCs w:val="18"/>
          <w:color w:val="auto"/>
        </w:rPr>
        <w:t>calling, cloud based recordings, screen sharing etc.</w:t>
      </w:r>
    </w:p>
    <w:p>
      <w:pPr>
        <w:spacing w:after="0" w:line="200" w:lineRule="exact"/>
        <w:rPr>
          <w:rFonts w:ascii="Arial" w:cs="Arial" w:eastAsia="Arial" w:hAnsi="Arial"/>
          <w:sz w:val="18"/>
          <w:szCs w:val="18"/>
          <w:color w:val="auto"/>
        </w:rPr>
      </w:pPr>
    </w:p>
    <w:p>
      <w:pPr>
        <w:ind w:left="1080" w:right="200" w:hanging="532"/>
        <w:spacing w:after="0" w:line="310"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Network Traversal. </w:t>
      </w:r>
      <w:r>
        <w:rPr>
          <w:rFonts w:ascii="Arial" w:cs="Arial" w:eastAsia="Arial" w:hAnsi="Arial"/>
          <w:sz w:val="16"/>
          <w:szCs w:val="16"/>
          <w:color w:val="auto"/>
        </w:rPr>
        <w:t>Provide low-latency, cost-effective and reliable Session Traversal Utilities for Network Address Translation (STUN) and</w:t>
      </w:r>
      <w:r>
        <w:rPr>
          <w:rFonts w:ascii="Arial" w:cs="Arial" w:eastAsia="Arial" w:hAnsi="Arial"/>
          <w:sz w:val="16"/>
          <w:szCs w:val="16"/>
          <w:b w:val="1"/>
          <w:bCs w:val="1"/>
          <w:color w:val="auto"/>
        </w:rPr>
        <w:t xml:space="preserve"> </w:t>
      </w:r>
      <w:r>
        <w:rPr>
          <w:rFonts w:ascii="Arial" w:cs="Arial" w:eastAsia="Arial" w:hAnsi="Arial"/>
          <w:sz w:val="16"/>
          <w:szCs w:val="16"/>
          <w:color w:val="auto"/>
        </w:rPr>
        <w:t>Traversal Using Relay for Network Address Translation (TURN) capabilities distributed across five continents. This functionality allows developers to initiate peer-to-peer video sessions across any internet-connected device globally.</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charge on a per-connected-endpoint, per-active-endpoint and per-gigabit basis for our Programmable Video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Super Network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Programmable Communications Cloud is built on top of our global software layer, which we call our Super Network. Our Super Network interfaces intelligently with communications networks globally. We do not own any physical network infrastructure. We use software to build a high performance network that optimizes performance for our customers. The Super Network also contains a set of API's giving our customers access to more foundational components of our platform, like phone numbers and Session Initiation Protocol ("SIP") Trunking.</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40" w:hanging="532"/>
        <w:spacing w:after="0" w:line="27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Instant Phone Number Provisioning. </w:t>
      </w:r>
      <w:r>
        <w:rPr>
          <w:rFonts w:ascii="Arial" w:cs="Arial" w:eastAsia="Arial" w:hAnsi="Arial"/>
          <w:sz w:val="18"/>
          <w:szCs w:val="18"/>
          <w:color w:val="auto"/>
        </w:rPr>
        <w:t>Acquire local, national, mobile and toll-free phone numbers on demand in over 100 countries and connect</w:t>
      </w:r>
      <w:r>
        <w:rPr>
          <w:rFonts w:ascii="Arial" w:cs="Arial" w:eastAsia="Arial" w:hAnsi="Arial"/>
          <w:sz w:val="18"/>
          <w:szCs w:val="18"/>
          <w:b w:val="1"/>
          <w:bCs w:val="1"/>
          <w:color w:val="auto"/>
        </w:rPr>
        <w:t xml:space="preserve"> </w:t>
      </w:r>
      <w:r>
        <w:rPr>
          <w:rFonts w:ascii="Arial" w:cs="Arial" w:eastAsia="Arial" w:hAnsi="Arial"/>
          <w:sz w:val="18"/>
          <w:szCs w:val="18"/>
          <w:color w:val="auto"/>
        </w:rPr>
        <w:t>them into the customers' applications.</w:t>
      </w:r>
    </w:p>
    <w:p>
      <w:pPr>
        <w:spacing w:after="0" w:line="200" w:lineRule="exact"/>
        <w:rPr>
          <w:rFonts w:ascii="Arial" w:cs="Arial" w:eastAsia="Arial" w:hAnsi="Arial"/>
          <w:sz w:val="18"/>
          <w:szCs w:val="18"/>
          <w:color w:val="auto"/>
        </w:rPr>
      </w:pPr>
    </w:p>
    <w:p>
      <w:pPr>
        <w:ind w:left="1080" w:right="140" w:hanging="532"/>
        <w:spacing w:after="0" w:line="27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Short Codes. </w:t>
      </w:r>
      <w:r>
        <w:rPr>
          <w:rFonts w:ascii="Arial" w:cs="Arial" w:eastAsia="Arial" w:hAnsi="Arial"/>
          <w:sz w:val="18"/>
          <w:szCs w:val="18"/>
          <w:color w:val="auto"/>
        </w:rPr>
        <w:t>A five to seven digit phone number in the United States, Canada and the United Kingdom used to send and receive a high-volume</w:t>
      </w:r>
      <w:r>
        <w:rPr>
          <w:rFonts w:ascii="Arial" w:cs="Arial" w:eastAsia="Arial" w:hAnsi="Arial"/>
          <w:sz w:val="18"/>
          <w:szCs w:val="18"/>
          <w:b w:val="1"/>
          <w:bCs w:val="1"/>
          <w:color w:val="auto"/>
        </w:rPr>
        <w:t xml:space="preserve"> </w:t>
      </w:r>
      <w:r>
        <w:rPr>
          <w:rFonts w:ascii="Arial" w:cs="Arial" w:eastAsia="Arial" w:hAnsi="Arial"/>
          <w:sz w:val="18"/>
          <w:szCs w:val="18"/>
          <w:color w:val="auto"/>
        </w:rPr>
        <w:t>of messages per second.</w:t>
      </w:r>
    </w:p>
    <w:p>
      <w:pPr>
        <w:spacing w:after="0" w:line="18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Elastic SIP Trunking. </w:t>
      </w:r>
      <w:r>
        <w:rPr>
          <w:rFonts w:ascii="Arial" w:cs="Arial" w:eastAsia="Arial" w:hAnsi="Arial"/>
          <w:sz w:val="18"/>
          <w:szCs w:val="18"/>
          <w:color w:val="auto"/>
        </w:rPr>
        <w:t>Connect legacy voice applications to our Super Network over IP infrastructure with globally-available phone numbers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pay-as-you-go pricing.</w:t>
      </w:r>
    </w:p>
    <w:p>
      <w:pPr>
        <w:spacing w:after="0" w:line="187" w:lineRule="exact"/>
        <w:rPr>
          <w:rFonts w:ascii="Arial" w:cs="Arial" w:eastAsia="Arial" w:hAnsi="Arial"/>
          <w:sz w:val="18"/>
          <w:szCs w:val="18"/>
          <w:color w:val="auto"/>
        </w:rPr>
      </w:pPr>
    </w:p>
    <w:p>
      <w:pPr>
        <w:ind w:left="360" w:right="240" w:firstLine="188"/>
        <w:spacing w:after="0" w:line="501" w:lineRule="auto"/>
        <w:tabs>
          <w:tab w:leader="none" w:pos="109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Interconnect. </w:t>
      </w:r>
      <w:r>
        <w:rPr>
          <w:rFonts w:ascii="Arial" w:cs="Arial" w:eastAsia="Arial" w:hAnsi="Arial"/>
          <w:sz w:val="18"/>
          <w:szCs w:val="18"/>
          <w:color w:val="auto"/>
        </w:rPr>
        <w:t>Connect privately to Twilio to enable enterprise grade security and quality of service for Twilio Voice and Elastic SIP Trunking.</w:t>
      </w:r>
      <w:r>
        <w:rPr>
          <w:rFonts w:ascii="Arial" w:cs="Arial" w:eastAsia="Arial" w:hAnsi="Arial"/>
          <w:sz w:val="18"/>
          <w:szCs w:val="18"/>
          <w:b w:val="1"/>
          <w:bCs w:val="1"/>
          <w:color w:val="auto"/>
        </w:rPr>
        <w:t xml:space="preserve"> </w:t>
      </w:r>
      <w:r>
        <w:rPr>
          <w:rFonts w:ascii="Arial" w:cs="Arial" w:eastAsia="Arial" w:hAnsi="Arial"/>
          <w:sz w:val="18"/>
          <w:szCs w:val="18"/>
          <w:color w:val="auto"/>
        </w:rPr>
        <w:t>We charge on a per-minute or per-phone-number basis for most of our Super Network products.</w:t>
      </w: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December 31, 2017, we had a total of 996 employees, including 215 employees located outside of the United States. None of our employees are represented by a labor union or covered by a collective bargaining agreement. We have not experienced any work stoppages, and we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research and development efforts are focused on ensuring that our platform is resilient and available to our customers at any time, and on enhancing our existing products and developing new products.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 Our development teams designed, built and continue to expand our Engagement Cloud, Programmable Communications Cloud and Super Network.</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2017, we had 497 employees in our research and development organization. We intend to continue to invest in our research and development capabilities to extend our platform and bring the power of contextual communications to a broader range of applications, geographies and customers. Our research and development expenses for the years ended December 31, 2017, 2016 and 2015 were $120.7 million, $77.9 million and $42.6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revenue from customers.</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go-to-market model is primarily focused on reaching and serving the needs of developers. We are a pioneer of developer evangelism and education and have cultivated a large global developer community. We reach developers through community events and conferences, including our SIGNAL developer conference, to demonstrate how every developer can create differentiated applications incorporating communications using our products.</w:t>
      </w:r>
    </w:p>
    <w:p>
      <w:pPr>
        <w:spacing w:after="0" w:line="161"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Once developers are introduced to our platform, we provide them with a low-friction trial experience. By accessing our easy-to-configure APIs, extensive self-service documentation and customer support team, developers can build our products into their applications and then test such applications during an initial free trial period that we provide. Once they have decided to use our products beyond the initial free trial period, customers provide their credit card information and only pay for the actual usage of our products. Our self-serve pricing matrix is publicly available and it allows for customers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receive automatic tiered discounts as their usage of our products increases. As customers' use of our products grows larger, some enter into negotiated contracts with terms that dictate pricing, and typically include some level of minimum revenue commitments. Historically, we have acquired the substantial majority of our customers through this self-service model. As customers expand their usage of our platform, our relationships with them often evolve to include business leaders within their organizations. Once our customers reach a certain spending level with us, we support them with account managers or customer success advocates to ensure their satisfaction and expand their usage of our products.</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When potential customers do not have the available developer resources to build their own applications, we refer them to our Solution Partners, who embed our products in the solutions that they sell to other businesses, such as contact centers and sales force and marketing automation.</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also supplement our self-service model with a sales effort aimed at engaging larger potential customers, strategic leads and existing customers through a direct sales approach. We have supplemented this sales effort with our Twilio Enterprise Plan, which provides capabilities for advanced security, access management and granular administration. Our sales organization targets technical leaders and business leaders who are seeking to leverage software to drive competitive differentiation. As we educate these leaders on the benefits of developing applications incorporating our products to differentiate their business, they often consult with their developers regarding implementation. We believe that developers are often advocates for our products as a result of our developer-focused approach. Our sales organization includes sales development, inside sales, field sales and sales engineering personnel.</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358 employees in our sales and marketing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designed our products and platform to be self-service and require minimal customer support. To enable seamless self-service, we provide all of our users with helper libraries, comprehensive documentation, how-to's and tutorials. We supplement and enhance these tools with the participation of our engaged developer community. In addition, we provide support options to address the individualized needs of our customers. All developers get free email-based support with API status notifications. Our developers also engage with the broader Twilio community to resolve certain issues.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also offer three paid tiers of email and phone support with increasing levels of availability and guaranteed response times. Our highest tier personalized plan is intended for our largest customers and includes guaranteed response times that vary based on the priority of the request, a dedicated support engineer, a duty manager and quarterly status review. Our support model is global, with 24x7 coverage and support offices located in the United States, the United Kingdom, Estonia and Singapore. We currently derive an insignificant amount of revenue from fees charged for customer support.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market for Cloud Communications Platform is rapidly evolving and increasingly competitive. We believe that the principal competitive factors in our market are:</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completeness of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credibility with developers;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reach;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platform scalability, reliability, security and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deploying and using our products.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believe that we compete favorably on the basis of the factors listed above. We believe that none of our competitors currently competes directly with us across all of our product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competitors fall into four primary categories: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legacy on-premise vendors, such as Avaya and Cisco;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network service providers that offer limited developer functionality on top of their own physical infrastructure;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smaller software companies that compete with portions of our product line;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software-as-a-service "SaaS" companies that offer prepackaged applications for a narrow set of use cases.</w:t>
      </w:r>
    </w:p>
    <w:p>
      <w:pPr>
        <w:spacing w:after="0" w:line="225"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Some of our competitors have greater financial, technical and other resources, greater name recognition, larger sales and marketing budgets and larger intellectual property portfolios.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1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2017, in the United States, we had been issued 77 patents, which expire between 2029 and 2036, and had 42 patent applications pending for examination and three pending provisional applications. As of such date, we also had seven issued patents and seven patent applications pending for examination in foreign jurisdictions, all of which are related to U.S. patents and patent applications. In addition, as of December 31, 2017, we had 14 trademarks registered in the United States and 61 trademarks registered in foreign jurisdictions.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further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7"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Despite our efforts to protect our technology and proprietary rights through intellectual property rights, licenses and other contractual protections, unauthorized parties may still copy or otherwise obtain and use our software and other technology. In addition, we intend to continue to expand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We currently are subject to, and expect to face in the future, allegations that we have infringed the intellectual property rights of third parties, including our competitors and non-practicing entities.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a number of U.S. federal and state and foreign laws and regulations that involve matters central to our business. These laws and regulations may involve privacy, data protection, intellectual property, competition, consumer protection, export taxation or other subjects. 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global laws and regulations have continued to develop and evolve rapidly, it is possible that we or our products or our platform may not be, or may not have been, compliant with each such applicable law or regulation.</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example, the GDPR, which will take full effect on May 25, 2018,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Noncompliance with the GDPR can trigger fines equal to the greater of €20 million or 4% of global annual revenue. Given the breadth and depth of changes in data protection obligations, preparing to meet the requirements of GDPR before its effective date has required significant time and resources, including a review of our technology and systems currently in use against the requirements of GDPR. We have taken steps to prepare for complying with GDPR, including integrating GDPR-compliant privacy protections into our products and platform, commercial agreements and record-keeping practices to help us and our customers meet the compliance obligations of GDPR. However, additional EU laws and regulations (and member states' implementations thereof) further govern the protection of consumers and of electronic communications. If our efforts to comply with GDPR or other applicable EU laws and regulations are not successful, we may be subject to penalties and fines that would adversely impact our business and results of operations, and our ability to conduct business in the EU could be significantly impaired.</w:t>
      </w:r>
    </w:p>
    <w:p>
      <w:pPr>
        <w:spacing w:after="0" w:line="17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the Telephone Consumer Protection Act of 1991 ("TCPA"), restricts telemarketing and the use of automatic text messages without proper consent. The scope and interpretation of the laws that are or may be applicable to the delivery of text messages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Twilio Inc. was incorporated in Delaware in March 2008. Our principal executive offices are located at 375 Beale Street, Third Floor, San Francisco, California 94105, and our telephone number is (415) 390-2337. Our website address is www.twilio.com. Information contained on, or that can be accessed through, our website does not constitute part of this Annual Report on Form 10-K.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Twilio, the Twilio logo and other trademarks or service marks of Twilio appearing in this Annual Report on Form 10-K are the property of Twilio. Trade names, trademarks and service marks of other companies appearing in this Annual Report on Form 10-K are the property of their respective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 Revenue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geographic revenue is set forth in Note 9 of our Notes to our Consolidated Financial Statements included in Part II, Item 8, "Financial Statements and Supplementary Data"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filings are available through our investor relations website after we file them with the Securities and Exchange Commission ("SEC"): Annual Report on Form 10-K, Quarterly Reports on Form 10-Q and our Proxy Statement for our annual meeting of stockholders. These filings are also available for download free of charge on our investor relations website. Our investor relations website is located at http://investors.twilio.com/. You may obtain copies of this information by mail from the Public Reference Section of the SEC, 100 F Street, N.E., Room 1580, Washington, D.C. 20549. The SEC also maintains an Internet website that contains reports, proxy statements and other information about issuers, like us, that file electronically with the SEC. The address of that website is www.sec.gov.</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Part II, Item 7, "Management's Discussion and Analysis of Financial Condition and Results of Operations" and our condensed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market for our products and platform is new and unproven, may decline or experience limited growth and is dependent in part on developers continuing to adopt our platform and use our products.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We were founded in 2008, and we have been developing and providing a cloud-based platform that enables developers and organizations to integrate voice, messaging and video communications capabilities into their software applications. This market is relatively new and unproven and is subject to a number of risks and uncertainties. We believe that our revenue currently constitutes a significant portion of the total revenue in this market, and therefore, we believe that our future success will depend in large part on the growth, if any, of this market. The utilization of APIs by developers and organizations to build communications functionality into their applications is still relatively new, and developers and organizations may not recognize the need for, or benefits of, our products and platform. Moreover, if they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and other causes. If our market does not experience significant growth or demand for our products decreases, then our business, results of operations and financial condition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are uncertain about our future profitability.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incurred net losses in each year since our inception, including net losses of $63.7 million, $41.3 million and $35.5 million in 2017, 2016 and 2015, respectively. We had an accumulated deficit of $250.4 million as of December 31, 2017. We expect to continue to expend substantial financial and other resources on, among other things:</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investments in our engineering team, the development of new products, features and functionality and enhancements to our platform;</w:t>
      </w:r>
    </w:p>
    <w:p>
      <w:pPr>
        <w:spacing w:after="0" w:line="27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operations and infrastructure, both domestically and internationally;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These investments may not result in increased revenue or growth of our business. We also expect that our revenue growth rate will decline over time. Accordingly, we may not be able to generate sufficient revenue to offset our expected cost increases and achieve and sustain profitability. If we fail to achieve and sustain profitability, then our business, results of operations and financial condition would be adversely affected.</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experienced substantial growth in our business since inception. For example, our headcount has grown from 730 employees on December 31, 2016 to 996 employees on December 31, 2017. In addition, we are rapidly expanding our international operations. Our international headcount grew from 125 employees as of December 31, 2016 to 215 employees as of December 31, 2017, and we established operations in one new country within that same period.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w:t>
      </w:r>
    </w:p>
    <w:p>
      <w:pPr>
        <w:spacing w:after="0" w:line="174" w:lineRule="exact"/>
        <w:rPr>
          <w:sz w:val="20"/>
          <w:szCs w:val="20"/>
          <w:color w:val="auto"/>
        </w:rPr>
      </w:pPr>
    </w:p>
    <w:p>
      <w:pPr>
        <w:jc w:val="both"/>
        <w:ind w:right="40" w:firstLine="348"/>
        <w:spacing w:after="0" w:line="294" w:lineRule="auto"/>
        <w:rPr>
          <w:sz w:val="20"/>
          <w:szCs w:val="20"/>
          <w:color w:val="auto"/>
        </w:rPr>
      </w:pPr>
      <w:r>
        <w:rPr>
          <w:rFonts w:ascii="Arial" w:cs="Arial" w:eastAsia="Arial" w:hAnsi="Arial"/>
          <w:sz w:val="16"/>
          <w:szCs w:val="16"/>
          <w:color w:val="auto"/>
        </w:rPr>
        <w:t>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may be difficult to predict and may or may not fully reflect the underlying performance of our business. If our quarterly results of operations fall below the expectations of investors or securities analysts, then the trading price of our Class A common stock could decline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Some of the important factors that may cause our results of operations to fluctuate from quarter to quarter include:</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 and attract new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amount of revenue from our Variable Customer Accounts and our larger Base Customer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enterprises and international organizations as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and the actions of our competitors, including pricing changes and the introduction of new products, services and geographies;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new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network service provider fees that we pay in connection with the delivery of communications on our platform;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cloud infrastructure fees that we pay in connection with the operation of our platform;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as a result of our optimization efforts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 including our enterprise sales force, which has been a focus of our recent expansion efforts;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the mix of products that our customers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the revenue mix of U.S. and international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regulations or regulatory enforcement, in the United States or internationally, that impact our ability to market, sell or deliver our products;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 including investments in our international expansion;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on our platform;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customer payments and any difficulty in collecting accounts receivable from customers;</w:t>
      </w:r>
    </w:p>
    <w:p>
      <w:pPr>
        <w:spacing w:after="0" w:line="23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 connection with mergers, acquisitions or other strategic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98"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6"/>
          <w:szCs w:val="16"/>
          <w:color w:val="auto"/>
        </w:rPr>
        <w:t>Additionally, certain large scale events, such as major elections and sporting events, can significantly impact usage levels on our platform, which could cause fluctuations in our results of operations. We expect that significantly increased usage of all communications platforms, including ours, during certain seasonal and one-time events could impact delivery and quality of our products during those events. We also experienced increased expenses in the second quarter of 2017 due to our developer conference, SIGNAL, which we plan to host in the fourth quarter of 2018 and plan to host annually. Such annual and one-time events may cause fluctuations in our results of operations and may impact both our revenue and operating expenses.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our ability to be thought leaders in the cloud communications market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From time to time, our customers have complained about our products, such as complaints about our pricing and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and reputation. Complaints or negative publicity about us, our products or our platform could materially and adversely impact our ability to attract and retain customers, our business, results of operations and financial condition.</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products, and any loss of customers or decline in their use of our products could materially and adversely affect our business, results of operations and financial condition.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and to have them increase their usage of our platform. If our customers do not increase their use of our products, then our revenue may decline and our results of operations may be harmed. For example, Uber, our largest Base Customer, decreased its usage of our products throughout 2017, which will result in decreased revenues from this customer versus recent historical periods.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7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8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develop may not be introduced in a timely or cost-effective manner, may contain errors or defects,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increase adoption of our products by enterprises, our business, results of operations and financial condition may be adversely affected.</w:t>
      </w:r>
    </w:p>
    <w:p>
      <w:pPr>
        <w:spacing w:after="0" w:line="26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Historically, we have relied on the adoption of our products by software developers through our self-service model for a significant majority of our revenue, and we currently generate only a small portion of our revenue from enterprise customers. Our ability to increase our customer base, especially among enterprises, and achieve broader market acceptance of our products will depend, in part, on our ability to effectively organize, focus and train our sales and marketing personnel. We have limited experience selling to enterprises and only recently established an enterprise-focused sales force.</w:t>
      </w:r>
    </w:p>
    <w:p>
      <w:pPr>
        <w:spacing w:after="0" w:line="16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ability to convince enterprises to adopt our products will depend, in part, on our ability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personnel to become productive.</w:t>
      </w:r>
    </w:p>
    <w:p>
      <w:pPr>
        <w:spacing w:after="0" w:line="172"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we seek to increase the adoption of our products by enterprises, we expect to incur higher costs and longer sales cycles. In this market segment, the decision to adopt our products may require the approval of multiple technical and business decision makers, including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increases,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are unable to expand our relationships with existing Solution Partner customers and add new Solution Partner customers, our business, results of operations and financial condition could be adversely affected.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the continued growth of our business depends in part upon developing and expanding strategic relationships with Solution Partner customers. Solution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our network of Solution Partner customers.</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part of our growth strategy, we intend to expand our relationships with existing Solution Partner customers and add new Solution Partner customers. If we fail to expand our relationships with existing Solution Partner customers or establish relationships with new Solution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rely upon Amazon Web Services to operate our platform, and any disruption of or interference with our use of Amazon Web Services would adversely affect our business, results of operations and financial condition.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We outsource substantially all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fraud or security attacks. For instance, in September 2015, AWS suffered a significant outage that had a widespread impact on the ability of our customers to use several of our products.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pacing w:after="0" w:line="17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by providing 30 days prior written notice, and it may in some cases terminate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Any of the above circumstances or events may harm our reputation,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deliver our products, we rely on network service providers for our network service.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interconnect with network service providers around the world to enable the use by our customers of our products over their networks. We expect that we will continue to rely heavily on network service providers for these services going forward.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 Furthermore, many of these network service providers do not have long-term committed contracts with us and may terminate their agreements with us without notice or restriction.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in part on our ability to drive the adoption of our products by international customers.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2017, 2016 and 2015, we derived 23%, 16% and 14%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expanding our international operations, which exposes us to significant risks.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continuing to expand our international operations to increase our revenue from customers outside of the United States as part of our growth strategy. Between December 31, 2016 and December 31, 2017, our international headcount grew from 125 employees to 215 employees, and we opened one new office outside of the United States. We expect to open additional foreign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239" w:lineRule="exact"/>
        <w:rPr>
          <w:sz w:val="20"/>
          <w:szCs w:val="20"/>
          <w:color w:val="auto"/>
        </w:rPr>
      </w:pPr>
    </w:p>
    <w:p>
      <w:pPr>
        <w:ind w:left="1080" w:right="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political developments in the United Kingdom ("U.K."), including the planned departure of the U.K. from the European Union (EU) in March 2019, which has created an uncertain political and economic environment, instability for businesses and volatility in global financial markets;</w:t>
      </w:r>
    </w:p>
    <w:p>
      <w:pPr>
        <w:spacing w:after="0" w:line="221"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the General Data Protection Regulation ("GDPR"), which will go into effect on May 25,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with differing technical and environmental standards, data privacy and telecommunications regulations and certification requirements outside the United States, which could prevent customers from deploying our products or limit their usage;</w:t>
      </w:r>
    </w:p>
    <w:p>
      <w:pPr>
        <w:spacing w:after="0" w:line="152"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Department of Commerce Bureau of Industry and Security and the Treasury Department's Office of Foreign Assets Control;</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and United Kingdom Bribery Act of 2010;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86"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Also, due to costs from our international expansion efforts and network service provider fees outside of the United States, which generally are higher than domestic rates, our gross margin for</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international customers is typically lower than our gross margin for domestic customers. As a result, our gross margin may be impacted and fluctuate as we expand our operations and customer base worldwide.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2017, 2016 and 2015, our 10 largest Active Customer Accounts generated an aggregate of 19%, 30% and 32% of our revenue, respectively. In addition, a significant portion of our revenue comes from two customers, one of which is a Variable Customer Account.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2017, 2016 and 2015, WhatsApp, a Variable Customer, accounted for 6%, 9% and 17% of our revenue, respectively. WhatsApp uses our Programmable Voice products and Programmable Messaging products in its applications to verify new and existing users on its service. Our Variable Customer Accounts, including WhatsApp, do not have long-term contracts with us and may reduce or fully terminate their usage of our products at any time without notice, penalty or termination charges. In addition, the usage of our products by WhatsApp and other Variable Customer Accounts may change significantly between periods.</w:t>
      </w:r>
    </w:p>
    <w:p>
      <w:pPr>
        <w:spacing w:after="0" w:line="16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2017, 2016 and 2015, a second customer, Uber, a Base Customer, accounted for 8%, 14% and 9% of our revenue, respectively. Uber uses our Programmable Messaging products and Programmable Voice products. Uber, or any other one of our Base Customers, could significantly reduce their usage of our products without notice or penalty. Uber decreased its usage of our products throughout 2017 and may continue to do so in the future.</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event that our large customers do not continue to use our products, use fewer of our products, or use our products in a more limited capacity, or not at all, our business, results of operations and financial condition could be adversely affected.</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business, results of operations and financial condition could be harmed.</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products. Our competitors fall into four primary categories:</w:t>
      </w:r>
    </w:p>
    <w:p>
      <w:pPr>
        <w:spacing w:after="0" w:line="180"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legacy on-premise vendors, such as Avaya and Cisco;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network service providers that offer limited developer functionality on top of their own physical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smaller software companies that compete with portions of our product line;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SaaS companies that offer prepackaged applications for a narrow set of use cases.</w:t>
      </w:r>
    </w:p>
    <w:p>
      <w:pPr>
        <w:spacing w:after="0" w:line="225"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larger budgets and significantly greater resources than we do. In addition, they have the operating flexibility to bundle competing products and services at little or no perceived incremental cost, including offering them at a lower price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part of a larger sales transaction.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more easily replace our products with competitive offerings. Our customers also may choose to build some of the functionality our products provide, which may limit or eliminate their demand for our products.</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Moreover, as we expand the scope of our products, we may face additional competition. If one or more of our competitors were to merge or partner with another of our competitors, the change in the competitive landscape could also adversely affect our ability to compete effectively. In addition, some of our competitors have lower list prices than us, which may be attractive to certain customers even if those products have different or lesser functionality. If we are unable to maintain our current pricing due to competitive pressures,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makes it difficult to evaluate our current business and future prospects and increases the risk of your investment.</w:t>
      </w:r>
    </w:p>
    <w:p>
      <w:pPr>
        <w:spacing w:after="0" w:line="26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were founded and launched our first product in 2008. As a result of our limited operating history, our ability to forecast our future results of operations is limited and subject to a number of uncertainties, including our ability to plan for future growth. Our historical revenue growth should not be considered indicative of our future performance. We have encountered and will encounter risks and uncertainties frequently experienced by growing companies in rapidly changing industries, such as:</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products and platform;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customers, particularly enterprises;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expansion of our business, particularly in markets outside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costs, particularly our operating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outages or security breaches and any associated expenses;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executing acquisitions and integrating the acquired businesses, technologies, services, products and other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do not address these risks successfully, our business, results of operations and financial condition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with respect to determining the optimal prices for our products.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charge our customers based on their use of our products. We expect that we may need to change our pricing from time to time. In the past we have sometimes reduced our prices either for individual customers in connection with long-term agreements or for a particular product. One of the challenges to our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70"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5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We typically provide monthly uptime service level commitments of up to 99.95% under our agreements with customers. If we fail to meet these contractual commitments, then our business, results of operations and financial condition could be adversely affected.</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In addition, the performance and availability of AWS, which provides our cloud infrastructures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w:t>
      </w:r>
    </w:p>
    <w:p>
      <w:pPr>
        <w:spacing w:after="0" w:line="174"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b w:val="1"/>
          <w:bCs w:val="1"/>
          <w:i w:val="1"/>
          <w:iCs w:val="1"/>
          <w:color w:val="auto"/>
        </w:rPr>
        <w:t>Breaches of our networks or systems, or those of AWS or our network service providers, could degrade our ability to conduct our business, compromise the integrity of our products and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4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research and development activities to our marketing and sales efforts and communications with our customers and business partners. 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Because the techniques used by such individuals or entities to access, disrupt or sabotage devices, systems and networks change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such as AWS or network service providers, could result in loss of confidential information, damage to our reputation, loss of customers, litigation, regulatory investigations, fines, penalties and other liabilities. Accordingly, if our cybersecurity measures or those of AWS or our network service providers, fail to protect against unauthorized access, attacks (which may include sophisticated cyberattacks) or the mishandling of data by our employees and contractors, then our reputation, business, results of operations and financial condition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products could diminish demand for our products, harm our business and results of operations and subject us to liability.</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platform must integrate with a variety of network, hardware, mobile and software platforms and technologies, and we need to continuously modify and enhance our products and platform to adapt to changes and innovation in these technologies. If customers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products may become less marketable and less competitive or obsolete, and our business, results of operations and financial condition could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SaaS technologies from third parties may adversely affect our business, results of operations and financial condition.</w:t>
      </w:r>
    </w:p>
    <w:p>
      <w:pPr>
        <w:spacing w:after="0" w:line="248"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rely heavily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7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independent software vendors and system integrators, our business, results of operations and financial condition could be adversely affected.</w:t>
      </w:r>
    </w:p>
    <w:p>
      <w:pPr>
        <w:spacing w:after="0" w:line="186"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believe that continued growth of our business depends in part upon identifying, developing and maintaining strategic relationships with independent software vendor development platforms and system integrators. As part of our growth strategy, we plan to further develop product partnerships with ISV development platforms to embed our products as additional distribution channels and also intend to further develop partnerships and specific solution areas with systems integrators. If we fail to establish these relationships in a timely and cost-effective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ISV development platforms, our reputation and ability to grow our business may be adversely affected.</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Many of our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adversely affect our reputation, business, results of operations and financial condition.</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future success depends, in part, on not infringing the intellectual property rights of others. Our competitors or other third parties have claimed and may, in the future, claim that we are infringing upon their intellectual property rights, and we may be found to be infringing upon such rights.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example, on April 30, 2015, Telesign Corporation ("Telesign"), filed a lawsuit against us in the United States District Court, Central District of California ("Telesign I"). Telesign alleges that we are infringing three U.S. patents that it holds: U.S. Patent No. 8,462,920 ("' 920"), U.S. Patent No. 8,687,038 ("' 038") and U.S. Patent No. 7,945,034 ("' 034"). The patent infringement allegations in the lawsuit relate to our Account Security products, our two-factor authentication use case and an API tool to find information about a phone number. Subsequently, on March 28, 2016, Telesign filed a second lawsuit against us in the United States District Court, Central District of California ("Telesign II"), alleging infringement of U.S. Patent No. 9,300,792 ("'792") held by Telesign. The '792 patent is in the same patent family as the '920 and '038 patents asserted in Telesign I, and the infringement allegations in Telesign II relate to our Account Security products and our two-factor authentication use case. With respect to each of the patents asserted in Telesign I and Telesign II, the complaints seek, among other things, to enjoin us from allegedly infringing these patents along with damages for lost profits. See the section titled "Item 3. Legal Proceedings." We intend to vigorously defend ourselves against these lawsuits and believe we have meritorious defenses to each matter in which we are a defendant. However, litigation is inherently uncertain, and any judgment or injunctive relief entered against us or any adverse settlement could negatively affect our business, results of operations and financial condition. In addition, litigation can involve significant management time and attention and be expensive, regardless of outcome.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7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the future, we may receive claims from third parties, including our competitors, that our products or platform and underlying technology infringe or violate a third party's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86"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Our success depends, in part, on our ability to protect our brand and the proprietary methods and technologies that we develop under patent and other intellectual property laws of the United States and foreign jurisdictions so that we can prevent others from using our inventions and proprietary information. As of December 31, 2017, in the United States, we had been issued 77 patents, which expire between 2029 and 2036, and had 42 patent applications pending for examination and three pending provisional applications. As of such date, we also had seven issued patents and seven patent applications pending for examination in foreign jurisdictions, all of which are related to U.S. patents and patent applications. There can be no assurance that additional patents will be issued or that any patents that have been issued or that may be issued in the future will provide significant protection for our intellectual property. As of December 31, 2017, we had 14 registered trademarks in the United States and 61 registered trademarks in foreign jurisdictions. If we fail to protect our intellectual property rights adequately, our competitors might gain access to our technology and our business, results of operations and financial condition may be adversely affected.</w:t>
      </w:r>
    </w:p>
    <w:p>
      <w:pPr>
        <w:spacing w:after="0" w:line="162"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39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w:t>
      </w:r>
    </w:p>
    <w:p>
      <w:pPr>
        <w:spacing w:after="0" w:line="19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25"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180"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w:t>
      </w:r>
    </w:p>
    <w:p>
      <w:pPr>
        <w:spacing w:after="0" w:line="13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may evaluate and consider potential strategic transactions, including acquisitions of, or investments in, businesses, technologies, services, products and other assets in the future. We also may enter into relationships with other businesses to expand our products and platform, which could involve preferred or exclusive licenses, additional channels of distribution, discount pricing or investments in other companies.</w:t>
      </w:r>
    </w:p>
    <w:p>
      <w:pPr>
        <w:spacing w:after="0" w:line="16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7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these transactions, even if announced, may not be completed. For one or more of those transactions, we may:</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encounter difficulties retaining key employees of the acquired company or integrating diverse software codes or business cultures;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of these foregoing could adversely affect our business, results of operations and financial condition.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and Chief Executive Officer, Jeff Lawson. None of our executive officers or other senior management personnel is bound by a written employment agreement and any of them may terminate employment with us at any time with no advance notice. On February 13, 2018, we announced that our Chief Financial Officer, Lee Kirkpatrick, will be leaving our company. Though Mr. Kirkpatrick has indicated that he will remain with us until his replacement has been hired, we could experience a delay or disruption in the achievement of our business objectives while we search for and onboard a new Chief Financial Officer and during the period the new Chief Financial Officer gets up to speed on our business and financial and accounting systems. The replacement of any other of our senior management personnel would likely involve significant time and costs, and such loss could significantly delay or prevent the achievement of our business objectives. The loss of the services of other of our senior management or other key employees for any reason could adversely affect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San Francisco Bay Area, where our headquarters are located, and in other locations where we maintain offices. We must provide competitive compensation packages and a high quality work environment to hire, retain and motivate employees. If we are unable to retain and motivate our existing employees and attract qualified personnel to fill key positions, such as the Chief Financial Officer role, we may be unable to manage our business effectively, including the development, marketing and sale of our products, which could adversely affect our business, results of operations and financial condition. To the extent we hire personnel from competitors, we also may be subject to allegations that they have been improperly solicited or divulged proprietary or other confidential information.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Volatility in, or lack of performance of, our stock price may also affect our ability to attract and retain key personnel. Many of our key personnel are, or will soon be, vested in a substantial number of shares of Class A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1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i w:val="1"/>
          <w:iCs w:val="1"/>
          <w:color w:val="auto"/>
        </w:rPr>
        <w:t>Our products and platform and our business are subject to a variety of U.S. and international laws and regulations, including those regarding privacy, data protection and information security, and our customers may be subject to regulations related to the handling and transfer of certain types of sensitive and confidential information. Any failure of our products to comply with or enable our customers and channel partners to comply with applicable laws and regulations would harm our business, results of operations and financial condition.</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and our customers that use our products may be subject to privacy- and data protection-related laws and regulations that impose obligations in connection with the collection, processing and use of personal data, financial data, health or other similar data. The U.S. federal and various state and foreign governments have adopted or proposed limitations on, or requirements regarding, the collection, distribution, use, security and storage of personally identifiable information of individuals. The U.S. Federal Trade Commission and numerous state attorneys general are applying federal and state consumer protection laws to impose standards on the online collection, use and dissemination of data, and to the security measures applied to such data.</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Similarly, many foreign countries and governmental bodies, including the EU member states, have laws and regulations concerning the collection and use of personally identifiable information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personally identifiable information that identifies or may be used to identify an individual, such as names, telephone numbers, email addresses and, in some jurisdictions, IP addresses and other online identifiers.</w:t>
      </w:r>
    </w:p>
    <w:p>
      <w:pPr>
        <w:spacing w:after="0" w:line="19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For example, in April 2016 the European Union ("EU") adopted the General Data Protection Regulation ("GDPR"), which will take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Noncompliance with the GDPR can trigger fines equal to or greater of €20 million or 4% of global annual revenues. Given the breadth and depth of changes in data protection obligations, preparing to meet the requirements of GDPR before its effective date has required significant time and resources, including a review of our technology and systems currently in use against the requirements of GDPR. There are also additional EU laws and regulations (and member states implementations thereof) which govern the protection of consumers and of electronic communications. If our efforts to comply with GDPR or other applicable EU laws and regulations are not successful, we may be subject to penalties and fines that would adversely impact our business and results of operations, and our ability to conduct business in the EU could be significantly impaired.</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in the past relied on the EU-U.S and the Swiss-U.S. Privacy Shield frameworks approved by the European Commission in July 2016 and the Swiss Government in January 2017, respectively, which were designed to allow U.S. corporations to self-certify to the U.S. Department of Commerce and publicly commit to comply with the Privacy Shield requirements to freely import personal data from the EU and Switzerland. However, ongoing legal challenges to these frameworks has resulted in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some uncertainty as to their validity. We anticipate engaging in efforts to legitimize data transfers from the European Economic Area, but we may experience hesitancy, reluctance, or refusal by European or multinational customers to continue to use our services due to the potential risk exposure to such customers as a result of the ECJ ruling. We and our customers are at risk of enforcement actions taken by an EU data protection authority until such point in time that we are able to ensure that all data transfers to us from the European Economic Area are legitimized. In addition, as the United Kingdom transitions out of the EU, we may encounter additional complexity with respect to data privacy and data transfers from the U.K.</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Additionally, although we endeavor to have our products and platform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internal practices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also may be bound by contractual obligations relating to our collection, use and disclosure of personal, financial and other data or may find it necessary or desirable to join industry or other self-regulatory bodies or other privacy- or data protection-related organizations that require compliance with their rules pertaining to privacy and data protection.</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expect that there will continue to be new proposed laws, rules of self-regulatory bodies, regulations and industry standards concerning privacy, data protection and information security in the United States, the European Union and other jurisdictions, and we cannot yet determine the impact such future laws, rules, regulations and standards may have on our business. Moreover, existing U.S. federal and various state and foreign privacy- and data protection-related laws and regulations are evolving and subject to potentially differing interpretations, and various legislative and regulatory bodies may expand current or enact new laws and regulations regarding privacy- and data protection-related matters. Because global laws, regulations and industry standards concerning privacy and data security have continued to develop and evolve rapidly, it is possible that we or our products or platform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results of operations and financial condition.</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Any failure or perceived failure by us, our products or our platform to comply with new or existing U.S., EU or other foreign privacy or data security laws, regulations, policies, industry standards or legal obligations, or any security incident that results in the unauthorized access to, or acquisition, release or transfer of, personally identifiable information or other customer data may result in governmental investigations, inquiries, enforcement actions and prosecutions, private litigation, fines and penalties, adverse publicity or potential loss of business. For example, on February 18, 2016, a putative class action complaint was filed in the Alameda County Superior Court in California. The complaint alleges that our products permit the interception, recording and disclosure of communications at a customer's request and in violation of the California Invasion of Privacy Act. This litigation, or any other such actions in the future and related penalties could divert management's attention and resources, adversely affect our brand, business, results of operations and financial condition.</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86" w:lineRule="exact"/>
        <w:rPr>
          <w:sz w:val="20"/>
          <w:szCs w:val="20"/>
          <w:color w:val="auto"/>
        </w:rPr>
      </w:pPr>
    </w:p>
    <w:p>
      <w:pPr>
        <w:ind w:right="560" w:firstLine="348"/>
        <w:spacing w:after="0" w:line="370" w:lineRule="auto"/>
        <w:rPr>
          <w:sz w:val="20"/>
          <w:szCs w:val="20"/>
          <w:color w:val="auto"/>
        </w:rPr>
      </w:pPr>
      <w:r>
        <w:rPr>
          <w:rFonts w:ascii="Arial" w:cs="Arial" w:eastAsia="Arial" w:hAnsi="Arial"/>
          <w:sz w:val="15"/>
          <w:szCs w:val="15"/>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86"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As a provider of communications products, we are subject to existing or potential FCC regulations relating to privacy, Telecommunications Relay Service fund contributions and other requirements. FCC classification of our Internet voice communications products as telecommunications services could result in additional federal and state regulatory obligations.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possibly impair our ability to sell our products to customers and could adversely affect our business, results of operations and financial condition.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products are subject to a number of FCC regulations and laws that are administered by the FCC. Among others, we must comply (in whole or in part)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w:t>
      </w:r>
    </w:p>
    <w:p>
      <w:pPr>
        <w:spacing w:after="0" w:line="23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Communications Act of 1934, as amended, which regulates communications services and the provision of such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TCPA, which limits the use of automatic dialing systems, artificial or prerecorded voice messages, SMS text messages and fax machines;</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("CALEA"), which requires covered entities to assist law enforcement in undertaking electronic surveillance;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safeguard the privacy of certain customer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annual FCC regulatory fees based on our interstate and international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rules pertaining to access to our services by people with disabilities and contributions to the Telecommunications Relay Services fund;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FCC rules regarding the use of customer proprietary network information.</w:t>
      </w:r>
    </w:p>
    <w:p>
      <w:pPr>
        <w:spacing w:after="0" w:line="225"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Any of the foregoing could adversely affect our business, results of operations and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we continue to expand internationally, we have become subject to telecommunications laws and regulations in the foreign countries where we offer our products. Internationally, we currently offer our products in over 180 countries.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international operations are subject to country-specific governmental regulation and related actions that have increased and may continue to increase our costs or impact our products and platform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spacing w:after="0" w:line="1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If we are unable to effectively process local number and toll-free number portability provisioning in a timely manner or to obtain or retain direct inward dialing numbers and local or toll-free numbers, our business and results of operations may be adversely affected.</w:t>
      </w:r>
    </w:p>
    <w:p>
      <w:pPr>
        <w:spacing w:after="0" w:line="13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support local number and toll-free number portability, which allows our customers to transfer their existing phone numbers to us and thereby retain their existing phone numbers when subscribing to our voice products. Transferring existing numbers is a manual process that can take up to 15 business days or longer to complete. A new customer of our voice products must maintain both our voice product and the customer's existing phone service during the number transferring process.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Local number portability is considered an important feature by many potential customers, and if we fail to reduce any related delays, then we may experience increased difficulty in acquiring new customers.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our future success depends in part on our ability to procure large quantities of local and toll-free direct inward dialing numbers ("DIDs"), in the United States and foreign countries at a reasonable cost and without restrictions. Our ability to procure, distribute and retain DIDs depends on factors outside of our control, such as applicable regulations, the practices of network service providers that provide DIDs, such as offering DIDs with conditional minimum volume call level requirements, the cost of these DIDs and the level of overall competitive demand for new DIDs. Due to their limited availability, there are certain popular area code prefixes that we generally cannot obtain. Our inability to acquire or retain DIDs for our operations would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DIDs. It may become increasingly difficult to source larger quantities of DIDs as we scale and we may need to pay higher costs for DIDs, and DIDs may become subject to more stringent usage conditions. Any of the foregoing could adversely affect our business,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face a risk of litigation resulting from customer misuse of our software to send unauthorized text messages in violation of the Telephone Consumer Protection Act.</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actual or perceived improper sending of text messages may subject us to potential risks, including liabilities or claims relating to consumer protection laws. For example, the Telephone Consumer Protection Act of 1991 restricts telemarketing and the use of automatic SMS text messages without proper consent. This has resulted in civil claims against our company and requests for information through third-party subpoenas. The scope and interpretation of the laws that are or may be applicable to the delivery of text messages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9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39"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80"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results of operations and financial condition.</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state sales and use tax positions. In determining the adequacy of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We are currently in discussions with certain states regarding prior state sales taxes that we may owe. We have reserved $20.9 million on our December 31, 2017 balance sheet for these tax payments. The actual exposure could differ materially from our current estimates, and if the actual payments we make to these and other states exceed the accrual in our balance sheet, our results of operations would be harmed.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historical and future sales, use and similar taxes, which could adversely affect our results of operations.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 operations in many tax jurisdictions throughout the United States. In many of these jurisdictions, non-income-based taxes, such as sales and use and telecommunications taxes, are assessed on our operations. We are subject to indirect taxes, and may be subject to certain other taxes, in some of these jurisdictions. Historically, we have not billed or collected these taxes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products, the jurisdictions in which we believe we have nexus, and the sourcing of revenues to those jurisdictions. In the event these jurisdictions challenge our assumptions and analysis, our actual exposure could differ materially from our current estimates.</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be subject to scrutiny from state tax authorities in various jurisdictions and may have additional exposure related to our historical operations. Furthermore,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9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Effective March 2017, we began collecting telecommunications-based taxes from our customers in certain jurisdictions. Since then, we have added more jurisdictions where we collect these taxes and we expect to continue expanding the number of jurisdictions in which we will collect these taxes in the future. Some customers may question the incremental tax charges and some may seek to negotiate lower pricing from us, which could adversely affect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5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Certain government agencies in jurisdictions where we and our affiliates do business have had an extended focus on issues related to the taxation of multinational companies. In addition, the Organization for Economic Co-operation and Development is conducting a project focused on base erosion and profit shifting in international structures, which seeks to establish certain international standards for taxing the worldwide income of multinational companies.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Changes in the U.S. taxation of international business activities or the adoption of other tax reform policies could materially impact our business, results of operations and financial condition.</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Changes to U.S. tax laws that may be enacted in the future could impact the tax treatment of our foreign earnings. Due to the expansion of our international business activities, any changes in the U.S. taxation of such activities may increase our worldwide effective tax rate and adversely affect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excessive credit card or fraudulent activity, we could incur substantial costs.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Most of our customers authorize us to bill their credit card accounts directly for service fees that we charge. If people pay for our services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from claims that the customer did not authorize the credit card transaction to purchase our services. If the number of unauthorized credit card transactions becomes excessive, we could be assessed substantial fines for excess chargebacks and we could lose the right to accept credit cards for payment.</w:t>
      </w:r>
    </w:p>
    <w:p>
      <w:pPr>
        <w:spacing w:after="0" w:line="17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products may also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economic conditions result in a reduced volume of business for, and communications by, our customers and prospective customers, demand for, and use of, our products may decline. Furthermore, weak economic conditions may make it more difficult to collect on outstanding accounts receivable. Additionally, historically, we have generated the substantial majority of our revenue from small and medium-sized businesses, and we expect this to continue for the foreseeable future. Small and medium-sized business may be affected by economic downturns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this could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86"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As our international operations expand, our exposure to the effects of fluctuations in currency exchange rates grows. While we have primarily transacted with customers and business partners in U.S. dollars, we have transacted with customers in Japan in Japanese Yen and in Europe in Euros and Swedish Kronas.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local currency for such locations. Fluctuations in the exchange rates between the U.S. dollar and other currencies could result in an increase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 of such expenses.</w:t>
      </w:r>
    </w:p>
    <w:p>
      <w:pPr>
        <w:spacing w:after="0" w:line="21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7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of December 31, 2017, we had federal and state net operating loss carryforwards ("NOLs"), of $229.3 million and $159.6 million, respectively, due to prior period losses. In general, under Section 382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Our existing NOLs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w:t>
      </w:r>
    </w:p>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December 22, 2017, the U.S. government enacted new tax legislation commonly referred to as the Tax Cuts and Jobs Act (the "Tax Act"). The Tax Act makes broad and complex changes to the U.S. tax code including changes to the uses and limitations of net operating losses. For example, while the Tax Act allows for federal net operating losses incurred in tax years beginning prior to December 31, 2017 to be carried forward indefinitely, the Tax Act also imposes an 80% limitation on the use of net operating losses that are generated in tax years beginning after December 31, 2017. Furthermore, our ability to utilize our net operating losses is conditioned upon our maintaining profitability in the future and generating U.S. federal taxable income. Since we do not know whether or when we will generate the U.S. federal taxable income necessary to utilize our remaining net operating losses, these net operating loss carryforwards could expire unused.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Part II,</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Item 7,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development costs, legal contingencies, non-income taxes, business combination and valuation of goodwill and purchased intangible assets and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financial accounting standards or practices may cause adverse, unexpected financial reporting fluctuations and affect our results of operations.</w:t>
      </w:r>
    </w:p>
    <w:p>
      <w:pPr>
        <w:spacing w:after="0" w:line="260"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97"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 xml:space="preserve">For example, in May 2014 the Financial Accounting Standards Board issued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(ASU 2014-09) </w:t>
      </w:r>
      <w:r>
        <w:rPr>
          <w:rFonts w:ascii="Arial" w:cs="Arial" w:eastAsia="Arial" w:hAnsi="Arial"/>
          <w:sz w:val="16"/>
          <w:szCs w:val="16"/>
          <w:color w:val="auto"/>
        </w:rPr>
        <w:t>that became effective on January 1, 2018. Based on our preliminary assessment, we do not believe there will be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revenue recognition and we are still in process of assessing the impact of adoption of the new standard on our accounting for sales commissions. Refer to Note 2 in the notes to our consolidated financial statements included elsewhere in this Annual Report on Form 10-K for additional information on the new guidance and its potential impact on us. Adoption of this standard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controls related to the tracking of qualifying internal use software development costs eligible for capitalization; our failure to remediate the identified deficiency may cause us not to be able to accurately or timely report our financial condition or results of operations. If one or more of our internal controls over financial reporting are not effective, it could adversely affect investor confidence in us and our reputation, business or stock price.</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reviewing the accounting for our software development activities, our management has concluded that our internal controls did not effectively track and categorize software development costs between period expenses and capitalization as a fixed asset in accordance with GAAP. As described under "Item 9A— Controls and Procedures," our management has concluded that the identified deficiencies constitute a material weakness in our internal control over financial reporting. Notwithstanding the foregoing, our management has concluded that the consolidated financial statements included in this Annual Report on Form 10-K fairly present, in all material respects, our financial position, results of operations and cash flows for the periods presented in this Annual Report on Form 10-K in conformity with GAAP.</w:t>
      </w:r>
    </w:p>
    <w:p>
      <w:pPr>
        <w:spacing w:after="0" w:line="198"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Although we plan to remediate the identified deficiencies as quickly as possible, we cannot, at this time, estimate when such remediation may occur, and our initiatives may not prove successful.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cannot guarantee that we will not identify additional deficiencies in our internal control over financial reporting in the future. If we are unable to remediate the deficiencies or identify additional deficiencies in the future, our ability to record, process and report financial information accurately, and to prepare financial statements within the time periods specified by the rules and forms of the SEC, could be adversely affected. The occurrence of or failure to remediate a material weakness may adversely affect our reputation and business and the market price of our common stock and any other securities we may issue.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December 31, 2017, we carried a net $35.9 million of goodwill and intangible assets related to acquired businesses.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network service providers or Internet service providers, this could adversely affect the ability of our customers to use our products and platform. In addition, natural disasters and acts of terrorism could cause disruptions in our or our customers' businesses, national economies or the world economy as a whole.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4"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and our ability to retain existing users and attract new users.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Class A common stock has been volatile and may continue to be volatile, and you could lose all or part of your investment.</w:t>
      </w:r>
    </w:p>
    <w:p>
      <w:pPr>
        <w:spacing w:after="0" w:line="24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New York Stock Exchange, through January 31, 2018, the trading price of our Class A common stock has ranged from $22.80 per share to $70.96 per share. The trading price of our Class A common stock may continue to fluctuate significantly in response to numerous factors, many of which are beyond our control, including:</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4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market price of our Class A common stock could decline as a result of substantial sales of our Class A common stock, particularly sales by our directors, executive officers and significant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or the perception in the market that holders of a large number of shares intend to sell their shares.</w:t>
      </w:r>
    </w:p>
    <w:p>
      <w:pPr>
        <w:spacing w:after="0" w:line="225"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7"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Our Class B common stock has 10 votes per share, and our Class A common stock has one vote per share. As of December 31, 2017, our directors, executive officers and their respective affiliates, held in the aggregate 54.5% of the voting power of our capital stock. Because of the 10-to-one voting ratio between our Class B common stock and Class A common stock, the holders of our Class B common stock collectively will continue to control a majority of the combined voting power of our common stock and therefore be able to control all matters submitted to our stockholders for approval until the earlier of (i) June 28, 2023, or</w:t>
      </w:r>
    </w:p>
    <w:p>
      <w:pPr>
        <w:spacing w:after="0" w:line="3" w:lineRule="exact"/>
        <w:rPr>
          <w:sz w:val="20"/>
          <w:szCs w:val="20"/>
          <w:color w:val="auto"/>
        </w:rPr>
      </w:pPr>
    </w:p>
    <w:p>
      <w:pPr>
        <w:ind w:right="80" w:firstLine="8"/>
        <w:spacing w:after="0" w:line="253"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the holders of two-thirds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9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61"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spacing w:after="0" w:line="208" w:lineRule="exact"/>
        <w:rPr>
          <w:sz w:val="20"/>
          <w:szCs w:val="20"/>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38"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three-year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6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headquarters is located in San Francisco, California, where we lease approximately 90,000 square feet of office space under a lease that expires in 2024. The lease payments range from $0.4 million per month in the first 60 months to $0.5 million per month thereafter. The lease included a tenant improvement allowance to cover construction of certain leasehold improvements for up to $8.3 million. All of this amount had been collected from the landlord as of December 31, 2017. We secured our lease obligation with a $7.4 million letter of credit, which we designated as restricted cash on our balance sheet as of December 31, 2016. As of December 31, 2017, the letter of credit and the restricted cash were reduced to $5.5 million, as stipulated in the lease agreement and upon satisfaction of required conditions.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to our headquarters, we lease space in Mountain View, Tallinn, Bogota, Madrid and Malmo as additional research and development offices. We also lease space for additional sales and marketing offices in New York, Dublin, London, Munich, Hong Kong and Singapore. Our Dublin office is our international headquarters.</w:t>
      </w:r>
    </w:p>
    <w:p>
      <w:pPr>
        <w:spacing w:after="0" w:line="19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On April 30, 2015, Telesign Corporation ("Telesign"), filed a lawsuit against us in the United States District Court, Central District of California ("Telesign I"). Telesign alleges that we are infringing three U.S. patents that it holds: U.S. Patent No. 8,462,920 ("'920"), U.S. Patent No. 8,687,038 ("'038") and U.S. Patent No. 7,945,034 ("'034"). The patent infringement allegations in the lawsuit relate to our Account Security products, our two-factor authentication use case and an API tool to find information about a phone number. We petitioned the U.S. Patent and Trademark Office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patents at issue. On July 8, 2016, the PTO denied our petition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'920 and '038 patents and on June 26, 2017, it upheld the patentability of the '034 patent, adopting Telesign's narrow construction of its patent.</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On March 28, 2016, Telesign filed a second lawsuit against us in the United States District Court, Central District of California ("Telesign II"), alleging infringement of U.S. Patent No. 9,300,792 ("'792") held by Telesign. The '792 patent is in the same patent family as the '920 and '038 patents asserted in Telesign I. On March 8, 2017, in response to a petition by the Company, the PTO issued an order instituting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for the '792 patent. A final written decision is expected by March 2018. On March 15, 2017, Twilio filed a motion to consolidate and stay related cases pending the conclusion of the '792 patent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which the court granted. With respect to each of the patents asserted in Telesign I and Telesign II, the complaints seek, among other things, to</w:t>
      </w:r>
      <w:r>
        <w:rPr>
          <w:rFonts w:ascii="Arial" w:cs="Arial" w:eastAsia="Arial" w:hAnsi="Arial"/>
          <w:sz w:val="16"/>
          <w:szCs w:val="16"/>
          <w:i w:val="1"/>
          <w:iCs w:val="1"/>
          <w:color w:val="auto"/>
        </w:rPr>
        <w:t xml:space="preserve"> </w:t>
      </w:r>
      <w:r>
        <w:rPr>
          <w:rFonts w:ascii="Arial" w:cs="Arial" w:eastAsia="Arial" w:hAnsi="Arial"/>
          <w:sz w:val="16"/>
          <w:szCs w:val="16"/>
          <w:color w:val="auto"/>
        </w:rPr>
        <w:t>enjoin us from allegedly infringing the patents along with damages for lost profits.</w:t>
      </w:r>
    </w:p>
    <w:p>
      <w:pPr>
        <w:spacing w:after="0" w:line="174"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On December 1, 2016, we filed a patent infringement lawsuit against Telesign in the United States District Court, Northern District of California, alleging indirect infringement of United States Patent No. 8,306,021 ("'021"), United States Patent No. 8,837,465 ("'465"), United States Patent No. 8,755,376 ("'376"), United States Patent No. 8,736,051 ("'051"), United States Patent No. 8,737,962 ("'962"), United States Patent No. 9,270,833 ("'833"), and United States Patent No. 9,226,217 ("'217"). Telesign filed a motion to dismiss the complaint on January 25, 2017. In two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orders, issued on March 31, 2017 and April 17, 2017, the court granted Telesign's motion to dismiss with respect to the '962, '833, '051 and '217 patents, but denied Telesign's motion to dismiss as to the '021, '465 and '376 patents. This litigation is currently ongoing.</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February 18, 2016, a putative class action complaint was filed in the Alameda County Superior Court in California, entitled Angela Flowers v. Twilio Inc. The complaint alleges that our products permit the interception, recording and disclosure of communications at a customer's request and are in violation of the California Invasion of Privacy Act. The complaint seeks injunctive relief as well as monetary damages. On May 27, 2016, we filed a demurrer to the complaint. On August 2, 2016, the court issued an order denying the demurrer in part and granted it in part, with leave to amend by August 18, 2016 to address any claims under California's Unfair Competition Law. The plaintiff opted not to amend the complaint. Following a period of discovery, the plaintiff filed a motion for class certification on September 20, 2017. On January 2, 2018, the court issued an order granting in part and denying in part the plaintiff's class certification motion. The court certified two classes of individuals who, during specified time periods, allegedly sent or received certain communications involving the accounts of three of our customers that were recorded. The court has not yet set a schedule for notice to potential class members, additional discovery, summary judgment motions, or trial.</w:t>
      </w:r>
    </w:p>
    <w:p>
      <w:pPr>
        <w:spacing w:after="0" w:line="174"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We intend to vigorously defend ourselves against these lawsuits and believe we have meritorious defenses to each matter in which we are a defendant. However, litigation is inherently uncertain, and any judgment or injunctive relief entered against us or any adverse settlement could negatively affect our business, results of operations and financial condition.</w:t>
      </w:r>
    </w:p>
    <w:p>
      <w:pPr>
        <w:spacing w:after="0" w:line="19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Our Class A Common Stock</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Class A common stock has been listed on the New York Stock Exchange under the symbol "TWLO" since June 23, 2016. Prior to that date, there was no public trading market for our Class A common stock. The following table sets forth for the periods indicated the high and low sale prices per share of our Class A common stock as reported on the New York Stock Exchange:</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2017</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25.98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34.95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26.86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34.74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w:t>
            </w:r>
          </w:p>
        </w:tc>
      </w:tr>
      <w:tr>
        <w:trPr>
          <w:trHeight w:val="430"/>
        </w:trPr>
        <w:tc>
          <w:tcPr>
            <w:tcW w:w="6420" w:type="dxa"/>
            <w:vAlign w:val="bottom"/>
          </w:tcPr>
          <w:p>
            <w:pPr>
              <w:spacing w:after="0"/>
              <w:rPr>
                <w:sz w:val="20"/>
                <w:szCs w:val="20"/>
                <w:color w:val="auto"/>
              </w:rPr>
            </w:pPr>
            <w:r>
              <w:rPr>
                <w:rFonts w:ascii="Arial" w:cs="Arial" w:eastAsia="Arial" w:hAnsi="Arial"/>
                <w:sz w:val="18"/>
                <w:szCs w:val="18"/>
                <w:color w:val="auto"/>
              </w:rPr>
              <w:t>Fiscal Year 2016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(from June 23,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70.96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66.64</w:t>
            </w:r>
          </w:p>
        </w:tc>
      </w:tr>
    </w:tbl>
    <w:p>
      <w:pPr>
        <w:spacing w:after="0" w:line="208" w:lineRule="exact"/>
        <w:rPr>
          <w:sz w:val="20"/>
          <w:szCs w:val="20"/>
          <w:color w:val="auto"/>
        </w:rPr>
      </w:pPr>
    </w:p>
    <w:p>
      <w:pPr>
        <w:ind w:right="420" w:firstLine="341"/>
        <w:spacing w:after="0" w:line="370" w:lineRule="auto"/>
        <w:rPr>
          <w:sz w:val="20"/>
          <w:szCs w:val="20"/>
          <w:color w:val="auto"/>
        </w:rPr>
      </w:pPr>
      <w:r>
        <w:rPr>
          <w:rFonts w:ascii="Arial" w:cs="Arial" w:eastAsia="Arial" w:hAnsi="Arial"/>
          <w:sz w:val="15"/>
          <w:szCs w:val="15"/>
          <w:color w:val="auto"/>
        </w:rPr>
        <w:t>As of January 31, 2018, we had 128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and do not expect to pay any dividends in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Twilio Inc. under the Securities Act or the Exchange Act</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presented below the cumulative total return to our stockholders between June 23, 2016 (the date our Class A common stock commenced trading on the NYSE) through December 31, 2017 in comparison to the S&amp;P 500 Index and S&amp;P 500 Information Technology Index. All values assume a $100 initial investment and data for the S&amp;P 500 Index and S&amp;P 500 Information Technology Index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assume reinvestment of dividends.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4244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6130"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 and Use of Proceeds from Registered Securities</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November 2017, Twilio.org donated 45,383 shares of unregistered Class A common stock to an independent DAF to further our philanthropic goals. The shares are "restricted securities" for purposes of Rule 144 under the Securities Act and the fair market value of these shares on the date of the donation was</w:t>
      </w:r>
    </w:p>
    <w:p>
      <w:pPr>
        <w:spacing w:after="0" w:line="261" w:lineRule="auto"/>
        <w:rPr>
          <w:sz w:val="20"/>
          <w:szCs w:val="20"/>
          <w:color w:val="auto"/>
        </w:rPr>
      </w:pPr>
      <w:r>
        <w:rPr>
          <w:rFonts w:ascii="Arial" w:cs="Arial" w:eastAsia="Arial" w:hAnsi="Arial"/>
          <w:sz w:val="18"/>
          <w:szCs w:val="18"/>
          <w:color w:val="auto"/>
        </w:rPr>
        <w:t>$1.2 million. This amount is recorded as charitable contribution in the consolidated statement of operations included elsewhere in this Annual Report on Form 10-K.</w:t>
      </w:r>
    </w:p>
    <w:p>
      <w:pPr>
        <w:spacing w:after="0" w:line="21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June 2016, we closed our initial public offering ("IPO"), in which we sold 11,500,000 shares of Class A common stock at a price to the public of $15.00 per share, including shares sold in connection with the exercise of the underwriters' option to purchase additional shares. The offer and sale of all of the shares in the IPO were registered under the Securities Act pursuant to a registration statement on Form S-1 (File No. 333-211634), which was declared effective by the SEC on June 22, 2016. We raised $155.5 million in net proceeds after deducting underwriting discounts and commissions of $12.1 million and offering expenses of $4.9 million. No payments were made by us to directors, officers or persons owning 10 percent or more of our capital stock or to their associates, or to our affiliates, other than payments in the ordinary course of business to officers for salaries. There has been no material change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planned use of proceeds from our IPO as described in our final prospectus filed with the SEC on June 23, 2016 pursuant to Rule 424(b). We invested the funds received in accordance with our board-approved investment policy, which provides for investments in obligations of the U.S. government, money market instruments, registered money market funds and corporate bonds. The managing underwriters of our IPO were Goldman, Sachs &amp; Co. and J.P. Morgan Securities LLC.</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October 2016, we closed our follow-on public offering, in which we sold 1,691,222 shares of Class A common stock at a price to the public of $40.00 per share, including shares sold in connection with the exercise of the underwriters' option to purchase additional shares. The offer and sale of all of the shares in the follow-on offering were registered under the Securities Act pursuant to a registration statement on Form S-1 (File No. 333-214034), which was declared effective by the SEC on October 20, 2016. We raised $64.4 million in net proceeds after deducting underwriting discounts and commissions and offering expenses paid and payable by us.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follow-on offering as described in our final prospectus filed with the SEC on October 21, 2016 pursuant to Rule 424(b). We invested the funds received in accordance with our board-approved investment policy, which provides for investments in obligations of the U.S. government, money market instruments, registered money market funds and corporate bonds. The managing underwriters of our follow-on offering were Goldman, Sachs &amp; Co. and J.P. Morgan Securities LLC.</w:t>
      </w:r>
    </w:p>
    <w:p>
      <w:pPr>
        <w:spacing w:after="0" w:line="190"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and Other Data</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derived the selected consolidated statements of operations data for the years ended December 31, 2017, 2016 and 2015 and the balance sheet data as of December 31, 2017 and 2016 from our audited consolidated financial statements included elsewhere in this Annual Report on Form 10-K. The selected consolidated statements of operations data for the years ended December 31, 2014 and 2013 and the consolidated balance sheet data as of December 31, 2015, 2014 and 2013 are derived from audited consolidated financial statements not included in this Annual Report on Form 10-K. Our historical results are not necessarily indicative of the results that may be expected in the future. The following selected consolidated financial and other data should be read in conjunction with Item 7, "Management's Discussion and Analysis of Financial Condition and Results of Operations", and our consolidated financial statements and the related notes appearing in Item 8, "Financial Statements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Supplementary Data", of this Annual Report on Form 10-K to fully understand factors that may affect the comparability of the information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center"/>
              <w:ind w:left="614"/>
              <w:spacing w:after="0"/>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520" w:type="dxa"/>
            <w:vAlign w:val="bottom"/>
            <w:gridSpan w:val="12"/>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share, per share and customer data)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Consolidated Statement of Operations Data: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399,020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277,335</w:t>
            </w:r>
          </w:p>
        </w:tc>
        <w:tc>
          <w:tcPr>
            <w:tcW w:w="1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166,919</w:t>
            </w:r>
          </w:p>
        </w:tc>
        <w:tc>
          <w:tcPr>
            <w:tcW w:w="1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88,846</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182,895</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120,739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77,926</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42,559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59,619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51,077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35,991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Charitable contribution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282,199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(66,074)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(63,003)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(63,708)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Deemed dividend to investors in relation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tender offer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loss attributable to common stockholders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(63,708)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stockholders,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(0.70)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88"/>
              </w:rPr>
              <w:t>Weighted-average shares used in computing net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per share attributable to common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91,224,607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53,116,675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17,746,526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16,900,124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16,916,035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Business Metrics: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w w:val="92"/>
              </w:rPr>
              <w:t>Number of Active Customer Accounts</w:t>
            </w:r>
            <w:r>
              <w:rPr>
                <w:rFonts w:ascii="Arial" w:cs="Arial" w:eastAsia="Arial" w:hAnsi="Arial"/>
                <w:sz w:val="29"/>
                <w:szCs w:val="29"/>
                <w:color w:val="auto"/>
                <w:w w:val="92"/>
                <w:vertAlign w:val="superscript"/>
              </w:rPr>
              <w:t>(3)</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as of</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end date of period</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gridSpan w:val="2"/>
          </w:tcPr>
          <w:p>
            <w:pPr>
              <w:spacing w:after="0" w:line="256" w:lineRule="exact"/>
              <w:rPr>
                <w:sz w:val="20"/>
                <w:szCs w:val="20"/>
                <w:color w:val="auto"/>
              </w:rPr>
            </w:pPr>
            <w:r>
              <w:rPr>
                <w:rFonts w:ascii="Arial" w:cs="Arial" w:eastAsia="Arial" w:hAnsi="Arial"/>
                <w:sz w:val="18"/>
                <w:szCs w:val="18"/>
                <w:color w:val="auto"/>
              </w:rPr>
              <w:t>Base Revenue</w:t>
            </w:r>
            <w:r>
              <w:rPr>
                <w:rFonts w:ascii="Arial" w:cs="Arial" w:eastAsia="Arial" w:hAnsi="Arial"/>
                <w:sz w:val="29"/>
                <w:szCs w:val="29"/>
                <w:color w:val="auto"/>
                <w:vertAlign w:val="superscript"/>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365,490</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245,548</w:t>
            </w:r>
          </w:p>
        </w:tc>
        <w:tc>
          <w:tcPr>
            <w:tcW w:w="16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136,851</w:t>
            </w:r>
          </w:p>
        </w:tc>
        <w:tc>
          <w:tcPr>
            <w:tcW w:w="16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75,697</w:t>
            </w:r>
          </w:p>
        </w:tc>
        <w:tc>
          <w:tcPr>
            <w:tcW w:w="14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41,751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Base Revenue Growth Rate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111%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Dollar-Based Net Expansion Rate</w:t>
            </w:r>
            <w:r>
              <w:rPr>
                <w:rFonts w:ascii="Arial" w:cs="Arial" w:eastAsia="Arial" w:hAnsi="Arial"/>
                <w:sz w:val="29"/>
                <w:szCs w:val="29"/>
                <w:color w:val="auto"/>
                <w:vertAlign w:val="superscript"/>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Includes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1"/>
        </w:trPr>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5"/>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4"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acquired intangibles as follows:</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4"/>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right="60" w:hanging="531"/>
        <w:spacing w:after="0" w:line="194" w:lineRule="auto"/>
        <w:tabs>
          <w:tab w:leader="none" w:pos="16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See Item 7, "Management's Discussion and Analysis of Financial Condition and Results of Operations—Key Business Metrics—Number of Active Customer Accounts."</w:t>
      </w:r>
    </w:p>
    <w:p>
      <w:pPr>
        <w:spacing w:after="0" w:line="211" w:lineRule="exact"/>
        <w:rPr>
          <w:rFonts w:ascii="Arial" w:cs="Arial" w:eastAsia="Arial" w:hAnsi="Arial"/>
          <w:sz w:val="29"/>
          <w:szCs w:val="29"/>
          <w:color w:val="auto"/>
          <w:vertAlign w:val="superscript"/>
        </w:rPr>
      </w:pPr>
    </w:p>
    <w:p>
      <w:pPr>
        <w:ind w:left="1680" w:right="300" w:hanging="531"/>
        <w:spacing w:after="0" w:line="194" w:lineRule="auto"/>
        <w:tabs>
          <w:tab w:leader="none" w:pos="16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See Item 7, "Management's Discussion and Analysis of Financial Condition and Results of Operations—Key Business Metrics—Base Revenue."</w:t>
      </w:r>
    </w:p>
    <w:p>
      <w:pPr>
        <w:spacing w:after="0" w:line="211" w:lineRule="exact"/>
        <w:rPr>
          <w:rFonts w:ascii="Arial" w:cs="Arial" w:eastAsia="Arial" w:hAnsi="Arial"/>
          <w:sz w:val="29"/>
          <w:szCs w:val="29"/>
          <w:color w:val="auto"/>
          <w:vertAlign w:val="superscript"/>
        </w:rPr>
      </w:pPr>
    </w:p>
    <w:p>
      <w:pPr>
        <w:ind w:left="1680" w:right="140" w:hanging="531"/>
        <w:spacing w:after="0" w:line="194" w:lineRule="auto"/>
        <w:tabs>
          <w:tab w:leader="none" w:pos="16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See Item 7, "Management's Discussion and Analysis of Financial Condition and Results of Operations—Key Business Metrics—Dollar-Based Net Expansion Rate."</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87"/>
              </w:rPr>
              <w:t>As of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115,286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305,665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108,835</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32,627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54,715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Working capital</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274,738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279,676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96,032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449,782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157,516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55,993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67,056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359,846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329,447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116,625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use the following non-GAAP financial information,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 Non-GAAP financial information is presented for supplemental informational purposes only, and should not be considered a substitute for financial information presented in accordance with generally accepted accounting principles, and may be different from similarly-titled non-GAAP measures used by other companies. Whenever we use a non-GAAP financial measure, a reconciliation is provided to the most closely applicable financial measure stated in accordance with generally accepted accounting principles. Investors are encouraged to review the related GAAP financial measures and the reconciliation of these non-GAAP financial measures to their most directly comparable GAAP financial measures.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 xml:space="preserve">Non-GAAP Gross Profit and Non-GAAP Gross Margin. </w:t>
      </w:r>
      <w:r>
        <w:rPr>
          <w:rFonts w:ascii="Arial" w:cs="Arial" w:eastAsia="Arial" w:hAnsi="Arial"/>
          <w:sz w:val="16"/>
          <w:szCs w:val="16"/>
          <w:color w:val="auto"/>
        </w:rPr>
        <w:t>For the periods presented, we define non-GAAP gross profit and non-GAAP gross margin as</w:t>
      </w:r>
      <w:r>
        <w:rPr>
          <w:rFonts w:ascii="Arial" w:cs="Arial" w:eastAsia="Arial" w:hAnsi="Arial"/>
          <w:sz w:val="16"/>
          <w:szCs w:val="16"/>
          <w:b w:val="1"/>
          <w:bCs w:val="1"/>
          <w:color w:val="auto"/>
        </w:rPr>
        <w:t xml:space="preserve"> </w:t>
      </w:r>
      <w:r>
        <w:rPr>
          <w:rFonts w:ascii="Arial" w:cs="Arial" w:eastAsia="Arial" w:hAnsi="Arial"/>
          <w:sz w:val="16"/>
          <w:szCs w:val="16"/>
          <w:color w:val="auto"/>
        </w:rPr>
        <w:t>GAAP gross profit and GAAP gross margin, respectively, adjusted to exclude stock-based compensation and amortization of acquired intangibles.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216,125</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156,815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92,465</w:t>
            </w:r>
          </w:p>
        </w:tc>
        <w:tc>
          <w:tcPr>
            <w:tcW w:w="140" w:type="dxa"/>
            <w:vAlign w:val="bottom"/>
          </w:tcPr>
          <w:p>
            <w:pPr>
              <w:spacing w:after="0"/>
              <w:rPr>
                <w:sz w:val="18"/>
                <w:szCs w:val="18"/>
                <w:color w:val="auto"/>
              </w:rPr>
            </w:pP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47,423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9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221,419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157,725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92,769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47,462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Non-GAAP gross margin</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51"/>
        <w:spacing w:after="0" w:line="258" w:lineRule="auto"/>
        <w:rPr>
          <w:sz w:val="20"/>
          <w:szCs w:val="20"/>
          <w:color w:val="auto"/>
        </w:rPr>
      </w:pPr>
      <w:r>
        <w:rPr>
          <w:rFonts w:ascii="Arial" w:cs="Arial" w:eastAsia="Arial" w:hAnsi="Arial"/>
          <w:sz w:val="18"/>
          <w:szCs w:val="18"/>
          <w:b w:val="1"/>
          <w:bCs w:val="1"/>
          <w:color w:val="auto"/>
        </w:rPr>
        <w:t xml:space="preserve">Non-GAAP Operating Expenses. </w:t>
      </w:r>
      <w:r>
        <w:rPr>
          <w:rFonts w:ascii="Arial" w:cs="Arial" w:eastAsia="Arial" w:hAnsi="Arial"/>
          <w:sz w:val="18"/>
          <w:szCs w:val="18"/>
          <w:color w:val="auto"/>
        </w:rPr>
        <w:t>For the periods presented, we define non-GAAP operating expenses (including categories of operating expenses) as</w:t>
      </w:r>
      <w:r>
        <w:rPr>
          <w:rFonts w:ascii="Arial" w:cs="Arial" w:eastAsia="Arial" w:hAnsi="Arial"/>
          <w:sz w:val="18"/>
          <w:szCs w:val="18"/>
          <w:b w:val="1"/>
          <w:bCs w:val="1"/>
          <w:color w:val="auto"/>
        </w:rPr>
        <w:t xml:space="preserve"> </w:t>
      </w:r>
      <w:r>
        <w:rPr>
          <w:rFonts w:ascii="Arial" w:cs="Arial" w:eastAsia="Arial" w:hAnsi="Arial"/>
          <w:sz w:val="18"/>
          <w:szCs w:val="18"/>
          <w:color w:val="auto"/>
        </w:rPr>
        <w:t>GAAP operating expenses (and categories of operating expenses) adjusted to exclude, as applicable, stock-based compensation, amortization of acquired intangibles, acquisition-related expenses, release of tax liability upon obligation settlement, charitable contribution, gain on lease termination and payroll taxes related to stock-based compensation.</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282,199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198,130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127,858</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74,106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50,902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(48,969)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(8,812)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Stock repurchase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Release of tax liability upon obligation settlement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Charitable contribution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Gain on lease termination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Payroll taxes related to 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Non-GAAP operating expenses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241,482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169,947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115,691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48,772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 xml:space="preserve">Non-GAAP Loss from Operations and Non-GAAP Operating Margin. </w:t>
      </w:r>
      <w:r>
        <w:rPr>
          <w:rFonts w:ascii="Arial" w:cs="Arial" w:eastAsia="Arial" w:hAnsi="Arial"/>
          <w:sz w:val="18"/>
          <w:szCs w:val="18"/>
          <w:color w:val="auto"/>
        </w:rPr>
        <w:t>For the periods presented, we define non-GAAP loss from operations and non-GAAP operating margin as GAAP loss from operations and GAAP operating margin, respectively, adjusted to exclude stock-based compensation, amortization of acquired intangibles, acquisition-related expenses, release of tax liability upon obligation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charitable contribution, gain on lease termination and payroll taxes related to stock-based compensation.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335"/>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w w:val="98"/>
              </w:rPr>
              <w:t>(66,074)</w:t>
            </w: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5"/>
              </w:rPr>
              <w:t>(41,315)</w:t>
            </w: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w w:val="95"/>
              </w:rPr>
              <w:t>(35,393)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w w:val="98"/>
              </w:rPr>
              <w:t>(26,683)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98"/>
              <w:spacing w:after="0"/>
              <w:rPr>
                <w:sz w:val="20"/>
                <w:szCs w:val="20"/>
                <w:color w:val="auto"/>
              </w:rPr>
            </w:pPr>
            <w:r>
              <w:rPr>
                <w:rFonts w:ascii="Arial" w:cs="Arial" w:eastAsia="Arial" w:hAnsi="Arial"/>
                <w:sz w:val="18"/>
                <w:szCs w:val="18"/>
                <w:color w:val="auto"/>
                <w:w w:val="98"/>
              </w:rPr>
              <w:t>(26,850)</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Stock repurchase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5"/>
              </w:rPr>
              <w:t>Release of tax liability upon obligation settlement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w w:val="98"/>
              </w:rPr>
              <w:t>(13,365)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Charitable contribution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Gain on lease termination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Payroll taxes related to stock-based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Non-GAAP loss from operations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(20,063</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(12,222</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(22,922</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(22,705</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(24,693</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Non-GAAP operating margin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10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 Item 1A, "Risk Factors" in this Annual Report on Form 10-K. Our fiscal year ends on December 31.</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are the leader in the Cloud Communications Platform category. We enable developers to build, scale and operate real-time communications within their software applications via our simple-to-use Application Programming Interfaces ("APIs"). The power, flexibility, and reliability offered by our software building blocks empowers companies of virtually every shape and size to build world-class engagement into their customer experience.</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platform consists of three layers: our Engagement Cloud, Programmable Communications Cloud and Super Network. Our Engagement Cloud software is a set of APIs that handles the higher level communication logic needed for nearly every type of customer engagement. These APIs are focused on the business challenges that a developer is looking to address, allowing our customers to more quickly and easily build better ways to engage with their customers throughout their journey. Our Programmable Communications Cloud software is a set of APIs that enables developers to embed voice, messaging and video capabilities into their applications. The Programmable Communications Cloud is designed to support almost all the fundamental ways humans communicate, unlocking innovators to address just about any communication market. The Super Network is our software layer that allows our customers' software to communicate with connected devices globally. It interconnects with communications networks around the world and continually analyzes data to optimize the quality and cost of communications that flow through our platform. The Super Network also contains a set of APIs that gives our customers access to more foundational components of our platform, like phone numbers.</w:t>
      </w:r>
    </w:p>
    <w:p>
      <w:pPr>
        <w:spacing w:after="0" w:line="17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December 31, 2017, our customers' applications that are embedded with our products could reach users via voice, messaging and video in nearly every country in the world, and our platform offered customers local telephone numbers in over 100 countries and text-to-speech functionality in 26 languages. We support our global business through 27 cloud data centers in nine regions around the world and have developed contractual relationships with network service providers globally.</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business model is primarily focused on reaching and serving the needs of software developers, who we believe are becoming increasingly influential in technology decisions in a wide variety of companies. We call this approach our Business Model for Innovators, which empowers developers by reducing friction and upfront costs, encouraging experimentation, and enabling developers to grow as customers as their ideas succeed. We established and maintain our leadership position by engaging directly with, and cultivating, our developer community, which has led to the rapid adoption of our platform. We reach developers through community events and conferences, including our SIGNAL developer conferences, to demonstrate how every developer can create differentiated applications incorporating communications using our products.</w:t>
      </w:r>
    </w:p>
    <w:p>
      <w:pPr>
        <w:spacing w:after="0" w:line="17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Once developers are introduced to our platform, we provide them with a low friction trial experience. By accessing our easy-to-adopt APIs, extensive self-service documentation and customer support team, developers build our products into their applications and then test such applications through free trials. Once they have decided to use our products beyond the initial free trial period,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customers provide their credit card information and only pay for the actual usage of our products. Historically, we have acquired the substantial majority of our customers through this self-service model. As customers expand their usage of our platform, our relationships with them often evolve to include business leaders within their organizations. Once our customers reach a certain spending level with us, we support them with account executives or customer success advocates within our sales organization to ensure their satisfaction and expand their usage of our products.</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When potential customers do not have the available developer resources to build their own applications, we refer them to our network of Solution Partners, who embed our products in their solutions, such as software for contact centers, sales force automation and marketing automation that they sell to other businesses.</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supplement our self-service model with a sales effort aimed at engaging larger potential customers, strategic leads and existing customers through a direct sales approach. We augment this sales effort with the Twilio Enterprise Plan, which provides capabilities for advanced security, access management and granular administration, and is targeted at the needs of enterprise scale customers. Our sales organization works with technical and business leaders who are seeking to leverage software to drive competitive differentiation. As we educate these leaders on the benefits of developing applications that incorporate our products to differentiate their business, they often consult with their developers regarding implementation. We believe that developers are often advocates for our products as a result of our developer-focused approach. Our sales organization includes sales development, inside sales, field sales, sales engineering and customer success personnel.</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generate the substantial majority of our revenue from customers based on their usage of our software products that they have incorporated into their applications. In addition, customers typically purchase one or more telephone numbers from us, for which we charge a monthly flat fee per number. Some customers also choose to purchase various levels of premium customer support for a monthly fee. Customers that register in our self-service model typically pay upfront via credit card and draw down their balance as they purchase or use our products. Most of our customers draw down their balance in the same month they pay up front and, as a result, our deferred revenue at any particular time is not a meaningful indicator of future revenue. As our customers' usage grows, some of our customers enter into contracts and are invoiced monthly in arrears. Many of these customer contracts have terms of 12 months and typically include some level of minimum revenue commitment. Most customers with minimum revenue commitment contracts generate a significant amount of revenue in excess of their minimum revenue commitment in any period. Historically, the aggregate minimum commitment revenue from customers with whom we have contracts has constituted a minority of our revenue in any period, and we expect this to continue in the future.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developer-focused products are delivered to customers and users through our Super Network, which uses software to optimize communications on our platform. We interconnect with communications networks globally to deliver our products, and therefore we have arrangements with network service providers in many regions throughout the world. Historically, a substantial majority of our cost of revenue has been network service provider fees. We continue to optimize our network service provider coverage and connectivity through continuous improvements in routing and sourcing in order to lower the usage expenses we incur for network service provider fees. As we benefit from our platform optimization efforts, we sometimes pass these savings on to customers in the form of lower usage prices on our products in an effort to drive increased usage and expand the reach and scale of our platform. In the near term, we intend to operate our business to expand the reach and scale of our platform and to grow our revenue, rather than to maximize our gross margins.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achieved significant growth in recent periods. For the years ended December 31, 2017, 2016 and 2015, our revenue was $399.0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$277.3 million and $166.9 million, respectively. In 2017, 2016 and 2015, our 10 largest Active Customer Accounts generated an aggregate of 19%, 30% and</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32%, respectively. For the years ended December 31, 2017, 2016 and 2015, among our 10 largest Active Customer Accounts we had three, three and two Variable Customer Accounts, respectively, representing 8%, 11% and 17%, respectively. For the years ended December 31, 2017, 2016 and 2015, our Base Revenue was $365.5 million, $245.5 million and $136.9 million, respectively. We incurred a net loss of $63.7 million, $41.3 million and $35.5 million, for the years ended December 31, 2017, 2016 and 2015, respectively. See the section titled "—Key Business Metrics—Base Revenue" for a discussion of Base Revenue.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Business Metrics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5"/>
              </w:rPr>
              <w:t>Number of Active Customer Accounts (</w:t>
            </w:r>
            <w:r>
              <w:rPr>
                <w:rFonts w:ascii="Arial" w:cs="Arial" w:eastAsia="Arial" w:hAnsi="Arial"/>
                <w:sz w:val="18"/>
                <w:szCs w:val="18"/>
                <w:i w:val="1"/>
                <w:iCs w:val="1"/>
                <w:color w:val="auto"/>
                <w:w w:val="95"/>
              </w:rPr>
              <w:t>as of end date of period</w:t>
            </w:r>
            <w:r>
              <w:rPr>
                <w:rFonts w:ascii="Arial" w:cs="Arial" w:eastAsia="Arial" w:hAnsi="Arial"/>
                <w:sz w:val="18"/>
                <w:szCs w:val="18"/>
                <w:color w:val="auto"/>
                <w:w w:val="95"/>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48,979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36,606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Base Revenue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  365,490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  245,548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136,851</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Base Revenue Growth Rate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81</w:t>
            </w:r>
            <w:r>
              <w:rPr>
                <w:rFonts w:ascii="Arial" w:cs="Arial" w:eastAsia="Arial" w:hAnsi="Arial"/>
                <w:sz w:val="18"/>
                <w:szCs w:val="18"/>
                <w:color w:val="auto"/>
              </w:rPr>
              <w:t>%</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Dollar-Based Net Expansion Rate</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bl>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Number of Active Customer Accounts. </w:t>
      </w:r>
      <w:r>
        <w:rPr>
          <w:rFonts w:ascii="Arial" w:cs="Arial" w:eastAsia="Arial" w:hAnsi="Arial"/>
          <w:sz w:val="16"/>
          <w:szCs w:val="16"/>
          <w:color w:val="auto"/>
        </w:rPr>
        <w:t>We believe that the number of our Active Customer Accounts is an important indicator of the growth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the market acceptance of our platform and future revenue trends. We define an Active Customer Account at the end of any period as an individual account, as identified by a unique account identifier, for which we have recognized at least $5 of revenue in the last month of the period. We believe that the use of our platform by our customers at or above the $5 per month threshold is a stronger indicator of potential future engagement than trial usage of our platform or usage at levels below $5 per month. A single organization may constitute multiple unique Active Customer Accounts if it has multiple account identifiers, each of which is treated as a separate Active Customer Account.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years ended December 31, 2017, 2016 and 2015, revenue from Active Customer Accounts represented over 99% of total revenue in each period.</w:t>
      </w:r>
    </w:p>
    <w:p>
      <w:pPr>
        <w:spacing w:after="0" w:line="248"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Base Revenue. </w:t>
      </w:r>
      <w:r>
        <w:rPr>
          <w:rFonts w:ascii="Arial" w:cs="Arial" w:eastAsia="Arial" w:hAnsi="Arial"/>
          <w:sz w:val="16"/>
          <w:szCs w:val="16"/>
          <w:color w:val="auto"/>
        </w:rPr>
        <w:t>We monitor Base Revenue as one of the more reliable indicators of future revenue trends. Base Revenue consists of all revenue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large Active Customer Accounts that have never entered into 12-month minimum revenue commitment contracts with us, which we refer to as Variable Customer Accounts. While almost all of our customer accounts exhibit some level of variability in the usage of our products, based on our experience, we believe that Variable Customer Accounts are more likely to have significant fluctuations in usage of our products from period to period, and therefore that revenue from Variable Customer Accounts may also fluctuate significantly from period to period. This behavior is best evidenced by the decision of such customers not to enter into contracts with us that contain minimum revenue commitments, even though they may spend significant amounts on the use of our products and they may be foregoing more favorable terms often available to customers that enter into committed contracts with us. This variability adversely affects our ability to rely upon revenue from Variable Customer Accounts when analyzing expected trends in future revenue.</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historical periods through March 31, 2016, we defined a Variable Customer Account as an Active Customer Account that (i) had never signed a minimum revenue commitment contract with us for a term of at least 12 months and (ii) had met or exceeded 1% of our revenue in any quarter in the periods presented through March 31, 2016. To allow for consistent period-to-period comparisons, in the event a customer account qualified as a Variable Customer Account as of March 31, 2016, or a previously Variable Customer Account ceased to be an Active Customer Account as of such date, we included such customer account as a Variable Customer Account in all periods presented. For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periods starting with the three months ended June 30, 2016, we define a Variable Customer Account as a customer account that (a) has been categorized as a Variable Customer Account in any prior quarter, as well as (b) any new customer account that (i) is with a customer that has never signed a minimum revenue commitment contract with us for a term of at least 12 months and (ii) meets or exceeds 1% of our revenue in a quarter. Once a customer account is deemed to be a Variable Customer Account in any period, it remains a Variable Customer Account in subsequent periods unless such customer enters into a minimum revenue commitment contract with us for a term of at least 12 months.</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the years ended December 31, 2017, 2016 and 2015, we had six, eight and nine Variable Customer Accounts, which represented 8%, 11% and 18% , respectively, of our total revenue.</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b w:val="1"/>
          <w:bCs w:val="1"/>
          <w:i w:val="1"/>
          <w:iCs w:val="1"/>
          <w:color w:val="auto"/>
        </w:rPr>
        <w:t xml:space="preserve">Dollar-Based Net Expansion Rate. </w:t>
      </w:r>
      <w:r>
        <w:rPr>
          <w:rFonts w:ascii="Arial" w:cs="Arial" w:eastAsia="Arial" w:hAnsi="Arial"/>
          <w:sz w:val="16"/>
          <w:szCs w:val="16"/>
          <w:color w:val="auto"/>
        </w:rPr>
        <w:t>Our ability to drive growth and generate incremental revenue depends, in part, on our ability to maintain and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existing Active Customer Accounts and to increase their use of the platform. An important way in which we track our performance in this area is by measuring the Dollar-Based Net Expansion Rate for our Active Customer Accounts, other than our Variable Customer Accounts. Our Dollar-Based Net Expansion Rate increases when such Active Customer Accounts increase usage of a product, extend usage of a product to new applications or adopt a new product. Our Dollar-Based Net Expansion Rate decreases when such Active Customer Accounts cease or reduce usage of a product or when we lower usage prices on a product. As our customers grow their businesses and extend the use of our platform, they sometimes create multiple customer accounts with us for operational or other reasons. As such, for reporting periods starting with the three months ended December 31, 2016, when we identify a significant customer organization (defined as a single customer organization generating more than 1% of our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measuring our Dollar-Based Net Expansion Rate on revenue generated from our Active Customer Accounts, other than our Variable Customer Accounts, provides a more meaningful indication of the performance of our efforts to increase revenue from existing customers.</w:t>
      </w:r>
    </w:p>
    <w:p>
      <w:pPr>
        <w:spacing w:after="0" w:line="17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Dollar-Based Net Expansion Rate compares the revenue from Active Customer Accounts, other than Variable Customer Accounts, in a quarter to the same quarter in the prior year. To calculate the Dollar-Based Net Expansion Rate, we first identify the cohort of Active Customer Accounts, other than Variable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Carryforwards</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At December 31, 2017, we had federal and state net operating loss carryforwards of approximately $229.3 million and $159.6 million, respectively, and federal and state tax credits of approximately $12.6 million and $11.0 million, respectively. If not utilized, the federal and state loss carryforwards will expire at various dates beginning in 2029 and 2026, respectively, and the federal tax credits will expire at various dates beginning in 2029. The state tax credits can be carried forward indefinitely. At present, we believe that it is more likely than not that the federal and state net operating loss and credit carryforwards will not be realized. Accordingly, a full valuation allowance has been established for these tax attributes, as well as the rest of the federal and state deferred tax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February 2017, we acquired Beepsend, AB, a messaging provider based in Sweden, specializing in messaging and SMS solutions. The purchase price was $23.0 million in cash, of which $5.0 million was placed into escrow. The escrow continues for 18 months after the transaction closing date and may be extended under certain circumstances. Additionally, $2.0 million of the purchase price was deposited into a separate escrow that will be released to certain employees in February 2018 and 2019, provided certain conditions are met.</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November 2016, we acquired certain assets of Tikal Technologies S.L., a Spanish corporation, behind its Kurento Open Source Project, consisting of proprietary WebRTC media processing technologies, certain licenses, patents and trademarks and employee relationships behind the WebRTC technology. The purchase price consisted of $8.5 million in cash, of which $1.5 million was placed into escrow. The escrow continues for 24 months and 10 days from the acquisition date and may be extended under certain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On August 21, 2015, we repurchased an aggregate of 365,916 shares of Series A preferred stock and Series B preferred stock from certain preferred stockholders, and repurchased an aggregate of 1,869,156 shares of common stock from certain current and former employees, for $22.8 million in cash, which transaction we refer to as the 2015 Repurchase. The 2015 Repurchase was conducted at a price in excess of the fair value of our common stock at the date of repurchase. No special rights or privileges were conveyed to the employees and former employees. However, not all employees were invited to participate in the 2015 Repurchase. We recorded a compensation expense in the amount of $2.0 million, which represented the excess of the common stock repurchase price above the fair value of the common stock on the date of repurchase. The excess of the preferred stock repurchase price above the carrying value of the preferred stock was recorded as a deemed dividend in the year ended December 31, 2015. We retired the shares repurchased in the 2015 Repurchase as of August 21, 2015.</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derive our revenue primarily from usage-based fees earned from customers using the software products within our Engagement Cloud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Programmable Communications Cloud. These usage-based software products include offerings, such as Programmable Voice, Programmable Messaging and Programmable Video. Some examples of the usage-based fees for which we charge include minutes of call duration activity for our Programmable Voice products, number of text messages sent or received using our Programmable Messaging products and number of authentications for our Account Security products. In 2017, 2016 and 2015, we generated 83%, 83% and 79% of our revenue, respectively, from usage-based fees. We also earn monthly flat fees from certain fee-based products, such as telephone numbers and customer support.</w:t>
      </w:r>
    </w:p>
    <w:p>
      <w:pPr>
        <w:spacing w:after="0" w:line="174" w:lineRule="exact"/>
        <w:rPr>
          <w:sz w:val="20"/>
          <w:szCs w:val="20"/>
          <w:color w:val="auto"/>
        </w:rPr>
      </w:pPr>
    </w:p>
    <w:p>
      <w:pPr>
        <w:ind w:right="500" w:firstLine="351"/>
        <w:spacing w:after="0" w:line="256" w:lineRule="auto"/>
        <w:rPr>
          <w:sz w:val="20"/>
          <w:szCs w:val="20"/>
          <w:color w:val="auto"/>
        </w:rPr>
      </w:pPr>
      <w:r>
        <w:rPr>
          <w:rFonts w:ascii="Arial" w:cs="Arial" w:eastAsia="Arial" w:hAnsi="Arial"/>
          <w:sz w:val="18"/>
          <w:szCs w:val="18"/>
          <w:color w:val="auto"/>
        </w:rPr>
        <w:t>Customers typically pay upfront via credit card in monthly prepaid amounts and draw down their balances as they purchase or use our products. As customers grow their usage of our products they automatically receive tiered usage discounts. Our larger customers often enter into contracts, for at least 12 months, which contain minimum revenue commitments, which may contain more favorable pricing. Customers on such contracts typically are invoiced monthly in arrears for products used.</w:t>
      </w:r>
    </w:p>
    <w:p>
      <w:pPr>
        <w:spacing w:after="0" w:line="197"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Amounts that have been charged via credit card or invoiced are recorded in accounts receivable and in revenue or deferred revenue, depending on whether the revenue recognition criteria have been met. Given that our credit card prepayment amounts tend to be approximately equal to our credit card consumption amounts in each period, and that we do not have many invoiced customers on pre-payment contract terms, our deferred revenue at any particular time is not a meaningful indicator of future revenue.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define U.S. revenue as revenue from customers with IP addresses at the time of registration in the United States, and we define international revenue as revenue from customers with IP addresses at the time of registration outside of the United States.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Cost of Revenue and Gross Margin. </w:t>
      </w:r>
      <w:r>
        <w:rPr>
          <w:rFonts w:ascii="Arial" w:cs="Arial" w:eastAsia="Arial" w:hAnsi="Arial"/>
          <w:sz w:val="16"/>
          <w:szCs w:val="16"/>
          <w:color w:val="auto"/>
        </w:rPr>
        <w:t>Cost of revenue consists primarily of fees paid to network service providers. Cost of revenue also includes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fees, personnel costs, such as salaries and stock-based compensation for our customer support employees, and non-personnel costs, such as amortization of capitalized internal use software development costs.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gross margin has been and will continue to be affected by a number of factors, including the timing and extent of our investments in our operations, our ability to manage our network service provider and cloud infrastructure-related fees, the mix of U.S. revenue compared to international revenue, the timing of amortization of capitalized software development costs and the extent to which we periodically choose to pass on our cost savings from platform optimization efforts to our customers in the form of lower usage prices.</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most significant components of operating expenses are personnel costs, which consist of salaries, benefits, bonuses,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compensation expenses related to stock repurchases from employees. We also incur other non-personnel costs related to our general overhead expenses. We expect that our operating costs will increase in absolute dollars.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primarily of personnel costs, outsourced engineering services, cloud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staging and development, amortization of capitalized internal use software development costs and an allocation of our general overhead expenses. We capitalize the portion of our software development costs that meets the criteria for capitalization.</w:t>
      </w:r>
    </w:p>
    <w:p>
      <w:pPr>
        <w:spacing w:after="0" w:line="19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continue to focus our research and development efforts on adding new features and products, including new use cases, improving our platform and increasing the functionality of our existing products.</w:t>
      </w:r>
    </w:p>
    <w:p>
      <w:pPr>
        <w:spacing w:after="0" w:line="186"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personnel costs, including commissions for our sales employees.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also include expenditures related to advertising, marketing, our brand awareness activities and developer evangelism, costs related to our SIGNAL developer conferences, credit card processing fees, professional services fees and an allocation of our general overhead expenses.</w:t>
      </w:r>
    </w:p>
    <w:p>
      <w:pPr>
        <w:spacing w:after="0" w:line="16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focus our sales and marketing efforts on generating awareness of our company, platform and products through our developer evangelist team and self-service model, creating sales leads and establishing and promoting our brand, both domestically and internationally. We plan to continue investing in sales and marketing by increasing our sales and marketing headcount, supplementing our self-service model with an enterprise sales approach, expanding our sales channels, driving our go-to-market strategies, building our brand awareness and sponsoring additional marketing events.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personnel costs for our accounting, finance, legal,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support personnel and executives. General and administrative expenses also include costs related to business acquisitions, legal and other professional services fees, sales and other taxes, depreciation and amortization and an allocation of our general overhead expenses. We expect that we will incur costs associated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supporting the growth of our business and to meet the increased compliance requirements associated with both our international expansion and our transition to, and operation as, a public company.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and administrative expenses include a significant amount of sales and other taxes to which we are subject based on the manner we sell and deliver our products. Prior to March 2017, we did not collect such taxes from our customers and recorded such taxes as general and administrative expenses. Effective March 2017, we began collecting these taxes from customers in certain jurisdictions and added more jurisdictions throughout 2017 where we are now collecting these taxes. We continue expanding the number of jurisdictions where we will be collecting these taxes in the future. We expect that these expenses will decline in future years as we continue collecting these taxes from our customers in more jurisdictions, which would reduce our rate of ongoing accrual.</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income tax provision or benefit for interim periods is determined using an estimate of our annual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for discrete items occurring in the quarter. The primary difference between our effective tax rate and the federal statutory rate relates to the net operating losses in jurisdictions with a valuation allowance or a zero tax rate.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remeasured certain deferred tax assets and liabilities based on rates at which they are expected to reverse in the future, which is generally 21%. The rate reduction would generally take effect on January 1, 2018. Consequently, any changes in the U.S. corporate income tax rate will impact the carrying value of our deferred tax assets. Under the new corporate income tax rate of 21%, U.S. federal and state deferred tax assets will decrease by approximately $28 million and the valuation allowance will decrease by approximately $28 million. Due to the valuation allowance on the deferred tax assets, the provisional amount recorded related to the remeasurement was zero.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total revenue for those periods. The period-to-period comparison of our historical results are not necessarily indicative of the results that may be expected in the future.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gridSpan w:val="2"/>
          </w:tcPr>
          <w:p>
            <w:pPr>
              <w:spacing w:after="0"/>
              <w:rPr>
                <w:sz w:val="12"/>
                <w:szCs w:val="12"/>
                <w:color w:val="auto"/>
              </w:rPr>
            </w:pPr>
          </w:p>
        </w:tc>
        <w:tc>
          <w:tcPr>
            <w:tcW w:w="10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3"/>
              </w:rPr>
              <w:t>except share and</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3"/>
              </w:rPr>
              <w:t>per</w:t>
            </w:r>
          </w:p>
        </w:tc>
        <w:tc>
          <w:tcPr>
            <w:tcW w:w="1000" w:type="dxa"/>
            <w:vAlign w:val="bottom"/>
            <w:tcBorders>
              <w:top w:val="single" w:sz="8" w:color="auto"/>
            </w:tcBorders>
            <w:gridSpan w:val="3"/>
          </w:tcPr>
          <w:p>
            <w:pPr>
              <w:jc w:val="right"/>
              <w:ind w:right="232"/>
              <w:spacing w:after="0" w:line="142" w:lineRule="exact"/>
              <w:rPr>
                <w:sz w:val="20"/>
                <w:szCs w:val="20"/>
                <w:color w:val="auto"/>
              </w:rPr>
            </w:pPr>
            <w:r>
              <w:rPr>
                <w:rFonts w:ascii="Arial" w:cs="Arial" w:eastAsia="Arial" w:hAnsi="Arial"/>
                <w:sz w:val="14"/>
                <w:szCs w:val="14"/>
                <w:b w:val="1"/>
                <w:bCs w:val="1"/>
                <w:color w:val="auto"/>
                <w:w w:val="88"/>
              </w:rPr>
              <w:t>share data)</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399,020</w:t>
            </w:r>
          </w:p>
        </w:tc>
        <w:tc>
          <w:tcPr>
            <w:tcW w:w="1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277,335</w:t>
            </w:r>
          </w:p>
        </w:tc>
        <w:tc>
          <w:tcPr>
            <w:tcW w:w="1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166,919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8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182,895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120,520</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74,454</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216,125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156,815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gridSpan w:val="3"/>
          </w:tcPr>
          <w:p>
            <w:pPr>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120,739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77,926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42,559</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100,669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65,267</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49,308</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gridSpan w:val="3"/>
          </w:tcPr>
          <w:p>
            <w:pPr>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59,619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51,077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35,991</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Charitable contribution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282,199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198,130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127,858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(66,074)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(41,315)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(35,393)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(63,003)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(35,382)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(63,708)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(35,504)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Deemed dividend to investors in relation to tender offer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(3,392)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(63,708)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(38,896)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20" w:type="dxa"/>
            <w:vAlign w:val="bottom"/>
            <w:gridSpan w:val="3"/>
            <w:vMerge w:val="restart"/>
          </w:tcPr>
          <w:p>
            <w:pPr>
              <w:ind w:left="180"/>
              <w:spacing w:after="0"/>
              <w:rPr>
                <w:sz w:val="20"/>
                <w:szCs w:val="20"/>
                <w:color w:val="auto"/>
              </w:rPr>
            </w:pPr>
            <w:r>
              <w:rPr>
                <w:rFonts w:ascii="Arial" w:cs="Arial" w:eastAsia="Arial" w:hAnsi="Arial"/>
                <w:sz w:val="18"/>
                <w:szCs w:val="18"/>
                <w:color w:val="auto"/>
                <w:w w:val="97"/>
              </w:rPr>
              <w:t>Net loss per share attributable to common stockholders, basic and</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20" w:type="dxa"/>
            <w:vAlign w:val="bottom"/>
            <w:gridSpan w:val="3"/>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(0.70)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(0.78)</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54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w w:val="88"/>
              </w:rPr>
              <w:t>Weighted-average shares used in computing net loss per share attributable to</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91,224,607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53,116,675</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17,746,526</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320" w:type="dxa"/>
            <w:vAlign w:val="bottom"/>
            <w:gridSpan w:val="2"/>
          </w:tcPr>
          <w:p>
            <w:pPr>
              <w:ind w:left="1140"/>
              <w:spacing w:after="0"/>
              <w:rPr>
                <w:sz w:val="20"/>
                <w:szCs w:val="20"/>
                <w:color w:val="auto"/>
              </w:rPr>
            </w:pPr>
            <w:r>
              <w:rPr>
                <w:rFonts w:ascii="Arial" w:cs="Arial" w:eastAsia="Arial" w:hAnsi="Arial"/>
                <w:sz w:val="15"/>
                <w:szCs w:val="15"/>
                <w:color w:val="auto"/>
                <w:w w:val="87"/>
              </w:rPr>
              <w:t>(1)</w:t>
            </w:r>
          </w:p>
        </w:tc>
        <w:tc>
          <w:tcPr>
            <w:tcW w:w="5320" w:type="dxa"/>
            <w:vAlign w:val="bottom"/>
            <w:gridSpan w:val="3"/>
          </w:tcPr>
          <w:p>
            <w:pPr>
              <w:ind w:left="360"/>
              <w:spacing w:after="0"/>
              <w:rPr>
                <w:sz w:val="20"/>
                <w:szCs w:val="20"/>
                <w:color w:val="auto"/>
              </w:rPr>
            </w:pPr>
            <w:r>
              <w:rPr>
                <w:rFonts w:ascii="Arial" w:cs="Arial" w:eastAsia="Arial" w:hAnsi="Arial"/>
                <w:sz w:val="18"/>
                <w:szCs w:val="18"/>
                <w:color w:val="auto"/>
              </w:rPr>
              <w:t>Includes stock-based compensation expense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right"/>
              <w:ind w:right="35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22,808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20" w:type="dxa"/>
            <w:vAlign w:val="bottom"/>
            <w:gridSpan w:val="3"/>
            <w:vMerge w:val="restart"/>
          </w:tcPr>
          <w:p>
            <w:pPr>
              <w:ind w:left="43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4"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acquired intangibles as follows:</w:t>
      </w: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5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r>
      <w:tr>
        <w:trPr>
          <w:trHeight w:val="20"/>
        </w:trPr>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as a percentage of revenue:**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Charitable contribution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Deemed dividend to investors in relation to tender offer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0.5% of revenue.</w:t>
      </w:r>
    </w:p>
    <w:p>
      <w:pPr>
        <w:spacing w:after="0" w:line="239"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Columns may not add up to 100% due to rounding.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the Fiscal Years Ended December 31, 2017, 2016 and 2015</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6"/>
              </w:rPr>
              <w:t>2016 to 2017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2015 to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(Dollars in</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Base revenue</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365,490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245,548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136,851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119,942</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108,697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79%</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Variable revenue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399,020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277,335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166,919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121,685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44%</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110,416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2017, Base Revenue increased by $120.0 million, or 49%, compared to 2016, and represented 92% and 89% of total revenue in 2017 and 2016, respectively. This increase was primarily attributable to an increase in the usage of all our products, particularly our Programmable Messaging products and Programmable Voice products, and the adoption of additional products by our existing customers. This increase was partially offset by pricing decreases that we have implemented over time in the form of lower usage prices, in an effort to increase the reach and scale of our platform. The changes in usage and price in 2017 were reflected in our Dollar-Based Net Expansion Rate of 128%. The increase in usage was also attributable to a 34% increase in the number of Active Customer Accounts, from 36,606 as of December 31, 2016 to 48,979 as of December 31, 2017. Revenue from Uber, our largest Base Customer, decreased in 2017, due to a combination of product usage decreases and certain price adjustments that were made by us as a result of Uber's high volume growth. Accordingly, we expect the year-over-year decline in our revenue from Uber to continue to negatively impact our revenue growth rates and our Dollar-Based Net Expansion Rate for upcoming periods.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2017, Variable Revenue increased by $1.7 million, or 5%, compared to 2016, and represented 8% and 11% of total revenue in 2017 and 2016, respectively. This increase was primarily attributable to the increase in the usage of products by our existing Variable Customer Accounts, partially offset by the decrease in number of Variable Customer Accounts from eight to six.</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U.S. revenue and international revenue represented $308.6 million, or 77%, and $90.4 million, or 23%, respectively, of total revenue in 2017, compared to $233.9 million, or 84%, and $43.4 million, or 16%, respectively, of total revenue in 2016. The increase in international revenue was attributable to the growth in usage of our products, particularly our Programmable Messaging products and Programmable Voice products, by our existing international Active Customer Accounts; a 39% increase in the number of international Active Customer Accounts, excluding the impact from our Beepsend acquisition, driven in part by our focus on expanding our sales to customers outside of the United States; and our recent acquisition. We opened one new office outside of the United States in 2017.</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2016, Base Revenue increased by $108.7 million, or 79%, compared to 2015, and represented 89% and 82% of total revenue in 2016 and 2015, respectively. This increase was primarily attributable to an increase in the usage of all our products, particularly our Programmable Messaging products and Programmable Voice products, and the adoption of additional products by our existing customers. This increase was partially offset by pricing decreases that we have implemented over time for our customers in the form of lower usage prices in an effort to increase the reach and scale of our platform. The changes in usage and price in 2016 were reflected in our Dollar-Based Net Expansion Rate of 161%. The increase in usage was also attributable to a 44% increase in the number of Active Customer Accounts, from 25,347 as of December 31, 2015 to 36,606 as of December 31, 2016.</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2016, Variable Revenue increased by $1.7 million, or 6%, compared to 2015, and represented 11% and 18% of total revenue in 2016 and 2015, respectively. This increase was primarily attributable to the increase in the usage of products by our existing Variable Customer Accounts, partially offset by the decrease in number of Variable Customer Accounts from nine to eight.</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U.S. revenue and international revenue represented $233.9 million, or 84%, and $43.4 million, or 16%, respectively, of total revenue in 2016, compared to $143.1 million, or 86%, and $23.8 million, or 14%, respectively, of total revenue in 2015. The increase in international revenue in absolute dollars and as a percentage of total revenue was attributable to the growth in usage of our products, particularly our Programmable Messaging products and Programmable Voice products, by our existing international Active Customer Accounts, and to a 61% increase in the number of international Active Customer Accounts, driven in part by our focus on expanding our sales to customers outside of the United States. We opened one office outside of the United States in 2016.</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w w:val="86"/>
              </w:rPr>
              <w:t>2016 to 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left="132"/>
              <w:spacing w:after="0"/>
              <w:rPr>
                <w:sz w:val="20"/>
                <w:szCs w:val="20"/>
                <w:color w:val="auto"/>
              </w:rPr>
            </w:pPr>
            <w:r>
              <w:rPr>
                <w:rFonts w:ascii="Arial" w:cs="Arial" w:eastAsia="Arial" w:hAnsi="Arial"/>
                <w:sz w:val="14"/>
                <w:szCs w:val="14"/>
                <w:b w:val="1"/>
                <w:bCs w:val="1"/>
                <w:color w:val="auto"/>
                <w:w w:val="88"/>
              </w:rPr>
              <w:t>2015 to 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(Dollars in</w:t>
            </w:r>
          </w:p>
        </w:tc>
        <w:tc>
          <w:tcPr>
            <w:tcW w:w="180" w:type="dxa"/>
            <w:vAlign w:val="bottom"/>
            <w:gridSpan w:val="2"/>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182,895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74,454</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62,375</w:t>
            </w:r>
          </w:p>
        </w:tc>
        <w:tc>
          <w:tcPr>
            <w:tcW w:w="13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95"/>
              </w:rPr>
              <w:t>52%$  46,066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62%</w:t>
            </w: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2017, cost of revenue increased by $62.4 million, or 52%, compared to 2016. The increase in cost of revenue was primarily attributable to a $51.3 million increase in network service providers' costs, a $4.8 million increase in cloud infrastructure fees to support the growth in usage of our products and a $5.5 million increase in amortization expense for internal use software.</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2017, gross margin declined primarily as a result of an increasing mix of international product usage and certain price adjustments that were made by us as a result of Uber's high volume growth.</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2016, cost of revenue increased by $46.1 million, or 62%, compared to 2015. The increase in cost of revenue was primarily attributable to a $40.0 million increase in network service providers' costs, a $2.8 million increase in cloud infrastructure fees to support the growth in usage of our products and a $1.9 million increase in amortization expense for internal use software.</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2016, gross margin improved primarily as a result of cost savings from our continued platform optimization efforts, along with changes in our product and geographic mix.</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2016 to 2017 Change</w:t>
            </w:r>
          </w:p>
        </w:tc>
        <w:tc>
          <w:tcPr>
            <w:tcW w:w="80" w:type="dxa"/>
            <w:vAlign w:val="bottom"/>
          </w:tcPr>
          <w:p>
            <w:pPr>
              <w:spacing w:after="0"/>
              <w:rPr>
                <w:sz w:val="14"/>
                <w:szCs w:val="14"/>
                <w:color w:val="auto"/>
              </w:rPr>
            </w:pPr>
          </w:p>
        </w:tc>
        <w:tc>
          <w:tcPr>
            <w:tcW w:w="25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2015 to 2016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in</w:t>
            </w:r>
          </w:p>
        </w:tc>
        <w:tc>
          <w:tcPr>
            <w:tcW w:w="8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120,739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42,813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35,367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100,669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65,267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35,402</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15,959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15,086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Charitable contribution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(2,688)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282,199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198,130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127,858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84,069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70,272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15"/>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2017, research and development expenses increased by $42.8 million, or 55%, compared to 2016. The increase was primarily attributable to a</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$30.3 million increase in personnel costs, net of a $7.7 million increase in capitalized software development costs, largely as a result of a 37% average increase of our research and development headcount, as we continued to focus on enhancing our existing products and introducing new products, as well as enhancing product management and other technical functions. The increase was also due in part to a $3.0 million increase in software subscription expense, a $2.7 million increase in cloud infrastructure fees to support the staging and development of our products, a $1.5 million increase in outsourced engineering services, a</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$1.4 million increase in amortization expense related to our internal-use software and the intangible assets acquired through business combinations, a $0.7 million increase related to employee travel and a $0.7 million increase in professional fees.</w:t>
      </w:r>
    </w:p>
    <w:p>
      <w:pPr>
        <w:spacing w:after="0" w:line="19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2017, sales and marketing expenses increased by $35.4 million, or 54%, compared to 2016. The increase was primarily attributable to a $25.5 million increase in personnel costs, largely as a result of a 42% average increase in sales and marketing headcount as we continued to expand our sales efforts in the United States and internationally, a $1.9 million increase in credit card processing fees due to increased volumes, a $1.4 million increase in advertising expenses, a $1.2 million increase in professional services fees, a $1.2 million increase in employee travel expenses, a $1.1 million increase in software subscription expense, a $1.2 million increase in depreciation and amortization and a $0.4 million increase related to our SIGNAL developer conferences.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2017, general and administrative expenses increased by $8.5 million, or 17%, compared to 2016. The increase was primarily attributable to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$16.1 million increase in personnel costs, largely as a result of a 33% average increase in general and administrative headcount to support the growth of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business domestically and internationally, a $4.3 million increase in professional services fees primarily related to our operations as a public company and our 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going litigation matters, a $2.6 million increase in facilities and insurance costs, a $0.5 million increase related to software licenses. These increases were partially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offset by the release of $12.6 million tax liability upon certain obligation settlements and estimate revisions, discussed in detail in Note 10 (d) of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included elsewhere in this Annual Report on Form 10-K, and a $3.4 million decrease in the state and other taxes expense as we began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collecting those taxes in certain jurisdictions starting in March 2017, which allowed us to reduce the ongoing rate of accrual.</w:t>
      </w:r>
    </w:p>
    <w:p>
      <w:pPr>
        <w:spacing w:after="0" w:line="21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2017, Twilio.org donated 45,383 shares of Class A common stock with a value of $1.2 million to an independent Donor Advised Fund to further our philanthropic goals.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2016 Compared to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2016, research and development expenses increased by $35.4 million, or 83%, compared to 2015. The increase was primarily attributable to a</w:t>
      </w:r>
    </w:p>
    <w:p>
      <w:pPr>
        <w:spacing w:after="0" w:line="38"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$27.3 million increase in personnel costs, net of a $4.4 million increase in capitalized software development costs, largely as a result of a 61% average increase of our research and development headcount, as we continued to focus on enhancing our existing products and introducing new products, as well as enhancing product management and other technical functions. The increase was also due in part to a $1.9 million increase related to the facilities rent expense in connection with our new office lease in San Francisco, California, a $1.7 million increase in cloud infrastructure fees to support the staging and development of our products, a $1.2 million increase in amortization expense related to our internal-use software and the intangible assets acquired through business combinations and a</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$1.2 million increase in software subscription expense. These increases were partially offset by a $0.8 million decrease in compensation expense related to the 2015 Repurchase, which was not incurred in 2016.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2016, sales and marketing expenses increased by $16.0 million, or 32%, compared to 2015. The increase was primarily attributable to a $9.4 million increase in personnel costs, largely as a result of a 35% average increase in sales and marketing headcount as we continued to expand our sales efforts in the United States and internationally, a $1.6 million increase in credit card processing fees due to increased volumes, a $0.8 million increase in the software subscription expense, a $0.8 million increase in the facilities rent expense primarily due to our new office lease in San Francisco, California, a $0.7 million increase related to our SIGNAL developer conferences, a $0.6 million increase in advertising expenses, a $0.6 million increase in professional services fees and a $0.6 million increase in employee travel expenses.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2016, general and administrative expenses increased by $15.1 million, or 42%, compared to 2015. The increase was primarily attributable to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 million increase in personnel costs, largely as a result of a 41% average increase in general and administrative headcount to support the growth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and becoming a publicly-traded company, a $4.9 million increase in sales and other taxes, a $1.4 million increase in depreciation, amortization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rent primarily due to our new office lease in San Francisco, California and a $0.9 million increase in professional service fees unrelated to business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combinations. These increases were partially offset by a $1.1 million decrease in compensation expense related to the 2015 Repurchase, which was not incurred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2016, a $0.8 million decrease related to the partial reversal of previously recorded tax liability upon settlement of the obligation and a $0.7 million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 fees related to business combinations.</w:t>
      </w:r>
    </w:p>
    <w:p>
      <w:pPr>
        <w:spacing w:after="0" w:line="21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2016, of the net proceeds we received in our follow-on public offering, $3.9 million was reserved to fund and support the operations of Twilio.org. In December 2016, Twilio.org donated the full $3.9 million proceeds into an independent Donor Advised Fund to further our philanthropic goals.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tables set forth our unaudited quarterly statements of operations data for each of the eight quarters ended December 31, 2017, as well as the percentage that each line item represents of our revenue for each quarter presented. The information for each quarter has been prepared on a basis consistent with our audited consolidated financial statements included elsewhere in this Annual Report on Form 10-K, and reflect, in the opinion of management, all adjustments of a normal, recurring nature that are necessary for a fair presentation of the financial information contained in those statements. Our historical results are not necessarily indicative of the results that may be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expected in the future. The following quarterly financial data should be read in conjunction with our audited consolidated financial statements included elsewhere in this Annual Report on Form 10-K.</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3"/>
              </w:rPr>
              <w:t>Sept.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6"/>
              </w:rPr>
              <w:t>Dec. 31,</w:t>
            </w:r>
          </w:p>
        </w:tc>
        <w:tc>
          <w:tcPr>
            <w:tcW w:w="60" w:type="dxa"/>
            <w:vAlign w:val="bottom"/>
          </w:tcPr>
          <w:p>
            <w:pPr>
              <w:spacing w:after="0"/>
              <w:rPr>
                <w:sz w:val="11"/>
                <w:szCs w:val="11"/>
                <w:color w:val="auto"/>
              </w:rPr>
            </w:pPr>
          </w:p>
        </w:tc>
        <w:tc>
          <w:tcPr>
            <w:tcW w:w="8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1"/>
                <w:szCs w:val="11"/>
                <w:color w:val="auto"/>
              </w:rPr>
            </w:pPr>
          </w:p>
        </w:tc>
        <w:tc>
          <w:tcPr>
            <w:tcW w:w="7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6"/>
              </w:rPr>
              <w:t>Sept.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86"/>
              </w:rPr>
              <w:t>Dec.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in</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gridSpan w:val="2"/>
            <w:vMerge w:val="continue"/>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Operations: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59,340</w:t>
            </w: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64,510</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71,533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81,952</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87,372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95,870</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100,542</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115,236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26,827</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42,333</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53,537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80" w:type="dxa"/>
            <w:vAlign w:val="bottom"/>
            <w:gridSpan w:val="2"/>
          </w:tcPr>
          <w:p>
            <w:pPr>
              <w:ind w:left="320"/>
              <w:spacing w:after="0" w:line="263" w:lineRule="exact"/>
              <w:rPr>
                <w:sz w:val="20"/>
                <w:szCs w:val="20"/>
                <w:color w:val="auto"/>
              </w:rPr>
            </w:pPr>
            <w:r>
              <w:rPr>
                <w:rFonts w:ascii="Arial" w:cs="Arial" w:eastAsia="Arial" w:hAnsi="Arial"/>
                <w:sz w:val="18"/>
                <w:szCs w:val="18"/>
                <w:color w:val="auto"/>
              </w:rPr>
              <w:t>development</w:t>
            </w:r>
            <w:r>
              <w:rPr>
                <w:rFonts w:ascii="Arial" w:cs="Arial" w:eastAsia="Arial" w:hAnsi="Arial"/>
                <w:sz w:val="29"/>
                <w:szCs w:val="29"/>
                <w:color w:val="auto"/>
                <w:vertAlign w:val="superscript"/>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14,864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24,587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29,714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31,674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32,829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8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w w:val="89"/>
              </w:rPr>
              <w:t>Sales and marketing</w:t>
            </w:r>
            <w:r>
              <w:rPr>
                <w:rFonts w:ascii="Arial" w:cs="Arial" w:eastAsia="Arial" w:hAnsi="Arial"/>
                <w:sz w:val="29"/>
                <w:szCs w:val="29"/>
                <w:color w:val="auto"/>
                <w:w w:val="89"/>
                <w:vertAlign w:val="superscript"/>
              </w:rPr>
              <w:t>(1)(2)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26,153</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80" w:type="dxa"/>
            <w:vAlign w:val="bottom"/>
            <w:gridSpan w:val="2"/>
          </w:tcPr>
          <w:p>
            <w:pPr>
              <w:ind w:left="320"/>
              <w:spacing w:after="0" w:line="263" w:lineRule="exact"/>
              <w:rPr>
                <w:sz w:val="20"/>
                <w:szCs w:val="20"/>
                <w:color w:val="auto"/>
              </w:rPr>
            </w:pPr>
            <w:r>
              <w:rPr>
                <w:rFonts w:ascii="Arial" w:cs="Arial" w:eastAsia="Arial" w:hAnsi="Arial"/>
                <w:sz w:val="18"/>
                <w:szCs w:val="18"/>
                <w:color w:val="auto"/>
              </w:rPr>
              <w:t>administrative</w:t>
            </w:r>
            <w:r>
              <w:rPr>
                <w:rFonts w:ascii="Arial" w:cs="Arial" w:eastAsia="Arial" w:hAnsi="Arial"/>
                <w:sz w:val="29"/>
                <w:szCs w:val="29"/>
                <w:color w:val="auto"/>
                <w:vertAlign w:val="superscript"/>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14,304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18,867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Charitable contribution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60,607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(10,853)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(11,276)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(12,820)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(14,755)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w w:val="90"/>
              </w:rPr>
              <w:t>Other income (expense),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Loss before (provision)</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benefit for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(10,881)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(11,138)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(12,595)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(14,257)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(6,599)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(19,116)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(Provision) benefit for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(10,994)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(11,254)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(12,608)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(7,109)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(23,453)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Includes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98"/>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Sept.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Dec.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79"/>
              </w:rPr>
              <w:t>Sept.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6"/>
              </w:rPr>
              <w:t>Dec. 31,</w:t>
            </w:r>
          </w:p>
        </w:tc>
        <w:tc>
          <w:tcPr>
            <w:tcW w:w="118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Pr>
          <w:p>
            <w:pPr>
              <w:jc w:val="center"/>
              <w:ind w:left="1"/>
              <w:spacing w:after="0"/>
              <w:rPr>
                <w:sz w:val="20"/>
                <w:szCs w:val="20"/>
                <w:color w:val="auto"/>
              </w:rPr>
            </w:pPr>
            <w:r>
              <w:rPr>
                <w:rFonts w:ascii="Arial" w:cs="Arial" w:eastAsia="Arial" w:hAnsi="Arial"/>
                <w:sz w:val="12"/>
                <w:szCs w:val="12"/>
                <w:b w:val="1"/>
                <w:bCs w:val="1"/>
                <w:color w:val="auto"/>
                <w:w w:val="74"/>
              </w:rPr>
              <w:t>in</w:t>
            </w: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6"/>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General and administrative</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4"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acquired intangibles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March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2"/>
              </w:rPr>
              <w:t>June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79"/>
              </w:rPr>
              <w:t>Sept.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132"/>
              <w:spacing w:after="0" w:line="129" w:lineRule="exact"/>
              <w:rPr>
                <w:sz w:val="20"/>
                <w:szCs w:val="20"/>
                <w:color w:val="auto"/>
              </w:rPr>
            </w:pPr>
            <w:r>
              <w:rPr>
                <w:rFonts w:ascii="Arial" w:cs="Arial" w:eastAsia="Arial" w:hAnsi="Arial"/>
                <w:sz w:val="14"/>
                <w:szCs w:val="14"/>
                <w:b w:val="1"/>
                <w:bCs w:val="1"/>
                <w:color w:val="auto"/>
                <w:w w:val="83"/>
              </w:rPr>
              <w:t>Dec.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2"/>
              </w:rPr>
              <w:t>June 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Sept.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Dec. 31,</w:t>
            </w:r>
          </w:p>
        </w:tc>
        <w:tc>
          <w:tcPr>
            <w:tcW w:w="1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79"/>
              </w:rPr>
              <w:t>in</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0"/>
              </w:rPr>
              <w:t>(Unaudited,</w:t>
            </w:r>
          </w:p>
        </w:tc>
        <w:tc>
          <w:tcPr>
            <w:tcW w:w="160" w:type="dxa"/>
            <w:vAlign w:val="bottom"/>
            <w:gridSpan w:val="2"/>
            <w:vMerge w:val="continue"/>
          </w:tcPr>
          <w:p>
            <w:pPr>
              <w:spacing w:after="0"/>
              <w:rPr>
                <w:sz w:val="12"/>
                <w:szCs w:val="12"/>
                <w:color w:val="auto"/>
              </w:rPr>
            </w:pPr>
          </w:p>
        </w:tc>
        <w:tc>
          <w:tcPr>
            <w:tcW w:w="7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4"/>
          </w:tcPr>
          <w:p>
            <w:pPr>
              <w:jc w:val="right"/>
              <w:ind w:right="192"/>
              <w:spacing w:after="0" w:line="12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1"/>
                <w:szCs w:val="11"/>
                <w:color w:val="auto"/>
              </w:rPr>
            </w:pPr>
          </w:p>
        </w:tc>
        <w:tc>
          <w:tcPr>
            <w:tcW w:w="84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w w:val="97"/>
              </w:rPr>
              <w:t>Sept. 30,</w:t>
            </w:r>
          </w:p>
        </w:tc>
        <w:tc>
          <w:tcPr>
            <w:tcW w:w="8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80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1"/>
                <w:szCs w:val="11"/>
                <w:color w:val="auto"/>
              </w:rPr>
            </w:pPr>
          </w:p>
        </w:tc>
        <w:tc>
          <w:tcPr>
            <w:tcW w:w="82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86"/>
              </w:rPr>
              <w:t>Sept. 30,</w:t>
            </w:r>
          </w:p>
        </w:tc>
        <w:tc>
          <w:tcPr>
            <w:tcW w:w="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Dec. 31,</w:t>
            </w:r>
          </w:p>
        </w:tc>
        <w:tc>
          <w:tcPr>
            <w:tcW w:w="12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Consolidated Statements of</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as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percentage of revenue:**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w w:val="93"/>
              </w:rPr>
              <w:t>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w w:val="95"/>
              </w:rPr>
              <w:t>General and administrative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Charitable contribution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w w:val="93"/>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7"/>
              </w:rPr>
              <w:t>Other income (expense), net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Loss before (provision)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benefit for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(Provision) benefit for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80" w:type="dxa"/>
            <w:vAlign w:val="bottom"/>
            <w:gridSpan w:val="3"/>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1"/>
        </w:trPr>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380" w:type="dxa"/>
            <w:vAlign w:val="bottom"/>
            <w:gridSpan w:val="4"/>
          </w:tcPr>
          <w:p>
            <w:pPr>
              <w:ind w:left="400"/>
              <w:spacing w:after="0"/>
              <w:rPr>
                <w:sz w:val="20"/>
                <w:szCs w:val="20"/>
                <w:color w:val="auto"/>
              </w:rPr>
            </w:pPr>
            <w:r>
              <w:rPr>
                <w:rFonts w:ascii="Arial" w:cs="Arial" w:eastAsia="Arial" w:hAnsi="Arial"/>
                <w:sz w:val="18"/>
                <w:szCs w:val="18"/>
                <w:color w:val="auto"/>
                <w:w w:val="89"/>
              </w:rPr>
              <w:t>Less than 0.5% of revenue.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Columns may not add up to 100% due to rounding.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1"/>
                <w:szCs w:val="11"/>
                <w:color w:val="auto"/>
              </w:rPr>
            </w:pPr>
          </w:p>
        </w:tc>
        <w:tc>
          <w:tcPr>
            <w:tcW w:w="80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93"/>
              </w:rPr>
              <w:t>Sept. 30,</w:t>
            </w:r>
          </w:p>
        </w:tc>
        <w:tc>
          <w:tcPr>
            <w:tcW w:w="20" w:type="dxa"/>
            <w:vAlign w:val="bottom"/>
          </w:tcPr>
          <w:p>
            <w:pPr>
              <w:spacing w:after="0"/>
              <w:rPr>
                <w:sz w:val="11"/>
                <w:szCs w:val="11"/>
                <w:color w:val="auto"/>
              </w:rPr>
            </w:pP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8"/>
              </w:rPr>
              <w:t>Dec. 31,</w:t>
            </w: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1"/>
                <w:szCs w:val="11"/>
                <w:color w:val="auto"/>
              </w:rPr>
            </w:pP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Sept. 30,</w:t>
            </w:r>
          </w:p>
        </w:tc>
        <w:tc>
          <w:tcPr>
            <w:tcW w:w="20" w:type="dxa"/>
            <w:vAlign w:val="bottom"/>
          </w:tcPr>
          <w:p>
            <w:pPr>
              <w:spacing w:after="0"/>
              <w:rPr>
                <w:sz w:val="11"/>
                <w:szCs w:val="11"/>
                <w:color w:val="auto"/>
              </w:rPr>
            </w:pPr>
          </w:p>
        </w:tc>
        <w:tc>
          <w:tcPr>
            <w:tcW w:w="74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80" w:type="dxa"/>
            <w:vAlign w:val="bottom"/>
            <w:gridSpan w:val="8"/>
          </w:tcPr>
          <w:p>
            <w:pPr>
              <w:jc w:val="right"/>
              <w:ind w:right="800"/>
              <w:spacing w:after="0" w:line="142" w:lineRule="exact"/>
              <w:rPr>
                <w:sz w:val="20"/>
                <w:szCs w:val="20"/>
                <w:color w:val="auto"/>
              </w:rPr>
            </w:pPr>
            <w:r>
              <w:rPr>
                <w:rFonts w:ascii="Arial" w:cs="Arial" w:eastAsia="Arial" w:hAnsi="Arial"/>
                <w:sz w:val="14"/>
                <w:szCs w:val="14"/>
                <w:b w:val="1"/>
                <w:bCs w:val="1"/>
                <w:color w:val="auto"/>
                <w:w w:val="83"/>
              </w:rPr>
              <w:t>(Unaudited, dollars in thousands)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Active Customer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Accounts (</w:t>
            </w:r>
            <w:r>
              <w:rPr>
                <w:rFonts w:ascii="Arial" w:cs="Arial" w:eastAsia="Arial" w:hAnsi="Arial"/>
                <w:sz w:val="18"/>
                <w:szCs w:val="18"/>
                <w:i w:val="1"/>
                <w:iCs w:val="1"/>
                <w:color w:val="auto"/>
                <w:w w:val="97"/>
              </w:rPr>
              <w:t>as of end date of</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23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i w:val="1"/>
                <w:iCs w:val="1"/>
                <w:color w:val="auto"/>
              </w:rPr>
              <w:t>period</w:t>
            </w:r>
            <w:r>
              <w:rPr>
                <w:rFonts w:ascii="Arial" w:cs="Arial" w:eastAsia="Arial" w:hAnsi="Arial"/>
                <w:sz w:val="18"/>
                <w:szCs w:val="18"/>
                <w:color w:val="auto"/>
              </w:rPr>
              <w:t>)</w:t>
            </w:r>
            <w:r>
              <w:rPr>
                <w:rFonts w:ascii="Arial" w:cs="Arial" w:eastAsia="Arial" w:hAnsi="Arial"/>
                <w:sz w:val="29"/>
                <w:szCs w:val="29"/>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34,457</w:t>
            </w: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36,606</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43,431</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46,489</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w w:val="88"/>
              </w:rPr>
              <w:t>Base Revenue (</w:t>
            </w:r>
            <w:r>
              <w:rPr>
                <w:rFonts w:ascii="Arial" w:cs="Arial" w:eastAsia="Arial" w:hAnsi="Arial"/>
                <w:sz w:val="18"/>
                <w:szCs w:val="18"/>
                <w:i w:val="1"/>
                <w:iCs w:val="1"/>
                <w:color w:val="auto"/>
                <w:w w:val="88"/>
              </w:rPr>
              <w:t>in thousands</w:t>
            </w:r>
            <w:r>
              <w:rPr>
                <w:rFonts w:ascii="Arial" w:cs="Arial" w:eastAsia="Arial" w:hAnsi="Arial"/>
                <w:sz w:val="18"/>
                <w:szCs w:val="18"/>
                <w:color w:val="auto"/>
                <w:w w:val="88"/>
              </w:rPr>
              <w:t>)</w:t>
            </w:r>
            <w:r>
              <w:rPr>
                <w:rFonts w:ascii="Arial" w:cs="Arial" w:eastAsia="Arial" w:hAnsi="Arial"/>
                <w:sz w:val="29"/>
                <w:szCs w:val="29"/>
                <w:color w:val="auto"/>
                <w:w w:val="88"/>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49,834</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$ 56,370</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$ 64,099</w:t>
            </w:r>
          </w:p>
        </w:tc>
        <w:tc>
          <w:tcPr>
            <w:tcW w:w="1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$ 75,245</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  80,643</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$ 87,583</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$ 91,965</w:t>
            </w:r>
          </w:p>
        </w:tc>
        <w:tc>
          <w:tcPr>
            <w:tcW w:w="1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$ 105,299</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5"/>
              </w:rPr>
              <w:t>Base Revenue Growth Rate</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43%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40%</w:t>
            </w:r>
          </w:p>
        </w:tc>
      </w:tr>
      <w:tr>
        <w:trPr>
          <w:trHeight w:val="209"/>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Dollar-Based Net Expansion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Rate</w:t>
            </w:r>
            <w:r>
              <w:rPr>
                <w:rFonts w:ascii="Arial" w:cs="Arial" w:eastAsia="Arial" w:hAnsi="Arial"/>
                <w:sz w:val="29"/>
                <w:szCs w:val="29"/>
                <w:color w:val="auto"/>
                <w:vertAlign w:val="superscript"/>
              </w:rPr>
              <w:t>(3)</w:t>
            </w:r>
          </w:p>
        </w:tc>
        <w:tc>
          <w:tcPr>
            <w:tcW w:w="7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r>
    </w:tbl>
    <w:p>
      <w:pPr>
        <w:spacing w:after="0" w:line="110"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See the section titled "—Key Business Metrics—Number of Active Customer Accounts."</w:t>
      </w:r>
    </w:p>
    <w:p>
      <w:pPr>
        <w:spacing w:after="0" w:line="146" w:lineRule="exact"/>
        <w:rPr>
          <w:rFonts w:ascii="Arial" w:cs="Arial" w:eastAsia="Arial" w:hAnsi="Arial"/>
          <w:sz w:val="29"/>
          <w:szCs w:val="29"/>
          <w:color w:val="auto"/>
          <w:vertAlign w:val="superscript"/>
        </w:rPr>
      </w:pPr>
    </w:p>
    <w:p>
      <w:pPr>
        <w:ind w:left="1680" w:hanging="531"/>
        <w:spacing w:after="0" w:line="205" w:lineRule="auto"/>
        <w:tabs>
          <w:tab w:leader="none" w:pos="168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See the section titled "—Key Business Metrics—Base Revenue."</w:t>
      </w:r>
    </w:p>
    <w:p>
      <w:pPr>
        <w:spacing w:after="0" w:line="160" w:lineRule="exact"/>
        <w:rPr>
          <w:rFonts w:ascii="Arial" w:cs="Arial" w:eastAsia="Arial" w:hAnsi="Arial"/>
          <w:sz w:val="29"/>
          <w:szCs w:val="29"/>
          <w:color w:val="auto"/>
          <w:vertAlign w:val="superscript"/>
        </w:rPr>
      </w:pPr>
    </w:p>
    <w:p>
      <w:pPr>
        <w:ind w:left="1680" w:hanging="531"/>
        <w:spacing w:after="0" w:line="195" w:lineRule="auto"/>
        <w:tabs>
          <w:tab w:leader="none" w:pos="168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See the section titled "—Key Business Metrics—Dollar-Based Net Expansion Rate."</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Trends in Revenue and Gross Margin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quarterly revenue increased in each period presented primarily due to an increase in the usage of products as well as the adoption of additional products by our existing customers as evidenced by our Dollar-Based Net Expansion Rates, and an increase in our new customers. Our gross margin improved starting with the second quarter of 2016 due to continued platform optimization, further improved in the fourth quarter of 2016 primarily as a result of cost savings from our continued platform optimization efforts, along with changes in our product and geographic mix. In the first half of 2017, an increasing mix of international product usage offset the continued platform optimization and drove a modest decline in gross margin percentage. The trends continued in the second half of 2017, and further gross margin declines were driven by certain price adjustments that were made by us as a result of Uber's high volume growth.</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Trends in Operating Expenses</w:t>
      </w:r>
    </w:p>
    <w:p>
      <w:pPr>
        <w:spacing w:after="0" w:line="23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Our operating expenses have generally increased sequentially as a result of our growth, primarily related to increased personnel costs to support our expanded operations, our continued investment in our products, our operations as a public company and ongoing litigations.</w:t>
      </w:r>
    </w:p>
    <w:p>
      <w:pPr>
        <w:spacing w:after="0" w:line="13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sales and marketing expenses included $3.2 million and $3.0 million of expenses related to our SIGNAL developer conference in the second quarter of 2017 and 2016, respectively.</w:t>
      </w:r>
    </w:p>
    <w:p>
      <w:pPr>
        <w:spacing w:after="0" w:line="186"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2016 and the first quarter of 2017, our general and administrative expenses included a significant amount of sales and other taxes to which we are subject. Prior to March 2017, we had not billed nor collected these taxes from our customers, and, accordingly, recorded a provision for these taxes, based on several key assumptions, when our liability was probable and the amount could be reasonably estimated. Starting in March 2017, we began collecting these taxes in certain jurisdictions and have been increasing the number of jurisdictions where these taxes are now being collected by us. In the second quarter of 2017, we revised certain key assumptions driving prior estimates based on settlements reached with various states indicating that certain revisions to these assumptions were appropriate in that period. These revisions resulted in a reversal of $12.2 million of previously accrued liability, which caused a significant decrease in our general and administrative expenses in the second quarter 2017 and resulted in a reduced rate of ongoing accrual in the third and fourth quarters of 2017.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To date, our principal sources of liquidity have been the net proceeds of $155.5 million and $64.4 million, after deducting underwriting discounts and offering expenses paid or payable by us, from our initial public offering in June 2016 and our follow-on public offering in October 2016, respectively; the net proceeds we received through private sales of equity securities, as well as the payments received from customers using our products. From our inception through March 31, 2016, we completed several rounds of equity financing through the sale of our convertible preferred stock for total net proceeds of $237.1 million. We believe that our cash, cash equivalents and marketable securities balances, as well as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Part 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March 2015, we entered into a $15.0 million revolving line of credit with Silicon Valley Bank which expired in March 2017 and was not renewed. We never borrowed under this credit facility.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(18,762)</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(223,630)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(42,425)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(12,379)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229,164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107,349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(190,379)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196,830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2017, cash used in operating activities consisted primarily of our net loss of $63.7 million adjusted for non-cash items, including $49.6 million of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$18.8 million of depreciation and amortization expense, $1.2 million of charitable donations and $10.2 million of cumulative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With respect to changes in operating assets and liabilities, accounts payable and other current liabilities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and deferred revenue increased $3.6 million due to increases in transaction volumes, which were partially offset by the $13.4 million release of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upon certain obligation settlements and estimate revisions, discussed in detail in Note 10 (d) of the consolidated financial statements included elsewhere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Annual Report on Form 10-K. Accounts receivable and prepaid expenses increased $13.2 million, which resulted primarily from the timing of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receipts from certain of our larger customers, pre-payments for cloud infrastructure fees and certain operating expenses.</w:t>
      </w:r>
    </w:p>
    <w:p>
      <w:pPr>
        <w:spacing w:after="0" w:line="21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2016, cash provided by operating activities consisted primarily of our net loss of $41.3 million adjusted for non-cash items, including $24.2 million of stock-based compensation expense, $8.3 million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depreciation and amortization expense and $16.9 million of cumulative changes in operating assets and liabilities. With respect to changes in operating assets and liabilities, accounts payable and other liabilities increased $25.9 million and deferred revenue increased $4.1 million, which were primarily due to increases in transaction volumes and additional accruals of sales and other taxes. Other long-term liabilities increased $9.1 million, primarily due to the increase in the deferred rent balance related to our new office lease in San Francisco, California. This was partially offset by an increase in accounts receivable and prepaid expenses of $22.0 million, which primarily resulted from the growth of our business and the timing of cash receipts from certain of our larger customers, pre-payments for cloud infrastructure fees and certain operating expenses, and a $5.7 million net increase related to the tenant improvement allowance under our new San Francisco, California office lease, after collecting $2.6 million from the landlord in the fourth quarter of 2016.</w:t>
      </w:r>
    </w:p>
    <w:p>
      <w:pPr>
        <w:spacing w:after="0" w:line="172" w:lineRule="exact"/>
        <w:rPr>
          <w:sz w:val="20"/>
          <w:szCs w:val="20"/>
          <w:color w:val="auto"/>
        </w:rPr>
      </w:pPr>
    </w:p>
    <w:p>
      <w:pPr>
        <w:jc w:val="both"/>
        <w:ind w:right="220" w:firstLine="351"/>
        <w:spacing w:after="0" w:line="303" w:lineRule="auto"/>
        <w:rPr>
          <w:sz w:val="20"/>
          <w:szCs w:val="20"/>
          <w:color w:val="auto"/>
        </w:rPr>
      </w:pPr>
      <w:r>
        <w:rPr>
          <w:rFonts w:ascii="Arial" w:cs="Arial" w:eastAsia="Arial" w:hAnsi="Arial"/>
          <w:sz w:val="15"/>
          <w:szCs w:val="15"/>
          <w:color w:val="auto"/>
        </w:rPr>
        <w:t>In 2015, cash used in operating activities consisted primarily of our net loss of $35.5 million adjusted for non-cash items, including $8.9 million of stock-based compensation expense, $4.2 million of depreciation and amortization expense and $2.9 million of cumulative changes in operating assets and liabilities. With respect to changes in operating assets and liabilities, accounts payable and other liabilities increased $13.9 million and deferred revenue increased</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$2.0 million, which were primarily due to increases in transaction volumes and additional accruals of sales and other taxes. This was partially offset by an increase in accounts receivable and prepaid expenses of $12.6 million, which primarily resulted from the growth of our business and the timing of cash receipts from certain of our larger customers, as well as pre-payments for cloud infrastructure fees and certain operating expenses.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2017, cash used in investing activities was $223.6 million, primarily consisting of $177.3 million of purchases of marketable securities, net of maturities, a $22.6 million payment for the acquisition of Beepsend, net of cash acquired, $17.3 million related to capitalized software development costs and $9.2 million purchases of property and equipment primarily related to the leasehold improvements under our new office lease. These outflows were partially offset by a $3.1 million release of restricted cash as a result of contractual arrangements and satisfaction of certain conditions.</w:t>
      </w:r>
    </w:p>
    <w:p>
      <w:pPr>
        <w:spacing w:after="0" w:line="167" w:lineRule="exact"/>
        <w:rPr>
          <w:sz w:val="20"/>
          <w:szCs w:val="20"/>
          <w:color w:val="auto"/>
        </w:rPr>
      </w:pPr>
    </w:p>
    <w:p>
      <w:pPr>
        <w:ind w:right="520" w:firstLine="351"/>
        <w:spacing w:after="0" w:line="298" w:lineRule="auto"/>
        <w:rPr>
          <w:sz w:val="20"/>
          <w:szCs w:val="20"/>
          <w:color w:val="auto"/>
        </w:rPr>
      </w:pPr>
      <w:r>
        <w:rPr>
          <w:rFonts w:ascii="Arial" w:cs="Arial" w:eastAsia="Arial" w:hAnsi="Arial"/>
          <w:sz w:val="16"/>
          <w:szCs w:val="16"/>
          <w:color w:val="auto"/>
        </w:rPr>
        <w:t>In 2016, cash used in investing activities was $42.4 million, primarily consisting of $14.2 million of payments related to purchases of property and equipment as we continued to expand our offices and grow our headcount to support the growth of our business, $11.5 million of payments for capitalized software development as we continued to build new products and enhance our existing products, an $8.5 million payment related to the Kurento WebRTC acquisition and a $7.4 million increase in restricted cash related to our new office lease in San Francisco, California.</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2015, cash used in investing activities was $12.4 million, primarily consisting of $8.4 million of payments for capitalized software development as we continued to build new products and enhance our existing products, $1.8 million of payments related to the acquisition of Authy, net of $1.2 million of cash acquired, and $1.7 million of payments related to purchases of property and equipment as we continued to expand our offices and grow our headcount to support the growth of our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2017, cash provided by financing activities was $36.4 million, primarily consisting of $25.6 million proceeds from stock options exercises by our employees and $11.9 million proceeds from shares issued under our employee stock purchase plan.</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2016, cash provided by financing activities was $229.2 million, primarily consisting of $225.7 million of aggregate proceeds raised in our initial public offering and follow-on public offering, net of underwriting discounts, and $9.1 million of proceeds from stock options exercises by our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employees. These cash inflows were partially offset by $4.6 million of costs paid in connection with our public offerings.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2015, cash provided by financing activities was $107.3 million, primarily consisting of $125.4 million proceeds from our sales of Series E convertible preferred stock, net of issuance expenses, and $3.4 million proceeds from stock option exercises by our employees. This was partially offset by the $20.8 million of payments made in connection with our 2015 Repurchase and $0.7 million of payments for deferred offering costs.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non-cancelable contractual obligations as of December 31,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w w:val="98"/>
              </w:rPr>
              <w:t>1 to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9"/>
              </w:rPr>
              <w:t>or More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14,777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12,897</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45,747</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25,673</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48,110</w:t>
            </w:r>
          </w:p>
        </w:tc>
        <w:tc>
          <w:tcPr>
            <w:tcW w:w="1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40,450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93,857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97"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Operating leases represent total future minimum rent payments under non-cancelable operating lease agreements.</w:t>
      </w:r>
    </w:p>
    <w:p>
      <w:pPr>
        <w:spacing w:after="0" w:line="223" w:lineRule="exact"/>
        <w:rPr>
          <w:rFonts w:ascii="Arial" w:cs="Arial" w:eastAsia="Arial" w:hAnsi="Arial"/>
          <w:sz w:val="29"/>
          <w:szCs w:val="29"/>
          <w:color w:val="auto"/>
          <w:vertAlign w:val="superscript"/>
        </w:rPr>
      </w:pPr>
    </w:p>
    <w:p>
      <w:pPr>
        <w:ind w:left="1680" w:right="100" w:hanging="531"/>
        <w:spacing w:after="0" w:line="235" w:lineRule="auto"/>
        <w:tabs>
          <w:tab w:leader="none" w:pos="168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Purchase obligations represent total future minimum payments under contracts with our cloud infrastructure provider, network service providers and other vendors. Purchase obligations exclude agreements that are cancelable without penalty. Unrecognized tax benefits are not included in the table above because any amounts expected to be settled in cash are not material.</w:t>
      </w: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in U.S. GAAP. Preparation of these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In many instances, we could have reasonably used different accounting estimates and in other instances changes in the accounting estimates are reasonably likely to occur from period to period. Actual results could differ significantly from our estimates. To the extent that there are material differences between these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our judgments and estimates.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recognize revenue when persuasive evidence of an arrangement exists, delivery has occurred, the price to the buyer is fixed or determinable and collection is reasonably assured. We consider a signed contract or other similar documentation reflecting the terms and conditions under which products will be provided to be persuasive evidence of an arrangement. Collectability is assessed based on a number of factors, including payment history and the creditworthiness of a customer. If it is determined that collection is not reasonably assured, revenue is not recognized until collection becomes reasonably assured, which is generally upon receipt of cash.</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Usage-based fees are recognized as products are delivered. Term-based fees are recorded on a straight-line basis over the contractual term of the arrangement beginning on the date when the product is made available to the customer, provided all other revenue recognition criteria are met.</w:t>
      </w:r>
    </w:p>
    <w:p>
      <w:pPr>
        <w:spacing w:after="0" w:line="139"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Our arrangements do not contain general rights of return. However, credits to customers may be issued on a case-by-case basis. Our contracts do not provide customers with the right to take possession of our software supporting the applications. Amounts that have been invoiced are recorded in accounts receivable and in revenue or deferred revenue, depending on whether the revenue recognition criteria have been met.</w:t>
      </w:r>
    </w:p>
    <w:p>
      <w:pPr>
        <w:spacing w:after="0" w:line="16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carry a reserve for sales credits that we calculate based on historical trends and any specific risks identified in processing transactions. Changes in the reserve are recorded against total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and other taxes collected from customers to be remitted to government authorities are excluded from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account for stock-based compensation in accordance with the authoritative guidance on stock compensation. Under the fair value recognition provisions of this guidance, stock-based compensation is measured at the grant date based on the fair value of the award and is recognized as expense, over the requisite service period, which is generally the vesting period of the respective award. Under the old guidance, the stock-based compensation was recorded net of estimated forfeitures.</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 -Based Payment Accounting.</w:t>
      </w:r>
      <w:r>
        <w:rPr>
          <w:rFonts w:ascii="Arial" w:cs="Arial" w:eastAsia="Arial" w:hAnsi="Arial"/>
          <w:sz w:val="16"/>
          <w:szCs w:val="16"/>
          <w:color w:val="auto"/>
        </w:rPr>
        <w:t>" This new guidance is intended to simplify several areas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compensation arrangements, including accounting for forfeitures, the income tax impact and classification on the statement of cash flows. This guidance is effective for fiscal years, and interim periods within those years, beginning after December 15, 2016, and early adoption is permitted. We early adopted this guidance in the quarter ended December 31, 2016. The new guidance allows entities to account for forfeitures as they occur. We elected to account for forfeitures as they occur and adopted this provision on a modified retrospective basis. The $0.1 million of cumulative prior years' impact as well as the impact on the first three quarters of 2016 of $75,000 was recognized as an increase to stock-based compensation during the quarter ended December 31, 2016, as the impact on prior periods was insignificant. Further, recognition of the previously unrecognized excess tax benefits resulted in the recognition of a tax benefit of $62,000 in our consolidated statement of operations in the fourth quarter of 2016. Adoption of all other changes in the new guidance did not have a significant impact on our consolidated financial statements.</w:t>
      </w:r>
    </w:p>
    <w:p>
      <w:pPr>
        <w:spacing w:after="0" w:line="17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Prior to our initial public offering ("IPO") in June 2016, we granted restricted stock units ("Pre-IPO RSUs") under our 2008 Stock Option Plan (the "2008 Plan") to our employees that vested upon the satisfaction of both a service condition and a liquidity condition. The service condition for the majority of these awards will be satisfied over four years. The liquidity condition was satisfied upon occurrence of our IPO in June 2016. RSUs granted on or after the completion of our IPO ("Post-IPO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RSUs") are under our 2016 Stock Options Incentive Plan (the "2016 Plan") and vest upon the satisfaction of a time based service condition. The compensation expense related to these grants is based on the grant date fair value of the RSUs and is recognized on a ratable basis over the applicable service period. The majority of Post-IPO RSUs are earned over a service period of two to four years.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Determining the fair value of stock-based awards at the grant date requires judgment. We use the Black-Scholes option-pricing model to determine the fair value of stock options and purchase rights under our 2016 Employee Stock Purchase Plan (the "2016 ESPP") granted to our employees and directors. The grant date fair value of restricted stock units is determined using the fair value of our common stock on the date of grant. Prior to our initial public offering, the fair value of our Class A common stock was determined by the estimated fair value at the time of grant. After our initial public offering, we use the market closing price of our Class A common stock as reported on the New York Stock Exchange for the fair value.</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determination of the grant date fair value of options using an option-pricing model is affected by our estimated Class A common stock fair value as well as assumptions regarding a number of other variables. These variables include our expected stock price volatility over the expected term of the options, stock option exercise and cancellation behaviors, risk-free interest rates, and expected dividends, which are estimated as follows:</w:t>
      </w:r>
    </w:p>
    <w:p>
      <w:pPr>
        <w:spacing w:after="0" w:line="174" w:lineRule="exact"/>
        <w:rPr>
          <w:sz w:val="20"/>
          <w:szCs w:val="20"/>
          <w:color w:val="auto"/>
        </w:rPr>
      </w:pPr>
    </w:p>
    <w:p>
      <w:pPr>
        <w:ind w:left="1080" w:right="56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the stock-based awards are expected to be outstanding. We use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of expected term, as we do not have sufficient historical data to use any other method to estimate expected term.</w:t>
      </w:r>
    </w:p>
    <w:p>
      <w:pPr>
        <w:spacing w:after="0" w:line="166"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volatility is derived from an average of the historical volatilities of the common stock of several entities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similar to ours, such as the size, and operational and economic similarities to our principle business operations. We use this method because we have limited information on the volatility of our Class A common stock because of our short trading history.</w:t>
      </w:r>
    </w:p>
    <w:p>
      <w:pPr>
        <w:spacing w:after="0" w:line="174"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 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stock-based awards.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expected dividend is assumed to be zero as we have never paid dividends and have no current plans to pay any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common stock.</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February 2017, we granted performance-based stock options that vest upon satisfaction of certain performance conditions. These stock options were valued using the Monte-Carlo simulation model.</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assumptions used in the Black Scholes option-pricing model to determine the fair value of our stock options,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13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480" w:type="dxa"/>
            <w:vAlign w:val="bottom"/>
            <w:gridSpan w:val="3"/>
          </w:tcPr>
          <w:p>
            <w:pPr>
              <w:jc w:val="center"/>
              <w:ind w:left="5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Employee Stock Options</w:t>
            </w: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$23.60</w:t>
            </w:r>
          </w:p>
        </w:tc>
        <w:tc>
          <w:tcPr>
            <w:tcW w:w="720" w:type="dxa"/>
            <w:vAlign w:val="bottom"/>
          </w:tcPr>
          <w:p>
            <w:pPr>
              <w:ind w:left="20"/>
              <w:spacing w:after="0"/>
              <w:rPr>
                <w:sz w:val="20"/>
                <w:szCs w:val="20"/>
                <w:color w:val="auto"/>
              </w:rPr>
            </w:pPr>
            <w:r>
              <w:rPr>
                <w:rFonts w:ascii="Arial" w:cs="Arial" w:eastAsia="Arial" w:hAnsi="Arial"/>
                <w:sz w:val="18"/>
                <w:szCs w:val="18"/>
                <w:color w:val="auto"/>
              </w:rPr>
              <w:t>- $31.96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720" w:type="dxa"/>
            <w:vAlign w:val="bottom"/>
          </w:tcPr>
          <w:p>
            <w:pPr>
              <w:ind w:left="20"/>
              <w:spacing w:after="0"/>
              <w:rPr>
                <w:sz w:val="20"/>
                <w:szCs w:val="20"/>
                <w:color w:val="auto"/>
              </w:rPr>
            </w:pPr>
            <w:r>
              <w:rPr>
                <w:rFonts w:ascii="Arial" w:cs="Arial" w:eastAsia="Arial" w:hAnsi="Arial"/>
                <w:sz w:val="18"/>
                <w:szCs w:val="18"/>
                <w:color w:val="auto"/>
              </w:rPr>
              <w:t>- $15.00</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$7.07 - $10.09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48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85"/>
              </w:rPr>
              <w:t>6.08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6.08</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720" w:type="dxa"/>
            <w:vAlign w:val="bottom"/>
          </w:tcPr>
          <w:p>
            <w:pPr>
              <w:ind w:left="20"/>
              <w:spacing w:after="0"/>
              <w:rPr>
                <w:sz w:val="20"/>
                <w:szCs w:val="20"/>
                <w:color w:val="auto"/>
              </w:rPr>
            </w:pPr>
            <w:r>
              <w:rPr>
                <w:rFonts w:ascii="Arial" w:cs="Arial" w:eastAsia="Arial" w:hAnsi="Arial"/>
                <w:sz w:val="18"/>
                <w:szCs w:val="18"/>
                <w:color w:val="auto"/>
              </w:rPr>
              <w:t>- 47.6%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720" w:type="dxa"/>
            <w:vAlign w:val="bottom"/>
          </w:tcPr>
          <w:p>
            <w:pPr>
              <w:ind w:left="20"/>
              <w:spacing w:after="0"/>
              <w:rPr>
                <w:sz w:val="20"/>
                <w:szCs w:val="20"/>
                <w:color w:val="auto"/>
              </w:rPr>
            </w:pPr>
            <w:r>
              <w:rPr>
                <w:rFonts w:ascii="Arial" w:cs="Arial" w:eastAsia="Arial" w:hAnsi="Arial"/>
                <w:sz w:val="18"/>
                <w:szCs w:val="18"/>
                <w:color w:val="auto"/>
              </w:rPr>
              <w:t>- 53.0%</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47.8% - 54.9%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 - 2.0%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Dividend rate</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480" w:type="dxa"/>
            <w:vAlign w:val="bottom"/>
            <w:gridSpan w:val="3"/>
          </w:tcPr>
          <w:p>
            <w:pPr>
              <w:jc w:val="center"/>
              <w:ind w:left="56"/>
              <w:spacing w:after="0"/>
              <w:rPr>
                <w:sz w:val="20"/>
                <w:szCs w:val="20"/>
                <w:color w:val="auto"/>
              </w:rPr>
            </w:pPr>
            <w:r>
              <w:rPr>
                <w:rFonts w:ascii="Arial" w:cs="Arial" w:eastAsia="Arial" w:hAnsi="Arial"/>
                <w:sz w:val="18"/>
                <w:szCs w:val="18"/>
                <w:color w:val="auto"/>
                <w:w w:val="84"/>
              </w:rPr>
              <w:t>0%</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432"/>
        </w:trPr>
        <w:tc>
          <w:tcPr>
            <w:tcW w:w="20" w:type="dxa"/>
            <w:vAlign w:val="bottom"/>
          </w:tcPr>
          <w:p>
            <w:pPr>
              <w:spacing w:after="0"/>
              <w:rPr>
                <w:sz w:val="24"/>
                <w:szCs w:val="2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Employee Stock Purchase Plan</w:t>
            </w: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7"/>
              </w:rPr>
              <w:t>0.5</w:t>
            </w:r>
          </w:p>
        </w:tc>
        <w:tc>
          <w:tcPr>
            <w:tcW w:w="1480" w:type="dxa"/>
            <w:vAlign w:val="bottom"/>
            <w:gridSpan w:val="3"/>
          </w:tcPr>
          <w:p>
            <w:pPr>
              <w:jc w:val="center"/>
              <w:ind w:left="56"/>
              <w:spacing w:after="0"/>
              <w:rPr>
                <w:sz w:val="20"/>
                <w:szCs w:val="20"/>
                <w:color w:val="auto"/>
              </w:rPr>
            </w:pPr>
            <w:r>
              <w:rPr>
                <w:rFonts w:ascii="Arial" w:cs="Arial" w:eastAsia="Arial" w:hAnsi="Arial"/>
                <w:sz w:val="18"/>
                <w:szCs w:val="18"/>
                <w:color w:val="auto"/>
                <w:w w:val="85"/>
              </w:rPr>
              <w:t>0.90</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- 33.9%</w:t>
            </w:r>
          </w:p>
        </w:tc>
        <w:tc>
          <w:tcPr>
            <w:tcW w:w="148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8"/>
              </w:rPr>
              <w:t>52%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720" w:type="dxa"/>
            <w:vAlign w:val="bottom"/>
          </w:tcPr>
          <w:p>
            <w:pPr>
              <w:ind w:left="20"/>
              <w:spacing w:after="0"/>
              <w:rPr>
                <w:sz w:val="20"/>
                <w:szCs w:val="20"/>
                <w:color w:val="auto"/>
              </w:rPr>
            </w:pPr>
            <w:r>
              <w:rPr>
                <w:rFonts w:ascii="Arial" w:cs="Arial" w:eastAsia="Arial" w:hAnsi="Arial"/>
                <w:sz w:val="18"/>
                <w:szCs w:val="18"/>
                <w:color w:val="auto"/>
              </w:rPr>
              <w:t>- 1.4%</w:t>
            </w:r>
          </w:p>
        </w:tc>
        <w:tc>
          <w:tcPr>
            <w:tcW w:w="1480" w:type="dxa"/>
            <w:vAlign w:val="bottom"/>
            <w:gridSpan w:val="3"/>
          </w:tcPr>
          <w:p>
            <w:pPr>
              <w:jc w:val="center"/>
              <w:ind w:left="56"/>
              <w:spacing w:after="0"/>
              <w:rPr>
                <w:sz w:val="20"/>
                <w:szCs w:val="20"/>
                <w:color w:val="auto"/>
              </w:rPr>
            </w:pPr>
            <w:r>
              <w:rPr>
                <w:rFonts w:ascii="Arial" w:cs="Arial" w:eastAsia="Arial" w:hAnsi="Arial"/>
                <w:sz w:val="18"/>
                <w:szCs w:val="18"/>
                <w:color w:val="auto"/>
                <w:w w:val="92"/>
              </w:rPr>
              <w:t>0.6%</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8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84"/>
              </w:rPr>
              <w:t>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8"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assumptions were used in the Monte Carlo simulation model to estimate the fair value and the derived service period of the performance options: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Asset volatility</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Equity volatility</w:t>
            </w:r>
          </w:p>
        </w:tc>
        <w:tc>
          <w:tcPr>
            <w:tcW w:w="3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Stock price at grant date</w:t>
            </w:r>
          </w:p>
        </w:tc>
        <w:tc>
          <w:tcPr>
            <w:tcW w:w="3520" w:type="dxa"/>
            <w:vAlign w:val="bottom"/>
          </w:tcPr>
          <w:p>
            <w:pPr>
              <w:jc w:val="right"/>
              <w:ind w:right="72"/>
              <w:spacing w:after="0"/>
              <w:rPr>
                <w:sz w:val="20"/>
                <w:szCs w:val="20"/>
                <w:color w:val="auto"/>
              </w:rPr>
            </w:pPr>
            <w:r>
              <w:rPr>
                <w:rFonts w:ascii="Arial" w:cs="Arial" w:eastAsia="Arial" w:hAnsi="Arial"/>
                <w:sz w:val="18"/>
                <w:szCs w:val="18"/>
                <w:color w:val="auto"/>
              </w:rPr>
              <w:t>$  31.72</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product development expenses in our consolidated statements of operations. 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conduct operations in many tax jurisdictions throughout the United States. In many of these jurisdictions, non-income-based taxes, such as sales and use and telecommunications taxes are assessed on our operations. We are subject to indirect taxes, and may be subject to certain other taxes, in some of these jurisdictions. Prior to March 2017, we did not bill nor collect these taxes from our customers and, in accordance with U.S. GAAP, we recorded a provision for the tax exposure in these jurisdictions when it was both probable that a liability had been incurred and the amount of the exposure could be reasonably estimated. These estimates included several key assumptions including, but not limited to, the taxability of our services, the jurisdictions in which we believed we had nexus, and the sourcing of revenues to those jurisdictions.</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Effective March 2017, we began collecting these taxes from customers in certain jurisdictions and since then, we have expanded the number of jurisdictions where these taxes are being collected. We expect to continue to expand the number of jurisdictions where these taxes will be collected in the future. Simultaneously, we have been and continue to be in discussions with certain states regarding prior state sales and other taxes, if any, that we may owe.</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2017, we revised our estimates of our tax exposure based on settlements reached with various states, which indicated that certain revisions to our key assumptions including, but not limited to, the sourcing of revenue and the taxability of our services were appropriate in the current period. In the year ended December 31, 2017, the total impact of these changes on the net loss attributable to common stockholders was a reduction of $13.4 million. As of December 31, 2017, the total liability related to these taxes was $20.9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other jurisdictions challenge our assumptions and analysis, the actual exposure could differ materially from the current estimates.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See Note 2(aa) to the consolidated financial statements included elsewhere in this Annual Report on Form 10-K for a discussion of recent accounting pronouncements not yet adopted.</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exposed to certain market risks in the ordinary course of our business. These risks primarily include interest rate sensitivities as follows: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had cash and cash equivalents of $115.3 million and marketable securities of $175.6 million as of December 31, 2017. Cash and cash equivalents consist of bank deposits and money market funds. Marketable securities consist of U.S. treasury securities and high credit quality corporate debt securities. The cash and cash equivalents and marketable securities are held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Currency Exchange Risks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functional currency of our foreign subsidiaries is the U.S. dollar and the Euro. Therefore, we are exposed to foreign exchange rate fluctuations as we convert the financial statements of our foreign subsidiaries into U.S. dollars. The local currencies of our foreign subsidiaries are the British pound, the Euro, the Colombian peso, the Singapore dollar, the Hong Kong dollar and the Swedish Krona.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our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00" w:type="dxa"/>
            <w:vAlign w:val="bottom"/>
            <w:gridSpan w:val="7"/>
            <w:vMerge w:val="restart"/>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Reports of Independent Registered Public Accounting Firm</w:t>
              </w:r>
            </w:hyperlink>
          </w:p>
        </w:tc>
        <w:tc>
          <w:tcPr>
            <w:tcW w:w="14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00" w:type="dxa"/>
            <w:vAlign w:val="bottom"/>
            <w:tcBorders>
              <w:bottom w:val="single" w:sz="8" w:color="0000EE"/>
            </w:tcBorders>
            <w:gridSpan w:val="7"/>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85</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Balance Sheets</w:t>
              </w:r>
            </w:hyperlink>
          </w:p>
        </w:tc>
        <w:tc>
          <w:tcPr>
            <w:tcW w:w="4640" w:type="dxa"/>
            <w:vAlign w:val="bottom"/>
            <w:gridSpan w:val="3"/>
          </w:tcPr>
          <w:p>
            <w:pPr>
              <w:jc w:val="right"/>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Consolidated Statements of Operations</w:t>
              </w:r>
            </w:hyperlink>
          </w:p>
        </w:tc>
        <w:tc>
          <w:tcPr>
            <w:tcW w:w="1580" w:type="dxa"/>
            <w:vAlign w:val="bottom"/>
            <w:gridSpan w:val="6"/>
          </w:tcPr>
          <w:p>
            <w:pPr>
              <w:spacing w:after="0"/>
              <w:rPr>
                <w:sz w:val="17"/>
                <w:szCs w:val="17"/>
                <w:color w:val="auto"/>
              </w:rPr>
            </w:pPr>
          </w:p>
        </w:tc>
        <w:tc>
          <w:tcPr>
            <w:tcW w:w="44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Comprehensive Loss</w:t>
              </w:r>
            </w:hyperlink>
          </w:p>
        </w:tc>
        <w:tc>
          <w:tcPr>
            <w:tcW w:w="4640" w:type="dxa"/>
            <w:vAlign w:val="bottom"/>
            <w:gridSpan w:val="3"/>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tcBorders>
            <w:gridSpan w:val="6"/>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Consolidated Statements of Stockholders' Equity</w:t>
              </w:r>
            </w:hyperlink>
          </w:p>
        </w:tc>
        <w:tc>
          <w:tcPr>
            <w:tcW w:w="880" w:type="dxa"/>
            <w:vAlign w:val="bottom"/>
            <w:gridSpan w:val="2"/>
          </w:tcPr>
          <w:p>
            <w:pPr>
              <w:spacing w:after="0"/>
              <w:rPr>
                <w:sz w:val="17"/>
                <w:szCs w:val="17"/>
                <w:color w:val="auto"/>
              </w:rPr>
            </w:pPr>
          </w:p>
        </w:tc>
        <w:tc>
          <w:tcPr>
            <w:tcW w:w="446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91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w:t>
              </w:r>
            </w:hyperlink>
          </w:p>
        </w:tc>
        <w:tc>
          <w:tcPr>
            <w:tcW w:w="900" w:type="dxa"/>
            <w:vAlign w:val="bottom"/>
            <w:gridSpan w:val="3"/>
          </w:tcPr>
          <w:p>
            <w:pPr>
              <w:spacing w:after="0"/>
              <w:rPr>
                <w:sz w:val="17"/>
                <w:szCs w:val="17"/>
                <w:color w:val="auto"/>
              </w:rPr>
            </w:pPr>
          </w:p>
        </w:tc>
        <w:tc>
          <w:tcPr>
            <w:tcW w:w="446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92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4640" w:type="dxa"/>
            <w:vAlign w:val="bottom"/>
            <w:gridSpan w:val="3"/>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jc w:val="right"/>
              <w:ind w:right="3812"/>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Twilio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audited the accompanying consolidated balance sheets of Twilio Inc. and subsidiaries (the Company) as of December 31, 2017 and 2016, the related consolidated statements of operations, comprehensive loss, stockholders'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(2013) issued by the Committee of Sponsoring Organizations of the Treadway Commission, and our report dated March 1, 2018 expressed an adverse opinion on the effectiveness of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Twilio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have audited Twilio Inc.and subsidiaries (the Company) internal control over financial reporting as of December 31, 2017,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2017,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70"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loss, stockholders' equity, and cash flows for each of the years in the three-year period ended December 31, 2017, and the related notes (collectively, the consolidated financial statements), and our report dated March 1, 2018 expressed an unqualified opinion on those consolidated financial statements.</w:t>
      </w:r>
    </w:p>
    <w:p>
      <w:pPr>
        <w:spacing w:after="0" w:line="167"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obtaining or generating relevant quality information to support the design and functioning of control activities over the accounting for capitalized software has been identified and included in management's assessment. The material weakness was considered in determining the nature, timing, and extent of audit tests applied in our audit of the 2017 consolidated financial statements, and this report does not affect our report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11,116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Preferred stock, $0.001 par value, 100,000,000 shares authorized, none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$0.001 par value per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w w:val="88"/>
              </w:rPr>
              <w:t>Authorized shares 1,100,000,000 as of December 31, 2017 and 2016;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520"/>
              <w:spacing w:after="0"/>
              <w:rPr>
                <w:sz w:val="20"/>
                <w:szCs w:val="20"/>
                <w:color w:val="auto"/>
              </w:rPr>
            </w:pPr>
            <w:r>
              <w:rPr>
                <w:rFonts w:ascii="Arial" w:cs="Arial" w:eastAsia="Arial" w:hAnsi="Arial"/>
                <w:sz w:val="18"/>
                <w:szCs w:val="18"/>
                <w:color w:val="auto"/>
              </w:rPr>
              <w:t>shares 93,969,796 and 87,248,548 as of December 31, 2017 and 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(250,438)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(186,730)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399,020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Charitable contribution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investors in relation to tender offer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w w:val="90"/>
              </w:rPr>
              <w:t>Net loss per share attributable to common stockholders, basic and diluted</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(0.78)</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w w:val="88"/>
              </w:rPr>
              <w:t>Weighted-average shares used in computing net loss per share attributable to</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91,224,607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53,116,675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17,746,526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(63,708)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(41,324)</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(38,896)</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Comprehensive loss attributable to common stockholders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(61,683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(41,324</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(38,896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Convertible</w:t>
            </w:r>
          </w:p>
        </w:tc>
        <w:tc>
          <w:tcPr>
            <w:tcW w:w="1080" w:type="dxa"/>
            <w:vAlign w:val="bottom"/>
            <w:gridSpan w:val="4"/>
            <w:vMerge w:val="restart"/>
          </w:tcPr>
          <w:p>
            <w:pPr>
              <w:jc w:val="center"/>
              <w:ind w:left="92"/>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restart"/>
          </w:tcPr>
          <w:p>
            <w:pPr>
              <w:jc w:val="center"/>
              <w:ind w:left="112"/>
              <w:spacing w:after="0"/>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preferred stock</w:t>
            </w:r>
          </w:p>
        </w:tc>
        <w:tc>
          <w:tcPr>
            <w:tcW w:w="1080" w:type="dxa"/>
            <w:vAlign w:val="bottom"/>
            <w:gridSpan w:val="4"/>
            <w:vMerge w:val="restart"/>
          </w:tcPr>
          <w:p>
            <w:pPr>
              <w:jc w:val="center"/>
              <w:ind w:left="92"/>
              <w:spacing w:after="0"/>
              <w:rPr>
                <w:sz w:val="20"/>
                <w:szCs w:val="20"/>
                <w:color w:val="auto"/>
              </w:rPr>
            </w:pPr>
            <w:r>
              <w:rPr>
                <w:rFonts w:ascii="Arial" w:cs="Arial" w:eastAsia="Arial" w:hAnsi="Arial"/>
                <w:sz w:val="14"/>
                <w:szCs w:val="14"/>
                <w:b w:val="1"/>
                <w:bCs w:val="1"/>
                <w:color w:val="auto"/>
                <w:w w:val="84"/>
              </w:rPr>
              <w:t>Stock—Class A</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4"/>
            <w:vMerge w:val="restart"/>
          </w:tcPr>
          <w:p>
            <w:pPr>
              <w:jc w:val="center"/>
              <w:ind w:left="112"/>
              <w:spacing w:after="0"/>
              <w:rPr>
                <w:sz w:val="20"/>
                <w:szCs w:val="20"/>
                <w:color w:val="auto"/>
              </w:rPr>
            </w:pPr>
            <w:r>
              <w:rPr>
                <w:rFonts w:ascii="Arial" w:cs="Arial" w:eastAsia="Arial" w:hAnsi="Arial"/>
                <w:sz w:val="14"/>
                <w:szCs w:val="14"/>
                <w:b w:val="1"/>
                <w:bCs w:val="1"/>
                <w:color w:val="auto"/>
                <w:w w:val="86"/>
              </w:rPr>
              <w:t>Stock—Class B</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paid-in</w:t>
            </w:r>
          </w:p>
        </w:tc>
        <w:tc>
          <w:tcPr>
            <w:tcW w:w="9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96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EEFF"/>
          </w:tcPr>
          <w:p>
            <w:pPr>
              <w:jc w:val="right"/>
              <w:ind w:right="92"/>
              <w:spacing w:after="0" w:line="131" w:lineRule="exact"/>
              <w:rPr>
                <w:sz w:val="20"/>
                <w:szCs w:val="20"/>
                <w:color w:val="auto"/>
              </w:rPr>
            </w:pPr>
            <w:r>
              <w:rPr>
                <w:rFonts w:ascii="Arial" w:cs="Arial" w:eastAsia="Arial" w:hAnsi="Arial"/>
                <w:sz w:val="14"/>
                <w:szCs w:val="14"/>
                <w:color w:val="auto"/>
                <w:w w:val="83"/>
              </w:rPr>
              <w:t>Balance as of December 31,</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42,482,490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111,691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17,446,051</w:t>
            </w: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8,920</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(89,434)</w:t>
            </w:r>
          </w:p>
        </w:tc>
        <w:tc>
          <w:tcPr>
            <w:tcW w:w="1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31,194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(35,504)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Exercise of vested stock</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1,696,318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3,126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3,128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6"/>
              </w:rPr>
              <w:t>Vesting of early exercised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201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Exercises of unvested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70,874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Repurchase of shares in</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tender offer</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(365,916)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(315)</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(1,869,156)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(17,076)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(17,393)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Deemed dividend in</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relation to tender offer</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(3,392)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6"/>
              </w:rPr>
              <w:t>Repurchases of unvested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(20,084)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Issuance of Series T</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in acquisition</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897,618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Issuance of Series 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stock (net 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costs of $4.6 million)</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11,494,249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125,448</w:t>
            </w: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125,448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Stock-based compensation</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w w:val="84"/>
              </w:rPr>
              <w:t>Balance as of December 31,</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2015</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54,508,441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239,911</w:t>
            </w: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17,324,003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22,103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(145,406)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116,625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(41,324)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(41,324)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2"/>
              </w:rPr>
              <w:t>Issuance of common 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w w:val="97"/>
              </w:rPr>
              <w:t>in connection with Initial</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Public Offering, 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underwriting discounts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1"/>
              </w:rPr>
              <w:t>11,500,000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89"/>
              </w:rPr>
              <w:t>12</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160,414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160,426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2"/>
              </w:rPr>
              <w:t>Issuance of common stock</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connection with</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Follow-On Public</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Offering, net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underwriting discounts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1,691,222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65,279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65,281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Costs related to public</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offerings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(5,730)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Conversion of convertible</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in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the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initial public offering</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(54,508,441)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3"/>
              </w:rPr>
              <w:t>(239,911)</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54,508,441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239,857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7"/>
              </w:rPr>
              <w:t>Exercises of vested 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2,168,287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8,390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8,392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Vesting of early exercised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6"/>
              </w:rPr>
              <w:t>Vesting of restricted 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units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19,178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68,345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Value of equity awards</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withheld for tax liability</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(1,578)</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(27,036)</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(1,037)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Exercises of unvested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126,365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Conversion of shares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B common 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into shares of Class A</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36,787,588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37</w:t>
            </w:r>
          </w:p>
        </w:tc>
        <w:tc>
          <w:tcPr>
            <w:tcW w:w="8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(36,787,588)</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(37)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6"/>
              </w:rPr>
              <w:t>Repurchases of unvested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(1,625)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Stock-based compensation</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26,178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4"/>
              </w:rPr>
              <w:t>Escrow shares returned to</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the issuer</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(127,054)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EEFF"/>
          </w:tcPr>
          <w:p>
            <w:pPr>
              <w:jc w:val="right"/>
              <w:ind w:right="92"/>
              <w:spacing w:after="0" w:line="131" w:lineRule="exact"/>
              <w:rPr>
                <w:sz w:val="20"/>
                <w:szCs w:val="20"/>
                <w:color w:val="auto"/>
              </w:rPr>
            </w:pPr>
            <w:r>
              <w:rPr>
                <w:rFonts w:ascii="Arial" w:cs="Arial" w:eastAsia="Arial" w:hAnsi="Arial"/>
                <w:sz w:val="14"/>
                <w:szCs w:val="14"/>
                <w:color w:val="auto"/>
                <w:w w:val="83"/>
              </w:rPr>
              <w:t>Balance as of December 31,</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2016</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49,996,410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51</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37,252,138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516,090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(186,730)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329,447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(63,708)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(63,708)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Exercises of vested stock</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5,186,539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25,591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25,597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w w:val="96"/>
              </w:rPr>
              <w:t>Vesting of early exercised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Vesting of restricted stock</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units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360,116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351,255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Value of equity awards</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withheld for tax liability</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(22,538)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(678)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Exercises of unvested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22,510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Conversion of shares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Class B common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into shares of Class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1"/>
              </w:rPr>
              <w:t>18,710,499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89"/>
              </w:rPr>
              <w:t>18</w:t>
            </w:r>
          </w:p>
        </w:tc>
        <w:tc>
          <w:tcPr>
            <w:tcW w:w="8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(18,710,499)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8"/>
              </w:rPr>
              <w:t>(18)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Shares issued under ESPP</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794,142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00"/>
              <w:spacing w:after="0" w:line="149" w:lineRule="exact"/>
              <w:rPr>
                <w:sz w:val="20"/>
                <w:szCs w:val="20"/>
                <w:color w:val="auto"/>
              </w:rPr>
            </w:pPr>
            <w:r>
              <w:rPr>
                <w:rFonts w:ascii="Arial" w:cs="Arial" w:eastAsia="Arial" w:hAnsi="Arial"/>
                <w:sz w:val="14"/>
                <w:szCs w:val="14"/>
                <w:color w:val="auto"/>
              </w:rPr>
              <w:t>Donated common stock</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45,383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Repurchases of unvested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(16,159)</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ind w:left="100"/>
              <w:spacing w:after="0" w:line="138" w:lineRule="exact"/>
              <w:rPr>
                <w:sz w:val="20"/>
                <w:szCs w:val="20"/>
                <w:color w:val="auto"/>
              </w:rPr>
            </w:pPr>
            <w:r>
              <w:rPr>
                <w:rFonts w:ascii="Arial" w:cs="Arial" w:eastAsia="Arial" w:hAnsi="Arial"/>
                <w:sz w:val="14"/>
                <w:szCs w:val="14"/>
                <w:color w:val="auto"/>
              </w:rPr>
              <w:t>Unrealized loss on</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200"/>
              <w:spacing w:after="0" w:line="159" w:lineRule="exact"/>
              <w:rPr>
                <w:sz w:val="20"/>
                <w:szCs w:val="20"/>
                <w:color w:val="auto"/>
              </w:rPr>
            </w:pPr>
            <w:r>
              <w:rPr>
                <w:rFonts w:ascii="Arial" w:cs="Arial" w:eastAsia="Arial" w:hAnsi="Arial"/>
                <w:sz w:val="14"/>
                <w:szCs w:val="14"/>
                <w:color w:val="auto"/>
              </w:rPr>
              <w:t>marketable securities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(598)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translation</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2,623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2,623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00"/>
              <w:spacing w:after="0" w:line="149" w:lineRule="exact"/>
              <w:rPr>
                <w:sz w:val="20"/>
                <w:szCs w:val="20"/>
                <w:color w:val="auto"/>
              </w:rPr>
            </w:pPr>
            <w:r>
              <w:rPr>
                <w:rFonts w:ascii="Arial" w:cs="Arial" w:eastAsia="Arial" w:hAnsi="Arial"/>
                <w:sz w:val="14"/>
                <w:szCs w:val="14"/>
                <w:color w:val="auto"/>
                <w:w w:val="91"/>
              </w:rPr>
              <w:t>Stock-based compensation</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53,795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53,795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EEFF"/>
          </w:tcPr>
          <w:p>
            <w:pPr>
              <w:jc w:val="right"/>
              <w:ind w:right="92"/>
              <w:spacing w:after="0" w:line="131" w:lineRule="exact"/>
              <w:rPr>
                <w:sz w:val="20"/>
                <w:szCs w:val="20"/>
                <w:color w:val="auto"/>
              </w:rPr>
            </w:pPr>
            <w:r>
              <w:rPr>
                <w:rFonts w:ascii="Arial" w:cs="Arial" w:eastAsia="Arial" w:hAnsi="Arial"/>
                <w:sz w:val="14"/>
                <w:szCs w:val="14"/>
                <w:color w:val="auto"/>
                <w:w w:val="83"/>
              </w:rPr>
              <w:t>Balance as of December 31,</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2017</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69,906,550</w:t>
            </w: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70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24,063,246</w:t>
            </w: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608,165</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2,025</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(250,438) $</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359,846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240" w:top="131" w:right="1259" w:bottom="0" w:gutter="0" w:footer="0" w:header="0"/>
        </w:sectPr>
      </w:pPr>
    </w:p>
    <w:p>
      <w:pPr>
        <w:spacing w:after="0" w:line="8"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400"/>
          </w:cols>
          <w:pgMar w:left="240" w:top="131" w:right="1259" w:bottom="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(63,708)</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(41,324)</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6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Amortization of bond premium</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6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49,619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24,225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Value of donated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60"/>
              <w:spacing w:after="0" w:line="149" w:lineRule="exact"/>
              <w:rPr>
                <w:sz w:val="20"/>
                <w:szCs w:val="20"/>
                <w:color w:val="auto"/>
              </w:rPr>
            </w:pPr>
            <w:r>
              <w:rPr>
                <w:rFonts w:ascii="Arial" w:cs="Arial" w:eastAsia="Arial" w:hAnsi="Arial"/>
                <w:sz w:val="14"/>
                <w:szCs w:val="14"/>
                <w:color w:val="auto"/>
              </w:rPr>
              <w:t>Provision for doubtful accounts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Tax benefit related to acquisition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60"/>
              <w:spacing w:after="0" w:line="149" w:lineRule="exact"/>
              <w:rPr>
                <w:sz w:val="20"/>
                <w:szCs w:val="20"/>
                <w:color w:val="auto"/>
              </w:rPr>
            </w:pPr>
            <w:r>
              <w:rPr>
                <w:rFonts w:ascii="Arial" w:cs="Arial" w:eastAsia="Arial" w:hAnsi="Arial"/>
                <w:sz w:val="14"/>
                <w:szCs w:val="14"/>
                <w:color w:val="auto"/>
              </w:rPr>
              <w:t>Write-off of internal-use software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(Gain) loss on lease termination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Accounts receivable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4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(13,755)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Other long-term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40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40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1,974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ind w:left="54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(18,762)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restricted cash</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(7,439)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marketable securities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(293,186)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Maturities of marketable 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115,877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Capitalized software development costs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(11,527)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Purchases of property and equipment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(14,174)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intangible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Acquisition, net of cash acquired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ind w:left="540"/>
              <w:spacing w:after="0" w:line="142"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3"/>
              </w:rPr>
              <w:t>(223,630)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(42,425)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(12,379)</w:t>
            </w:r>
          </w:p>
        </w:tc>
        <w:tc>
          <w:tcPr>
            <w:tcW w:w="0" w:type="dxa"/>
            <w:vAlign w:val="bottom"/>
          </w:tcPr>
          <w:p>
            <w:pPr>
              <w:spacing w:after="0"/>
              <w:rPr>
                <w:sz w:val="1"/>
                <w:szCs w:val="1"/>
                <w:color w:val="auto"/>
              </w:rPr>
            </w:pPr>
          </w:p>
        </w:tc>
      </w:tr>
      <w:tr>
        <w:trPr>
          <w:trHeight w:val="142"/>
        </w:trPr>
        <w:tc>
          <w:tcPr>
            <w:tcW w:w="6700" w:type="dxa"/>
            <w:vAlign w:val="bottom"/>
            <w:gridSpan w:val="2"/>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Initial Public Offering, net of underwriting discounts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160,426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Follow-On Public Offering, net of underwriting discounts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65,281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of costs related to public offerings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Net proceeds from issuance of convertible preferred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125,448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exercises of vested options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exercises of nonvested options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shares issued in ESPP</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Value of equity awards withheld for tax liabilities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Repurchases of common and preferred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ind w:left="5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229,164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107,349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70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(190,379)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196,830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76,208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EQUIVALENTS—Beginning of year</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305,665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32,627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EQUIVALENTS—End of year</w:t>
            </w: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115,286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305,665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108,835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paid for income taxes</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property, equipment and intangible assets, accrued but not paid</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20"/>
              <w:spacing w:after="0"/>
              <w:rPr>
                <w:sz w:val="20"/>
                <w:szCs w:val="20"/>
                <w:color w:val="auto"/>
              </w:rPr>
            </w:pPr>
            <w:r>
              <w:rPr>
                <w:rFonts w:ascii="Arial" w:cs="Arial" w:eastAsia="Arial" w:hAnsi="Arial"/>
                <w:sz w:val="14"/>
                <w:szCs w:val="14"/>
                <w:color w:val="auto"/>
              </w:rPr>
              <w:t>Stock-based compensation capitalized in software development costs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Vesting of early exercised options</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20"/>
              <w:spacing w:after="0"/>
              <w:rPr>
                <w:sz w:val="20"/>
                <w:szCs w:val="20"/>
                <w:color w:val="auto"/>
              </w:rPr>
            </w:pPr>
            <w:r>
              <w:rPr>
                <w:rFonts w:ascii="Arial" w:cs="Arial" w:eastAsia="Arial" w:hAnsi="Arial"/>
                <w:sz w:val="14"/>
                <w:szCs w:val="14"/>
                <w:color w:val="auto"/>
              </w:rPr>
              <w:t>Business combination measurement period adjustments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Series T convertible preferred stock issued as part of purchase price in the Authy acquisition</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3,087</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120"/>
              <w:spacing w:after="0"/>
              <w:rPr>
                <w:sz w:val="20"/>
                <w:szCs w:val="20"/>
                <w:color w:val="auto"/>
              </w:rPr>
            </w:pPr>
            <w:r>
              <w:rPr>
                <w:rFonts w:ascii="Arial" w:cs="Arial" w:eastAsia="Arial" w:hAnsi="Arial"/>
                <w:sz w:val="14"/>
                <w:szCs w:val="14"/>
                <w:color w:val="auto"/>
              </w:rPr>
              <w:t>Costs related to public offerings, accrued but not paid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1,265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Twilio Inc. (the "Company") was incorporated in the state of Delaware on March 13, 2008. The Company is the leader in the Cloud Communications Platform category and enables developers to build, scale and operate real-time communications within their software applications via simple-to-use Application Programming Interfaces, or API. The power, flexibility, and reliability offered by the Company's software building blocks empower entities of virtually every shape and size to build world-class engagement into their customer experience.</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headquarters are located in San Francisco, California and the Company has subsidiaries in the United Kingdom, Estonia, Ireland, Colombia, Germany, Hong Kong, Singapore, Bermuda, Spain, Sweden and Australia.</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June 2016, the Company completed an initial public offering ("IPO") in which the Company sold 11,500,000 shares of its newly authorized Class A common stock, which included 1,500,000 shares sold pursuant to the exercise by the underwriters of an option to purchase additional shares, at the public offering price of $15.00 per share. The Company received net proceeds of $155.5 million, after deducting underwriting discounts and offering expenses paid by the Company, from the sale of its shares in the IPO. Immediately prior to the completion of the IPO, all shares of common stock then outstanding were reclassified as shares of Class B common stock and all shares of convertible preferred stock then outstanding were converted into 54,508,441 shares of common stock on a one-to-one basis, and then reclassified as shares of Class B common stock. See Note 11 for further discussion of Class A and B common stock.</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right="140" w:firstLine="351"/>
        <w:spacing w:after="0" w:line="302" w:lineRule="auto"/>
        <w:rPr>
          <w:sz w:val="20"/>
          <w:szCs w:val="20"/>
          <w:color w:val="auto"/>
        </w:rPr>
      </w:pPr>
      <w:r>
        <w:rPr>
          <w:rFonts w:ascii="Arial" w:cs="Arial" w:eastAsia="Arial" w:hAnsi="Arial"/>
          <w:sz w:val="15"/>
          <w:szCs w:val="15"/>
          <w:color w:val="auto"/>
        </w:rPr>
        <w:t>In October 2016, the Company completed a follow-on public offering ("FPO") in which the Company sold 1,691,222 shares of its Class A common stock, which included 1,050,000 shares sold pursuant to the exercise by the underwriters of an option to purchase additional shares, at a public offering price of $40.00 per share. In addition, another 6,358,778 shares of the Company's Class A common stock were sold by the selling stockholders of the Company, which included 906,364 shares sold pursuant to the exercise of employee stock options by certain selling stockholders. The Company received aggregate proceeds of</w:t>
      </w:r>
    </w:p>
    <w:p>
      <w:pPr>
        <w:spacing w:after="0" w:line="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$64.4 million, after deducting underwriting discounts and offering expenses paid and payable by the Company. The Company did not receive any of the net proceeds from the sales of shares by the selling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5"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Company's consolidated financial statements have been prepared in conformity with accounting principles generally accepted in the United States of America ("U.S. GAAP").</w:t>
      </w:r>
    </w:p>
    <w:p>
      <w:pPr>
        <w:spacing w:after="0" w:line="21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consolidated financial statements include the Company and its wholly owned subsidiaries. All significant intercompany balances and transactions have been eliminated.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These estimates are used for, but not limited to, revenue allowances and returns; valuation of the Company's stock and stock-based awards;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primarily of cash, cash equivalents, marketable securities, restricted cash and accounts receivable. The Company maintains cash, cash equivalents, restricted cash and marketable securities with financial institutions that management believes are financially sound and have minimal credit risk exposure although the balances will exceed insured limits.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sells its services to a wide variety of customers. If the financial condition or results of operations of any significant customers deteriorate substantially, operating results could be adversely affected. To reduce credit risk, management performs ongoing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year ended December 31, 2017, there was no customer organization that accounted for more than 10% of the Company's total revenue. During the year ended December 31, 2016, one customer organization represented approximately 14% of the Company's total revenue. During the year ended December 31, 2015, a different customer organization represented approximately 17% of the Company's total revenue.</w:t>
      </w:r>
    </w:p>
    <w:p>
      <w:pPr>
        <w:spacing w:after="0" w:line="1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2017, no customer organizations represented more than 10% of the Company's gross accounts receivable. As of December 31, 2016, one customer organization represented approximately 16% of the Company's gross accounts receivable.</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derives its revenue primarily from usage-based fees earned from customers accessing the Company's enterprise cloud computing services invoiced or paid monthly. The Company provides services to its customers under pay-as-you-go contracts and term-based contracts ranging in duration from one month to 48 months. Customers that pay via credit card are either billed in advance or as they use service. Larger customers are billed in arrears via invoices for services used. Certain customers have contracts that provide for a minimum monthly commitment and some customers have contracts that provide for a commitment that may be of a quarterly, annual or other specific durations.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revenue from these transactions when all of the following criteria are satisfied:</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service has been or is being provided to the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the fees to be paid by the customer is fixed or determinable;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collectability of the fees is reasonably assured.</w:t>
      </w:r>
    </w:p>
    <w:p>
      <w:pPr>
        <w:spacing w:after="0" w:line="225"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Term-based contracts revenue is recognized on a straight-line basis over the contractual term of the arrangement beginning on the date that the service is made available to the customer, provided that all other revenue recognition criteria have been met. Usage-based fees are recognized as delivered.</w:t>
      </w:r>
    </w:p>
    <w:p>
      <w:pPr>
        <w:spacing w:after="0" w:line="11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Company's arrangements do not contain general rights of return. However, credits may be issued to customers on a case-by-case basis.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6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reserve for sales credits was $1.8 million and $0.5 million as of December 31, 2017 and 2016, respectively, and is included in accounts receivable, net in the accompanying consolidated balance sheets. The reserve for sales credits is calculated based on historical trends and any specific risks identified in processing transactions. Changes in the reserve are recorded against revenue.</w:t>
      </w:r>
    </w:p>
    <w:p>
      <w:pPr>
        <w:spacing w:after="0" w:line="194"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Company collects various taxes and fees as an agent in connection with the sale of its services and remits these amounts to the respective taxing authorities. These taxes and fees have been presented on a net basis in the consolidated statements of operations and are recorded as a component of accrued liabilities in the accompanying consolidated balance sheets until remitted to the respective taxing authority.</w:t>
      </w:r>
    </w:p>
    <w:p>
      <w:pPr>
        <w:spacing w:after="0" w:line="18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Cost of revenue consists primarily of costs of communications services purchased from network service providers. Cost of revenue also includes fees to support the Company's cloud infrastructure, personnel costs, such as salaries and stock-based compensation for the customer care and support services employees, and non-personnel costs, such as amortization of capitalized internal-use software development costs.</w:t>
      </w:r>
    </w:p>
    <w:p>
      <w:pPr>
        <w:spacing w:after="0" w:line="20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Research and development expenses consist primarily of personnel costs, cloud infrastructure fees for staging and development, outsourced engineering services, amortization of capitalized internal-use software development costs and an allocation of general overhead expenses. The Company capitalizes the portion of its software development costs that meets the criteria for capitalization.</w:t>
      </w:r>
    </w:p>
    <w:p>
      <w:pPr>
        <w:spacing w:after="0" w:line="20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Internal-Use Software Development Costs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Certain costs of platform and other software applications developed for internal use are capitalized. The Company capitalizes qualifying internal-use software development costs that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incurred during the application development stage. Capitalization of costs begins when two criteria are met: (i) the preliminary project stage is completed and</w:t>
      </w:r>
    </w:p>
    <w:p>
      <w:pPr>
        <w:spacing w:after="0" w:line="38" w:lineRule="exact"/>
        <w:rPr>
          <w:sz w:val="20"/>
          <w:szCs w:val="20"/>
          <w:color w:val="auto"/>
        </w:rPr>
      </w:pPr>
    </w:p>
    <w:p>
      <w:pPr>
        <w:ind w:right="140" w:firstLine="8"/>
        <w:spacing w:after="0" w:line="295" w:lineRule="auto"/>
        <w:tabs>
          <w:tab w:leader="none" w:pos="2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expenses costs incurred for maintenance and minor upgrades and enhancements. Costs related to preliminary project activities and post-implementation operating activities are also expensed as incurred.</w:t>
      </w:r>
    </w:p>
    <w:p>
      <w:pPr>
        <w:spacing w:after="0" w:line="16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 The amortization of costs related to the platform applications is included in cost of revenue, while the amortization of costs related to other software applications developed for internal use is included in research and development expenses.</w:t>
      </w:r>
    </w:p>
    <w:p>
      <w:pPr>
        <w:spacing w:after="0" w:line="210"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Advertising costs are expensed as incurred and were $4.9 million, $3.5 million and $2.9 million in the years ended December 31, 2017, 2016 and 2015, respectively. Advertising costs are included in sales and marketing expenses in the accompanying consolidated statements of operations.</w:t>
      </w:r>
    </w:p>
    <w:p>
      <w:pPr>
        <w:spacing w:after="0" w:line="16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stock-based compensation to employees, including the purchase rights issued under the Company's 2016 Employee Stock Purchase Plan (the "ESPP"), is measured on the grant date based on the fair value of the awards on the date of grant. This cost is recognized as an expense following the ratable attribution method, over the requisite service period, for stock options, and the straight-line attribution method, over the offering period, for the purchase rights issued under the ESPP. The Company uses the Black-Scholes option pricing model to measure the fair value of its stock options and the purchase rights issued under the ESPP. The fair value of the restricted stock units is determined using the fair value of the Company's Class A common stock on the date of grant. Prior to adoption of ASU 2016-09, the stock-based compensation was recorded net of estimated forfeitures.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 -Based Payment Accounting</w:t>
      </w:r>
      <w:r>
        <w:rPr>
          <w:rFonts w:ascii="Arial" w:cs="Arial" w:eastAsia="Arial" w:hAnsi="Arial"/>
          <w:sz w:val="16"/>
          <w:szCs w:val="16"/>
          <w:color w:val="auto"/>
        </w:rPr>
        <w:t>." This new guidance was intended to simplify several areas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stock-based compensation arrangements, including the income tax impact, classification on the statement of cash flows and forfeitures. This guidance is effective for fiscal years, and interim periods within those years, beginning after December 15, 2016, and early adoption is permitted. The Company early adopted this guidance in the quarter ended December 31, 2016. The new guidance allows entities to account for forfeitures as they occur. The Company elected to account for forfeitures as they occur and adopted this provision on a modified retrospective basis. The $0.1 million of cumulative prior years' impact as well as the impact on the first three quarters of 2016 of $75,000 was recognized as an increase to stock-based compensation during the quarter ended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December 31, 2016, as the impact on prior periods was insignificant. Adoption of all other changes in the new guidance did not have a significant impact on the Company's consolidated financial statements.</w:t>
      </w:r>
    </w:p>
    <w:p>
      <w:pPr>
        <w:spacing w:after="0" w:line="186"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Prior to the IPO, the fair value of the Company's common stock was determined by the estimated fair value of the Company's common stock at the time of grant. After the IPO, the Company uses the market closing price of its Class A common stock as reported on the New York Stock Exchange for the fair value.</w:t>
      </w:r>
    </w:p>
    <w:p>
      <w:pPr>
        <w:spacing w:after="0" w:line="11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Compensation expense for stock options granted to nonemployees is calculated using the Black-Scholes option pricing model and is recognized in expense over the service period. Compensation expense for nonemployee stock options subject to vesting is revalued at each reporting date until the stock options are vested.</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Black-Scholes option pricing model requires the use of complex assumptions, which determine the fair value of stock-based awards. These assumptions include:</w:t>
      </w:r>
    </w:p>
    <w:p>
      <w:pPr>
        <w:spacing w:after="0" w:line="199" w:lineRule="exact"/>
        <w:rPr>
          <w:sz w:val="20"/>
          <w:szCs w:val="20"/>
          <w:color w:val="auto"/>
        </w:rPr>
      </w:pPr>
    </w:p>
    <w:p>
      <w:pPr>
        <w:ind w:left="1080" w:hanging="532"/>
        <w:spacing w:after="0" w:line="287"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the common stock. </w:t>
      </w:r>
      <w:r>
        <w:rPr>
          <w:rFonts w:ascii="Arial" w:cs="Arial" w:eastAsia="Arial" w:hAnsi="Arial"/>
          <w:sz w:val="16"/>
          <w:szCs w:val="16"/>
          <w:color w:val="auto"/>
        </w:rPr>
        <w:t>Prior to the Company's IPO, the board of directors considered numerous objective and subjective factors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fair value of the Company's common stock at each meeting at which awards are approved. The factors included, but were not limited to: (i) contemporaneous valuations of the Company's common stock by an unrelated third party; (ii) the prices at which the Company sold shares of its convertible preferred stock to outside investors in arms-length transactions; (iii) the rights, preferences and privileges of the Company's convertible preferred stock relative to those of its common stock; (iv) the Company's results of operations, financial position and capital resources; (v) current business conditions and projections; (vi) the lack of marketability of the Company's common stock; (vii) the hiring of key personnel and the experience of management; (viii) the introduction of new products; (ix) the risk inherent in the development and expansion of the Company's products; (x) the Company's stage of development and material risks related to its business; (xi) the fact that the option grants involve illiquid securities in a private company; and (xii) the likelihood of achieving a liquidity event, such as an initial public offering or sale of the Company, in light of prevailing market conditions;</w:t>
      </w:r>
    </w:p>
    <w:p>
      <w:pPr>
        <w:spacing w:after="0" w:line="203" w:lineRule="exact"/>
        <w:rPr>
          <w:rFonts w:ascii="Arial" w:cs="Arial" w:eastAsia="Arial" w:hAnsi="Arial"/>
          <w:sz w:val="16"/>
          <w:szCs w:val="16"/>
          <w:color w:val="auto"/>
        </w:rPr>
      </w:pPr>
    </w:p>
    <w:p>
      <w:pPr>
        <w:ind w:left="1080" w:right="3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Company uses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calculation of expected term, as the Company does not have sufficient historical data to use any other method to estimate expected term;</w:t>
      </w:r>
    </w:p>
    <w:p>
      <w:pPr>
        <w:spacing w:after="0" w:line="207"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derived from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similar to those of the Company, such as the size and operational and economic similarities to the Company's principal business operations;</w:t>
      </w:r>
    </w:p>
    <w:p>
      <w:pPr>
        <w:spacing w:after="0" w:line="207"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interest rate is based on the U.S. Treasury yield curve in effect at the time of grant for zero 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the expected term of the stock-based awards; and</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expected dividend is assumed to be zero as the Company has never paid dividends and has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If any of the assumptions used in the Black-Scholes model changes, stock-based compensation for future options may differ materially compared to that associated with previous grants.</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accounts for income taxes in accordance with authoritative guidance which requires the use of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recognizes the effect of uncertain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records interest and penalties related to uncertain tax positions in the provision for income taxes in the consolidated statements of operations.</w:t>
      </w:r>
    </w:p>
    <w:p>
      <w:pPr>
        <w:spacing w:after="0" w:line="275"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functional currency of the Company's foreign subsidiaries is generally the U.S. dollar. Accordingly, the subsidiaries remeasure monetary assets and liabilities at period-end exchange rates, while non-monetary items are remeasured at historical rates. Revenue and expense accounts are remeasured at the average exchange rate in effect during the year. Remeasurement adjustments are recognized in the consolidated statements of operations as other income or expense in the year of occurrence. Foreign currency transaction gains and losses were insignificant for all periods presented.</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those entities where the functional currency is a foreign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income (expense), net in the consolidated statements of operations.</w:t>
      </w:r>
    </w:p>
    <w:p>
      <w:pPr>
        <w:spacing w:after="0" w:line="183"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Comprehensive income (loss) refers to net income (loss) and other revenue, expenses, gains and losses that, under generally accepted accounting principles, are recorded as an element of stockholders' equity but are excluded from the calculation of net income (loss).</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For the years ended December 31, 2016 and 2015, the Company's operations did not give rise to any material items includable in comprehensive income (loss), which were not already in net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(loss). Accordingly, for those periods, the Company's comprehensive income (loss) is the same as its net income (loss).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 xml:space="preserve">The Company calculates its basic and diluted net loss per share attributable to common stockholders in conformity with the two-class method required for companies with participating securities. All series of convertible preferred stock are considered to be participating securities as the holders of the preferred stock are entitled to receive a non-cumulative dividend on a pro rata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the event that a dividend is declared or paid on common stock. Shares of common stock issued upon early exercise of stock options that are subject to repurchase are also considered to be participating securities, because holders of such shares have non-forfeitable dividend rights in the event a dividend is declared or paid on common stock. Under the two-class method, in periods when the Company has net income, net income attributable to common stockholders is determined by allocating undistributed earnings, calculated as net income less current period convertible preferred stock non-cumulative dividends, between common stock and the convertible preferred stock. In computing diluted net income attributable to common stockholders, undistributed earnings are re-allocated to reflect the potential impact of dilutive securities. The Company's basic net loss per share attributable to common stockholders is calculated by dividing the net loss attributable to common stockholders by the weighted-average number of shares of common stock outstanding for the period. The diluted net loss per share attributable to common stockholders is computed by giving effect to all potential dilutive common stock equivalents outstanding for the period. The dilutive effect of these potential common shares is reflected in diluted earnings per share by application of the treasury stock method. For purposes of this calculation, convertible preferred stock, options to purchase common stock, unvested restricted stock units, common stock issued subject to future vesting, any shares of stock committed under the ESPP, any shares of stock held in escrow and any shares of stock reserved for future donations are considered common stock equivalents but have been excluded from the calculation of diluted net loss per share attributable to common stockholders as their effect is antidilutive.</w:t>
      </w:r>
    </w:p>
    <w:p>
      <w:pPr>
        <w:spacing w:after="0" w:line="18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the Company's IPO in 2016, Class A and Class B common stock are the only outstanding equity of the Company. The rights of the holders of Class A and Class B common stock are identical, except with respect to voting and conversion. Each share of Class A common stock is entitled to one vote per share and each share of Class B common stock is entitled to 10 votes per share. Shares of Class B common stock may be converted into Class A common stock at any time at the option of the stockholder on a one-for-one basis, and are automatically converted into Class A common stock upon sale or transfer, subject to certain limited exceptions. Shares of Class A common stock are not convertible.</w:t>
      </w:r>
    </w:p>
    <w:p>
      <w:pPr>
        <w:spacing w:after="0" w:line="197"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0" w:firstLine="348"/>
        <w:spacing w:after="0" w:line="335" w:lineRule="auto"/>
        <w:rPr>
          <w:sz w:val="20"/>
          <w:szCs w:val="20"/>
          <w:color w:val="auto"/>
        </w:rPr>
      </w:pPr>
      <w:r>
        <w:rPr>
          <w:rFonts w:ascii="Arial" w:cs="Arial" w:eastAsia="Arial" w:hAnsi="Arial"/>
          <w:sz w:val="15"/>
          <w:szCs w:val="15"/>
          <w:color w:val="auto"/>
        </w:rPr>
        <w:t>The Company considers all highly liquid investments with an original maturity of three months or less when purchased to be cash equivalents. Cash equivalents consist of funds deposited into money market funds. All credit and debit card transactions that process as of the last day of each month and settle within the first few days of the subsequent month are also classified as cash and cash equivalents as of the end of the month in which they were processed.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Restricted cash consists of cash deposited into a savings account with a financial institution as collateral for the Company's obligations under its facility leases of premises located in San Francisco, California. The facility lease for the Company's old office space expired in January 2017 and the facility lease for the Company's new office space expires in October 2024. The restricted cash balances as of December 31, 2017 and December 31, 2016 were $5.5 million and $8.6 million, respectively.</w:t>
      </w:r>
    </w:p>
    <w:p>
      <w:pPr>
        <w:spacing w:after="0" w:line="224"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Accounts receivable are recorded net of the allowance for doubtful accounts and the reserve for sales credits.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 will be collected. The Company writes-off accounts receivable against the allowance when a determination is made that the balance is uncollectible and collection of the receivable is no longer being actively pursued. The allowance for doubtful accounts was $1.0 million and $1.1 million as of December 31, 2017 and 2016, respectively.</w:t>
      </w:r>
    </w:p>
    <w:p>
      <w:pPr>
        <w:spacing w:after="0" w:line="213"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Related to the Public Offerings</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Costs related to the public offerings, which consist of direct incremental legal, printing and accounting fees, are deferred until the offering is completed. Upon completion of the offering, these costs are offset against the offering proceeds within the consolidated statements of stockholders' equity. As of December 31, 2016, the Company recorded in its consolidated statement of stockholders' equity $5.7 million in total offering costs, of which $4.9 million and $0.8 million related to the IPO and the FPO, respectively.</w:t>
      </w:r>
    </w:p>
    <w:p>
      <w:pPr>
        <w:spacing w:after="0" w:line="21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Property and equipment is stated at cost less accumulated depreciation and amortization. Depreciation is computed using the straight-line method over the estimated useful life of the related asset. Maintenance and repairs are charged to expenses as incurred.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The useful lives of property and equipment are as follows:</w:t>
            </w:r>
          </w:p>
        </w:tc>
        <w:tc>
          <w:tcPr>
            <w:tcW w:w="4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development costs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Office equipment</w:t>
            </w:r>
          </w:p>
        </w:tc>
        <w:tc>
          <w:tcPr>
            <w:tcW w:w="4660" w:type="dxa"/>
            <w:vAlign w:val="bottom"/>
          </w:tcPr>
          <w:p>
            <w:pPr>
              <w:jc w:val="right"/>
              <w:spacing w:after="0"/>
              <w:rPr>
                <w:sz w:val="20"/>
                <w:szCs w:val="20"/>
                <w:color w:val="auto"/>
              </w:rPr>
            </w:pPr>
            <w:r>
              <w:rPr>
                <w:rFonts w:ascii="Arial" w:cs="Arial" w:eastAsia="Arial" w:hAnsi="Arial"/>
                <w:sz w:val="18"/>
                <w:szCs w:val="18"/>
                <w:color w:val="auto"/>
              </w:rPr>
              <w:t>3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Software</w:t>
            </w:r>
          </w:p>
        </w:tc>
        <w:tc>
          <w:tcPr>
            <w:tcW w:w="4660" w:type="dxa"/>
            <w:vAlign w:val="bottom"/>
          </w:tcPr>
          <w:p>
            <w:pPr>
              <w:jc w:val="right"/>
              <w:spacing w:after="0"/>
              <w:rPr>
                <w:sz w:val="20"/>
                <w:szCs w:val="20"/>
                <w:color w:val="auto"/>
              </w:rPr>
            </w:pPr>
            <w:r>
              <w:rPr>
                <w:rFonts w:ascii="Arial" w:cs="Arial" w:eastAsia="Arial" w:hAnsi="Arial"/>
                <w:sz w:val="18"/>
                <w:szCs w:val="18"/>
                <w:color w:val="auto"/>
              </w:rPr>
              <w:t>3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 or remaining</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 term</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60" w:type="dxa"/>
            <w:vAlign w:val="bottom"/>
          </w:tcPr>
          <w:p>
            <w:pPr>
              <w:jc w:val="right"/>
              <w:ind w:right="3772"/>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Intangible assets recorded by the Company are costs directly associated with securing legal registration of patents and trademarks, acquiring domain names and the fair value of identifiable intangible assets acquired in business combinations.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The useful lives of the intangible assets are as follows:</w:t>
            </w:r>
          </w:p>
        </w:tc>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3 - 4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20" w:type="dxa"/>
            <w:vAlign w:val="bottom"/>
          </w:tcPr>
          <w:p>
            <w:pPr>
              <w:jc w:val="right"/>
              <w:spacing w:after="0"/>
              <w:rPr>
                <w:sz w:val="20"/>
                <w:szCs w:val="20"/>
                <w:color w:val="auto"/>
              </w:rPr>
            </w:pPr>
            <w:r>
              <w:rPr>
                <w:rFonts w:ascii="Arial" w:cs="Arial" w:eastAsia="Arial" w:hAnsi="Arial"/>
                <w:sz w:val="18"/>
                <w:szCs w:val="18"/>
                <w:color w:val="auto"/>
              </w:rPr>
              <w:t>5 - 8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Trade names</w:t>
            </w:r>
          </w:p>
        </w:tc>
        <w:tc>
          <w:tcPr>
            <w:tcW w:w="3120" w:type="dxa"/>
            <w:vAlign w:val="bottom"/>
          </w:tcPr>
          <w:p>
            <w:pPr>
              <w:jc w:val="right"/>
              <w:spacing w:after="0"/>
              <w:rPr>
                <w:sz w:val="20"/>
                <w:szCs w:val="20"/>
                <w:color w:val="auto"/>
              </w:rPr>
            </w:pPr>
            <w:r>
              <w:rPr>
                <w:rFonts w:ascii="Arial" w:cs="Arial" w:eastAsia="Arial" w:hAnsi="Arial"/>
                <w:sz w:val="18"/>
                <w:szCs w:val="18"/>
                <w:color w:val="auto"/>
              </w:rPr>
              <w:t>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Trademarks</w:t>
            </w:r>
          </w:p>
        </w:tc>
        <w:tc>
          <w:tcPr>
            <w:tcW w:w="312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Goodwill represents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has determined that it operates as one reporting unit and has selected November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impairment loss would be recognized when the carrying amount of goodwill exceeds its implied fair value. No goodwill impairment charges have been recorded for any period presented.</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evaluates long-lived assets, including property and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 There was no impairment during the years ended December 31, 2017, 2016 and 2015. The value of the internally-developed software written-off due to abandonment was $0.6 million, $0.7 million and $0.1 million in the years ended December 31, 2017, 2016 and 2015, respectively.</w:t>
      </w:r>
    </w:p>
    <w:p>
      <w:pPr>
        <w:spacing w:after="0" w:line="201"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Deferred revenue consists of cash deposits from customers to be applied against future usage and customer billings in advance of revenues being recognized from the Company's contracts. Deferred revenue is generally expected to be recognized during the succeeding 12-month period and is thus recorded as a current liability. Deferred revenue is refunded in cash upon termination of customer accounts.</w:t>
      </w:r>
    </w:p>
    <w:p>
      <w:pPr>
        <w:spacing w:after="0" w:line="208"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recognizes identifiable assets acquired and liabilities assumed at their acquisition date fair values. Goodwill is measured as the excess of the consideration transferred over the fair value of assets acquired and liabilities assumed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will be recorded to the consolidated statement of operations.</w:t>
      </w:r>
    </w:p>
    <w:p>
      <w:pPr>
        <w:spacing w:after="0" w:line="186"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Company's Chief Executive Officer is the chief operating decision maker, who reviews the Company's financial information presented on a consolidated basis for purposes of allocating resources and evaluating the Company's financial performance. Accordingly, the Company has determined that it operates in a single reporting segment.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Company applies fair value accounting for all financial instruments on a recurring basis. The Company's financial instruments, which include cash, cash equivalents, accounts receivable and accounts payable are recorded at their carrying amounts, which approximate their fair values due to their short-term nature. Restricted cash is long-term in nature and consists of cash in a savings account, hence its carrying amount approximates its fair value. Marketable securities consist of U.S. treasury securities and high credit quality corporate debt securities. All marketable securities are considered to be available-for-sale and recorded at their estimated fair values. Unrealized gains and losses for available-for-sale securities are recorded in other comprehensive income (loss). In valuing these items, the Company uses inputs and assumptions that market participants would use to determine their fair value, utilizing valuation techniques that maximize the use of observable inputs and minimize the use of unobservable inputs.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income (expense), net.</w:t>
      </w:r>
    </w:p>
    <w:p>
      <w:pPr>
        <w:spacing w:after="0" w:line="194"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24" w:lineRule="exact"/>
        <w:rPr>
          <w:sz w:val="20"/>
          <w:szCs w:val="20"/>
          <w:color w:val="auto"/>
        </w:rPr>
      </w:pPr>
    </w:p>
    <w:p>
      <w:pPr>
        <w:ind w:left="1080" w:right="1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w:t>
      </w:r>
    </w:p>
    <w:p>
      <w:pPr>
        <w:spacing w:after="0" w:line="275"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May 2017, the Financial Accounting Standards Board ("FASB") issued Accounting Standards Updates ("ASU") 2017-09,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Scope of Modification Accounting"</w:t>
      </w:r>
      <w:r>
        <w:rPr>
          <w:rFonts w:ascii="Arial" w:cs="Arial" w:eastAsia="Arial" w:hAnsi="Arial"/>
          <w:sz w:val="16"/>
          <w:szCs w:val="16"/>
          <w:color w:val="auto"/>
        </w:rPr>
        <w:t>, which clarifies when changes to the terms or conditions of a share-based payment award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modifications. The guidance is effective prospectively for interim and annual periods beginning after December 15, 2017 and early adoption is permitted. The Company will adopt this guidance upon its effective date. The Company does not expect the adoption of this guidance to have a material impact on the Company's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removes the second step of the goodwill impairment test that requires a hypothetical purchase price allocation. A goodwill impairment will now be the amount by which a reporting unit's carrying value exceeds its fair value, not to exceed the carrying amount of goodwill. This guidance is effective prospectively for interim and annual reporting periods beginning after December 15, 2019. The Company will adopt this guidance upon its effective date. The Company does not expect the adoption of this guidance to have a material impact on the Company's financial position, results of operations or cash flows.</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amends the guidance of FASB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Company will adopt this guidance upon its effective date and implement it next time there is a potential business combination.</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a statement of cash flows to explain the change during the period in the total of cash, cash equivalents and amounts generally described as restricted cash and restricted cash equivalents when reconciling the beginning-of-period and end-of-period total amounts shown on the statement of cash flows. This guidance is effective for annual and interim periods beginning after December 15, 2017, and early adoption is permitted. The Company will adopt this guidance upon its effective date and its impact will be a function of the amounts of restricted cash the Company has at that time and the movements therein.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"Intra-Entity Transfers Other Than Inventory"</w:t>
      </w:r>
      <w:r>
        <w:rPr>
          <w:rFonts w:ascii="Arial" w:cs="Arial" w:eastAsia="Arial" w:hAnsi="Arial"/>
          <w:sz w:val="16"/>
          <w:szCs w:val="16"/>
          <w:color w:val="auto"/>
        </w:rPr>
        <w:t>, which requires entities to recognize the income tax consequences of an intra-entity transfer of an asset other than inventory when the transfer occurs. This guidance is effective for annual and interim periods beginning after December 15, 2017, and early adoption is permitted. The Company will adopt this guidance upon its effective date. The Company does not expect the adoption of this guidance to have any material impact on the Company's financial position, results of operations or cash flows.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changes the impairment model for most financial assets. The new model uses a forward-looking expected loss method, which will generally result in earlier recognition of allowances for losses. ASU 2016-13 is effective for annual and interim periods beginning after December 15, 2019 and early adoption is permitted for annual and interim periods beginning after December 15, 2018. The Company is evaluating the impact of this guidance on its consolidated financial statements and related disclosures.</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For public companies, the new standard is effective for fiscal years beginning after December 15, 2018, including interim periods within those fiscal years. Early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the Company has not yet determined the full impact that the adoption of this standard will have on its consolidated financial statements and related disclosures.</w:t>
      </w:r>
    </w:p>
    <w:p>
      <w:pPr>
        <w:spacing w:after="0" w:line="19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new guidance will replace most existing U.S.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which deferred, by one year, the effective date for the new revenue reporting standard for entities reporting under U.S. GAAP. In accordance with the deferral, this guidance will be effective for the Company beginning January 1, 2018 and can be applied either retrospectively to each period presented or as a cumulative-effect adjustment as of the date of adoption. Early adoption is permitted beginning January 1, 2017. In March 2016, the FASB issued ASU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Principal versus Agent Considerations (Reporting Revenue Gross versus Net)" </w:t>
      </w:r>
      <w:r>
        <w:rPr>
          <w:rFonts w:ascii="Arial" w:cs="Arial" w:eastAsia="Arial" w:hAnsi="Arial"/>
          <w:sz w:val="16"/>
          <w:szCs w:val="16"/>
          <w:color w:val="auto"/>
        </w:rPr>
        <w:t>clarifying the implementation guidance on principal versus agent considerations.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6"/>
          <w:szCs w:val="16"/>
          <w:i w:val="1"/>
          <w:iCs w:val="1"/>
          <w:color w:val="auto"/>
        </w:rPr>
        <w:t>"Revenue from Contracts with Customers, Identifying Performance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Licensing"</w:t>
      </w:r>
      <w:r>
        <w:rPr>
          <w:rFonts w:ascii="Arial" w:cs="Arial" w:eastAsia="Arial" w:hAnsi="Arial"/>
          <w:sz w:val="16"/>
          <w:szCs w:val="16"/>
          <w:color w:val="auto"/>
        </w:rPr>
        <w:t>, clarifying the implementation guidance on identifying performance obligations and licensing. Specifically, the amendments reduce the cost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complexity of identifying promised goods or services and improve the guidance for determining whether promises are separately identifiable. The amendments also provide implementation guidance on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amends the guidance on transition, collectability, noncash consideration and the presentation of sales and other similar taxes. ASU 2016-12 clarifies that, for a contract to be considered completed at transition, all (or substantially all) of the revenue must have been recognized under legacy GAAP. In addition, ASU 2016-12 clarifies how an entity should evaluate the collectability threshold and when an entity can recognize nonrefundable consideration received as revenue if an arrangement does not meet the standard's contract criteria. In September 2017, the FASB issued ASU 2017-13, "</w:t>
      </w:r>
      <w:r>
        <w:rPr>
          <w:rFonts w:ascii="Arial" w:cs="Arial" w:eastAsia="Arial" w:hAnsi="Arial"/>
          <w:sz w:val="16"/>
          <w:szCs w:val="16"/>
          <w:i w:val="1"/>
          <w:iCs w:val="1"/>
          <w:color w:val="auto"/>
        </w:rPr>
        <w:t>Revenue Recognition (Topic 605), 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Leases (Topic 840), and Leases (Topic 842)"</w:t>
      </w:r>
      <w:r>
        <w:rPr>
          <w:rFonts w:ascii="Arial" w:cs="Arial" w:eastAsia="Arial" w:hAnsi="Arial"/>
          <w:sz w:val="16"/>
          <w:szCs w:val="16"/>
          <w:color w:val="auto"/>
        </w:rPr>
        <w:t>. These amendments provide additional clarification and implementation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previously issued ASUs. These amendments do not change the core principles of the guidance stated in ASU 2014-09, instead they are intended to clarify and improve operability of certain topics included within the revenue standard. In November 2017, the FASB issued ASU 2017-14, which includes amendments to certain SEC paragraphs within the FASB Accounting Standards Codification (Codification). ASU 2017-14 amends the Codification to incorporate SEC Staff Accounting Bulletin (SAB) No. 116 and SEC Interpretive Release on Vaccines for Federal Government Stockpiles (SEC</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Release No. 33-10403) that bring existing SEC staff guidance into conformity with the FASB's adoption of and amendments to ASC Topic 606, Revenue from Contracts with Customers. The effective date and transition requirements for ASU 2016-08, ASU 2016-10, ASU 2016-12, ASU 2017-13 and ASU 2017-14 are the same as the effective date and transition requirements for ASU 2014-09. The Company has evaluated the potential changes from the adoption of the new standard on its financial statements and disclosures, and is in the process of implementing appropriate changes to its business processes, systems and controls to support revenue recognition and disclosures under the new standard. Based on this evaluation, the Company will adopt the requirements of the new standard in the first quarter of 2018, using the modified retrospective transition method with a cumulative catch adjustment to retained earnings as of January 1, 2018. Under the new standard, based on the Company's preliminary assessment, the Company does not believe there will be material changes to its revenue recognition and the expectation is that the majority of the Company's revenue will continue to be recognized according to the usage by its customers, in the period in which that usage occurs.</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 is also assessing the impact of adoption of the new standard on its accounting for sales commissions. The Company's current accounting policy requires capitalization and amortization of the deferred commissions. Under the new standard, the amounts capitalized will be recognized as amortization over the expected customer life. The Company's preliminary assessment of its analyses of the amortizable life of the deferred commissions under the new guidance at three years. Further review of certain commission plans is yet to be completed to finalize the impact on the consolidated statements of financial position, results of operations and cash flows.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will not be any significant tax impact to the Company's consolidated statements of operations and consolidated balance sheet relating to the adoption of the new standard as there will be a full valuation allowance due to the Company's history of continued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provide the assets measured at fair value on a recurring basis as of December 31, 2017 and 2016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vMerge w:val="restart"/>
          </w:tcPr>
          <w:p>
            <w:pPr>
              <w:jc w:val="center"/>
              <w:ind w:left="99"/>
              <w:spacing w:after="0"/>
              <w:rPr>
                <w:sz w:val="20"/>
                <w:szCs w:val="20"/>
                <w:color w:val="auto"/>
              </w:rPr>
            </w:pPr>
            <w:r>
              <w:rPr>
                <w:rFonts w:ascii="Arial" w:cs="Arial" w:eastAsia="Arial" w:hAnsi="Arial"/>
                <w:sz w:val="14"/>
                <w:szCs w:val="14"/>
                <w:b w:val="1"/>
                <w:bCs w:val="1"/>
                <w:color w:val="auto"/>
                <w:w w:val="88"/>
              </w:rPr>
              <w:t>Fair Value Hierarchy as of</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Cost or</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gridSpan w:val="7"/>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5"/>
            <w:vMerge w:val="restart"/>
          </w:tcPr>
          <w:p>
            <w:pPr>
              <w:jc w:val="center"/>
              <w:ind w:left="419"/>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5"/>
                <w:szCs w:val="5"/>
                <w:color w:val="auto"/>
              </w:rPr>
            </w:pP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5"/>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w w:val="91"/>
              </w:rPr>
              <w:t>Total included in cash and cash equivalents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95,432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95,432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95,432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59,746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115,841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175,587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financial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155,178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115,841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271,019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52"/>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marketable securities as of December 31, 2016.</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w w:val="88"/>
              </w:rPr>
              <w:t>As of December 31, 2016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7"/>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Money market funds (included in cash and cash equivalents)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274,135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274,135</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financial assets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274,135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274,135</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As the Company views these securities as available to support current operations, it has classified all available-for-sale securities as short term. The following table summarizes the contractual maturities of marketable securities as of December 31, 2017 (in thousands):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Aggregate</w:t>
            </w:r>
          </w:p>
        </w:tc>
      </w:t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Less than one year</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108,584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108,360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One to two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67,227</w:t>
            </w:r>
          </w:p>
        </w:tc>
      </w:tr>
      <w:tr>
        <w:trPr>
          <w:trHeight w:val="210"/>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176,185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175,587</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fixed income securities that had unrealized losses as of December 31, 2017, the Company has determined that no other-than-temporary impairment existed. As of December 31, 2017, all securities in an unrealized loss position have been in an unrealized loss position for less than one year. Interest earned on marketable securities in the year ended December 31, 2017 was $2.6 million and is recorded as other income (expense), net, in the accompanying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development costs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14,063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1,576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76,726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50,997</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(26,185)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(13,445)</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37,552</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Depreciation and amortization expense was $13.1 million, $7.4 million and $3.7 million for the years ended December 31, 2017, 2016 and 2015, respectively.</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(Continued)</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capitalized $21.5 million, $13.5 million and $9.4 million in internal-use software development costs in the years ended December 31, 2017, 2016 and 2015, respectively, of which $4.2 million, $2.0 million and $1.0 million, respectively, was stock-based compensation expense. Amortization of capitalized software development costs was $8.4 million, $5.5 million and $2.8 million in the years ended December 31, 2017, 2016 and 2015, respectively. The amortization expense was allocated as follows (in thousands):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2,838</w:t>
            </w: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Beepsend, AB</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February 2017, the Company completed its acquisition of Beepsend AB, a messaging provider based in Sweden, specializing in messaging and SMS solutions, for a total purchase price of $23.0 million, paid in cash, of which $5.0 million was held in escrow. The escrow will continue for 18 months after the transaction closing date and may be extended under certain circumstances.</w:t>
      </w:r>
    </w:p>
    <w:p>
      <w:pPr>
        <w:spacing w:after="0" w:line="194"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Additionally, the Company deposited $2.0 million into a separate escrow account that will be released to certain employees on the first and second anniversaries of the closing date, provided the underlying service conditions are met. This amount is recorded as prepaid compensation in the accompanying consolidated balance sheet and is amortized into expense as the services are rendered.</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acquisition was accounted for as a business combination and, accordingly, the total purchase price was allocated to the preliminary net tangible and intangible assets and liabilities based on their preliminary fair values on the acquisition date. The prepaid compensation subject to service conditions is accounted for as a post-acquisition compensation expense and recorded as research and development expense in the accompanying consolidated statement of operations. During the measurement period in 2017, the Company recorded a net adjustments of $0.1 million to the preliminary purchase price allocation. As of December 31, 2017 the purchase price allocation is final.</w:t>
      </w:r>
    </w:p>
    <w:p>
      <w:pPr>
        <w:spacing w:after="0" w:line="1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acquired entity's results of operations have been included in the consolidated financial statements of the Company from the date of acquisition.</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purchase price allocation, as adjusted, recorded in the Company's consolidated balance sheet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liabilities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r>
      <w:tr>
        <w:trPr>
          <w:trHeight w:val="257"/>
        </w:trPr>
        <w:tc>
          <w:tcPr>
            <w:tcW w:w="20" w:type="dxa"/>
            <w:vAlign w:val="bottom"/>
          </w:tcPr>
          <w:p>
            <w:pPr>
              <w:spacing w:after="0"/>
              <w:rPr>
                <w:sz w:val="22"/>
                <w:szCs w:val="22"/>
                <w:color w:val="auto"/>
              </w:rPr>
            </w:pPr>
          </w:p>
        </w:tc>
        <w:tc>
          <w:tcPr>
            <w:tcW w:w="8260" w:type="dxa"/>
            <w:vAlign w:val="bottom"/>
            <w:gridSpan w:val="2"/>
          </w:tcPr>
          <w:p>
            <w:pPr>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12,837</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Intangible assets</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13,700</w:t>
            </w:r>
          </w:p>
        </w:tc>
        <w:tc>
          <w:tcPr>
            <w:tcW w:w="1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22,962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8" w:lineRule="exact"/>
        <w:rPr>
          <w:sz w:val="20"/>
          <w:szCs w:val="20"/>
          <w:color w:val="auto"/>
        </w:rPr>
      </w:pPr>
    </w:p>
    <w:p>
      <w:pPr>
        <w:ind w:left="1680" w:right="180" w:hanging="531"/>
        <w:spacing w:after="0" w:line="251" w:lineRule="auto"/>
        <w:tabs>
          <w:tab w:leader="none" w:pos="1680" w:val="left"/>
        </w:tabs>
        <w:numPr>
          <w:ilvl w:val="0"/>
          <w:numId w:val="74"/>
        </w:numPr>
        <w:rPr>
          <w:rFonts w:ascii="Arial" w:cs="Arial" w:eastAsia="Arial" w:hAnsi="Arial"/>
          <w:sz w:val="25"/>
          <w:szCs w:val="25"/>
          <w:color w:val="auto"/>
          <w:vertAlign w:val="superscript"/>
        </w:rPr>
      </w:pPr>
      <w:r>
        <w:rPr>
          <w:rFonts w:ascii="Arial" w:cs="Arial" w:eastAsia="Arial" w:hAnsi="Arial"/>
          <w:sz w:val="15"/>
          <w:szCs w:val="15"/>
          <w:color w:val="auto"/>
        </w:rPr>
        <w:t>Goodwill represents the excess of purchase price over the fair value of identifiable tangible and intangible assets acquired and liabilities assumed. The goodwill in this transaction is primarily attributable to the future cash flows to be realized from the acquired technology platform, existing customer and supplier relationships as well as operational synergies. Goodwill is deductible for tax purposes.</w:t>
      </w:r>
    </w:p>
    <w:p>
      <w:pPr>
        <w:spacing w:after="0" w:line="105" w:lineRule="exact"/>
        <w:rPr>
          <w:rFonts w:ascii="Arial" w:cs="Arial" w:eastAsia="Arial" w:hAnsi="Arial"/>
          <w:sz w:val="25"/>
          <w:szCs w:val="25"/>
          <w:color w:val="auto"/>
          <w:vertAlign w:val="superscript"/>
        </w:rPr>
      </w:pPr>
    </w:p>
    <w:p>
      <w:pPr>
        <w:ind w:left="1680" w:hanging="531"/>
        <w:spacing w:after="0"/>
        <w:tabs>
          <w:tab w:leader="none" w:pos="16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Identifiable finite-lived intangible assets were comprised of the following:</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r>
      <w:tr>
        <w:trPr>
          <w:trHeight w:val="161"/>
        </w:trPr>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gridSpan w:val="2"/>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6,100</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7 - 8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Total intangible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0" w:firstLine="348"/>
        <w:spacing w:after="0" w:line="268" w:lineRule="auto"/>
        <w:rPr>
          <w:sz w:val="20"/>
          <w:szCs w:val="20"/>
          <w:color w:val="auto"/>
        </w:rPr>
      </w:pPr>
      <w:r>
        <w:rPr>
          <w:rFonts w:ascii="Arial" w:cs="Arial" w:eastAsia="Arial" w:hAnsi="Arial"/>
          <w:sz w:val="18"/>
          <w:szCs w:val="18"/>
          <w:color w:val="auto"/>
        </w:rPr>
        <w:t>The Company acquired a net deferred tax liability of $2.6 million in this business combination that is included in the long-term liabilities in the accompanying consolidated balance sheet.</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estimated fair value of the intangible assets acquired was determined by the Company, and the Company considered or relied in part upon a valuation report of a third-party expert. The Company used income approaches to estimate the fair values of the identifiable intangible assets. Specifically, the developed technology asset class was valued using the-relief-from royalty method, while the customer relationships asset class was valued using a multi-period excess earnings method and the supplier relationships asset class was valued using an incremental cash flow method.</w:t>
      </w:r>
    </w:p>
    <w:p>
      <w:pPr>
        <w:spacing w:after="0" w:line="16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Company incurred costs related to this acquisition of $0.7 million, of which $0.3 million and $0.4 million were incurred during fiscal years 2017 and 2016, respectively. All acquisition related costs were expensed as incurred and have been recorded in general and administrative expenses in the accompanying consolidated statements of operations.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 forma results of operations for this acquisition are not presented as the financial impact to the Company's consolidated financial statements is immaterial.</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Kurento Open Source Project</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November 2016, the Company acquired certain assets from Tikal Technologies S.L., a Spanish corporation, behind the Kurento Open Source Project. The acquired assets consisted of (a) proprietary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WebRTC media processing technologies, (b) certain licenses, patents and trademarks and (c) certain employee relationships behind the WebRTC technology. The purchase price consisted of $8.5 million in cash, of which $1.5 million was placed into escrow to indemnify the Company against breaches of general representations, warranties, claims and tax compliance matters. The escrow is effective for 24 months and 10 days from the acquisition date and may be extended under certain circumstances.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acquisition was accounted for as a business combination and, accordingly, the total purchase price was allocated to the identifiable intangibles assets acquired based on their respective fair values on the acquisition date. The excess of the purchase price over the fair values of the identifiable assets acquired was recorded as goodwill. The Company considered or relied in part upon a valuation report of a third-party expert.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final purchase price allocation recorded in the Company's consolidated balance sheet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50"/>
        </w:trPr>
        <w:tc>
          <w:tcPr>
            <w:tcW w:w="21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Intangible assets</w:t>
            </w:r>
            <w:r>
              <w:rPr>
                <w:rFonts w:ascii="Arial" w:cs="Arial" w:eastAsia="Arial" w:hAnsi="Arial"/>
                <w:sz w:val="28"/>
                <w:szCs w:val="28"/>
                <w:color w:val="auto"/>
                <w:vertAlign w:val="superscript"/>
              </w:rPr>
              <w:t>(1)</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w:t>
            </w:r>
          </w:p>
        </w:tc>
      </w:tr>
      <w:tr>
        <w:trPr>
          <w:trHeight w:val="257"/>
        </w:trPr>
        <w:tc>
          <w:tcPr>
            <w:tcW w:w="2120" w:type="dxa"/>
            <w:vAlign w:val="bottom"/>
          </w:tcPr>
          <w:p>
            <w:pPr>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(2)</w:t>
            </w: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0"/>
        </w:trPr>
        <w:tc>
          <w:tcPr>
            <w:tcW w:w="2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purchase price</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w:t>
            </w:r>
          </w:p>
        </w:tc>
      </w:tr>
      <w:tr>
        <w:trPr>
          <w:trHeight w:val="20"/>
        </w:trPr>
        <w:tc>
          <w:tcPr>
            <w:tcW w:w="2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08" w:lineRule="exact"/>
        <w:rPr>
          <w:sz w:val="20"/>
          <w:szCs w:val="20"/>
          <w:color w:val="auto"/>
        </w:rPr>
      </w:pPr>
    </w:p>
    <w:p>
      <w:pPr>
        <w:ind w:left="2260" w:hanging="540"/>
        <w:spacing w:after="0"/>
        <w:tabs>
          <w:tab w:leader="none" w:pos="2260" w:val="left"/>
        </w:tabs>
        <w:numPr>
          <w:ilvl w:val="0"/>
          <w:numId w:val="75"/>
        </w:numPr>
        <w:rPr>
          <w:rFonts w:ascii="Arial" w:cs="Arial" w:eastAsia="Arial" w:hAnsi="Arial"/>
          <w:sz w:val="28"/>
          <w:szCs w:val="28"/>
          <w:color w:val="auto"/>
          <w:vertAlign w:val="superscript"/>
        </w:rPr>
      </w:pPr>
      <w:r>
        <w:rPr>
          <w:rFonts w:ascii="Arial" w:cs="Arial" w:eastAsia="Arial" w:hAnsi="Arial"/>
          <w:sz w:val="17"/>
          <w:szCs w:val="17"/>
          <w:color w:val="auto"/>
        </w:rPr>
        <w:t>The intangible assets consist of developed technology with the estimated useful life of 3 years on the date of acquisition.</w:t>
      </w:r>
    </w:p>
    <w:p>
      <w:pPr>
        <w:spacing w:after="0" w:line="223" w:lineRule="exact"/>
        <w:rPr>
          <w:rFonts w:ascii="Arial" w:cs="Arial" w:eastAsia="Arial" w:hAnsi="Arial"/>
          <w:sz w:val="28"/>
          <w:szCs w:val="28"/>
          <w:color w:val="auto"/>
          <w:vertAlign w:val="superscript"/>
        </w:rPr>
      </w:pPr>
    </w:p>
    <w:p>
      <w:pPr>
        <w:ind w:left="2260" w:right="80" w:hanging="540"/>
        <w:spacing w:after="0" w:line="203" w:lineRule="auto"/>
        <w:tabs>
          <w:tab w:leader="none" w:pos="2260" w:val="left"/>
        </w:tabs>
        <w:numPr>
          <w:ilvl w:val="0"/>
          <w:numId w:val="75"/>
        </w:numPr>
        <w:rPr>
          <w:rFonts w:ascii="Arial" w:cs="Arial" w:eastAsia="Arial" w:hAnsi="Arial"/>
          <w:sz w:val="28"/>
          <w:szCs w:val="28"/>
          <w:color w:val="auto"/>
          <w:vertAlign w:val="superscript"/>
        </w:rPr>
      </w:pPr>
      <w:r>
        <w:rPr>
          <w:rFonts w:ascii="Arial" w:cs="Arial" w:eastAsia="Arial" w:hAnsi="Arial"/>
          <w:sz w:val="17"/>
          <w:szCs w:val="17"/>
          <w:color w:val="auto"/>
        </w:rPr>
        <w:t>The goodwill in this transaction is primarily attributable to the future cash flows to be realized from the acquired technology and the future development initiatives of the acquired workforce. The goodwill is deductible for tax purposes.</w:t>
      </w:r>
    </w:p>
    <w:p>
      <w:pPr>
        <w:spacing w:after="0" w:line="21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incurred cost related to this acquisition of $0.1 million that were expensed as incurred and have been recorded in general and administrative expenses in the accompanying consolidated statement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Authy, Inc.</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February 2015, the Company completed its acquisition of Authy, Inc. ("Authy"), a Delaware corporation with operations in Bogota, Colombia and San Francisco, California. Authy had developed a two-factor authentication online security solution. The Company's purchase price of $6.1 million for all of the outstanding shares of capital stock of Authy consisted of $3.0 million in cash and $3.1 million representing the fair value of 389,733 shares of the Company's Series T convertible preferred stock, of which 180,000 shares were placed in escrow. The escrow was effective until the first anniversary of the closing date, and has continued beyond that date as a result of certain circumstances. As of December 31, 2017, the Company has not released any shares out of the escrow. Additionally, the Company issued 507,885 shares of its Series T convertible preferred stock, which converted into shares of Class B common stock immediately prior to the closing of the IPO, to a former shareholder of Authy that had a fair value of $4.0 million and were subject to a service condition over a period of three years, as amended. In August 2016, the unvested shares were reduced by 127,054 shares due to the non-fulfillment of certain conditions of the merger agreement. In December 2016, all remaining unvested shares vested.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(Continued)</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acquisition was accounted for as a business combination and, accordingly, the total purchase price was allocated to the identifiable tangible and intangible assets acquired and the liabilities assumed based on their respective fair values on the acquisition date. The cost of shares subject to vesting and performance conditions was accounted for as a post-acquisition compensation expense and recorded as research and development expense in the accompanying consolidated statements of operations. The Company recorded $2.4 million and $0.6 million of stock-based compensation expense related to these shares in the years ended December 31, 2016 and 2015,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Authy's results of operations have been included in the consolidated financial statements of the Company from the date of acquisition.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transaction was intended to qualify as a tax-free reorganization under Section 368(a) of the IRS Code.</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fair value of the Series T convertible preferred stock was determined by the board of directors of the Company with input from a third-party valuation consultant.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final purchase price allocation recorded in the Company's consolidated balance sheet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tcPr>
          <w:p>
            <w:pPr>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Intangible assets</w:t>
            </w:r>
            <w:r>
              <w:rPr>
                <w:rFonts w:ascii="Arial" w:cs="Arial" w:eastAsia="Arial" w:hAnsi="Arial"/>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Total purchase price</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The Company acquired a net deferred tax liability of $0.1 million in this business combination.</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5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sz w:val="20"/>
          <w:szCs w:val="20"/>
          <w:color w:val="auto"/>
        </w:rPr>
      </w:pPr>
    </w:p>
    <w:p>
      <w:pPr>
        <w:ind w:left="1680" w:right="140" w:hanging="531"/>
        <w:spacing w:after="0" w:line="218" w:lineRule="auto"/>
        <w:tabs>
          <w:tab w:leader="none" w:pos="1680" w:val="left"/>
        </w:tabs>
        <w:numPr>
          <w:ilvl w:val="0"/>
          <w:numId w:val="76"/>
        </w:numPr>
        <w:rPr>
          <w:rFonts w:ascii="Arial" w:cs="Arial" w:eastAsia="Arial" w:hAnsi="Arial"/>
          <w:sz w:val="29"/>
          <w:szCs w:val="29"/>
          <w:color w:val="auto"/>
          <w:vertAlign w:val="superscript"/>
        </w:rPr>
      </w:pPr>
      <w:r>
        <w:rPr>
          <w:rFonts w:ascii="Arial" w:cs="Arial" w:eastAsia="Arial" w:hAnsi="Arial"/>
          <w:sz w:val="18"/>
          <w:szCs w:val="18"/>
          <w:color w:val="auto"/>
        </w:rPr>
        <w:t>Goodwill represents the excess of purchase price over the fair value of identifiable tangible and intangible assets acquired and liabilities assumed. The goodwill in this transaction is primarily attributable to the future cash flows to be realized from the acquired technology platform, existing customer base and the future development initiatives of the assembled workforce. Goodwill is not deductible for tax purposes.</w:t>
      </w:r>
    </w:p>
    <w:p>
      <w:pPr>
        <w:spacing w:after="0" w:line="115"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76"/>
        </w:numPr>
        <w:rPr>
          <w:rFonts w:ascii="Arial" w:cs="Arial" w:eastAsia="Arial" w:hAnsi="Arial"/>
          <w:sz w:val="29"/>
          <w:szCs w:val="29"/>
          <w:color w:val="auto"/>
          <w:vertAlign w:val="superscript"/>
        </w:rPr>
      </w:pPr>
      <w:r>
        <w:rPr>
          <w:rFonts w:ascii="Arial" w:cs="Arial" w:eastAsia="Arial" w:hAnsi="Arial"/>
          <w:sz w:val="18"/>
          <w:szCs w:val="18"/>
          <w:color w:val="auto"/>
        </w:rPr>
        <w:t>Identifiable finite-lived intangible assets were comprised of the following:</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r>
      <w:tr>
        <w:trPr>
          <w:trHeight w:val="16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gridSpan w:val="2"/>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Total intangible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estimated fair value of the intangible assets acquired was determined by the Company, and the Company considered or relied in part upon a valuation report of a third-party expert. The Company used an income approach to measure the fair values of the developed technology and trade names based on the relief-from-royalty method. The Company used an income approach to measure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the customer relationships based on the multi-period excess earnings method, whereby the fair value is estimated based upon the present value of cash flows that the applicable asset is expected to generate.</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incurred costs related to this acquisition of $1.5 million, of which $1.2 million and $0.3 million were incurred during the years ended December 31, 2015 and 2014, respectively. All acquisition related costs were expensed as incurred and have been recorded in general and administrative expenses in the accompanying consolidated statements of operations.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 forma results of operations for this acquisition are not presented as the financial impact to the Company's consolidated financial statements is immaterial.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 balance as of December 31, 2017 and 2016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Total</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Goodwill recorded in connection with 2016 acquisition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Goodwill recorded in connection with 2017 acquisition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Measurement period adjustment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Effect of exchange rate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17,851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jc w:val="right"/>
              <w:ind w:right="5052"/>
              <w:spacing w:after="0"/>
              <w:rPr>
                <w:sz w:val="20"/>
                <w:szCs w:val="20"/>
                <w:color w:val="auto"/>
              </w:rPr>
            </w:pPr>
            <w:r>
              <w:rPr>
                <w:rFonts w:ascii="Arial" w:cs="Arial" w:eastAsia="Arial" w:hAnsi="Arial"/>
                <w:sz w:val="18"/>
                <w:szCs w:val="18"/>
                <w:b w:val="1"/>
                <w:bCs w:val="1"/>
                <w:i w:val="1"/>
                <w:iCs w:val="1"/>
                <w:color w:val="auto"/>
              </w:rPr>
              <w:t>Intangible assets</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jc w:val="right"/>
              <w:ind w:right="2332"/>
              <w:spacing w:after="0"/>
              <w:rPr>
                <w:sz w:val="20"/>
                <w:szCs w:val="20"/>
                <w:color w:val="auto"/>
              </w:rPr>
            </w:pPr>
            <w:r>
              <w:rPr>
                <w:rFonts w:ascii="Arial" w:cs="Arial" w:eastAsia="Arial" w:hAnsi="Arial"/>
                <w:sz w:val="18"/>
                <w:szCs w:val="18"/>
                <w:color w:val="auto"/>
                <w:w w:val="95"/>
              </w:rPr>
              <w:t>Intangible assets consisted of the following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As of December 31, 2017</w:t>
            </w: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14,941</w:t>
            </w:r>
          </w:p>
        </w:tc>
        <w:tc>
          <w:tcPr>
            <w:tcW w:w="3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9,465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Supplier relationships</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Patent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amortizable intangible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19,769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tcPr>
          <w:p>
            <w:pPr>
              <w:ind w:left="1720"/>
              <w:spacing w:after="0"/>
              <w:rPr>
                <w:sz w:val="20"/>
                <w:szCs w:val="20"/>
                <w:color w:val="auto"/>
              </w:rPr>
            </w:pPr>
            <w:r>
              <w:rPr>
                <w:rFonts w:ascii="Arial" w:cs="Arial" w:eastAsia="Arial" w:hAnsi="Arial"/>
                <w:sz w:val="18"/>
                <w:szCs w:val="18"/>
                <w:color w:val="auto"/>
              </w:rPr>
              <w:t>Non-amortizable intangible assets: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As of December 31, 2016</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42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8,260</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w:t>
            </w:r>
          </w:p>
        </w:tc>
      </w:tr>
      <w:tr>
        <w:trPr>
          <w:trHeight w:val="210"/>
        </w:trPr>
        <w:tc>
          <w:tcPr>
            <w:tcW w:w="5180" w:type="dxa"/>
            <w:vAlign w:val="bottom"/>
          </w:tcPr>
          <w:p>
            <w:pPr>
              <w:ind w:left="360"/>
              <w:spacing w:after="0"/>
              <w:rPr>
                <w:sz w:val="20"/>
                <w:szCs w:val="20"/>
                <w:color w:val="auto"/>
              </w:rPr>
            </w:pPr>
            <w:r>
              <w:rPr>
                <w:rFonts w:ascii="Arial" w:cs="Arial" w:eastAsia="Arial" w:hAnsi="Arial"/>
                <w:sz w:val="18"/>
                <w:szCs w:val="18"/>
                <w:color w:val="auto"/>
              </w:rPr>
              <w:t>Total amortizable intangible assets</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6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Non-amortizable intangible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Domain names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r>
      <w:tr>
        <w:trPr>
          <w:trHeight w:val="210"/>
        </w:trPr>
        <w:tc>
          <w:tcPr>
            <w:tcW w:w="51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11,667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10,268</w:t>
            </w:r>
          </w:p>
        </w:tc>
        <w:tc>
          <w:tcPr>
            <w:tcW w:w="16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was $5.7 million, $0.9 million and $0.5 million for the years ended December 31, 2017, 2016 and 2015,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estimated future amortization expense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8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5,083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1,520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Thereafter</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2,796</w:t>
            </w:r>
          </w:p>
        </w:tc>
      </w:tr>
      <w:tr>
        <w:trPr>
          <w:trHeight w:val="20"/>
        </w:trPr>
        <w:tc>
          <w:tcPr>
            <w:tcW w:w="3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19,769</w:t>
            </w:r>
          </w:p>
        </w:tc>
      </w:tr>
      <w:tr>
        <w:trPr>
          <w:trHeight w:val="20"/>
        </w:trPr>
        <w:tc>
          <w:tcPr>
            <w:tcW w:w="3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79"/>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7"/>
          </w:tcPr>
          <w:p>
            <w:pPr>
              <w:jc w:val="center"/>
              <w:ind w:right="20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bonus and commission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cost of revenue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Sales and other taxes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20,877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28,795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ESPP contributions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Deferred rent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10,774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88"/>
              </w:rPr>
              <w:t>Total accrued expenses and other current liabilities</w:t>
            </w:r>
          </w:p>
        </w:tc>
        <w:tc>
          <w:tcPr>
            <w:tcW w:w="2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53,614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59,308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60" w:type="dxa"/>
            <w:vAlign w:val="bottom"/>
            <w:vMerge w:val="restart"/>
          </w:tcPr>
          <w:p>
            <w:pPr>
              <w:jc w:val="right"/>
              <w:ind w:right="2052"/>
              <w:spacing w:after="0"/>
              <w:rPr>
                <w:sz w:val="20"/>
                <w:szCs w:val="20"/>
                <w:color w:val="auto"/>
              </w:rPr>
            </w:pPr>
            <w:r>
              <w:rPr>
                <w:rFonts w:ascii="Arial" w:cs="Arial" w:eastAsia="Arial" w:hAnsi="Arial"/>
                <w:sz w:val="18"/>
                <w:szCs w:val="18"/>
                <w:color w:val="auto"/>
                <w:w w:val="99"/>
              </w:rPr>
              <w:t>113</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Liabilities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As of</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10"/>
        </w:trPr>
        <w:tc>
          <w:tcPr>
            <w:tcW w:w="6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11,409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9,543</w:t>
            </w:r>
          </w:p>
        </w:tc>
        <w:tc>
          <w:tcPr>
            <w:tcW w:w="16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Supplemental Balance Sheet Information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roll-forward of the Company's reserves for the years ended December 31, 2017, 2016 and 2015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(a)</w:t>
            </w:r>
          </w:p>
        </w:tc>
        <w:tc>
          <w:tcPr>
            <w:tcW w:w="37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1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Additions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540"/>
              <w:spacing w:after="0"/>
              <w:rPr>
                <w:sz w:val="20"/>
                <w:szCs w:val="20"/>
                <w:color w:val="auto"/>
              </w:rPr>
            </w:pPr>
            <w:r>
              <w:rPr>
                <w:rFonts w:ascii="Arial" w:cs="Arial" w:eastAsia="Arial" w:hAnsi="Arial"/>
                <w:sz w:val="18"/>
                <w:szCs w:val="18"/>
                <w:b w:val="1"/>
                <w:bCs w:val="1"/>
                <w:i w:val="1"/>
                <w:iCs w:val="1"/>
                <w:color w:val="auto"/>
              </w:rPr>
              <w:t>(b)</w:t>
            </w:r>
          </w:p>
        </w:tc>
        <w:tc>
          <w:tcPr>
            <w:tcW w:w="3760" w:type="dxa"/>
            <w:vAlign w:val="bottom"/>
            <w:gridSpan w:val="2"/>
            <w:vMerge w:val="restart"/>
          </w:tcPr>
          <w:p>
            <w:pPr>
              <w:ind w:left="160"/>
              <w:spacing w:after="0"/>
              <w:rPr>
                <w:sz w:val="20"/>
                <w:szCs w:val="20"/>
                <w:color w:val="auto"/>
              </w:rPr>
            </w:pPr>
            <w:r>
              <w:rPr>
                <w:rFonts w:ascii="Arial" w:cs="Arial" w:eastAsia="Arial" w:hAnsi="Arial"/>
                <w:sz w:val="18"/>
                <w:szCs w:val="18"/>
                <w:b w:val="1"/>
                <w:bCs w:val="1"/>
                <w:i w:val="1"/>
                <w:iCs w:val="1"/>
                <w:color w:val="auto"/>
              </w:rPr>
              <w:t>Sales credit reserve:</w:t>
            </w: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20" w:type="dxa"/>
            <w:vAlign w:val="bottom"/>
            <w:vMerge w:val="continue"/>
          </w:tcPr>
          <w:p>
            <w:pPr>
              <w:spacing w:after="0"/>
              <w:rPr>
                <w:sz w:val="24"/>
                <w:szCs w:val="24"/>
                <w:color w:val="auto"/>
              </w:rPr>
            </w:pPr>
          </w:p>
        </w:tc>
        <w:tc>
          <w:tcPr>
            <w:tcW w:w="376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1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80" w:type="dxa"/>
            <w:vAlign w:val="bottom"/>
            <w:tcBorders>
              <w:top w:val="single" w:sz="8" w:color="auto"/>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Additions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2,531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Deductions against reserve</w:t>
            </w:r>
          </w:p>
        </w:tc>
        <w:tc>
          <w:tcPr>
            <w:tcW w:w="3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25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1,761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40" w:type="dxa"/>
            <w:vAlign w:val="bottom"/>
            <w:vMerge w:val="restart"/>
          </w:tcPr>
          <w:p>
            <w:pPr>
              <w:jc w:val="right"/>
              <w:ind w:right="1292"/>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by Geographic Area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Revenue by geographic area is based on the IP address at the time of registration. The following table sets forth revenue by geographic area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308,612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233,922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143,145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23,774</w:t>
            </w:r>
          </w:p>
        </w:tc>
      </w:tr>
      <w:tr>
        <w:trPr>
          <w:trHeight w:val="210"/>
        </w:trPr>
        <w:tc>
          <w:tcPr>
            <w:tcW w:w="482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399,020</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277,335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166,919</w:t>
            </w:r>
          </w:p>
        </w:tc>
        <w:tc>
          <w:tcPr>
            <w:tcW w:w="16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 by geographic area:</w:t>
            </w:r>
          </w:p>
        </w:tc>
        <w:tc>
          <w:tcPr>
            <w:tcW w:w="780" w:type="dxa"/>
            <w:vAlign w:val="bottom"/>
            <w:tcBorders>
              <w:top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Long-lived assets outside the United States were not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5"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entered into various non-cancelable operating lease agreements for its facilities that expire over the next six years.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2016, the Company entered into a lease agreement ("Lease"), as subsequently amended, for approximately 90,000 square feet of new office space at 375 Beale Street in San Francisco, California, that houses its principal executive office. The term of the Lease is approximately 96 months following the commencement in October 2016, and the lease payments range from $0.4 million per month in the first 60 months to $0.5 million per month thereafter. The Lease included a tenant improvement allowance to cover construction of certain leasehold improvements for up to $8.3 million. All applicable amounts were collected from the landlord as of December 31, 2017. Based on the terms of the landlord incentive and involvement of the Company in the construction process, the leasehold improvements were determined to be property of the Company. The Company secured its lease obligation with a $7.4 million letter of credit, which was designated as restricted cash on its balance sheet as of December 31, 2016. As of December 31, 2017, the letter of credit and the restricted cash were reduced to $5.5 million, as stipulated in the lease agreement.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was $8.1 million, $7.3 million and $4.1 million for the years ended December 31, 2017, 2016 and 2015,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rPr>
              <w:t>TWILIO INC.</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10. Commitments and Contingencies (Continued)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200" w:type="dxa"/>
            <w:vAlign w:val="bottom"/>
            <w:gridSpan w:val="3"/>
          </w:tcPr>
          <w:p>
            <w:pPr>
              <w:ind w:left="360"/>
              <w:spacing w:after="0"/>
              <w:rPr>
                <w:sz w:val="20"/>
                <w:szCs w:val="20"/>
                <w:color w:val="auto"/>
              </w:rPr>
            </w:pPr>
            <w:r>
              <w:rPr>
                <w:rFonts w:ascii="Arial" w:cs="Arial" w:eastAsia="Arial" w:hAnsi="Arial"/>
                <w:sz w:val="18"/>
                <w:szCs w:val="18"/>
                <w:color w:val="auto"/>
                <w:w w:val="94"/>
              </w:rPr>
              <w:t>Future minimum lease payments under non-cancelable operating leases were as follows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1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7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Year Ending December 31:</w:t>
            </w:r>
          </w:p>
        </w:tc>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7,884</w:t>
            </w:r>
          </w:p>
        </w:tc>
      </w:tr>
      <w:tr>
        <w:trPr>
          <w:trHeight w:val="216"/>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4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7,676</w:t>
            </w: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7,101</w:t>
            </w:r>
          </w:p>
        </w:tc>
      </w:tr>
      <w:tr>
        <w:trPr>
          <w:trHeight w:val="216"/>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7,033</w:t>
            </w: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5,864</w:t>
            </w:r>
          </w:p>
        </w:tc>
      </w:tr>
      <w:tr>
        <w:trPr>
          <w:trHeight w:val="216"/>
        </w:trPr>
        <w:tc>
          <w:tcPr>
            <w:tcW w:w="17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10,189</w:t>
            </w: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45,747</w:t>
            </w: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Additionally, the Company has noncancellable contractual commitments with its cloud infrastructure provider, network service providers and other vendors that are non-cancellable and expire within one to four years. Future minimum payments under these noncancellable purchase commitments were as follows (in thousands). Unrecognized tax benefits are not included in these amounts because any amounts expected to be settled in cash are not material:</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2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payments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April 30, 2015, Telesign Corporation, or Telesign, filed a lawsuit against the Company in the United States District Court, Central District of California ("Telesign I"). Telesign alleges that the Company is infringing three U.S. patents that it holds: U.S. Patent No. 8,462,920 ("'920"), U.S. Patent No. 8,687,038 ("'038") and U.S. Patent No. 7,945,034 ("'034"). The patent infringement allegations in the lawsuit relate to the Company's Account Security products, its two-factor authentication use case and an API tool to find information about a phone number. The Company petitioned the U.S. Patent and Trademark Office ("U.S. PTO")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the patents at issue. On July 8, 2016, PTO denied the Company's petition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the '920 and '038 patents, and on June 26, 2017, it upheld the patentability of the '034 patent, adopting Telesign's narrow construction of its patent.</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March 28, 2016, Telesign filed a second lawsuit against the Company in the United States District Court, Central District of California ("Telesign II"), alleging infringement of U.S. Patent No. 9,300,792 ("'792") held by Telesign. The '792 patent is in the same patent family as the '920 and '038 patents asserted in Telesign I. On March 8, 2017, in response to a petition by the Company,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PTO issued an order instituting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for the '792 patent. A final written decision is expected by March 2018. On March 15, 2017, Twilio filed a motion to consolidate and stay related cases pending the conclusion of the '792 patent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which the court granted. With respect to each of the patents asserted in Telesign I and Telesign II, the complaints seek, among other things, to enjoin the Company from allegedly infringing the patents, along with damages for lost profits.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December 1, 2016, the Company filed a patent infringement lawsuit against Telesign in the United States District Court, Northern District of California, alleging indirect infringement of United States Patent No. 8,306,021, United States Patent No. 8,837,465, United States Patent No. 8,755,376, United States Patent No. 8,736,051, United States Patent No. 8,737,962, United States Patent No. 9,270,833, and United States Patent No. 9,226,217. Telesign filed a motion to dismiss the complaint on January 25, 2017. In two orders, issued on March 31, 2017 and April 17, 2017, the Court granted Telesign's motion to dismiss with respect to the '962, '833, '051 and '217 patents, but denied Telesign's motion to dismiss as to the '021, '465 and '376 patents. This litigation is currently ongoing.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18, 2016, a putative class action complaint was filed in the Alameda County Superior Court in California, entitled Angela Flowers v.</w:t>
      </w:r>
    </w:p>
    <w:p>
      <w:pPr>
        <w:spacing w:after="0" w:line="3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Twilio Inc. The complaint alleges that the Company's products permit the interception, recording and disclosure of communications at a customer's request and are in violation of the California Invasion of Privacy Act. The complaint seeks injunctive relief as well as monetary damages. On May 27, 2016, the Company filed a demurrer to the complaint. On August 2, 2016, the court issued an order denying the demurrer in part and granted it in part, with leave to amend by August 18, 2016 to address any claims under California's Unfair Competition Law. The plaintiff opted not to amend the complaint. Following a period of discovery, the plaintiff filed a motion for class certification on September 20, 2017. On January 2, 2018, the court issued an order granting in part and denying in part the plaintiff's class certification motion. The court certified two classes of individuals who, during specified time periods, allegedly sent or received certain communications involving the accounts of three of the Company's customers that were recorded. The court has not yet set a schedule for notice to potential class members, additional discovery, summary judgment motions, or trial.</w:t>
      </w:r>
    </w:p>
    <w:p>
      <w:pPr>
        <w:spacing w:after="0" w:line="17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intends to vigorously defend itself against these lawsuits and believes it has meritorious defenses to each matter in which it is a defendant. It is too early in these matters to reasonably predict the probability of the outcomes or to estimate ranges of possible losses.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the litigation matters discussed above, from time to time, the Company is a party to legal action and subject to claims that arise in the ordinary course of business. The claims are investigated as they arise and loss estimates are accrued, when probable and reasonably estimable. While it is not feasible to predict or determine the ultimate outcome of these matters, the Company believes that these legal proceedings will not have a material adverse effect on its financial position or results of operations.</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Legal fees and other costs related to litigation and other legal proceedings are expensed as incurred and are included in general and administrative expenses in the accompanying consolidated statements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245"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no amounts were accrued.</w:t>
      </w:r>
    </w:p>
    <w:p>
      <w:pPr>
        <w:spacing w:after="0" w:line="25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Taxes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conducts operations in many tax jurisdictions throughout the United States. In many of these jurisdictions, non-income-based taxes, such as sales and use and telecommunications taxes are assessed on the Company's operations. Prior to March 2017, the Company had not billed nor collected these taxes from its customers and, in accordance with U.S. GAAP, recorded a provision for its tax exposure in these jurisdictions when it was both probable that a liability had been incurred and the amount of the exposure could be reasonably estimated. These estimates included several key assumptions including, but not limited to, the taxability of the Company's services, the jurisdictions in which its management believes it has nexus, and the sourcing of revenues to those jurisdictions. Starting in March 2017, the Company began collecting these taxes from customers in certain jurisdictions, and since then, has expanded the number of jurisdictions where these taxes are being collected. The Company expects to continue to expand the number of jurisdictions where these taxes will be collected in the future. Simultaneously, the Company was and continues to be in discussions with certain states regarding its prior state sales and other taxes, if any, that the Company may owe.</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During 2017, the Company revised its estimates of its tax exposure based on settlements reached with various states indicating that certain revisions to the key assumptions including, but not limited to, the sourcing of revenue and the taxability of the Company's services were appropriate in the current period. In the year ended December 31, 2017, the total impact of these changes on the net loss attributable to common stockholders was a reduction of $13.4 million. As of December 31, 2017 and 2016, the liability recorded for these taxes was $20.9 million and $28.8 million,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the event other jurisdictions challenge management's assumptions and analysis, the actual exposure could differ materially from the current estimates.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4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December 31, 2015, the Company had outstanding Series A, B, C, D, E and T convertible preferred stock (individually referred to as "Series A, B, C, D, E or T" or collectively "Preferred Stock") as follows (in thousands, except share data).</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Immediately prior to the completion of the IPO, all shares of convertible preferred stock then outstanding were automatically converted into 54,508,441 shares of common stock on a one-to-one basis, and then reclassified as shares of Class B common stock.</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557"/>
              <w:spacing w:after="0"/>
              <w:rPr>
                <w:sz w:val="20"/>
                <w:szCs w:val="20"/>
                <w:color w:val="auto"/>
              </w:rPr>
            </w:pPr>
            <w:r>
              <w:rPr>
                <w:rFonts w:ascii="Arial" w:cs="Arial" w:eastAsia="Arial" w:hAnsi="Arial"/>
                <w:sz w:val="14"/>
                <w:szCs w:val="14"/>
                <w:b w:val="1"/>
                <w:bCs w:val="1"/>
                <w:color w:val="auto"/>
              </w:rPr>
              <w:t>As of December 31, 2015</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4"/>
              </w:rPr>
              <w:t>Shares Issued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3"/>
              </w:rPr>
              <w:t>Proceeds, Net</w:t>
            </w:r>
          </w:p>
        </w:tc>
        <w:tc>
          <w:tcPr>
            <w:tcW w:w="9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of Issuance</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6"/>
              </w:rPr>
              <w:t>preference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9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13,173,240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13,076,491</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11,416,062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11,146,895</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11,658</w:t>
            </w: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8,452,864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8,452,864</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tcPr>
          <w:p>
            <w:pPr>
              <w:jc w:val="right"/>
              <w:spacing w:after="0"/>
              <w:rPr>
                <w:sz w:val="20"/>
                <w:szCs w:val="20"/>
                <w:color w:val="auto"/>
              </w:rPr>
            </w:pPr>
            <w:r>
              <w:rPr>
                <w:rFonts w:ascii="Arial" w:cs="Arial" w:eastAsia="Arial" w:hAnsi="Arial"/>
                <w:sz w:val="18"/>
                <w:szCs w:val="18"/>
                <w:color w:val="auto"/>
              </w:rPr>
              <w:t>9,440,324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9,440,324</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69,930</w:t>
            </w: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11,494,249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11,494,249</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125,448</w:t>
            </w: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Series 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897,618</w:t>
            </w: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58,976,739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54,508,441</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236,824</w:t>
            </w:r>
          </w:p>
        </w:tc>
        <w:tc>
          <w:tcPr>
            <w:tcW w:w="9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221" w:lineRule="exact"/>
        <w:rPr>
          <w:sz w:val="20"/>
          <w:szCs w:val="20"/>
          <w:color w:val="auto"/>
        </w:rPr>
      </w:pPr>
    </w:p>
    <w:p>
      <w:pPr>
        <w:ind w:left="1680" w:right="100" w:hanging="531"/>
        <w:spacing w:after="0" w:line="247" w:lineRule="auto"/>
        <w:tabs>
          <w:tab w:leader="none" w:pos="1680" w:val="left"/>
        </w:tabs>
        <w:numPr>
          <w:ilvl w:val="0"/>
          <w:numId w:val="82"/>
        </w:numPr>
        <w:rPr>
          <w:rFonts w:ascii="Arial" w:cs="Arial" w:eastAsia="Arial" w:hAnsi="Arial"/>
          <w:sz w:val="26"/>
          <w:szCs w:val="26"/>
          <w:color w:val="auto"/>
          <w:vertAlign w:val="superscript"/>
        </w:rPr>
      </w:pPr>
      <w:r>
        <w:rPr>
          <w:rFonts w:ascii="Arial" w:cs="Arial" w:eastAsia="Arial" w:hAnsi="Arial"/>
          <w:sz w:val="16"/>
          <w:szCs w:val="16"/>
          <w:color w:val="auto"/>
        </w:rPr>
        <w:t>The outstanding shares include 687,885 shares held in escrow as of December 31, 2015 related to the Authy acquisition. Of these shares, 507,885 shares were subject to graded vesting over a period of three years, as amended, and had a fair value of $4.0 million. A total of 127,054 shares were subject to certain performance conditions and were returned to the issuer in the third quarter 2016 due to the non-fulfillment of certain conditions of the merger agreement. All remaining unvested shares vested in the fourth quarter of 2016.</w:t>
      </w:r>
    </w:p>
    <w:p>
      <w:pPr>
        <w:spacing w:after="0" w:line="204" w:lineRule="exact"/>
        <w:rPr>
          <w:rFonts w:ascii="Arial" w:cs="Arial" w:eastAsia="Arial" w:hAnsi="Arial"/>
          <w:sz w:val="26"/>
          <w:szCs w:val="26"/>
          <w:color w:val="auto"/>
          <w:vertAlign w:val="superscript"/>
        </w:rPr>
      </w:pPr>
    </w:p>
    <w:p>
      <w:pPr>
        <w:ind w:left="1680" w:right="420" w:hanging="531"/>
        <w:spacing w:after="0" w:line="194" w:lineRule="auto"/>
        <w:tabs>
          <w:tab w:leader="none" w:pos="168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389,733 shares were issued as part of the purchase price for Authy acquisition and had a fair value of $3.1 million on the acquisition closing date.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Company's Preferred Stock had the following rights, preferences and privileges: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any time following the date of issuance, each share of Preferred Stock is convertible, at the option of its holder, into the number of shares of common stock which results from dividing the applicable original issue price per share for each series by the applicable conversion price per share for such series, on the date of conversion. As of December 31, 2015, the initial conversion prices per share of all series of preferred stock were equal to the original issue prices of each series and therefore the conversion ratio was 1:1.</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share of preferred stock shall be automatically converted into shares of common stock immediately upon the earlier of (i) the consummation of a firmly underwritten public offering pursuant to the Securities Act of 1933, as amended, the public offering price of which is not less than $50.0 million in aggregate; or</w:t>
      </w:r>
    </w:p>
    <w:p>
      <w:pPr>
        <w:ind w:right="320" w:firstLine="8"/>
        <w:spacing w:after="0" w:line="261" w:lineRule="auto"/>
        <w:tabs>
          <w:tab w:leader="none" w:pos="2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specified by the written consent of holders of a majority of the outstanding shares of preferred stock, voting together as a class of shares on an as-converted basis. In addition, the conversion of each of the Series B, Series C, Series D and Series E preferred stock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connection with a Liquidation Event defined below requires the written consent of a majority of such series, if the proceeds payable to each of these series is less than the respective original issuance price.</w:t>
      </w:r>
    </w:p>
    <w:p>
      <w:pPr>
        <w:spacing w:after="0" w:line="186"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Liquidation Event includes (i) a sale, lease or other disposition of all or substantially all of the Company's assets, (ii) a merger or consolidation of the Company into another entity (except where the merger results in the holders of the Company's stock prior to merger continuing to hold at least 50% of the voting power of the capital stock of the Company or the surviving or acquiring entity), (iii) the transfer of the Company's securities to a person, or a group of affiliated persons, if, after such a transfer, such person or group of persons holds 50% or more of the outstanding voting stock of the Company, (iv) the grant of an exclusive, irrecoverable license to all or substantially all of the Company's intellectual property or (v) a liquidation, dissolution or winding up of the Company.</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the Company issues any additional stock, as defined in the Company's Certificate of Incorporation, after the preferred stock original issue date, without consideration or for a consideration per share less than the conversion price applicable to a series of preferred stock in effect immediately prior to such issuance, the conversion price for such series in effect immediately prior to each such issuance shall be adjusted according to a formula set forth in the Company's Certificate of Incorporation.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holders of Preferred Stock and the holders of common stock vote together and not as separate classes, except in cases specifically provided for in the Certificate of Incorporation or as provided by law.</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holders of each share of Preferred Stock has the right to one vote for each share of common stock into which such Preferred Stock could be converted, and, with respect to such vote, holders of Preferred Stock have full voting rights and powers equal to the voting rights and powers of the holders of common stock, with the exception of voting for the election of directors referred to below.</w:t>
      </w:r>
    </w:p>
    <w:p>
      <w:pPr>
        <w:spacing w:after="0" w:line="194"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As long as a majority of the shares of Series A preferred stock originally issued remain outstanding, the holders of such shares, voting as a separate class, shall be entitled to elect one director. As long as a majority of the shares of Series B preferred stock originally issued remain outstanding, the holders of such shares, voting as a separate class, shall be entitled to elect one director. As long as at least 2,000,000 shares of Series D preferred stock are outstanding, the holders of such shares, voting as a separate class, shall be entitled to elect one director. The holders of common stock, voting as a separate class, shall be entitled to elect two directors. The holders of shares of Preferred Stock and common stock, voting together as a single class on an as-converted basis, shall be entitled to elect the remaining directors of the Company.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 xml:space="preserve">The holders of convertible preferred stock are entitled to receive, when and if declared by the board of directors, out of any assets legally available therefor, any dividends as may be declared from time to time by the board of directors. No dividend may be declared or paid on the common stock unless any and all such dividends are distributed among all holders of common stock and preferred stock on a pro rata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 number of shares of common stock that would be held by each such holder if all shares of preferred stock were converted to common stock at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effective conversion rate. The right to receive dividends on shares of preferred stock is non-cumulative. No dividends had been declared or paid by the Company as of December 31, 2015 and through the Company's IPO.</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the event of any Liquidation Event of the Company, the holders of Series A, Series B, Series C, Series D and Series E preferred stock ("senior preferred stock") shall be entitled to receive, in preference to any distribution of the proceeds to the holders of Series T preferred stock or common stock, an amount per share equal to the sum of the applicable original issue price for each series of preferred stock (as adjusted for stock splits and combinations as described in the Certificate of Incorporation), plus declared but unpaid dividends on such share. Upon completion of this distribution, the holders of Series T preferred stock shall be entitled to receive in preference to any distribution of the proceeds to the holders of common stock an amount per share equal to the sum of the applicable original issue price for Series T preferred stock, plus declared but unpaid dividends on such share. If the proceeds thus distributed among the holders of the preferred stock are insufficient to permit payment to such holders of the full preferential amounts, then the entire proceeds available for distribution shall be distributed ratably first among the holders of the senior preferred stock in proportion to the full preferential amount that each holder is otherwise entitled to. The original issue price per share of Series A, Series B, Series C, Series D, Series E and Series T convertible preferred stock is equal to $0.35, $1.05, $2.99, $7.42, $11.31 and $0.01, respectively.</w:t>
      </w:r>
    </w:p>
    <w:p>
      <w:pPr>
        <w:spacing w:after="0" w:line="17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Upon completion of the distribution referred to above, all the remaining proceeds available for distribution shall be distributed to the holders of the Company's common stock pro rata based on the number of common stock held by each.</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classified the Preferred Stock within shareholders' equity since the shares are not redeemable, and the holders of the Preferred Stock cannot effect a deemed liquidation of the Company outside of the Company control.</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2017 and 2016, the Company had authorized 100,000,000 shares of preferred stock, par value $0.001, of which no shares were issued and outstanding.</w:t>
      </w:r>
    </w:p>
    <w:p>
      <w:pPr>
        <w:spacing w:after="0" w:line="213"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2017 and 2016, the Company had authorized 1,000,000,000 shares of Class A common stock and 100,000,000 shares of Class B common stock, each par value $0.001 per share. As of December 31, 2017, 69,906,550 shares of Class A common stock and 24,063,246 shares of Class B common stock were issued and outstanding. As of December 31, 2016, 49,996,410 shares of Class A common stock and 37,252,138 shares of Class B common stock were issued and outstanding. Holders of Class A and Class B common stock are entitled to one vote per share and 10 votes per share, respectively, and the shares of Class A common stock and Class B common stock are identical, except for voting and conversion rights. The outstanding Class B common stock in both periods included 180,000 shares related to the Authy acquisition that were held in escrow.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10,710,427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14,649,276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Nonvested restricted stock units issued and outstanding</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5,665,459</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2,034,217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reserved for Twilio.org</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635,014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680,397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Stock-based awards available for grant under 2016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10,200,189</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10,143,743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reserved for issuance under 2016 ESPP</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597,038</w:t>
            </w:r>
          </w:p>
        </w:tc>
      </w:tr>
      <w:tr>
        <w:trPr>
          <w:trHeight w:val="210"/>
        </w:trPr>
        <w:tc>
          <w:tcPr>
            <w:tcW w:w="582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27,446,461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28,104,671</w:t>
            </w:r>
          </w:p>
        </w:tc>
        <w:tc>
          <w:tcPr>
            <w:tcW w:w="16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Following the closing of the Series E convertible preferred stock financing, on August 21, 2015, the Company repurchased an aggregate of 365,916 shares of Series A preferred stock and Series B preferred stock from certain preferred stockholders, and repurchased an aggregate of 1,869,156 shares of common stock from certain current and former employees for $22.8 million in cash, which transaction is referred to as the 2015 Repurchase. The 2015 Repurchase was conducted at a price in excess of the fair value of the Company's common stock at the date of repurchase. No special rights or privileges were conveyed to the employees and former employees. However, not all employees were invited to participate in the 2015 Repurchase. The Company recorded a compensation expense in the amount of $2.0 million for the year ended December 31, 2015, which was the excess of the common stock repurchase price above the fair value of the common stock on the date of repurchase. Of this expense, $0.8 million, $0.1 million and $1.1 million were classified as research and development, sales and marketing and general and administrative expenses, respectively, in the accompanying consolidated statement of operations. The excess of the preferred stock repurchase price above the carrying value of the preferred stock was recorded as a deemed dividend in the year ended December 31, 2015. The Company retired the shares repurchased in the 2015 Repurchase as of August 21, 2015.</w:t>
      </w:r>
    </w:p>
    <w:p>
      <w:pPr>
        <w:spacing w:after="0" w:line="204"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Twilio.org</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September 2, 2015, the Company's board of directors approved the establishment of Twilio.org with 888,022 shares of the Company's common stock, which at the time represented 1% of the Company's outstanding capital stock on as-converted basis, reserved to fund Twilio.org's activities. Through Twilio.org, which is a part of the Company and not a separate legal entity, the Company donates and discounts its products to nonprofits, who use the Company's products to engage their audience, expand their reach and focus on making a meaningful change in the world. On May 13, 2016, the Company's board of directors authorized a reduction of 107,625 shares reserved to offset equity grants to Twilio.org employees. On October 20, 2016, the Company completed its follow-on public offering. Of the net proceeds the Company received in the offering, $3.9 million was reserved to fund and support the operations of Twilio.org and the number of shares of Class A common stock reserved for Twilio.org was reduced by 100,000. In December 2016, Twilio.org donated the full $3.9 million proceeds into an independent Donor Advised Fund to further the philanthropic goals of the Company. In November 2017, Twilio.org donated 45,383 shares of Class A common stock with a fair value of $1.2 million into the same Donor Advised Fund. Both donations were recorded as charitable contributions in the accompanying consolidated statements of operations. As of December 31, 2017, the total remaining shares reserved for Twilio.org was 635,014.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right"/>
        <w:ind w:left="540" w:right="9080" w:hanging="532"/>
        <w:spacing w:after="0" w:line="605" w:lineRule="auto"/>
        <w:tabs>
          <w:tab w:leader="none" w:pos="263"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2008 Stock Option Plan</w:t>
      </w:r>
    </w:p>
    <w:p>
      <w:pPr>
        <w:spacing w:after="0" w:line="1"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Company maintained a stock plan, the 2008 Stock Option Plan, as amended and restated (the "2008 Plan"), which allowed the Company to grant incentive ("ISO"), non-statutory ("NSO") stock options and restricted stock units ("RSU") to its employees, directors and consultants to participate in the Company's future performance through stock-based awards at the discretion of the board of directors. Under the 2008 Plan, options to purchase the Company's common stock could not be granted at a price less than fair value in the case of ISOs and NSOs. Fair value was determined by the board of directors, in good faith, with input from valuation consultants. On June 22, 2016, the plan was terminated in connection with the Company's IPO. Accordingly, no shares are available for future issuance under the 2008 Plan. The 2008 Plan continues to govern outstanding equity awards granted thereunder. The Company's right of first refusal for outstanding equity awards granted under the 2008 Plan terminated upon completion of the IPO. Options granted include provisions for early exercisability.</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2016 Stock Option Plan</w:t>
      </w:r>
    </w:p>
    <w:p>
      <w:pPr>
        <w:spacing w:after="0" w:line="225"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Company's 2016 Stock Option and Incentive Plan (the "2016 Plan") became effective on June 21, 2016. The 2016 Plan provides for the grant of ISOs, NSOs, restricted stock,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2017, the shares available for grant under the 2016 Plan were automatically increased by 4,362,427 shares.</w:t>
      </w:r>
    </w:p>
    <w:p>
      <w:pPr>
        <w:spacing w:after="0" w:line="15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2016 Plan, the stock options are granted at a price per share not less than 100% of the fair market value per share of the underlying common stock on the date of grant. Under both plans, stock options generally expire 10 years from the date of grant and vest over periods determined by the board of directors. The vesting period for new-hire options and restricted stock units is generally a four-year term from the date of grant, at a rate of 25% after one year, then monthly or quarterly, respectively, on a straight-line basis thereafter. In July 2017, the Company began granting restricted stock units to existing employees that vest in equal quarterly installments over a four year service period.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Employee Stock Purchase Plan ("2016 ESPP") became effective on June 21, 2016. A total of 2,400,000 shares of the Company's Class A common stock were initially reserved for issuance under the 2016 ESPP. These available shares will automatically increase each January 1, beginning on January 1, 2017, by the lesser of 1,800,000 shares of the common stock, 1% of the number of shares of the Company's Class A and Class B common stock outstanding on the immediately preceding December 31 or such lesser number of shares as determined by the Company's compensation committee. On January 1, 2017, the shares available for grant under the 2016 Plan were automatically increased by 872,485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2016 ESPP allows eligible employees to purchase shares of the Company's Class A common stock at a discount of up to 15% through payroll deductions of their eligible compensation, subject to any plan limitations. Except for the initial offering period, the 2016 ESPP provides for separate six-month offering periods beginning in May and November of each fiscal year, starting in May 2017.</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each purchase date, eligible employees will purchase the Company's stock at a price per share equal to 85% of the lesser of (i) the fair market value of the Company's Class A common stock on the offering date or (ii) the fair market value of the Company's Class A common stock on the purchase date.</w:t>
      </w:r>
    </w:p>
    <w:p>
      <w:pPr>
        <w:spacing w:after="0" w:line="13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the year ended December 31, 2017, 794,142 shares of Class A common stock were purchased under the 2016 ESPP and 235,372 shares are expected to be purchased in the second quarter of 2018. As of December 31, 2017, total unrecognized compensation cost related to the 2016 ESPP was $1.1 million, which will be amortized over a weighted-average period of 0.4 years. No ESPP shares were purchased in the year ended December 31, 2016.</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activity under the 2008 Plan and 2016 Plan was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 Options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options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price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as of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14,649,276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1,526,450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(5,194,905)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(825,394)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as of December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10,155,427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 as of December 31, 2017</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5.53</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6.28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95,354</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5,278,003</w:t>
            </w:r>
          </w:p>
        </w:tc>
        <w:tc>
          <w:tcPr>
            <w:tcW w:w="10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60" w:firstLine="341"/>
        <w:spacing w:after="0" w:line="323" w:lineRule="auto"/>
        <w:rPr>
          <w:sz w:val="20"/>
          <w:szCs w:val="20"/>
          <w:color w:val="auto"/>
        </w:rPr>
      </w:pPr>
      <w:r>
        <w:rPr>
          <w:rFonts w:ascii="Arial" w:cs="Arial" w:eastAsia="Arial" w:hAnsi="Arial"/>
          <w:sz w:val="15"/>
          <w:szCs w:val="15"/>
          <w:color w:val="auto"/>
        </w:rPr>
        <w:t>Aggregate intrinsic value represents the difference between the Company's estimated fair value of its common stock and the exercise price of outstanding "in-the-money" options. Prior to the IPO, the fair value of the Company's common stock was estimated by the Company's board of directors. After the IPO, the fair value of the Company's common stock is the Company's Class A common stock price as reported on the New York Stock Exchange. The aggregate intrinsic value of stock options exercised was $132.0 million, $54.4 million and $10.1 million, during the years ended December 31, 2017, 2016 and 2015, respectively.</w:t>
      </w:r>
    </w:p>
    <w:p>
      <w:pPr>
        <w:spacing w:after="0" w:line="152"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total estimated grant date fair value of options vested was $15.8 million, $15.3 million and $8.2 million during the years ended December 31, 2017, 2016 and 2015, respectively. The weighted-average grant-date fair value of options granted was $13.33, $5.52 and $4.30 during the years ended December 31, 2017, 2016 and 2015,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February 28, 2017, the Company granted a total of 555,000 shares of performance-based stock options in three distinct awards to an employee with grant date fair values of $13.48, $10.26 and $8.41 per share for a total grant value of $5.9 million. The first half of each award vests upon satisfaction of a performance condition and the remainder vests thereafter in equal monthly installments over a 24-month period. The achievement window expires after 4.3 years from the date of grant and the stock options expire seven years after the date of grant. The stock options are amortized over a derived service period, as adjusted, of 3.4 years, 4.6 years and 5.3 years, respectively. The stock options value and the derived service period were estimated using the Monte-Carlo simulation model. The following table summarizes the details of the performance options: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price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as of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as of December 31, 2017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 as of December 30, 2017</w:t>
            </w:r>
          </w:p>
        </w:tc>
        <w:tc>
          <w:tcPr>
            <w:tcW w:w="8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98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2017, total unrecognized compensation cost related to nonvested stock options was $34.8 million, which will be amortized on a ratable basis over a weighted-average period of 2.12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grant date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as of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2,034,217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4,826,508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(711,371)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(483,895)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as of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5,665,459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completion of the Company's IPO, the Company granted RSUs ("Pre-IPO RSUs") under its 2008 Plan to its employees that vested upon the satisfaction of both a time-based service condition and a liquidity condition. The time-based service condition for the majority of these awards will be satisfied over a period of four years. The liquidity condition was satisfied upon occurrence of the Company's IPO in June 2016. RSUs granted on or after the completion of the Company's IPO ("Post-IPO RSUs") are granted under the 2016 Plan and are subject to a time-based vesting condition only. The compensation expense related to these grants is based on the grant date fair value of the RSUs and is recognized on a ratable basis over the applicable service period. The majority of Post-IPO RSUs are earned over a service period of two to four years.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of December 31, 2017, total unrecognized compensation cost related to nonvested RSUs was $148.0 million, which will be amortized over a weighted-average period of 3.3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Equity Awards Granted to Nonemployees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30, 2017, there were no nonemployee awards outstanding.</w:t>
      </w:r>
    </w:p>
    <w:p>
      <w:pPr>
        <w:spacing w:after="0" w:line="225" w:lineRule="exact"/>
        <w:rPr>
          <w:sz w:val="20"/>
          <w:szCs w:val="20"/>
          <w:color w:val="auto"/>
        </w:rPr>
      </w:pPr>
    </w:p>
    <w:p>
      <w:pPr>
        <w:ind w:right="660" w:firstLine="351"/>
        <w:spacing w:after="0" w:line="370" w:lineRule="auto"/>
        <w:rPr>
          <w:sz w:val="20"/>
          <w:szCs w:val="20"/>
          <w:color w:val="auto"/>
        </w:rPr>
      </w:pPr>
      <w:r>
        <w:rPr>
          <w:rFonts w:ascii="Arial" w:cs="Arial" w:eastAsia="Arial" w:hAnsi="Arial"/>
          <w:sz w:val="15"/>
          <w:szCs w:val="15"/>
          <w:color w:val="auto"/>
        </w:rPr>
        <w:t>In September 2016, the Company granted 30,255 restricted stock units to a nonemployee. The award fully vested in August 2017. Total stock-based compensation expense recorded for this award during the years ended December 31, 2017 and 2016, was $0.4 million and $0.6 million, respectively.</w:t>
      </w:r>
    </w:p>
    <w:p>
      <w:pPr>
        <w:spacing w:after="0" w:line="116"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December 2015, the Company granted 30,000 stock options to another nonemployee. On January 1, 2017 due to the employee status change, the grant was converted into a standard award and the fair value accounting stopped. Total stock-based compensation expense recorded for this award in the year ended December 31, 2016, was $0.3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Early Exercise of Nonvested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2008 Plan, employees have an option to exercise their stock options prior to vesting. The Company has the right to repurchase, at the original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issuance price, any unvested (but issued) common shares upon termination of service of an employee, either voluntarily or involuntarily. The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for an early exercise of a stock option is considered to be a deposit of the exercise price and the related amount is recorded as a liability. The liability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reclassified into stockholders' equity as the stock options vest. As of December 31, 2017 and 2016, the Company recorded a liability of $0.03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for 5,214 and 49,580 unvested shares, respectively, that were early exercised by employees and were subject to repurchase at the respective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 These amounts are reflected in current and non-current liabilities on the Company's consolidated balance sheets.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fair value of employee stock options was estimated on the date of grant using the following assumptions in the Black-Scholes option pricing model:</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4"/>
              </w:rPr>
              <w:t>Year Ended December 31,</w:t>
            </w:r>
          </w:p>
        </w:tc>
        <w:tc>
          <w:tcPr>
            <w:tcW w:w="1180" w:type="dxa"/>
            <w:vAlign w:val="bottom"/>
            <w:tcBorders>
              <w:bottom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320" w:type="dxa"/>
            <w:vAlign w:val="bottom"/>
            <w:gridSpan w:val="3"/>
          </w:tcPr>
          <w:p>
            <w:pPr>
              <w:jc w:val="center"/>
              <w:ind w:left="76"/>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Employee Stock Options</w:t>
            </w:r>
          </w:p>
        </w:tc>
        <w:tc>
          <w:tcPr>
            <w:tcW w:w="10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$23.60</w:t>
            </w:r>
          </w:p>
        </w:tc>
        <w:tc>
          <w:tcPr>
            <w:tcW w:w="640" w:type="dxa"/>
            <w:vAlign w:val="bottom"/>
          </w:tcPr>
          <w:p>
            <w:pPr>
              <w:ind w:left="20"/>
              <w:spacing w:after="0"/>
              <w:rPr>
                <w:sz w:val="20"/>
                <w:szCs w:val="20"/>
                <w:color w:val="auto"/>
              </w:rPr>
            </w:pPr>
            <w:r>
              <w:rPr>
                <w:rFonts w:ascii="Arial" w:cs="Arial" w:eastAsia="Arial" w:hAnsi="Arial"/>
                <w:sz w:val="18"/>
                <w:szCs w:val="18"/>
                <w:color w:val="auto"/>
                <w:w w:val="90"/>
              </w:rPr>
              <w:t>- $31.96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640" w:type="dxa"/>
            <w:vAlign w:val="bottom"/>
          </w:tcPr>
          <w:p>
            <w:pPr>
              <w:ind w:left="40"/>
              <w:spacing w:after="0"/>
              <w:rPr>
                <w:sz w:val="20"/>
                <w:szCs w:val="20"/>
                <w:color w:val="auto"/>
              </w:rPr>
            </w:pPr>
            <w:r>
              <w:rPr>
                <w:rFonts w:ascii="Arial" w:cs="Arial" w:eastAsia="Arial" w:hAnsi="Arial"/>
                <w:sz w:val="18"/>
                <w:szCs w:val="18"/>
                <w:color w:val="auto"/>
                <w:w w:val="87"/>
              </w:rPr>
              <w:t>- $15.00</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$7.07 - $10.09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60" w:type="dxa"/>
            <w:vAlign w:val="bottom"/>
            <w:gridSpan w:val="3"/>
            <w:shd w:val="clear" w:color="auto" w:fill="CCEEFF"/>
          </w:tcPr>
          <w:p>
            <w:pPr>
              <w:jc w:val="center"/>
              <w:ind w:left="972"/>
              <w:spacing w:after="0"/>
              <w:rPr>
                <w:sz w:val="20"/>
                <w:szCs w:val="20"/>
                <w:color w:val="auto"/>
              </w:rPr>
            </w:pPr>
            <w:r>
              <w:rPr>
                <w:rFonts w:ascii="Arial" w:cs="Arial" w:eastAsia="Arial" w:hAnsi="Arial"/>
                <w:sz w:val="18"/>
                <w:szCs w:val="18"/>
                <w:color w:val="auto"/>
                <w:w w:val="91"/>
              </w:rPr>
              <w:t>6.08</w:t>
            </w:r>
          </w:p>
        </w:tc>
        <w:tc>
          <w:tcPr>
            <w:tcW w:w="132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1"/>
              </w:rPr>
              <w:t>6.08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- 47.6%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640" w:type="dxa"/>
            <w:vAlign w:val="bottom"/>
          </w:tcPr>
          <w:p>
            <w:pPr>
              <w:ind w:left="40"/>
              <w:spacing w:after="0"/>
              <w:rPr>
                <w:sz w:val="20"/>
                <w:szCs w:val="20"/>
                <w:color w:val="auto"/>
              </w:rPr>
            </w:pPr>
            <w:r>
              <w:rPr>
                <w:rFonts w:ascii="Arial" w:cs="Arial" w:eastAsia="Arial" w:hAnsi="Arial"/>
                <w:sz w:val="18"/>
                <w:szCs w:val="18"/>
                <w:color w:val="auto"/>
                <w:w w:val="93"/>
              </w:rPr>
              <w:t>- 53.0%</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47.8% - 54.9%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 - 2.0%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Dividend rate</w:t>
            </w:r>
          </w:p>
        </w:tc>
        <w:tc>
          <w:tcPr>
            <w:tcW w:w="2260" w:type="dxa"/>
            <w:vAlign w:val="bottom"/>
            <w:gridSpan w:val="3"/>
          </w:tcPr>
          <w:p>
            <w:pPr>
              <w:jc w:val="center"/>
              <w:ind w:left="972"/>
              <w:spacing w:after="0"/>
              <w:rPr>
                <w:sz w:val="20"/>
                <w:szCs w:val="20"/>
                <w:color w:val="auto"/>
              </w:rPr>
            </w:pPr>
            <w:r>
              <w:rPr>
                <w:rFonts w:ascii="Arial" w:cs="Arial" w:eastAsia="Arial" w:hAnsi="Arial"/>
                <w:sz w:val="18"/>
                <w:szCs w:val="18"/>
                <w:color w:val="auto"/>
                <w:w w:val="92"/>
              </w:rPr>
              <w:t>0%</w:t>
            </w:r>
          </w:p>
        </w:tc>
        <w:tc>
          <w:tcPr>
            <w:tcW w:w="1320" w:type="dxa"/>
            <w:vAlign w:val="bottom"/>
            <w:gridSpan w:val="3"/>
          </w:tcPr>
          <w:p>
            <w:pPr>
              <w:jc w:val="center"/>
              <w:ind w:left="76"/>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720" w:type="dxa"/>
            <w:vAlign w:val="bottom"/>
          </w:tcPr>
          <w:p>
            <w:pPr>
              <w:spacing w:after="0"/>
              <w:rPr>
                <w:sz w:val="18"/>
                <w:szCs w:val="18"/>
                <w:color w:val="auto"/>
              </w:rPr>
            </w:pPr>
          </w:p>
        </w:tc>
      </w:tr>
      <w:tr>
        <w:trPr>
          <w:trHeight w:val="432"/>
        </w:trPr>
        <w:tc>
          <w:tcPr>
            <w:tcW w:w="1720" w:type="dxa"/>
            <w:vAlign w:val="bottom"/>
          </w:tcPr>
          <w:p>
            <w:pPr>
              <w:spacing w:after="0"/>
              <w:rPr>
                <w:sz w:val="24"/>
                <w:szCs w:val="2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Employee Stock Purchase Plan</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6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0.5</w:t>
            </w:r>
          </w:p>
        </w:tc>
        <w:tc>
          <w:tcPr>
            <w:tcW w:w="1320" w:type="dxa"/>
            <w:vAlign w:val="bottom"/>
            <w:gridSpan w:val="3"/>
          </w:tcPr>
          <w:p>
            <w:pPr>
              <w:jc w:val="center"/>
              <w:ind w:left="76"/>
              <w:spacing w:after="0"/>
              <w:rPr>
                <w:sz w:val="20"/>
                <w:szCs w:val="20"/>
                <w:color w:val="auto"/>
              </w:rPr>
            </w:pPr>
            <w:r>
              <w:rPr>
                <w:rFonts w:ascii="Arial" w:cs="Arial" w:eastAsia="Arial" w:hAnsi="Arial"/>
                <w:sz w:val="18"/>
                <w:szCs w:val="18"/>
                <w:color w:val="auto"/>
                <w:w w:val="91"/>
              </w:rPr>
              <w:t>0.90</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- 33.9%</w:t>
            </w:r>
          </w:p>
        </w:tc>
        <w:tc>
          <w:tcPr>
            <w:tcW w:w="132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8"/>
              </w:rPr>
              <w:t>52%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ind w:left="20"/>
              <w:spacing w:after="0"/>
              <w:rPr>
                <w:sz w:val="20"/>
                <w:szCs w:val="20"/>
                <w:color w:val="auto"/>
              </w:rPr>
            </w:pPr>
            <w:r>
              <w:rPr>
                <w:rFonts w:ascii="Arial" w:cs="Arial" w:eastAsia="Arial" w:hAnsi="Arial"/>
                <w:sz w:val="18"/>
                <w:szCs w:val="18"/>
                <w:color w:val="auto"/>
              </w:rPr>
              <w:t>- 1.4%</w:t>
            </w:r>
          </w:p>
        </w:tc>
        <w:tc>
          <w:tcPr>
            <w:tcW w:w="1320" w:type="dxa"/>
            <w:vAlign w:val="bottom"/>
            <w:gridSpan w:val="3"/>
          </w:tcPr>
          <w:p>
            <w:pPr>
              <w:jc w:val="center"/>
              <w:ind w:left="76"/>
              <w:spacing w:after="0"/>
              <w:rPr>
                <w:sz w:val="20"/>
                <w:szCs w:val="20"/>
                <w:color w:val="auto"/>
              </w:rPr>
            </w:pPr>
            <w:r>
              <w:rPr>
                <w:rFonts w:ascii="Arial" w:cs="Arial" w:eastAsia="Arial" w:hAnsi="Arial"/>
                <w:sz w:val="18"/>
                <w:szCs w:val="18"/>
                <w:color w:val="auto"/>
                <w:w w:val="87"/>
              </w:rPr>
              <w:t>0.6%</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260" w:type="dxa"/>
            <w:vAlign w:val="bottom"/>
            <w:gridSpan w:val="3"/>
            <w:shd w:val="clear" w:color="auto" w:fill="CCEEFF"/>
          </w:tcPr>
          <w:p>
            <w:pPr>
              <w:jc w:val="center"/>
              <w:ind w:left="972"/>
              <w:spacing w:after="0"/>
              <w:rPr>
                <w:sz w:val="20"/>
                <w:szCs w:val="20"/>
                <w:color w:val="auto"/>
              </w:rPr>
            </w:pPr>
            <w:r>
              <w:rPr>
                <w:rFonts w:ascii="Arial" w:cs="Arial" w:eastAsia="Arial" w:hAnsi="Arial"/>
                <w:sz w:val="18"/>
                <w:szCs w:val="18"/>
                <w:color w:val="auto"/>
                <w:w w:val="92"/>
              </w:rPr>
              <w:t>0%</w:t>
            </w:r>
          </w:p>
        </w:tc>
        <w:tc>
          <w:tcPr>
            <w:tcW w:w="132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assumptions were used in the Monte Carlo simulation model to estimate the fair value and the derived service period of the performance options: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Asset volatility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13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volatility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13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13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 price at grant date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31.72</w:t>
            </w:r>
          </w:p>
        </w:tc>
      </w:tr>
      <w:tr>
        <w:trPr>
          <w:trHeight w:val="424"/>
        </w:trPr>
        <w:tc>
          <w:tcPr>
            <w:tcW w:w="672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Stock-Based Compensation Expense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color w:val="auto"/>
                <w:w w:val="88"/>
              </w:rPr>
              <w:t>The Company recorded the total stock-based compensation expense as follows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13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13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r>
      <w:tr>
        <w:trPr>
          <w:trHeight w:val="216"/>
        </w:trPr>
        <w:tc>
          <w:tcPr>
            <w:tcW w:w="13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4,046</w:t>
            </w:r>
          </w:p>
        </w:tc>
      </w:tr>
      <w:tr>
        <w:trPr>
          <w:trHeight w:val="216"/>
        </w:trPr>
        <w:tc>
          <w:tcPr>
            <w:tcW w:w="13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w:t>
            </w:r>
          </w:p>
        </w:tc>
      </w:tr>
      <w:tr>
        <w:trPr>
          <w:trHeight w:val="216"/>
        </w:trPr>
        <w:tc>
          <w:tcPr>
            <w:tcW w:w="13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16,339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2,377</w:t>
            </w:r>
          </w:p>
        </w:tc>
      </w:tr>
      <w:tr>
        <w:trPr>
          <w:trHeight w:val="20"/>
        </w:trPr>
        <w:tc>
          <w:tcPr>
            <w:tcW w:w="1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8,877</w:t>
            </w:r>
          </w:p>
        </w:tc>
      </w:tr>
      <w:tr>
        <w:trPr>
          <w:trHeight w:val="20"/>
        </w:trPr>
        <w:tc>
          <w:tcPr>
            <w:tcW w:w="1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(41,324)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1140"/>
              <w:spacing w:after="0"/>
              <w:rPr>
                <w:sz w:val="20"/>
                <w:szCs w:val="20"/>
                <w:color w:val="auto"/>
              </w:rPr>
            </w:pPr>
            <w:r>
              <w:rPr>
                <w:rFonts w:ascii="Arial" w:cs="Arial" w:eastAsia="Arial" w:hAnsi="Arial"/>
                <w:sz w:val="18"/>
                <w:szCs w:val="18"/>
                <w:color w:val="auto"/>
                <w:w w:val="89"/>
              </w:rPr>
              <w:t>Weighted-average shares used to compute net loss per share attributable to</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91,224,607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53,116,675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17,746,526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tcPr>
          <w:p>
            <w:pPr>
              <w:spacing w:after="0"/>
              <w:rPr>
                <w:sz w:val="17"/>
                <w:szCs w:val="17"/>
                <w:color w:val="auto"/>
              </w:rPr>
            </w:pPr>
          </w:p>
        </w:tc>
        <w:tc>
          <w:tcPr>
            <w:tcW w:w="54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Net loss per share attributable to common stockholders, basic and diluted</w:t>
            </w:r>
          </w:p>
        </w:tc>
        <w:tc>
          <w:tcPr>
            <w:tcW w:w="34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(0.70)</w:t>
            </w:r>
          </w:p>
        </w:tc>
        <w:tc>
          <w:tcPr>
            <w:tcW w:w="2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(0.78)</w:t>
            </w:r>
          </w:p>
        </w:tc>
        <w:tc>
          <w:tcPr>
            <w:tcW w:w="2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632"/>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 (Continued)</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86"/>
              </w:rPr>
              <w:t>Year Ended December 31,</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54,508,441</w:t>
            </w:r>
            <w:r>
              <w:rPr>
                <w:rFonts w:ascii="Arial" w:cs="Arial" w:eastAsia="Arial" w:hAnsi="Arial"/>
                <w:sz w:val="14"/>
                <w:szCs w:val="14"/>
                <w:color w:val="auto"/>
                <w:w w:val="87"/>
              </w:rPr>
              <w:t>(1)</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Stock options issued and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10,710,427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14,649,276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16,883,837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restricted stock units issued and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5,665,459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Class A common stock reserved for Twilio.org</w:t>
            </w:r>
          </w:p>
        </w:tc>
        <w:tc>
          <w:tcPr>
            <w:tcW w:w="920" w:type="dxa"/>
            <w:vAlign w:val="bottom"/>
          </w:tcPr>
          <w:p>
            <w:pPr>
              <w:jc w:val="right"/>
              <w:spacing w:after="0"/>
              <w:rPr>
                <w:sz w:val="20"/>
                <w:szCs w:val="20"/>
                <w:color w:val="auto"/>
              </w:rPr>
            </w:pPr>
            <w:r>
              <w:rPr>
                <w:rFonts w:ascii="Arial" w:cs="Arial" w:eastAsia="Arial" w:hAnsi="Arial"/>
                <w:sz w:val="18"/>
                <w:szCs w:val="18"/>
                <w:color w:val="auto"/>
              </w:rPr>
              <w:t>635,014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680,397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888,022</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committed under 2016 ESPP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Unvested shares subject to repurchase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52,407</w:t>
            </w: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17,251,486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18,010,508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72,403,707</w:t>
            </w:r>
          </w:p>
        </w:tc>
        <w:tc>
          <w:tcPr>
            <w:tcW w:w="2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r>
    </w:tbl>
    <w:p>
      <w:pPr>
        <w:spacing w:after="0" w:line="131" w:lineRule="exact"/>
        <w:rPr>
          <w:sz w:val="20"/>
          <w:szCs w:val="20"/>
          <w:color w:val="auto"/>
        </w:rPr>
      </w:pPr>
    </w:p>
    <w:p>
      <w:pPr>
        <w:ind w:left="1680" w:hanging="531"/>
        <w:spacing w:after="0"/>
        <w:tabs>
          <w:tab w:leader="none" w:pos="1680" w:val="left"/>
        </w:tabs>
        <w:numPr>
          <w:ilvl w:val="1"/>
          <w:numId w:val="89"/>
        </w:numPr>
        <w:rPr>
          <w:rFonts w:ascii="Arial" w:cs="Arial" w:eastAsia="Arial" w:hAnsi="Arial"/>
          <w:sz w:val="26"/>
          <w:szCs w:val="26"/>
          <w:color w:val="auto"/>
          <w:vertAlign w:val="superscript"/>
        </w:rPr>
      </w:pPr>
      <w:r>
        <w:rPr>
          <w:rFonts w:ascii="Arial" w:cs="Arial" w:eastAsia="Arial" w:hAnsi="Arial"/>
          <w:sz w:val="16"/>
          <w:szCs w:val="16"/>
          <w:color w:val="auto"/>
        </w:rPr>
        <w:t>Includes 687,885 shares as of December 31, 2015 of Series T convertible preferred stock related to the Authy acquisition held in escrow.</w:t>
      </w:r>
    </w:p>
    <w:p>
      <w:pPr>
        <w:spacing w:after="0" w:line="203" w:lineRule="exact"/>
        <w:rPr>
          <w:rFonts w:ascii="Arial" w:cs="Arial" w:eastAsia="Arial" w:hAnsi="Arial"/>
          <w:sz w:val="26"/>
          <w:szCs w:val="26"/>
          <w:color w:val="auto"/>
          <w:vertAlign w:val="superscript"/>
        </w:rPr>
      </w:pPr>
    </w:p>
    <w:p>
      <w:pPr>
        <w:ind w:left="280" w:hanging="2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domestic and foreign components of loss before income taxes for the periods presented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3"/>
          </w:tcPr>
          <w:p>
            <w:pPr>
              <w:jc w:val="center"/>
              <w:ind w:left="318"/>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(46,737)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(14,002)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(23,962)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w w:val="86"/>
              </w:rPr>
              <w:t>(16,266)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89"/>
              </w:rPr>
              <w:t>(26,996)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(11,420)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(63,003)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(40,998)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(35,382)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360"/>
              <w:spacing w:after="0"/>
              <w:rPr>
                <w:sz w:val="20"/>
                <w:szCs w:val="20"/>
                <w:color w:val="auto"/>
              </w:rPr>
            </w:pPr>
            <w:r>
              <w:rPr>
                <w:rFonts w:ascii="Arial" w:cs="Arial" w:eastAsia="Arial" w:hAnsi="Arial"/>
                <w:sz w:val="18"/>
                <w:szCs w:val="18"/>
                <w:color w:val="auto"/>
                <w:w w:val="93"/>
              </w:rPr>
              <w:t>Provision for income taxes consists of the following (in thousands):</w:t>
            </w: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4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gridSpan w:val="14"/>
          </w:tcPr>
          <w:p>
            <w:pPr>
              <w:jc w:val="right"/>
              <w:ind w:right="156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Federal</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99</w:t>
            </w:r>
          </w:p>
        </w:tc>
        <w:tc>
          <w:tcPr>
            <w:tcW w:w="10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Deferred:</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State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vMerge w:val="restart"/>
          </w:tcPr>
          <w:p>
            <w:pPr>
              <w:jc w:val="right"/>
              <w:ind w:right="1552"/>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 for the years ended December 31, 2017, 2016 and 2015:</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Credits</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Reserve for uncertain tax positions</w:t>
            </w: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Change in federal statutory rate</w:t>
            </w:r>
          </w:p>
        </w:tc>
        <w:tc>
          <w:tcPr>
            <w:tcW w:w="64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16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56,138</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31,090</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prepaid expenses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Charitable contributions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2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(78,900)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(49,601)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(35,613)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Net deferred tax assets</w:t>
            </w:r>
          </w:p>
        </w:tc>
        <w:tc>
          <w:tcPr>
            <w:tcW w:w="2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Capitalized software</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(7,086)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Acquired intangibles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Deferred commissions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 (liability)</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vMerge w:val="restart"/>
          </w:tcPr>
          <w:p>
            <w:pPr>
              <w:jc w:val="right"/>
              <w:ind w:right="1552"/>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520" w:firstLine="341"/>
        <w:spacing w:after="0" w:line="332" w:lineRule="auto"/>
        <w:rPr>
          <w:sz w:val="20"/>
          <w:szCs w:val="20"/>
          <w:color w:val="auto"/>
        </w:rPr>
      </w:pPr>
      <w:r>
        <w:rPr>
          <w:rFonts w:ascii="Arial" w:cs="Arial" w:eastAsia="Arial" w:hAnsi="Arial"/>
          <w:sz w:val="16"/>
          <w:szCs w:val="16"/>
          <w:color w:val="auto"/>
        </w:rPr>
        <w:t>As of December 31, 2017, the Company had approximately $229.3 million in federal net operating loss carryforwards and $12.6 million in federal tax credits. If not utilized, the federal net operating loss and tax credit carryforwards will expire at various dates beginning in 2029.</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December 31, 2017, the Company had approximately $159.6 million in state net operating loss carryforwards and $11.0 million in state tax credits. If not utilized, the state net operating loss carryforwards will expire at various dates beginning in 2026. The California state tax credits can be carried forward indefinitely.</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limitation may apply to the use of the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spacing w:after="0" w:line="197"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 At present, the Company does not believe that it is more likely than not that the net deferred tax assets will be realized, accordingly, a full valuation allowance has been established. The valuation allowance increased by approximately $29.3 million and $14.0 million during the years ended December 31, 2017 and 2016,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beginning of year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12,275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Gross increases for tax positions of prior years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decrease for tax positions of prior years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Gross increases for tax positions of current years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Unrecognized tax benefit, end of year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60" w:firstLine="341"/>
        <w:spacing w:after="0" w:line="332" w:lineRule="auto"/>
        <w:rPr>
          <w:sz w:val="20"/>
          <w:szCs w:val="20"/>
          <w:color w:val="auto"/>
        </w:rPr>
      </w:pPr>
      <w:r>
        <w:rPr>
          <w:rFonts w:ascii="Arial" w:cs="Arial" w:eastAsia="Arial" w:hAnsi="Arial"/>
          <w:sz w:val="16"/>
          <w:szCs w:val="16"/>
          <w:color w:val="auto"/>
        </w:rPr>
        <w:t>As of December 31, 2017, the Company had approximately $9.4 million of unrecognized tax benefits. If the $9.4 million is recognized, $0.4 million would affect the effective tax rate. The remaining amount would be offset by the reversal of related deferred tax assets which are subject to a full valuation allowance.</w:t>
      </w:r>
    </w:p>
    <w:p>
      <w:pPr>
        <w:spacing w:after="0" w:line="13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recognizes interest and penalties, if any, related to uncertain tax positions in its income tax provision. As of December 31, 2017, the Company has accumulated $35,000 in both interest and penalties related to uncertain tax positions.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does not anticipate any significant changes within 12 months of December 31, 2017, in its uncertain tax positions that would be material to the consolidated financial statements taken as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whole because nearly all of the unrecognized tax benefit has been offset by a deferred tax asset, which has been reduced by a valuation allowance.</w:t>
      </w:r>
    </w:p>
    <w:p>
      <w:pPr>
        <w:spacing w:after="0" w:line="24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files U.S. federal income tax returns as well as income tax returns in many U.S. states and foreign jurisdictions. As of December 31, 2017, the tax years 2008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 The Company is not currently subject to U.S. federal, state and local, or non-U.S. income tax examinations by any tax authorities.</w:t>
      </w:r>
    </w:p>
    <w:p>
      <w:pPr>
        <w:spacing w:after="0" w:line="197"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("Tax Act"). The Tax Act makes broad and complex changes to the U.S. tax code including, but not limited to, (1) reducing the U.S. federal corporate tax rate from 35% to 21%;</w:t>
      </w:r>
    </w:p>
    <w:p>
      <w:pPr>
        <w:ind w:right="40" w:firstLine="8"/>
        <w:spacing w:after="0" w:line="281"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requiring companies to pay a one-time transition tax on certain unrepatriated earnings of foreign subsidiaries; (3) generally eliminating U.S. federal income taxes on dividends from foreign subsidiaries; (4) requiring current inclusion in U.S. federal taxable income of certain earnings of controlled foreign corporations;</w:t>
      </w:r>
    </w:p>
    <w:p>
      <w:pPr>
        <w:spacing w:after="0" w:line="1" w:lineRule="exact"/>
        <w:rPr>
          <w:rFonts w:ascii="Arial" w:cs="Arial" w:eastAsia="Arial" w:hAnsi="Arial"/>
          <w:sz w:val="16"/>
          <w:szCs w:val="16"/>
          <w:color w:val="auto"/>
        </w:rPr>
      </w:pPr>
    </w:p>
    <w:p>
      <w:pPr>
        <w:ind w:right="220" w:firstLine="8"/>
        <w:spacing w:after="0" w:line="255" w:lineRule="auto"/>
        <w:tabs>
          <w:tab w:leader="none" w:pos="2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9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remeasured certain deferred tax assets and liabilities based on rates at which they are expected to reverse in the future, which is generally 21%. The rate reduction would generally take effect on January 1, 2018. Consequently, any changes in the US corporate income tax rate will impact the carrying value of our deferred tax assets. Under the new corporate income tax rate of 21%, U.S. federal and state deferred tax assets will decrease by approximately $28.0 million and the valuation allowance will decrease by approximately $28.0 million. Due to the valuation allowance on the deferred tax assets, the provisional amount recorded related to the remeasurement was zero.</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accounting for the following element of the Tax Act is complete.</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Reduction of U.S. federal corporate tax rate: The Act reduces the corporate tax rate to 21%, effective January 1, 2018. Consequently, we have recorded a decrease to our federal and state deferred tax assets of $28.0 million, with a corresponding net adjustment to valuation allowance of $28.0 million for the year ended December 31, 2017.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accounting for the following elements of the Tax Act is incomplete, and we were not yet able to make reasonable estimates of the effects. Therefore, no provisional adjustments were recorded.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Indefinite reinvestment assertion: Although the mandatory deemed repatriation tax has removed U.S. federal taxes on distributions to the U.S., the Company continues to evaluate the expected manner of recovery to determine whether or not to continue to assert indefinite reinvestment on a part or all the foreign undistributed earnings. This requires the Company to re-evaluate its reinvestment policies in light of the 2017 Act and calculate the tax cost that is incremental to the deemed repatriation tax, (e.g. foreign withholding, state income taxes of repatriating cash to the U.S. While the provisional tax expense for the year ended December 31, 2017 is based upon an assumption that foreign undistributed earnings are indefinitely reinvested, the Company's plan may change upon the completion of the analysis of the impact of the 2017 Act and completion of the calculation of the incremental tax effects on the repatriation of foreign undistributed earnings. In the event the Company determines not to continue to assert the permanent reinvestment of part or all of foreign undistributed earnings, such a determination could result in the accrual and payment of additional foreign, state and local taxes.</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Global intangible low taxed income (GILTI): The Tax Act creates a new requirement that certain income (i.e., GILTI) earned by controlled foreign corporations (CFCs) must be included currently in the gross income of the CFCs' U.S. shareholder. GILTI is the excess of the shareholder's "net CFC tested income" over the net deemed tangible income return, which is currently defined as the excess of (1) 10% of the aggregate of the U.S. shareholder's pro rata share of the qualified business asset investment of each CFC with respect to which it is a U.S. shareholder over (2) the amount of certain interest expense taken into account in the determination of net CFC-tested income.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not only our current structure and estimated future results of global operations but also our intent and ability to modify our structure and/or our business, we are not yet able to reasonably estimate the effect of this provision of the Tax Act. Therefore, we have not made any adjustments related to potential GILTI tax in our financial statements and have not made a policy decision regarding whether to record deferred taxes on GILTI.</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231"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The Company sponsors a 401(k) defined contribution plan covering all employees. There were no employer contributions to the plan in the years ended December 31, 2015. The employer contribution to the plan in the year ended December 31, 2017 and 2016 was $1.8 million and $1.1 million, respectively.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TWILIO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Investors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In 2015, two of the Company's vendors participated in the Company's Series E convertible preferred stock financing and owned approximately 1.9% and 1.0% , respectively, of the Company's capital stock, on an as-if converted basis, as of December 31, 2017; 2.0% and 1.0%, respectively, of the Company's capital stock, on as-if converted basis, as of December 31, 2016; and 2.5% and 1.2%, respectively, of the Company's outstanding capital stock as of December 31, 2015.</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31, 2017, 2016 and 2015, the amounts of software services the Company purchased from the first vendor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$20.4 million, $14.5 million and $11.1 million, respectively. The amounts due to this vendor as of December 31, 2017 and 2016 were $0.2 million and none,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amount due from this vendor as of December 31, 2017 and 2016 were $1.2 million and $0.3 million, respectively. In October 2016,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entered into a three-year agreement with this vendor to purchase services for an aggregate purchase commitment amount of $57.7 million over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course of the three-year contractual period.</w:t>
      </w:r>
    </w:p>
    <w:p>
      <w:pPr>
        <w:spacing w:after="0" w:line="21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amount of services the Company purchased from the second vendor was $0.8 million in the year ended December 31, 2017, and $0.5 million for each of the years ended December 31, 2016 and 2015. The amounts due to this vendor as of December 31, 2017 and 2016 were insignificant. The amounts due from this vendor as of December 31, 2017 and 2016 were none and $1.0 million,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December 31, 2017, our disclosure controls and procedures were not effective as a result of the material weakness in our internal control over financial reporting related to accounting for capitalized software development costs as described below. Notwithstanding the foregoing, our management has concluded that the consolidated financial statements included in this Annual Report on Form 10-K fairly present, in all material respects, our financial position, results of operations and cash flows for the periods presented in this Annual Report on Form 10-K in conformity with GAAP.</w:t>
      </w:r>
    </w:p>
    <w:p>
      <w:pPr>
        <w:spacing w:after="0" w:line="193"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the assessment of the effectiveness of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70"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and oversight of the board of directors, our management conducted an evaluation of the effectiveness of our internal control over financial reporting as of December 31, 2017 based upon the framework in "Internal Control—Integrated Framework (2013)" issued by the Committee of Sponsoring Organizations of the Treadway Commission. Based on that evaluation, management concluded that our internal control over financial reporting was not effective due to the material weakness in controls related to the accounting for capitalized software described below.</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did not obtain or generate sufficient relevant quality information to support the design and functioning of control activities over the accounting for capitalized software development costs. Specifically, the Company's process level control over internal use software development costs did not effectively track and categorize software development costs incurred during the application development stage to quantify amounts that should be capitalized as a long-lived asset, rather than expensed as research and development expenses. Additionally, the review control of the capitalized software development costs was not operating at a sufficient level of precision to identify potential material misstatements.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These control deficiencies did not result in a material misstatement to the Company's research and development expenses and long-lived assets as of and for the year ended December 31, 2017.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control deficiencies create a reasonable possibility that a material misstatement in the annual or interim consolidated financial statements will not be prevented or detected on a timely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KPMG, LLP, an independent registered public accounting firm, has audited the consolidated financial statements included in this Annual Report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10-K and, as part of the audit, has issued an adverse opinion on the effectiveness of our internal control over financial reporting as of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is included on page 86 in this Form 10-K.</w:t>
      </w:r>
    </w:p>
    <w:p>
      <w:pPr>
        <w:spacing w:after="0" w:line="226"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Except for the material weakness discussed above, there were no changes in our internal control over financial reporting in connection with the evaluation required by Rules 13a-15 (d) and 15d-15 (d) of the Exchange Act that occurred during the quarter ended December 31, 2017 that materially affected, or are reasonably likely to materially affect, our internal control over financial reporting.</w:t>
      </w:r>
    </w:p>
    <w:p>
      <w:pPr>
        <w:spacing w:after="0" w:line="215"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on Effectiveness of Controls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Plan for Remediation of a Material Weakness in Internal Control over Accounting for Capitalized Software</w:t>
      </w:r>
    </w:p>
    <w:p>
      <w:pPr>
        <w:spacing w:after="0" w:line="231"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management will strengthen the design of control activities around the determination of software development costs that meet the criteria for capitalization, including guidelines for how to conduct and document management reviews of conclusions over software development activities that are to be capitalized and will establish controls to obtain or generate relevant, quality information to support the functioning of these control activities.</w:t>
      </w:r>
    </w:p>
    <w:p>
      <w:pPr>
        <w:spacing w:after="0" w:line="16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These actions are subject to ongoing review by our management, as well as oversight by our board of directors. Although we plan to complete this remediation process as quickly as possible, we cannot, at this time, estimate when such remediation may occur, and our initiatives may not prove successful in remediating this material weakness.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2018 Annual Meeting of Stockholders. The Proxy Statement will be filed with the Securities and Exchange Commission within 120 days of the fiscal year ended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board of directors has adopted a Code of Business Conduct and Ethics that applies to all officers, directors and employees, which is available on our website at (investors.twilio.com)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2018 Annual Meeting of Stockholders. The Proxy Statement will be filed with the Securities and Exchange Commission within 120 days of the fiscal year ended December 31, 2017.</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2018 Annual Meeting of Stockholders. The Proxy Statement will be filed with the Securities and Exchange Commission within 120 days of the fiscal year ended December 31, 2017.</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2018 Annual Meeting of Stockholders. The Proxy Statement will be filed with the Securities and Exchange Commission within 120 days of the fiscal year ended December 31, 2017.</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2018 Annual Meeting of Stockholders. The Proxy Statement will be filed with the Securities and Exchange Commission within 120 days of the fiscal year ended December 31, 2017.</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Schedules not listed above have been omitted because they are not required, not applicable, or the required information is otherwise included.</w:t>
      </w:r>
    </w:p>
    <w:p>
      <w:pPr>
        <w:spacing w:after="0" w:line="262"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80"/>
          </w:cols>
          <w:pgMar w:left="240" w:top="131" w:right="1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320"/>
        <w:spacing w:after="0"/>
        <w:tabs>
          <w:tab w:leader="none" w:pos="42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7649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1740"/>
        <w:spacing w:after="0"/>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74">
        <w:r>
          <w:rPr>
            <w:rFonts w:ascii="Arial" w:cs="Arial" w:eastAsia="Arial" w:hAnsi="Arial"/>
            <w:sz w:val="16"/>
            <w:szCs w:val="16"/>
            <w:u w:val="single" w:color="auto"/>
            <w:color w:val="0000EE"/>
          </w:rPr>
          <w:t>Amended and Restated Certificate of Incorporation of Twilio Inc.</w:t>
        </w:r>
      </w:hyperlink>
    </w:p>
    <w:p>
      <w:pPr>
        <w:spacing w:after="0" w:line="200" w:lineRule="exact"/>
        <w:rPr>
          <w:sz w:val="20"/>
          <w:szCs w:val="20"/>
          <w:color w:val="auto"/>
        </w:rPr>
      </w:pPr>
    </w:p>
    <w:p>
      <w:pPr>
        <w:spacing w:after="0" w:line="233" w:lineRule="exact"/>
        <w:rPr>
          <w:sz w:val="20"/>
          <w:szCs w:val="20"/>
          <w:color w:val="auto"/>
        </w:rPr>
      </w:pPr>
    </w:p>
    <w:p>
      <w:pPr>
        <w:jc w:val="center"/>
        <w:ind w:left="120"/>
        <w:spacing w:after="0"/>
        <w:tabs>
          <w:tab w:leader="none" w:pos="2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75">
        <w:r>
          <w:rPr>
            <w:rFonts w:ascii="Arial" w:cs="Arial" w:eastAsia="Arial" w:hAnsi="Arial"/>
            <w:sz w:val="16"/>
            <w:szCs w:val="16"/>
            <w:u w:val="single" w:color="auto"/>
            <w:color w:val="0000EE"/>
          </w:rPr>
          <w:t>Amended and Restated Bylaws of Twilio Inc.</w:t>
        </w:r>
      </w:hyperlink>
    </w:p>
    <w:p>
      <w:pPr>
        <w:spacing w:after="0" w:line="200" w:lineRule="exact"/>
        <w:rPr>
          <w:sz w:val="20"/>
          <w:szCs w:val="20"/>
          <w:color w:val="auto"/>
        </w:rPr>
      </w:pPr>
    </w:p>
    <w:p>
      <w:pPr>
        <w:spacing w:after="0" w:line="241" w:lineRule="exact"/>
        <w:rPr>
          <w:sz w:val="20"/>
          <w:szCs w:val="20"/>
          <w:color w:val="auto"/>
        </w:rPr>
      </w:pPr>
    </w:p>
    <w:p>
      <w:pPr>
        <w:ind w:left="1740"/>
        <w:spacing w:after="0"/>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76">
        <w:r>
          <w:rPr>
            <w:rFonts w:ascii="Arial" w:cs="Arial" w:eastAsia="Arial" w:hAnsi="Arial"/>
            <w:sz w:val="16"/>
            <w:szCs w:val="16"/>
            <w:u w:val="single" w:color="auto"/>
            <w:color w:val="0000EE"/>
          </w:rPr>
          <w:t>Form of Class A common stock certificate of Twilio Inc.</w:t>
        </w:r>
      </w:hyperlink>
    </w:p>
    <w:p>
      <w:pPr>
        <w:spacing w:after="0" w:line="200" w:lineRule="exact"/>
        <w:rPr>
          <w:sz w:val="20"/>
          <w:szCs w:val="20"/>
          <w:color w:val="auto"/>
        </w:rPr>
      </w:pPr>
    </w:p>
    <w:p>
      <w:pPr>
        <w:spacing w:after="0" w:line="241" w:lineRule="exact"/>
        <w:rPr>
          <w:sz w:val="20"/>
          <w:szCs w:val="20"/>
          <w:color w:val="auto"/>
        </w:rPr>
      </w:pPr>
    </w:p>
    <w:p>
      <w:pPr>
        <w:ind w:left="1740"/>
        <w:spacing w:after="0"/>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4.2</w:t>
      </w:r>
      <w:r>
        <w:rPr>
          <w:sz w:val="20"/>
          <w:szCs w:val="20"/>
          <w:color w:val="auto"/>
        </w:rPr>
        <w:tab/>
      </w:r>
      <w:hyperlink r:id="rId177">
        <w:r>
          <w:rPr>
            <w:rFonts w:ascii="Arial" w:cs="Arial" w:eastAsia="Arial" w:hAnsi="Arial"/>
            <w:sz w:val="15"/>
            <w:szCs w:val="15"/>
            <w:u w:val="single" w:color="auto"/>
            <w:color w:val="0000EE"/>
          </w:rPr>
          <w:t>Amended and Restated Investors' Rights Agreement, dated April 24,</w:t>
        </w:r>
      </w:hyperlink>
    </w:p>
    <w:p>
      <w:pPr>
        <w:spacing w:after="0" w:line="15" w:lineRule="exact"/>
        <w:rPr>
          <w:sz w:val="20"/>
          <w:szCs w:val="20"/>
          <w:color w:val="auto"/>
        </w:rPr>
      </w:pPr>
    </w:p>
    <w:p>
      <w:pPr>
        <w:ind w:left="2200"/>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2015, between Twilio Inc. and certain of its stockholders</w:t>
        </w:r>
      </w:hyperlink>
    </w:p>
    <w:p>
      <w:pPr>
        <w:spacing w:after="0" w:line="219" w:lineRule="exact"/>
        <w:rPr>
          <w:sz w:val="20"/>
          <w:szCs w:val="20"/>
          <w:color w:val="auto"/>
        </w:rPr>
      </w:pPr>
    </w:p>
    <w:p>
      <w:pPr>
        <w:ind w:left="1660"/>
        <w:spacing w:after="0"/>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78">
        <w:r>
          <w:rPr>
            <w:rFonts w:ascii="Arial" w:cs="Arial" w:eastAsia="Arial" w:hAnsi="Arial"/>
            <w:sz w:val="16"/>
            <w:szCs w:val="16"/>
            <w:u w:val="single" w:color="auto"/>
            <w:color w:val="0000EE"/>
          </w:rPr>
          <w:t>Form of Indemnification Agreement</w:t>
        </w:r>
      </w:hyperlink>
    </w:p>
    <w:p>
      <w:pPr>
        <w:spacing w:after="0" w:line="200" w:lineRule="exact"/>
        <w:rPr>
          <w:sz w:val="20"/>
          <w:szCs w:val="20"/>
          <w:color w:val="auto"/>
        </w:rPr>
      </w:pPr>
    </w:p>
    <w:p>
      <w:pPr>
        <w:spacing w:after="0" w:line="241" w:lineRule="exact"/>
        <w:rPr>
          <w:sz w:val="20"/>
          <w:szCs w:val="20"/>
          <w:color w:val="auto"/>
        </w:rPr>
      </w:pPr>
    </w:p>
    <w:p>
      <w:pPr>
        <w:ind w:left="2200" w:right="60" w:hanging="549"/>
        <w:spacing w:after="0" w:line="259"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79">
        <w:r>
          <w:rPr>
            <w:rFonts w:ascii="Arial" w:cs="Arial" w:eastAsia="Arial" w:hAnsi="Arial"/>
            <w:sz w:val="18"/>
            <w:szCs w:val="18"/>
            <w:u w:val="single" w:color="auto"/>
            <w:color w:val="0000EE"/>
          </w:rPr>
          <w:t>Twilio Inc. 2008 Stock Option Plan, as amended and restated, and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forms of Stock Options Agreement and form of Stock Option Grant</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Notice</w:t>
        </w:r>
      </w:hyperlink>
    </w:p>
    <w:p>
      <w:pPr>
        <w:spacing w:after="0" w:line="194" w:lineRule="exact"/>
        <w:rPr>
          <w:rFonts w:ascii="Arial" w:cs="Arial" w:eastAsia="Arial" w:hAnsi="Arial"/>
          <w:sz w:val="18"/>
          <w:szCs w:val="18"/>
          <w:u w:val="single" w:color="auto"/>
          <w:color w:val="0000EE"/>
        </w:rPr>
      </w:pPr>
    </w:p>
    <w:p>
      <w:pPr>
        <w:ind w:left="2200" w:right="380" w:hanging="549"/>
        <w:spacing w:after="0" w:line="268"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80">
        <w:r>
          <w:rPr>
            <w:rFonts w:ascii="Arial" w:cs="Arial" w:eastAsia="Arial" w:hAnsi="Arial"/>
            <w:sz w:val="18"/>
            <w:szCs w:val="18"/>
            <w:u w:val="single" w:color="auto"/>
            <w:color w:val="0000EE"/>
          </w:rPr>
          <w:t>Twilio Inc 2016 Stock Option and Incentive Plan, and forms of</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Agreements thereunder</w:t>
        </w:r>
      </w:hyperlink>
    </w:p>
    <w:p>
      <w:pPr>
        <w:spacing w:after="0" w:line="186" w:lineRule="exact"/>
        <w:rPr>
          <w:sz w:val="20"/>
          <w:szCs w:val="20"/>
          <w:color w:val="auto"/>
        </w:rPr>
      </w:pPr>
    </w:p>
    <w:p>
      <w:pPr>
        <w:jc w:val="center"/>
        <w:ind w:left="1480"/>
        <w:spacing w:after="0"/>
        <w:tabs>
          <w:tab w:leader="none" w:pos="220" w:val="left"/>
        </w:tabs>
        <w:rPr>
          <w:rFonts w:ascii="Arial" w:cs="Arial" w:eastAsia="Arial" w:hAnsi="Arial"/>
          <w:sz w:val="15"/>
          <w:szCs w:val="15"/>
          <w:u w:val="single" w:color="auto"/>
          <w:color w:val="0000EE"/>
        </w:rPr>
      </w:pPr>
      <w:r>
        <w:rPr>
          <w:rFonts w:ascii="Arial" w:cs="Arial" w:eastAsia="Arial" w:hAnsi="Arial"/>
          <w:sz w:val="18"/>
          <w:szCs w:val="18"/>
          <w:color w:val="auto"/>
        </w:rPr>
        <w:t>10.4</w:t>
      </w:r>
      <w:r>
        <w:rPr>
          <w:sz w:val="20"/>
          <w:szCs w:val="20"/>
          <w:color w:val="auto"/>
        </w:rPr>
        <w:tab/>
      </w:r>
      <w:hyperlink r:id="rId181">
        <w:r>
          <w:rPr>
            <w:rFonts w:ascii="Arial" w:cs="Arial" w:eastAsia="Arial" w:hAnsi="Arial"/>
            <w:sz w:val="15"/>
            <w:szCs w:val="15"/>
            <w:u w:val="single" w:color="auto"/>
            <w:color w:val="0000EE"/>
          </w:rPr>
          <w:t>Office Lease, dated January 8, 2016, as amended January 8, 2016,</w:t>
        </w:r>
      </w:hyperlink>
    </w:p>
    <w:p>
      <w:pPr>
        <w:spacing w:after="0" w:line="15" w:lineRule="exact"/>
        <w:rPr>
          <w:sz w:val="20"/>
          <w:szCs w:val="20"/>
          <w:color w:val="auto"/>
        </w:rPr>
      </w:pPr>
    </w:p>
    <w:p>
      <w:pPr>
        <w:jc w:val="center"/>
        <w:ind w:left="1500"/>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between Twilio Inc. and Bay Area Headquarters Authority</w:t>
        </w:r>
      </w:hyperlink>
    </w:p>
    <w:p>
      <w:pPr>
        <w:spacing w:after="0" w:line="219" w:lineRule="exact"/>
        <w:rPr>
          <w:sz w:val="20"/>
          <w:szCs w:val="20"/>
          <w:color w:val="auto"/>
        </w:rPr>
      </w:pPr>
    </w:p>
    <w:p>
      <w:pPr>
        <w:jc w:val="center"/>
        <w:ind w:left="140"/>
        <w:spacing w:after="0"/>
        <w:tabs>
          <w:tab w:leader="none" w:pos="22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82">
        <w:r>
          <w:rPr>
            <w:rFonts w:ascii="Arial" w:cs="Arial" w:eastAsia="Arial" w:hAnsi="Arial"/>
            <w:sz w:val="16"/>
            <w:szCs w:val="16"/>
            <w:u w:val="single" w:color="auto"/>
            <w:color w:val="0000EE"/>
          </w:rPr>
          <w:t>Twilio Inc. 2016 Employee Stock Purchase Plan</w:t>
        </w:r>
      </w:hyperlink>
    </w:p>
    <w:p>
      <w:pPr>
        <w:spacing w:after="0" w:line="200" w:lineRule="exact"/>
        <w:rPr>
          <w:sz w:val="20"/>
          <w:szCs w:val="20"/>
          <w:color w:val="auto"/>
        </w:rPr>
      </w:pPr>
    </w:p>
    <w:p>
      <w:pPr>
        <w:spacing w:after="0" w:line="241" w:lineRule="exact"/>
        <w:rPr>
          <w:sz w:val="20"/>
          <w:szCs w:val="20"/>
          <w:color w:val="auto"/>
        </w:rPr>
      </w:pPr>
    </w:p>
    <w:p>
      <w:pPr>
        <w:ind w:left="1660"/>
        <w:spacing w:after="0"/>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83">
        <w:r>
          <w:rPr>
            <w:rFonts w:ascii="Arial" w:cs="Arial" w:eastAsia="Arial" w:hAnsi="Arial"/>
            <w:sz w:val="16"/>
            <w:szCs w:val="16"/>
            <w:u w:val="single" w:color="auto"/>
            <w:color w:val="0000EE"/>
          </w:rPr>
          <w:t>Offer letter with George Hu, dated February 28, 2017</w:t>
        </w:r>
      </w:hyperlink>
    </w:p>
    <w:p>
      <w:pPr>
        <w:spacing w:after="0" w:line="200" w:lineRule="exact"/>
        <w:rPr>
          <w:sz w:val="20"/>
          <w:szCs w:val="20"/>
          <w:color w:val="auto"/>
        </w:rPr>
      </w:pPr>
    </w:p>
    <w:p>
      <w:pPr>
        <w:spacing w:after="0" w:line="241" w:lineRule="exact"/>
        <w:rPr>
          <w:sz w:val="20"/>
          <w:szCs w:val="20"/>
          <w:color w:val="auto"/>
        </w:rPr>
      </w:pPr>
    </w:p>
    <w:p>
      <w:pPr>
        <w:ind w:left="1660"/>
        <w:spacing w:after="0"/>
        <w:tabs>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10.7*</w:t>
      </w:r>
      <w:r>
        <w:rPr>
          <w:sz w:val="20"/>
          <w:szCs w:val="20"/>
          <w:color w:val="auto"/>
        </w:rPr>
        <w:tab/>
      </w:r>
      <w:hyperlink r:id="rId184">
        <w:r>
          <w:rPr>
            <w:rFonts w:ascii="Arial" w:cs="Arial" w:eastAsia="Arial" w:hAnsi="Arial"/>
            <w:sz w:val="15"/>
            <w:szCs w:val="15"/>
            <w:u w:val="single" w:color="auto"/>
            <w:color w:val="0000EE"/>
          </w:rPr>
          <w:t>Amended and Restated Executive Severance Plan, dated June 12,</w:t>
        </w:r>
      </w:hyperlink>
    </w:p>
    <w:p>
      <w:pPr>
        <w:spacing w:after="0" w:line="15" w:lineRule="exact"/>
        <w:rPr>
          <w:sz w:val="20"/>
          <w:szCs w:val="20"/>
          <w:color w:val="auto"/>
        </w:rPr>
      </w:pPr>
    </w:p>
    <w:p>
      <w:pPr>
        <w:ind w:left="220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2017</w:t>
        </w:r>
      </w:hyperlink>
    </w:p>
    <w:p>
      <w:pPr>
        <w:spacing w:after="0" w:line="219" w:lineRule="exact"/>
        <w:rPr>
          <w:sz w:val="20"/>
          <w:szCs w:val="20"/>
          <w:color w:val="auto"/>
        </w:rPr>
      </w:pPr>
    </w:p>
    <w:p>
      <w:pPr>
        <w:ind w:left="1660"/>
        <w:spacing w:after="0"/>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44">
        <w:r>
          <w:rPr>
            <w:rFonts w:ascii="Arial" w:cs="Arial" w:eastAsia="Arial" w:hAnsi="Arial"/>
            <w:sz w:val="16"/>
            <w:szCs w:val="16"/>
            <w:u w:val="single" w:color="auto"/>
            <w:color w:val="0000EE"/>
          </w:rPr>
          <w:t>List of subsidiaries of the Registrant</w:t>
        </w:r>
      </w:hyperlink>
    </w:p>
    <w:p>
      <w:pPr>
        <w:spacing w:after="0" w:line="200" w:lineRule="exact"/>
        <w:rPr>
          <w:sz w:val="20"/>
          <w:szCs w:val="20"/>
          <w:color w:val="auto"/>
        </w:rPr>
      </w:pPr>
    </w:p>
    <w:p>
      <w:pPr>
        <w:spacing w:after="0" w:line="241" w:lineRule="exact"/>
        <w:rPr>
          <w:sz w:val="20"/>
          <w:szCs w:val="20"/>
          <w:color w:val="auto"/>
        </w:rPr>
      </w:pPr>
    </w:p>
    <w:p>
      <w:pPr>
        <w:ind w:left="2200" w:right="20" w:hanging="549"/>
        <w:spacing w:after="0" w:line="268" w:lineRule="auto"/>
        <w:tabs>
          <w:tab w:leader="none" w:pos="218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46">
        <w:r>
          <w:rPr>
            <w:rFonts w:ascii="Arial" w:cs="Arial" w:eastAsia="Arial" w:hAnsi="Arial"/>
            <w:sz w:val="18"/>
            <w:szCs w:val="18"/>
            <w:u w:val="single" w:color="auto"/>
            <w:color w:val="0000EE"/>
          </w:rPr>
          <w:t>Consent of KPMG, LLP, Independent Registered Public Accounting</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Firm</w:t>
        </w:r>
      </w:hyperlink>
    </w:p>
    <w:p>
      <w:pPr>
        <w:spacing w:after="0" w:line="186" w:lineRule="exact"/>
        <w:rPr>
          <w:sz w:val="20"/>
          <w:szCs w:val="20"/>
          <w:color w:val="auto"/>
        </w:rPr>
      </w:pPr>
    </w:p>
    <w:p>
      <w:pPr>
        <w:ind w:left="2200" w:right="180" w:hanging="549"/>
        <w:spacing w:after="0" w:line="306"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8">
        <w:r>
          <w:rPr>
            <w:rFonts w:ascii="Arial" w:cs="Arial" w:eastAsia="Arial" w:hAnsi="Arial"/>
            <w:sz w:val="16"/>
            <w:szCs w:val="16"/>
            <w:u w:val="single" w:color="auto"/>
            <w:color w:val="0000EE"/>
          </w:rPr>
          <w:t>Certification of the Chief Executive Officer pursuant to Exchange</w:t>
        </w:r>
      </w:hyperlink>
      <w:r>
        <w:rPr>
          <w:rFonts w:ascii="Arial" w:cs="Arial" w:eastAsia="Arial" w:hAnsi="Arial"/>
          <w:sz w:val="16"/>
          <w:szCs w:val="16"/>
          <w:u w:val="single" w:color="auto"/>
          <w:color w:val="0000EE"/>
        </w:rPr>
        <w:t xml:space="preserve"> </w:t>
      </w:r>
      <w:hyperlink w:anchor="page148">
        <w:r>
          <w:rPr>
            <w:rFonts w:ascii="Arial" w:cs="Arial" w:eastAsia="Arial" w:hAnsi="Arial"/>
            <w:sz w:val="16"/>
            <w:szCs w:val="16"/>
            <w:u w:val="single" w:color="auto"/>
            <w:color w:val="0000EE"/>
          </w:rPr>
          <w:t>Act Rules 13a-14(a) and 15d-14(a), as adopted pursuant to</w:t>
        </w:r>
      </w:hyperlink>
      <w:r>
        <w:rPr>
          <w:rFonts w:ascii="Arial" w:cs="Arial" w:eastAsia="Arial" w:hAnsi="Arial"/>
          <w:sz w:val="16"/>
          <w:szCs w:val="16"/>
          <w:u w:val="single" w:color="auto"/>
          <w:color w:val="0000EE"/>
        </w:rPr>
        <w:t xml:space="preserve"> </w:t>
      </w:r>
      <w:hyperlink w:anchor="page148">
        <w:r>
          <w:rPr>
            <w:rFonts w:ascii="Arial" w:cs="Arial" w:eastAsia="Arial" w:hAnsi="Arial"/>
            <w:sz w:val="16"/>
            <w:szCs w:val="16"/>
            <w:u w:val="single" w:color="auto"/>
            <w:color w:val="0000EE"/>
          </w:rPr>
          <w:t>Section 302 of the Sarbanes-Oxley Act of 2002</w:t>
        </w:r>
      </w:hyperlink>
    </w:p>
    <w:p>
      <w:pPr>
        <w:spacing w:after="0" w:line="161" w:lineRule="exact"/>
        <w:rPr>
          <w:rFonts w:ascii="Arial" w:cs="Arial" w:eastAsia="Arial" w:hAnsi="Arial"/>
          <w:sz w:val="16"/>
          <w:szCs w:val="16"/>
          <w:u w:val="single" w:color="auto"/>
          <w:color w:val="0000EE"/>
        </w:rPr>
      </w:pPr>
    </w:p>
    <w:p>
      <w:pPr>
        <w:ind w:left="2200" w:right="240" w:hanging="549"/>
        <w:spacing w:after="0" w:line="306" w:lineRule="auto"/>
        <w:tabs>
          <w:tab w:leader="none" w:pos="21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50">
        <w:r>
          <w:rPr>
            <w:rFonts w:ascii="Arial" w:cs="Arial" w:eastAsia="Arial" w:hAnsi="Arial"/>
            <w:sz w:val="16"/>
            <w:szCs w:val="16"/>
            <w:u w:val="single" w:color="auto"/>
            <w:color w:val="0000EE"/>
          </w:rPr>
          <w:t>Certification of the Chief Financial Officer pursuant to Exchange</w:t>
        </w:r>
      </w:hyperlink>
      <w:r>
        <w:rPr>
          <w:rFonts w:ascii="Arial" w:cs="Arial" w:eastAsia="Arial" w:hAnsi="Arial"/>
          <w:sz w:val="16"/>
          <w:szCs w:val="16"/>
          <w:u w:val="single" w:color="auto"/>
          <w:color w:val="0000EE"/>
        </w:rPr>
        <w:t xml:space="preserve"> </w:t>
      </w:r>
      <w:hyperlink w:anchor="page150">
        <w:r>
          <w:rPr>
            <w:rFonts w:ascii="Arial" w:cs="Arial" w:eastAsia="Arial" w:hAnsi="Arial"/>
            <w:sz w:val="16"/>
            <w:szCs w:val="16"/>
            <w:u w:val="single" w:color="auto"/>
            <w:color w:val="0000EE"/>
          </w:rPr>
          <w:t>Act Rules 13a-14(a) and 15d-14(a), as adopted pursuant to</w:t>
        </w:r>
      </w:hyperlink>
      <w:r>
        <w:rPr>
          <w:rFonts w:ascii="Arial" w:cs="Arial" w:eastAsia="Arial" w:hAnsi="Arial"/>
          <w:sz w:val="16"/>
          <w:szCs w:val="16"/>
          <w:u w:val="single" w:color="auto"/>
          <w:color w:val="0000EE"/>
        </w:rPr>
        <w:t xml:space="preserve"> </w:t>
      </w:r>
      <w:hyperlink w:anchor="page150">
        <w:r>
          <w:rPr>
            <w:rFonts w:ascii="Arial" w:cs="Arial" w:eastAsia="Arial" w:hAnsi="Arial"/>
            <w:sz w:val="16"/>
            <w:szCs w:val="16"/>
            <w:u w:val="single" w:color="auto"/>
            <w:color w:val="0000EE"/>
          </w:rPr>
          <w:t>Section 302 of the Sarbanes-Oxley Act of 2002</w:t>
        </w:r>
      </w:hyperlink>
    </w:p>
    <w:p>
      <w:pPr>
        <w:spacing w:after="0" w:line="161"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86" w:lineRule="exact"/>
        <w:rPr>
          <w:rFonts w:ascii="Arial" w:cs="Arial" w:eastAsia="Arial" w:hAnsi="Arial"/>
          <w:sz w:val="16"/>
          <w:szCs w:val="16"/>
          <w:u w:val="single" w:color="auto"/>
          <w:color w:val="0000EE"/>
        </w:rPr>
      </w:pPr>
    </w:p>
    <w:p>
      <w:pPr>
        <w:ind w:left="74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File No.</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Filing Date</w:t>
            </w:r>
          </w:p>
        </w:tc>
      </w:tr>
      <w:tr>
        <w:trPr>
          <w:trHeight w:val="201"/>
        </w:trPr>
        <w:tc>
          <w:tcPr>
            <w:tcW w:w="420" w:type="dxa"/>
            <w:vAlign w:val="bottom"/>
          </w:tcPr>
          <w:p>
            <w:pPr>
              <w:jc w:val="center"/>
              <w:spacing w:after="0" w:line="201" w:lineRule="exact"/>
              <w:rPr>
                <w:sz w:val="20"/>
                <w:szCs w:val="20"/>
                <w:color w:val="auto"/>
              </w:rPr>
            </w:pPr>
            <w:r>
              <w:rPr>
                <w:rFonts w:ascii="Arial" w:cs="Arial" w:eastAsia="Arial" w:hAnsi="Arial"/>
                <w:sz w:val="18"/>
                <w:szCs w:val="18"/>
                <w:color w:val="auto"/>
                <w:w w:val="94"/>
              </w:rPr>
              <w:t>S-1A</w:t>
            </w:r>
          </w:p>
        </w:tc>
        <w:tc>
          <w:tcPr>
            <w:tcW w:w="16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333-211634</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83"/>
              </w:rPr>
              <w:t>June 13,</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4"/>
              </w:rPr>
              <w:t>S-1A</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3"/>
              </w:rPr>
              <w:t>June 13,</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4"/>
              </w:rPr>
              <w:t>S-1A</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3"/>
              </w:rPr>
              <w:t>June 13,</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642"/>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333-211634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May 26,</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2016</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001-37806</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March 3,</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2017</w:t>
            </w:r>
          </w:p>
        </w:tc>
      </w:tr>
      <w:tr>
        <w:trPr>
          <w:trHeight w:val="426"/>
        </w:trPr>
        <w:tc>
          <w:tcPr>
            <w:tcW w:w="4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001-37806</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9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August 11,</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2017</w:t>
            </w:r>
          </w:p>
        </w:tc>
      </w:tr>
    </w:tbl>
    <w:p>
      <w:pPr>
        <w:spacing w:after="0" w:line="210"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Filed</w:t>
      </w:r>
    </w:p>
    <w:p>
      <w:pPr>
        <w:spacing w:after="0" w:line="15"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herewith</w:t>
      </w:r>
    </w:p>
    <w:p>
      <w:pPr>
        <w:spacing w:after="0" w:line="219"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Filed</w:t>
      </w:r>
    </w:p>
    <w:p>
      <w:pPr>
        <w:spacing w:after="0" w:line="15"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herewith</w:t>
      </w:r>
    </w:p>
    <w:p>
      <w:pPr>
        <w:spacing w:after="0" w:line="219"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Filed</w:t>
      </w:r>
    </w:p>
    <w:p>
      <w:pPr>
        <w:spacing w:after="0" w:line="15"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herewith</w:t>
      </w:r>
    </w:p>
    <w:p>
      <w:pPr>
        <w:spacing w:after="0" w:line="200" w:lineRule="exact"/>
        <w:rPr>
          <w:rFonts w:ascii="Arial" w:cs="Arial" w:eastAsia="Arial" w:hAnsi="Arial"/>
          <w:sz w:val="16"/>
          <w:szCs w:val="16"/>
          <w:u w:val="single" w:color="auto"/>
          <w:color w:val="0000EE"/>
        </w:rPr>
      </w:pPr>
    </w:p>
    <w:p>
      <w:pPr>
        <w:spacing w:after="0" w:line="235"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Filed</w:t>
      </w:r>
    </w:p>
    <w:p>
      <w:pPr>
        <w:spacing w:after="0" w:line="15" w:lineRule="exact"/>
        <w:rPr>
          <w:rFonts w:ascii="Arial" w:cs="Arial" w:eastAsia="Arial" w:hAnsi="Arial"/>
          <w:sz w:val="16"/>
          <w:szCs w:val="16"/>
          <w:u w:val="single" w:color="auto"/>
          <w:color w:val="0000EE"/>
        </w:rPr>
      </w:pPr>
    </w:p>
    <w:p>
      <w:pPr>
        <w:jc w:val="center"/>
        <w:ind w:left="-879"/>
        <w:spacing w:after="0"/>
        <w:rPr>
          <w:sz w:val="20"/>
          <w:szCs w:val="20"/>
          <w:color w:val="auto"/>
        </w:rPr>
      </w:pPr>
      <w:r>
        <w:rPr>
          <w:rFonts w:ascii="Arial" w:cs="Arial" w:eastAsia="Arial" w:hAnsi="Arial"/>
          <w:sz w:val="18"/>
          <w:szCs w:val="18"/>
          <w:color w:val="auto"/>
        </w:rPr>
        <w:t>herewith</w:t>
      </w:r>
    </w:p>
    <w:p>
      <w:pPr>
        <w:sectPr>
          <w:pgSz w:w="11900" w:h="16838" w:orient="portrait"/>
          <w:cols w:equalWidth="0" w:num="2">
            <w:col w:w="7020" w:space="220"/>
            <w:col w:w="3040"/>
          </w:cols>
          <w:pgMar w:left="240" w:top="131" w:right="137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7"/>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8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20" w:type="dxa"/>
            <w:vAlign w:val="bottom"/>
            <w:gridSpan w:val="4"/>
          </w:tcPr>
          <w:p>
            <w:pPr>
              <w:ind w:left="800"/>
              <w:spacing w:after="0" w:line="142"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4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2"/>
                <w:szCs w:val="12"/>
                <w:color w:val="auto"/>
              </w:rPr>
            </w:pPr>
          </w:p>
        </w:tc>
        <w:tc>
          <w:tcPr>
            <w:tcW w:w="8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2"/>
                <w:szCs w:val="12"/>
                <w:color w:val="auto"/>
              </w:rPr>
            </w:pPr>
          </w:p>
        </w:tc>
        <w:tc>
          <w:tcPr>
            <w:tcW w:w="1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Exhibit   Filing Date</w:t>
            </w:r>
          </w:p>
        </w:tc>
      </w:tr>
      <w:tr>
        <w:trPr>
          <w:trHeight w:val="20"/>
        </w:trPr>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85"/>
        </w:trPr>
        <w:tc>
          <w:tcPr>
            <w:tcW w:w="6160" w:type="dxa"/>
            <w:vAlign w:val="bottom"/>
            <w:gridSpan w:val="8"/>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52">
              <w:r>
                <w:rPr>
                  <w:rFonts w:ascii="Arial" w:cs="Arial" w:eastAsia="Arial" w:hAnsi="Arial"/>
                  <w:sz w:val="18"/>
                  <w:szCs w:val="18"/>
                  <w:color w:val="0000EE"/>
                </w:rPr>
                <w:t>Certification of the Chief Executive Officer and Chief Financial</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Furnished</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Officer pursuant to 18 U.S.C. Section 1350, as adopted pursuant to</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herewith</w:t>
            </w: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Section 906 of the Sarbanes-Oxley Act of 2002</w:t>
              </w:r>
            </w:hyperlink>
          </w:p>
        </w:tc>
        <w:tc>
          <w:tcPr>
            <w:tcW w:w="1360" w:type="dxa"/>
            <w:vAlign w:val="bottom"/>
            <w:tcBorders>
              <w:top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44"/>
        </w:trPr>
        <w:tc>
          <w:tcPr>
            <w:tcW w:w="800" w:type="dxa"/>
            <w:vAlign w:val="bottom"/>
          </w:tcPr>
          <w:p>
            <w:pPr>
              <w:jc w:val="right"/>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51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r>
      <w:tr>
        <w:trPr>
          <w:trHeight w:val="110"/>
        </w:trPr>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sz w:val="20"/>
          <w:szCs w:val="20"/>
          <w:color w:val="auto"/>
        </w:rPr>
      </w:pPr>
    </w:p>
    <w:p>
      <w:pPr>
        <w:ind w:left="1680" w:hanging="531"/>
        <w:spacing w:after="0" w:line="259"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7460" w:type="dxa"/>
            <w:vAlign w:val="bottom"/>
            <w:gridSpan w:val="3"/>
          </w:tcPr>
          <w:p>
            <w:pPr>
              <w:jc w:val="center"/>
              <w:ind w:right="4000"/>
              <w:spacing w:after="0"/>
              <w:rPr>
                <w:sz w:val="20"/>
                <w:szCs w:val="20"/>
                <w:color w:val="auto"/>
              </w:rPr>
            </w:pPr>
            <w:r>
              <w:rPr>
                <w:rFonts w:ascii="Arial" w:cs="Arial" w:eastAsia="Arial" w:hAnsi="Arial"/>
                <w:sz w:val="18"/>
                <w:szCs w:val="18"/>
                <w:color w:val="auto"/>
                <w:w w:val="97"/>
              </w:rPr>
              <w:t>Twilio Inc.</w:t>
            </w:r>
          </w:p>
        </w:tc>
      </w:tr>
      <w:tr>
        <w:trPr>
          <w:trHeight w:val="432"/>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1"/>
              </w:rPr>
              <w:t>/s/ JEFFREY LAWSON</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Jeffrey Lawson</w:t>
            </w:r>
          </w:p>
        </w:tc>
      </w:tr>
      <w:tr>
        <w:trPr>
          <w:trHeight w:val="216"/>
        </w:trPr>
        <w:tc>
          <w:tcPr>
            <w:tcW w:w="3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0"/>
              </w:rPr>
              <w:t>Director and Chief Executive Officer (Principal Executive</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4"/>
              </w:rPr>
              <w:t>Officer)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/s/ LEE KIRKPATRICK</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4"/>
              </w:rPr>
              <w:t>Lee Kirkpatrick</w:t>
            </w:r>
          </w:p>
        </w:tc>
      </w:tr>
      <w:tr>
        <w:trPr>
          <w:trHeight w:val="216"/>
        </w:trPr>
        <w:tc>
          <w:tcPr>
            <w:tcW w:w="3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2"/>
              </w:rPr>
              <w:t>Chief Financial Officer (Principal Accounting and Financial</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4"/>
              </w:rPr>
              <w:t>Officer)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/s/ RICHARD DALZELL</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Richard Dalzell</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/s/ BYRON DEETER</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0"/>
              </w:rPr>
              <w:t>Byron Deeter</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5"/>
              </w:rPr>
              <w:t>/s/ ELENA DONIO</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Elena Donio</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/s/ JAMES MCGEEVER</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40"/>
              <w:spacing w:after="0"/>
              <w:rPr>
                <w:sz w:val="20"/>
                <w:szCs w:val="20"/>
                <w:color w:val="auto"/>
              </w:rPr>
            </w:pPr>
            <w:r>
              <w:rPr>
                <w:rFonts w:ascii="Arial" w:cs="Arial" w:eastAsia="Arial" w:hAnsi="Arial"/>
                <w:sz w:val="18"/>
                <w:szCs w:val="18"/>
                <w:color w:val="auto"/>
                <w:w w:val="86"/>
              </w:rPr>
              <w:t>James McGeever</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94"/>
              </w:rPr>
              <w:t>/s/ ERIKA ROTTENBERG</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Erika Rottenberg</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3960" w:type="dxa"/>
            <w:vAlign w:val="bottom"/>
          </w:tcPr>
          <w:p>
            <w:pPr>
              <w:ind w:left="1140"/>
              <w:spacing w:after="0"/>
              <w:rPr>
                <w:sz w:val="20"/>
                <w:szCs w:val="20"/>
                <w:color w:val="auto"/>
              </w:rPr>
            </w:pPr>
            <w:r>
              <w:rPr>
                <w:rFonts w:ascii="Arial" w:cs="Arial" w:eastAsia="Arial" w:hAnsi="Arial"/>
                <w:sz w:val="18"/>
                <w:szCs w:val="18"/>
                <w:color w:val="auto"/>
              </w:rPr>
              <w:t>Date: March 1, 2018</w:t>
            </w: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/s/ JEFF EPSTEIN</w:t>
            </w:r>
          </w:p>
        </w:tc>
      </w:tr>
      <w:tr>
        <w:trPr>
          <w:trHeight w:val="97"/>
        </w:trPr>
        <w:tc>
          <w:tcPr>
            <w:tcW w:w="3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Jeff Epstein</w:t>
            </w:r>
          </w:p>
        </w:tc>
      </w:tr>
      <w:tr>
        <w:trPr>
          <w:trHeight w:val="222"/>
        </w:trPr>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32"/>
        </w:trPr>
        <w:tc>
          <w:tcPr>
            <w:tcW w:w="3960" w:type="dxa"/>
            <w:vAlign w:val="bottom"/>
          </w:tcPr>
          <w:p>
            <w:pPr>
              <w:spacing w:after="0"/>
              <w:rPr>
                <w:sz w:val="24"/>
                <w:szCs w:val="24"/>
                <w:color w:val="auto"/>
              </w:rPr>
            </w:pPr>
          </w:p>
        </w:tc>
        <w:tc>
          <w:tcPr>
            <w:tcW w:w="6360" w:type="dxa"/>
            <w:vAlign w:val="bottom"/>
            <w:gridSpan w:val="2"/>
          </w:tcPr>
          <w:p>
            <w:pPr>
              <w:jc w:val="right"/>
              <w:ind w:right="4392"/>
              <w:spacing w:after="0"/>
              <w:rPr>
                <w:sz w:val="20"/>
                <w:szCs w:val="20"/>
                <w:color w:val="auto"/>
              </w:rPr>
            </w:pPr>
            <w:r>
              <w:rPr>
                <w:rFonts w:ascii="Arial" w:cs="Arial" w:eastAsia="Arial" w:hAnsi="Arial"/>
                <w:sz w:val="18"/>
                <w:szCs w:val="18"/>
                <w:color w:val="auto"/>
              </w:rPr>
              <w:t>140</w:t>
            </w:r>
          </w:p>
        </w:tc>
        <w:tc>
          <w:tcPr>
            <w:tcW w:w="1100" w:type="dxa"/>
            <w:vAlign w:val="bottom"/>
          </w:tcPr>
          <w:p>
            <w:pPr>
              <w:spacing w:after="0"/>
              <w:rPr>
                <w:sz w:val="24"/>
                <w:szCs w:val="24"/>
                <w:color w:val="auto"/>
              </w:rPr>
            </w:pPr>
          </w:p>
        </w:tc>
      </w:tr>
      <w:tr>
        <w:trPr>
          <w:trHeight w:val="228"/>
        </w:trPr>
        <w:tc>
          <w:tcPr>
            <w:tcW w:w="39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spacing w:after="0"/>
        <w:rPr>
          <w:rFonts w:ascii="Arial" w:cs="Arial" w:eastAsia="Arial" w:hAnsi="Arial"/>
          <w:sz w:val="22"/>
          <w:szCs w:val="22"/>
          <w:color w:val="0000EE"/>
        </w:rPr>
      </w:pPr>
      <w:hyperlink w:anchor="page1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List of Subsidiaries of Twilio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UK Limited (England and Wales)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Estonia OÜ (Estonia)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Aquarius Survivor LLC (Delaware, United States)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Colombia S.A.S. (Colombia)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IP Holding Limited (Ireland)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Ireland Limited (Ireland)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Germany GmbH (Germany)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Hong Kong Limited (Hong Kong)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Singapore Pte. Ltd. (Singapore)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Spain, S.L.(Spain)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Burgundy Acquisition LLC (Delaware, United States)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Sweden AB (Sweden)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Beepsend Invest AB (Sweden)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Twilio Australia Pty Ltd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45" w:name="page146"/>
    <w:bookmarkEnd w:id="145"/>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Twilio Inc.:</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(No. 333-212191) on Form S-8 of Twilio Inc. of our reports dated March 1, 2018, with respect to the consolidated balance sheets of Twilio Inc. as of December 31, 2017 and 2016, and the related consolidated statements of operations, comprehensive loss,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Twilio Inc..</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report dated March 1, 2018, on the effectiveness of internal control over financial reporting as of December 31, 2017, expresses our opinion that Twilio Inc. did not maintain effective internal control over financial reporting as of December 31, 2017 because of the effect of a material weakness on the achievement of the objectives of the control criteria and contains an explanatory paragraph that states a material weakness related to obtaining or generating relevant quality information to support the design and functioning of control activities over the accounting for capitalized software costs, has been identified and included in management's assessment.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Jeffrey Lawson, certify that:</w:t>
      </w:r>
    </w:p>
    <w:p>
      <w:pPr>
        <w:spacing w:after="0" w:line="225" w:lineRule="exact"/>
        <w:rPr>
          <w:sz w:val="20"/>
          <w:szCs w:val="20"/>
          <w:color w:val="auto"/>
        </w:rPr>
      </w:pPr>
    </w:p>
    <w:p>
      <w:pPr>
        <w:ind w:left="720" w:hanging="361"/>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Twilio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Jeffrey Lawson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CERTIFICATION PURSUANT TO RULE 13a-14(a) OR 15d-14(a) OF THE SECURITIES EXCHANGE ACT OF 1934, AS ADOPTED PURSUANT TO</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SECTION 302 OF THE SARBANES-OXLEY ACT OF 2002</w:t>
        </w:r>
      </w:hyperlink>
    </w:p>
    <w:p>
      <w:pPr>
        <w:sectPr>
          <w:pgSz w:w="11900" w:h="16838" w:orient="portrait"/>
          <w:cols w:equalWidth="0" w:num="1">
            <w:col w:w="10980"/>
          </w:cols>
          <w:pgMar w:left="240" w:top="820" w:right="679" w:bottom="1440" w:gutter="0" w:footer="0" w:header="0"/>
        </w:sectPr>
      </w:pPr>
    </w:p>
    <w:bookmarkStart w:id="149" w:name="page150"/>
    <w:bookmarkEnd w:id="149"/>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Lee Kirkpatrick certify that:</w:t>
      </w:r>
    </w:p>
    <w:p>
      <w:pPr>
        <w:spacing w:after="0" w:line="225" w:lineRule="exact"/>
        <w:rPr>
          <w:sz w:val="20"/>
          <w:szCs w:val="20"/>
          <w:color w:val="auto"/>
        </w:rPr>
      </w:pPr>
    </w:p>
    <w:p>
      <w:pPr>
        <w:ind w:left="720" w:hanging="361"/>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Twilio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LEE KIRKPATRICK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Lee Kirkpatrick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(Principal Accounting and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CERTIFICATION PURSUANT TO RULE 13a-14(a) OR 15d-14(a) OF THE SECURITIES EXCHANGE ACT OF 1934, AS ADOPTED PURSUANT TO</w:t>
        </w:r>
      </w:hyperlink>
      <w:r>
        <w:rPr>
          <w:rFonts w:ascii="Arial" w:cs="Arial" w:eastAsia="Arial" w:hAnsi="Arial"/>
          <w:sz w:val="18"/>
          <w:szCs w:val="18"/>
          <w:u w:val="single" w:color="auto"/>
          <w:color w:val="0000EE"/>
        </w:rPr>
        <w:t xml:space="preserve"> </w:t>
      </w:r>
      <w:hyperlink w:anchor="page150">
        <w:r>
          <w:rPr>
            <w:rFonts w:ascii="Arial" w:cs="Arial" w:eastAsia="Arial" w:hAnsi="Arial"/>
            <w:sz w:val="18"/>
            <w:szCs w:val="18"/>
            <w:u w:val="single" w:color="auto"/>
            <w:color w:val="0000EE"/>
          </w:rPr>
          <w:t>SECTION 302 OF THE SARBANES-OXLEY ACT OF 2002</w:t>
        </w:r>
      </w:hyperlink>
    </w:p>
    <w:p>
      <w:pPr>
        <w:sectPr>
          <w:pgSz w:w="11900" w:h="16838" w:orient="portrait"/>
          <w:cols w:equalWidth="0" w:num="1">
            <w:col w:w="10980"/>
          </w:cols>
          <w:pgMar w:left="240" w:top="820" w:right="679" w:bottom="1440" w:gutter="0" w:footer="0" w:header="0"/>
        </w:sectPr>
      </w:pPr>
    </w:p>
    <w:bookmarkStart w:id="151" w:name="page152"/>
    <w:bookmarkEnd w:id="151"/>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Jeffrey Lawson, Chief Executive Officer of Twilio Inc. (the "Company"), and Lee Kirkpatrick, Chief Financial Officer of the Company, each hereby certifies that, to the best of his knowledge:</w:t>
      </w:r>
    </w:p>
    <w:p>
      <w:pPr>
        <w:spacing w:after="0" w:line="174" w:lineRule="exact"/>
        <w:rPr>
          <w:sz w:val="20"/>
          <w:szCs w:val="20"/>
          <w:color w:val="auto"/>
        </w:rPr>
      </w:pPr>
    </w:p>
    <w:p>
      <w:pPr>
        <w:ind w:left="1080" w:right="18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2017, to which this Certification is attached as Exhibit 32.1 (the "Periodic Report"), fully complies with the requirements of Section 13(a) or Section 15(d) of the Exchange Act; and</w:t>
      </w:r>
    </w:p>
    <w:p>
      <w:pPr>
        <w:spacing w:after="0" w:line="166"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Jeffrey Lawson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LEE KIRKPATRICK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Lee Kirkpatrick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(Principal Accounting and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lowerRoman"/>
      <w:start w:val="2"/>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1)"/>
      <w:numFmt w:val="lowerLetter"/>
      <w:start w:val="2"/>
    </w:lvl>
  </w:abstractNum>
  <w:abstractNum w:abstractNumId="29">
    <w:nsid w:val="5DB70AE5"/>
    <w:multiLevelType w:val="hybridMultilevel"/>
    <w:lvl w:ilvl="0">
      <w:lvlJc w:val="left"/>
      <w:lvlText w:val="(%1)"/>
      <w:numFmt w:val="lowerLetter"/>
      <w:start w:val="3"/>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2"/>
    </w:lvl>
  </w:abstractNum>
  <w:abstractNum w:abstractNumId="32">
    <w:nsid w:val="15014ACB"/>
    <w:multiLevelType w:val="hybridMultilevel"/>
    <w:lvl w:ilvl="0">
      <w:lvlJc w:val="left"/>
      <w:lvlText w:val="(%1)"/>
      <w:numFmt w:val="decimal"/>
      <w:start w:val="3"/>
    </w:lvl>
  </w:abstractNum>
  <w:abstractNum w:abstractNumId="33">
    <w:nsid w:val="5F5E7FD0"/>
    <w:multiLevelType w:val="hybridMultilevel"/>
    <w:lvl w:ilvl="0">
      <w:lvlJc w:val="left"/>
      <w:lvlText w:val="(%1)"/>
      <w:numFmt w:val="decimal"/>
      <w:start w:val="2"/>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1)"/>
      <w:numFmt w:val="decimal"/>
      <w:start w:val="2"/>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lowerLetter"/>
      <w:start w:val="1"/>
    </w:lvl>
  </w:abstractNum>
  <w:abstractNum w:abstractNumId="43">
    <w:nsid w:val="7BD3EE7B"/>
    <w:multiLevelType w:val="hybridMultilevel"/>
    <w:lvl w:ilvl="0">
      <w:lvlJc w:val="left"/>
      <w:lvlText w:val="(%1)"/>
      <w:numFmt w:val="lowerLetter"/>
      <w:start w:val="2"/>
    </w:lvl>
  </w:abstractNum>
  <w:abstractNum w:abstractNumId="44">
    <w:nsid w:val="51D9C564"/>
    <w:multiLevelType w:val="hybridMultilevel"/>
    <w:lvl w:ilvl="0">
      <w:lvlJc w:val="left"/>
      <w:lvlText w:val="(%1)"/>
      <w:numFmt w:val="lowerLetter"/>
      <w:start w:val="3"/>
    </w:lvl>
  </w:abstractNum>
  <w:abstractNum w:abstractNumId="45">
    <w:nsid w:val="613EFDC5"/>
    <w:multiLevelType w:val="hybridMultilevel"/>
    <w:lvl w:ilvl="0">
      <w:lvlJc w:val="left"/>
      <w:lvlText w:val="(%1)"/>
      <w:numFmt w:val="lowerLetter"/>
      <w:start w:val="4"/>
    </w:lvl>
  </w:abstractNum>
  <w:abstractNum w:abstractNumId="46">
    <w:nsid w:val="BF72B14"/>
    <w:multiLevelType w:val="hybridMultilevel"/>
    <w:lvl w:ilvl="0">
      <w:lvlJc w:val="left"/>
      <w:lvlText w:val="(%1)"/>
      <w:numFmt w:val="lowerLetter"/>
      <w:start w:val="5"/>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1)"/>
      <w:numFmt w:val="lowerLetter"/>
      <w:start w:val="6"/>
    </w:lvl>
  </w:abstractNum>
  <w:abstractNum w:abstractNumId="49">
    <w:nsid w:val="A0382C5"/>
    <w:multiLevelType w:val="hybridMultilevel"/>
    <w:lvl w:ilvl="0">
      <w:lvlJc w:val="left"/>
      <w:lvlText w:val="(%1)"/>
      <w:numFmt w:val="lowerLetter"/>
      <w:start w:val="7"/>
    </w:lvl>
  </w:abstractNum>
  <w:abstractNum w:abstractNumId="50">
    <w:nsid w:val="8F2B15E"/>
    <w:multiLevelType w:val="hybridMultilevel"/>
    <w:lvl w:ilvl="0">
      <w:lvlJc w:val="left"/>
      <w:lvlText w:val="(%1)"/>
      <w:numFmt w:val="lowerLetter"/>
      <w:start w:val="8"/>
    </w:lvl>
  </w:abstractNum>
  <w:abstractNum w:abstractNumId="51">
    <w:nsid w:val="1A32234B"/>
    <w:multiLevelType w:val="hybridMultilevel"/>
    <w:lvl w:ilvl="0">
      <w:lvlJc w:val="left"/>
      <w:lvlText w:val="(%1)"/>
      <w:numFmt w:val="lowerRoman"/>
      <w:start w:val="2"/>
    </w:lvl>
  </w:abstractNum>
  <w:abstractNum w:abstractNumId="52">
    <w:nsid w:val="3B0FD379"/>
    <w:multiLevelType w:val="hybridMultilevel"/>
    <w:lvl w:ilvl="0">
      <w:lvlJc w:val="left"/>
      <w:lvlText w:val="(%1)"/>
      <w:numFmt w:val="lowerRoman"/>
      <w:start w:val="1"/>
    </w:lvl>
  </w:abstractNum>
  <w:abstractNum w:abstractNumId="53">
    <w:nsid w:val="68EB2F63"/>
    <w:multiLevelType w:val="hybridMultilevel"/>
    <w:lvl w:ilvl="0">
      <w:lvlJc w:val="left"/>
      <w:lvlText w:val="(%1)"/>
      <w:numFmt w:val="lowerLetter"/>
      <w:start w:val="10"/>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1)"/>
      <w:numFmt w:val="lowerLetter"/>
      <w:start w:val="11"/>
    </w:lvl>
  </w:abstractNum>
  <w:abstractNum w:abstractNumId="56">
    <w:nsid w:val="6A5EE64"/>
    <w:multiLevelType w:val="hybridMultilevel"/>
    <w:lvl w:ilvl="0">
      <w:lvlJc w:val="left"/>
      <w:lvlText w:val="(%1)"/>
      <w:numFmt w:val="lowerLetter"/>
      <w:start w:val="12"/>
    </w:lvl>
  </w:abstractNum>
  <w:abstractNum w:abstractNumId="57">
    <w:nsid w:val="14330624"/>
    <w:multiLevelType w:val="hybridMultilevel"/>
    <w:lvl w:ilvl="0">
      <w:lvlJc w:val="left"/>
      <w:lvlText w:val="(%1)"/>
      <w:numFmt w:val="lowerLetter"/>
      <w:start w:val="13"/>
    </w:lvl>
  </w:abstractNum>
  <w:abstractNum w:abstractNumId="58">
    <w:nsid w:val="7FFFCA11"/>
    <w:multiLevelType w:val="hybridMultilevel"/>
    <w:lvl w:ilvl="0">
      <w:lvlJc w:val="left"/>
      <w:lvlText w:val="(%1)"/>
      <w:numFmt w:val="lowerLetter"/>
      <w:start w:val="14"/>
    </w:lvl>
  </w:abstractNum>
  <w:abstractNum w:abstractNumId="59">
    <w:nsid w:val="1A27709E"/>
    <w:multiLevelType w:val="hybridMultilevel"/>
    <w:lvl w:ilvl="0">
      <w:lvlJc w:val="left"/>
      <w:lvlText w:val="(%1)"/>
      <w:numFmt w:val="lowerLetter"/>
      <w:start w:val="15"/>
    </w:lvl>
  </w:abstractNum>
  <w:abstractNum w:abstractNumId="60">
    <w:nsid w:val="71EA1109"/>
    <w:multiLevelType w:val="hybridMultilevel"/>
    <w:lvl w:ilvl="0">
      <w:lvlJc w:val="left"/>
      <w:lvlText w:val="(%1)"/>
      <w:numFmt w:val="lowerLetter"/>
      <w:start w:val="16"/>
    </w:lvl>
  </w:abstractNum>
  <w:abstractNum w:abstractNumId="61">
    <w:nsid w:val="100F59DC"/>
    <w:multiLevelType w:val="hybridMultilevel"/>
    <w:lvl w:ilvl="0">
      <w:lvlJc w:val="left"/>
      <w:lvlText w:val="(%1)"/>
      <w:numFmt w:val="lowerLetter"/>
      <w:start w:val="17"/>
    </w:lvl>
  </w:abstractNum>
  <w:abstractNum w:abstractNumId="62">
    <w:nsid w:val="7FB7E0AA"/>
    <w:multiLevelType w:val="hybridMultilevel"/>
    <w:lvl w:ilvl="0">
      <w:lvlJc w:val="left"/>
      <w:lvlText w:val="(%1)"/>
      <w:numFmt w:val="lowerLetter"/>
      <w:start w:val="18"/>
    </w:lvl>
  </w:abstractNum>
  <w:abstractNum w:abstractNumId="63">
    <w:nsid w:val="6EB5BD4"/>
    <w:multiLevelType w:val="hybridMultilevel"/>
    <w:lvl w:ilvl="0">
      <w:lvlJc w:val="left"/>
      <w:lvlText w:val="(%1)"/>
      <w:numFmt w:val="lowerLetter"/>
      <w:start w:val="19"/>
    </w:lvl>
  </w:abstractNum>
  <w:abstractNum w:abstractNumId="64">
    <w:nsid w:val="6F6DD9AC"/>
    <w:multiLevelType w:val="hybridMultilevel"/>
    <w:lvl w:ilvl="0">
      <w:lvlJc w:val="left"/>
      <w:lvlText w:val="(%1)"/>
      <w:numFmt w:val="lowerLetter"/>
      <w:start w:val="20"/>
    </w:lvl>
  </w:abstractNum>
  <w:abstractNum w:abstractNumId="65">
    <w:nsid w:val="94211F2"/>
    <w:multiLevelType w:val="hybridMultilevel"/>
    <w:lvl w:ilvl="0">
      <w:lvlJc w:val="left"/>
      <w:lvlText w:val="(%1)"/>
      <w:numFmt w:val="lowerLetter"/>
      <w:start w:val="21"/>
    </w:lvl>
  </w:abstractNum>
  <w:abstractNum w:abstractNumId="66">
    <w:nsid w:val="885E1B"/>
    <w:multiLevelType w:val="hybridMultilevel"/>
    <w:lvl w:ilvl="0">
      <w:lvlJc w:val="left"/>
      <w:lvlText w:val="(%1)"/>
      <w:numFmt w:val="lowerRoman"/>
      <w:start w:val="5"/>
    </w:lvl>
  </w:abstractNum>
  <w:abstractNum w:abstractNumId="67">
    <w:nsid w:val="76272110"/>
    <w:multiLevelType w:val="hybridMultilevel"/>
    <w:lvl w:ilvl="0">
      <w:lvlJc w:val="left"/>
      <w:lvlText w:val="(%1)"/>
      <w:numFmt w:val="lowerLetter"/>
      <w:start w:val="23"/>
    </w:lvl>
  </w:abstractNum>
  <w:abstractNum w:abstractNumId="68">
    <w:nsid w:val="4C04A8AF"/>
    <w:multiLevelType w:val="hybridMultilevel"/>
    <w:lvl w:ilvl="0">
      <w:lvlJc w:val="left"/>
      <w:lvlText w:val="(%1)"/>
      <w:numFmt w:val="lowerRoman"/>
      <w:start w:val="10"/>
    </w:lvl>
  </w:abstractNum>
  <w:abstractNum w:abstractNumId="69">
    <w:nsid w:val="1716703B"/>
    <w:multiLevelType w:val="hybridMultilevel"/>
    <w:lvl w:ilvl="0">
      <w:lvlJc w:val="left"/>
      <w:lvlText w:val="(%1)"/>
      <w:numFmt w:val="lowerLetter"/>
      <w:start w:val="25"/>
    </w:lvl>
  </w:abstractNum>
  <w:abstractNum w:abstractNumId="70">
    <w:nsid w:val="14E17E33"/>
    <w:multiLevelType w:val="hybridMultilevel"/>
    <w:lvl w:ilvl="0">
      <w:lvlJc w:val="left"/>
      <w:lvlText w:val="(%1)"/>
      <w:numFmt w:val="lowerLetter"/>
      <w:start w:val="26"/>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lowerLetter"/>
      <w:start w:val="27"/>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decimal"/>
      <w:start w:val="1"/>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2"/>
    </w:lvl>
  </w:abstractNum>
  <w:abstractNum w:abstractNumId="78">
    <w:nsid w:val="57FC4FBB"/>
    <w:multiLevelType w:val="hybridMultilevel"/>
    <w:lvl w:ilvl="0">
      <w:lvlJc w:val="left"/>
      <w:lvlText w:val="(%1)"/>
      <w:numFmt w:val="lowerLetter"/>
      <w:start w:val="3"/>
    </w:lvl>
  </w:abstractNum>
  <w:abstractNum w:abstractNumId="79">
    <w:nsid w:val="CC1016F"/>
    <w:multiLevelType w:val="hybridMultilevel"/>
    <w:lvl w:ilvl="0">
      <w:lvlJc w:val="left"/>
      <w:lvlText w:val="(%1)"/>
      <w:numFmt w:val="lowerLetter"/>
      <w:start w:val="4"/>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decimal"/>
      <w:start w:val="1"/>
    </w:lvl>
  </w:abstractNum>
  <w:abstractNum w:abstractNumId="82">
    <w:nsid w:val="26F324BA"/>
    <w:multiLevelType w:val="hybridMultilevel"/>
    <w:lvl w:ilvl="0">
      <w:lvlJc w:val="left"/>
      <w:lvlText w:val="(%1)"/>
      <w:numFmt w:val="lowerRoman"/>
      <w:start w:val="2"/>
    </w:lvl>
  </w:abstractNum>
  <w:abstractNum w:abstractNumId="83">
    <w:nsid w:val="7F01579B"/>
    <w:multiLevelType w:val="hybridMultilevel"/>
    <w:lvl w:ilvl="0">
      <w:lvlJc w:val="left"/>
      <w:lvlText w:val="(%1)"/>
      <w:numFmt w:val="lowerLetter"/>
      <w:start w:val="2"/>
    </w:lvl>
  </w:abstractNum>
  <w:abstractNum w:abstractNumId="84">
    <w:nsid w:val="49DA307D"/>
    <w:multiLevelType w:val="hybridMultilevel"/>
    <w:lvl w:ilvl="0">
      <w:lvlJc w:val="left"/>
      <w:lvlText w:val="(%1)"/>
      <w:numFmt w:val="lowerLetter"/>
      <w:start w:val="3"/>
    </w:lvl>
  </w:abstractNum>
  <w:abstractNum w:abstractNumId="85">
    <w:nsid w:val="7055A5F5"/>
    <w:multiLevelType w:val="hybridMultilevel"/>
    <w:lvl w:ilvl="0">
      <w:lvlJc w:val="left"/>
      <w:lvlText w:val="(%1)"/>
      <w:numFmt w:val="lowerLetter"/>
      <w:start w:val="4"/>
    </w:lvl>
  </w:abstractNum>
  <w:abstractNum w:abstractNumId="86">
    <w:nsid w:val="5FB8370B"/>
    <w:multiLevelType w:val="hybridMultilevel"/>
    <w:lvl w:ilvl="0">
      <w:lvlJc w:val="left"/>
      <w:lvlText w:val="(%1)"/>
      <w:numFmt w:val="lowerLetter"/>
      <w:start w:val="5"/>
    </w:lvl>
  </w:abstractNum>
  <w:abstractNum w:abstractNumId="87">
    <w:nsid w:val="50801EE1"/>
    <w:multiLevelType w:val="hybridMultilevel"/>
    <w:lvl w:ilvl="0">
      <w:lvlJc w:val="left"/>
      <w:lvlText w:val="%1."/>
      <w:numFmt w:val="decimal"/>
      <w:start w:val="12"/>
    </w:lvl>
  </w:abstractNum>
  <w:abstractNum w:abstractNumId="88">
    <w:nsid w:val="488AC1A"/>
    <w:multiLevelType w:val="hybridMultilevel"/>
    <w:lvl w:ilvl="0">
      <w:lvlJc w:val="left"/>
      <w:lvlText w:val="%1"/>
      <w:numFmt w:val="decimal"/>
      <w:start w:val="1"/>
    </w:lvl>
    <w:lvl w:ilvl="1">
      <w:lvlJc w:val="left"/>
      <w:lvlText w:val="(%2)"/>
      <w:numFmt w:val="decimal"/>
      <w:start w:val="1"/>
    </w:lvl>
  </w:abstractNum>
  <w:abstractNum w:abstractNumId="89">
    <w:nsid w:val="5FB8011C"/>
    <w:multiLevelType w:val="hybridMultilevel"/>
    <w:lvl w:ilvl="0">
      <w:lvlJc w:val="left"/>
      <w:lvlText w:val="%1."/>
      <w:numFmt w:val="decimal"/>
      <w:start w:val="14"/>
    </w:lvl>
    <w:lvl w:ilvl="1">
      <w:lvlJc w:val="left"/>
      <w:lvlText w:val="%2"/>
      <w:numFmt w:val="decimal"/>
      <w:start w:val="1"/>
    </w:lvl>
  </w:abstractNum>
  <w:abstractNum w:abstractNumId="90">
    <w:nsid w:val="6AA78F7F"/>
    <w:multiLevelType w:val="hybridMultilevel"/>
    <w:lvl w:ilvl="0">
      <w:lvlJc w:val="left"/>
      <w:lvlText w:val="(%1)"/>
      <w:numFmt w:val="decimal"/>
      <w:start w:val="2"/>
    </w:lvl>
  </w:abstractNum>
  <w:abstractNum w:abstractNumId="91">
    <w:nsid w:val="7672BD23"/>
    <w:multiLevelType w:val="hybridMultilevel"/>
    <w:lvl w:ilvl="0">
      <w:lvlJc w:val="left"/>
      <w:lvlText w:val="(%1)"/>
      <w:numFmt w:val="decimal"/>
      <w:start w:val="5"/>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2"/>
    </w:lvl>
  </w:abstractNum>
  <w:abstractNum w:abstractNumId="94">
    <w:nsid w:val="7D5E18F8"/>
    <w:multiLevelType w:val="hybridMultilevel"/>
    <w:lvl w:ilvl="0">
      <w:lvlJc w:val="left"/>
      <w:lvlText w:val="(%1)"/>
      <w:numFmt w:val="lowerLetter"/>
      <w:start w:val="3"/>
    </w:lvl>
  </w:abstractNum>
  <w:abstractNum w:abstractNumId="95">
    <w:nsid w:val="5F3534A4"/>
    <w:multiLevelType w:val="hybridMultilevel"/>
    <w:lvl w:ilvl="0">
      <w:lvlJc w:val="left"/>
      <w:lvlText w:val="(%1)"/>
      <w:numFmt w:val="lowerLetter"/>
      <w:start w:val="4"/>
    </w:lvl>
  </w:abstractNum>
  <w:abstractNum w:abstractNumId="96">
    <w:nsid w:val="73A1821B"/>
    <w:multiLevelType w:val="hybridMultilevel"/>
    <w:lvl w:ilvl="0">
      <w:lvlJc w:val="left"/>
      <w:lvlText w:val="(%1)"/>
      <w:numFmt w:val="lowerLetter"/>
      <w:start w:val="5"/>
    </w:lvl>
  </w:abstractNum>
  <w:abstractNum w:abstractNumId="97">
    <w:nsid w:val="7DE67713"/>
    <w:multiLevelType w:val="hybridMultilevel"/>
    <w:lvl w:ilvl="0">
      <w:lvlJc w:val="left"/>
      <w:lvlText w:val="(%1)"/>
      <w:numFmt w:val="lowerLetter"/>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decimal"/>
      <w:start w:val="2"/>
    </w:lvl>
  </w:abstractNum>
  <w:abstractNum w:abstractNumId="100">
    <w:nsid w:val="14FCE74E"/>
    <w:multiLevelType w:val="hybridMultilevel"/>
    <w:lvl w:ilvl="0">
      <w:lvlJc w:val="left"/>
      <w:lvlText w:val="%1."/>
      <w:numFmt w:val="decimal"/>
      <w:start w:val="3"/>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
      <w:numFmt w:val="bullet"/>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74" Type="http://schemas.openxmlformats.org/officeDocument/2006/relationships/hyperlink" Target="http://www.sec.gov/Archives/edgar/data/1447669/000104746916013776/a2228886zex-3_1.htm" TargetMode="External"/><Relationship Id="rId175" Type="http://schemas.openxmlformats.org/officeDocument/2006/relationships/hyperlink" Target="http://www.sec.gov/Archives/edgar/data/1447669/000104746916013776/a2228886zex-3_3.htm" TargetMode="External"/><Relationship Id="rId176" Type="http://schemas.openxmlformats.org/officeDocument/2006/relationships/hyperlink" Target="http://www.sec.gov/Archives/edgar/data/1447669/000104746916013448/a2227414zex-4_1.htm" TargetMode="External"/><Relationship Id="rId177" Type="http://schemas.openxmlformats.org/officeDocument/2006/relationships/hyperlink" Target="http://www.sec.gov/Archives/edgar/data/1447669/000104746916013448/a2227414zex-4_2.htm" TargetMode="External"/><Relationship Id="rId178" Type="http://schemas.openxmlformats.org/officeDocument/2006/relationships/hyperlink" Target="http://www.sec.gov/Archives/edgar/data/1447669/000104746916013776/a2228886zex-10_1.htm" TargetMode="External"/><Relationship Id="rId179" Type="http://schemas.openxmlformats.org/officeDocument/2006/relationships/hyperlink" Target="http://www.sec.gov/Archives/edgar/data/1447669/000104746916013448/a2227414zex-10_2.htm" TargetMode="External"/><Relationship Id="rId180" Type="http://schemas.openxmlformats.org/officeDocument/2006/relationships/hyperlink" Target="http://www.sec.gov/Archives/edgar/data/1447669/000104746916013448/a2227414zex-10_3.htm" TargetMode="External"/><Relationship Id="rId181" Type="http://schemas.openxmlformats.org/officeDocument/2006/relationships/hyperlink" Target="http://www.sec.gov/Archives/edgar/data/1447669/000104746916013448/a2227414zex-10_6.htm" TargetMode="External"/><Relationship Id="rId182" Type="http://schemas.openxmlformats.org/officeDocument/2006/relationships/hyperlink" Target="http://www.sec.gov/Archives/edgar/data/1447669/000104746916013448/a2227414zex-10_8.htm" TargetMode="External"/><Relationship Id="rId183" Type="http://schemas.openxmlformats.org/officeDocument/2006/relationships/hyperlink" Target="http://www.sec.gov/Archives/edgar/data/1447669/000110465917014048/a17-7474_1ex10d1.htm" TargetMode="External"/><Relationship Id="rId184" Type="http://schemas.openxmlformats.org/officeDocument/2006/relationships/hyperlink" Target="http://www.sec.gov/Archives/edgar/data/1447669/000110465917051125/a17-13281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2020-01-14T13:35:41Z</dcterms:created>
  <dcterms:modified xsi:type="dcterms:W3CDTF">2020-01-14T13:35:41Z</dcterms:modified>
</cp:coreProperties>
</file>