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142240</wp:posOffset>
            </wp:positionV>
            <wp:extent cx="149225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22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160020</wp:posOffset>
            </wp:positionV>
            <wp:extent cx="14922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9225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8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18,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154940</wp:posOffset>
            </wp:positionV>
            <wp:extent cx="14833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336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Twilio Inc.</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142240</wp:posOffset>
            </wp:positionV>
            <wp:extent cx="15862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900" w:type="dxa"/>
        <w:tblCellMar>
          <w:top w:w="0" w:type="dxa"/>
          <w:left w:w="0" w:type="dxa"/>
          <w:bottom w:w="0" w:type="dxa"/>
          <w:right w:w="0" w:type="dxa"/>
        </w:tblCellMar>
      </w:tblPr>
      <w:tr>
        <w:trPr>
          <w:trHeight w:val="234"/>
        </w:trPr>
        <w:tc>
          <w:tcPr>
            <w:tcW w:w="224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Delaware</w:t>
            </w:r>
          </w:p>
        </w:tc>
        <w:tc>
          <w:tcPr>
            <w:tcW w:w="528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001-37806</w:t>
            </w:r>
          </w:p>
        </w:tc>
        <w:tc>
          <w:tcPr>
            <w:tcW w:w="1840" w:type="dxa"/>
            <w:vAlign w:val="bottom"/>
          </w:tcPr>
          <w:p>
            <w:pPr>
              <w:jc w:val="center"/>
              <w:ind w:left="430"/>
              <w:spacing w:after="0"/>
              <w:rPr>
                <w:sz w:val="20"/>
                <w:szCs w:val="20"/>
                <w:color w:val="auto"/>
              </w:rPr>
            </w:pPr>
            <w:r>
              <w:rPr>
                <w:rFonts w:ascii="Arial" w:cs="Arial" w:eastAsia="Arial" w:hAnsi="Arial"/>
                <w:sz w:val="18"/>
                <w:szCs w:val="18"/>
                <w:b w:val="1"/>
                <w:bCs w:val="1"/>
                <w:color w:val="auto"/>
                <w:w w:val="91"/>
              </w:rPr>
              <w:t>26-2574840</w:t>
            </w:r>
          </w:p>
        </w:tc>
      </w:tr>
      <w:tr>
        <w:trPr>
          <w:trHeight w:val="256"/>
        </w:trPr>
        <w:tc>
          <w:tcPr>
            <w:tcW w:w="2240" w:type="dxa"/>
            <w:vAlign w:val="bottom"/>
          </w:tcPr>
          <w:p>
            <w:pPr>
              <w:jc w:val="center"/>
              <w:ind w:right="270"/>
              <w:spacing w:after="0"/>
              <w:rPr>
                <w:sz w:val="20"/>
                <w:szCs w:val="20"/>
                <w:color w:val="auto"/>
              </w:rPr>
            </w:pPr>
            <w:r>
              <w:rPr>
                <w:rFonts w:ascii="Arial" w:cs="Arial" w:eastAsia="Arial" w:hAnsi="Arial"/>
                <w:sz w:val="18"/>
                <w:szCs w:val="18"/>
                <w:color w:val="auto"/>
                <w:w w:val="91"/>
              </w:rPr>
              <w:t>(State or other jurisdiction</w:t>
            </w:r>
          </w:p>
        </w:tc>
        <w:tc>
          <w:tcPr>
            <w:tcW w:w="5280" w:type="dxa"/>
            <w:vAlign w:val="bottom"/>
          </w:tcPr>
          <w:p>
            <w:pPr>
              <w:jc w:val="center"/>
              <w:ind w:right="10"/>
              <w:spacing w:after="0"/>
              <w:rPr>
                <w:sz w:val="20"/>
                <w:szCs w:val="20"/>
                <w:color w:val="auto"/>
              </w:rPr>
            </w:pPr>
            <w:r>
              <w:rPr>
                <w:rFonts w:ascii="Arial" w:cs="Arial" w:eastAsia="Arial" w:hAnsi="Arial"/>
                <w:sz w:val="18"/>
                <w:szCs w:val="18"/>
                <w:color w:val="auto"/>
                <w:w w:val="93"/>
              </w:rPr>
              <w:t>(Commission</w:t>
            </w:r>
          </w:p>
        </w:tc>
        <w:tc>
          <w:tcPr>
            <w:tcW w:w="1840" w:type="dxa"/>
            <w:vAlign w:val="bottom"/>
          </w:tcPr>
          <w:p>
            <w:pPr>
              <w:jc w:val="center"/>
              <w:ind w:left="410"/>
              <w:spacing w:after="0"/>
              <w:rPr>
                <w:sz w:val="20"/>
                <w:szCs w:val="20"/>
                <w:color w:val="auto"/>
              </w:rPr>
            </w:pPr>
            <w:r>
              <w:rPr>
                <w:rFonts w:ascii="Arial" w:cs="Arial" w:eastAsia="Arial" w:hAnsi="Arial"/>
                <w:sz w:val="18"/>
                <w:szCs w:val="18"/>
                <w:color w:val="auto"/>
                <w:w w:val="93"/>
              </w:rPr>
              <w:t>(IRS Employer</w:t>
            </w:r>
          </w:p>
        </w:tc>
      </w:tr>
      <w:tr>
        <w:trPr>
          <w:trHeight w:val="230"/>
        </w:trPr>
        <w:tc>
          <w:tcPr>
            <w:tcW w:w="2240" w:type="dxa"/>
            <w:vAlign w:val="bottom"/>
          </w:tcPr>
          <w:p>
            <w:pPr>
              <w:jc w:val="center"/>
              <w:ind w:right="270"/>
              <w:spacing w:after="0"/>
              <w:rPr>
                <w:sz w:val="20"/>
                <w:szCs w:val="20"/>
                <w:color w:val="auto"/>
              </w:rPr>
            </w:pPr>
            <w:r>
              <w:rPr>
                <w:rFonts w:ascii="Arial" w:cs="Arial" w:eastAsia="Arial" w:hAnsi="Arial"/>
                <w:sz w:val="18"/>
                <w:szCs w:val="18"/>
                <w:color w:val="auto"/>
                <w:w w:val="95"/>
              </w:rPr>
              <w:t>of incorporation)</w:t>
            </w:r>
          </w:p>
        </w:tc>
        <w:tc>
          <w:tcPr>
            <w:tcW w:w="5280" w:type="dxa"/>
            <w:vAlign w:val="bottom"/>
          </w:tcPr>
          <w:p>
            <w:pPr>
              <w:jc w:val="center"/>
              <w:ind w:right="10"/>
              <w:spacing w:after="0"/>
              <w:rPr>
                <w:sz w:val="20"/>
                <w:szCs w:val="20"/>
                <w:color w:val="auto"/>
              </w:rPr>
            </w:pPr>
            <w:r>
              <w:rPr>
                <w:rFonts w:ascii="Arial" w:cs="Arial" w:eastAsia="Arial" w:hAnsi="Arial"/>
                <w:sz w:val="18"/>
                <w:szCs w:val="18"/>
                <w:color w:val="auto"/>
                <w:w w:val="94"/>
              </w:rPr>
              <w:t>File Number)</w:t>
            </w:r>
          </w:p>
        </w:tc>
        <w:tc>
          <w:tcPr>
            <w:tcW w:w="1840" w:type="dxa"/>
            <w:vAlign w:val="bottom"/>
          </w:tcPr>
          <w:p>
            <w:pPr>
              <w:jc w:val="center"/>
              <w:ind w:left="4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240" w:type="dxa"/>
            <w:vAlign w:val="bottom"/>
          </w:tcPr>
          <w:p>
            <w:pPr>
              <w:spacing w:after="0"/>
              <w:rPr>
                <w:sz w:val="24"/>
                <w:szCs w:val="24"/>
                <w:color w:val="auto"/>
              </w:rPr>
            </w:pPr>
          </w:p>
        </w:tc>
        <w:tc>
          <w:tcPr>
            <w:tcW w:w="52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375 Beale Street, Suite 300</w:t>
            </w:r>
          </w:p>
        </w:tc>
        <w:tc>
          <w:tcPr>
            <w:tcW w:w="1840" w:type="dxa"/>
            <w:vAlign w:val="bottom"/>
          </w:tcPr>
          <w:p>
            <w:pPr>
              <w:spacing w:after="0"/>
              <w:rPr>
                <w:sz w:val="24"/>
                <w:szCs w:val="24"/>
                <w:color w:val="auto"/>
              </w:rPr>
            </w:pPr>
          </w:p>
        </w:tc>
      </w:tr>
      <w:tr>
        <w:trPr>
          <w:trHeight w:val="220"/>
        </w:trPr>
        <w:tc>
          <w:tcPr>
            <w:tcW w:w="2240" w:type="dxa"/>
            <w:vAlign w:val="bottom"/>
          </w:tcPr>
          <w:p>
            <w:pPr>
              <w:spacing w:after="0"/>
              <w:rPr>
                <w:sz w:val="19"/>
                <w:szCs w:val="19"/>
                <w:color w:val="auto"/>
              </w:rPr>
            </w:pPr>
          </w:p>
        </w:tc>
        <w:tc>
          <w:tcPr>
            <w:tcW w:w="52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San Francisco, California 94105</w:t>
            </w:r>
          </w:p>
        </w:tc>
        <w:tc>
          <w:tcPr>
            <w:tcW w:w="1840" w:type="dxa"/>
            <w:vAlign w:val="bottom"/>
          </w:tcPr>
          <w:p>
            <w:pPr>
              <w:spacing w:after="0"/>
              <w:rPr>
                <w:sz w:val="19"/>
                <w:szCs w:val="19"/>
                <w:color w:val="auto"/>
              </w:rPr>
            </w:pPr>
          </w:p>
        </w:tc>
      </w:tr>
      <w:tr>
        <w:trPr>
          <w:trHeight w:val="230"/>
        </w:trPr>
        <w:tc>
          <w:tcPr>
            <w:tcW w:w="224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Arial" w:cs="Arial" w:eastAsia="Arial" w:hAnsi="Arial"/>
                <w:sz w:val="18"/>
                <w:szCs w:val="18"/>
                <w:color w:val="auto"/>
                <w:w w:val="92"/>
              </w:rPr>
              <w:t>(Address of principal executive offices) (Zip Code)</w:t>
            </w:r>
          </w:p>
        </w:tc>
        <w:tc>
          <w:tcPr>
            <w:tcW w:w="1840" w:type="dxa"/>
            <w:vAlign w:val="bottom"/>
          </w:tcPr>
          <w:p>
            <w:pPr>
              <w:spacing w:after="0"/>
              <w:rPr>
                <w:sz w:val="20"/>
                <w:szCs w:val="20"/>
                <w:color w:val="auto"/>
              </w:rPr>
            </w:pPr>
          </w:p>
        </w:tc>
      </w:tr>
      <w:tr>
        <w:trPr>
          <w:trHeight w:val="391"/>
        </w:trPr>
        <w:tc>
          <w:tcPr>
            <w:tcW w:w="2240" w:type="dxa"/>
            <w:vAlign w:val="bottom"/>
          </w:tcPr>
          <w:p>
            <w:pPr>
              <w:spacing w:after="0"/>
              <w:rPr>
                <w:sz w:val="24"/>
                <w:szCs w:val="24"/>
                <w:color w:val="auto"/>
              </w:rPr>
            </w:pPr>
          </w:p>
        </w:tc>
        <w:tc>
          <w:tcPr>
            <w:tcW w:w="52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(415) 390-2337</w:t>
            </w:r>
          </w:p>
        </w:tc>
        <w:tc>
          <w:tcPr>
            <w:tcW w:w="1840" w:type="dxa"/>
            <w:vAlign w:val="bottom"/>
          </w:tcPr>
          <w:p>
            <w:pPr>
              <w:spacing w:after="0"/>
              <w:rPr>
                <w:sz w:val="24"/>
                <w:szCs w:val="24"/>
                <w:color w:val="auto"/>
              </w:rPr>
            </w:pPr>
          </w:p>
        </w:tc>
      </w:tr>
      <w:tr>
        <w:trPr>
          <w:trHeight w:val="230"/>
        </w:trPr>
        <w:tc>
          <w:tcPr>
            <w:tcW w:w="224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Arial" w:cs="Arial" w:eastAsia="Arial" w:hAnsi="Arial"/>
                <w:sz w:val="18"/>
                <w:szCs w:val="18"/>
                <w:color w:val="auto"/>
                <w:w w:val="90"/>
              </w:rPr>
              <w:t>(Registrant’s telephone number, including area code)</w:t>
            </w:r>
          </w:p>
        </w:tc>
        <w:tc>
          <w:tcPr>
            <w:tcW w:w="1840" w:type="dxa"/>
            <w:vAlign w:val="bottom"/>
          </w:tcPr>
          <w:p>
            <w:pPr>
              <w:spacing w:after="0"/>
              <w:rPr>
                <w:sz w:val="20"/>
                <w:szCs w:val="20"/>
                <w:color w:val="auto"/>
              </w:rPr>
            </w:pPr>
          </w:p>
        </w:tc>
      </w:tr>
      <w:tr>
        <w:trPr>
          <w:trHeight w:val="391"/>
        </w:trPr>
        <w:tc>
          <w:tcPr>
            <w:tcW w:w="2240" w:type="dxa"/>
            <w:vAlign w:val="bottom"/>
          </w:tcPr>
          <w:p>
            <w:pPr>
              <w:spacing w:after="0"/>
              <w:rPr>
                <w:sz w:val="24"/>
                <w:szCs w:val="24"/>
                <w:color w:val="auto"/>
              </w:rPr>
            </w:pPr>
          </w:p>
        </w:tc>
        <w:tc>
          <w:tcPr>
            <w:tcW w:w="52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Not applicable</w:t>
            </w:r>
          </w:p>
        </w:tc>
        <w:tc>
          <w:tcPr>
            <w:tcW w:w="1840" w:type="dxa"/>
            <w:vAlign w:val="bottom"/>
          </w:tcPr>
          <w:p>
            <w:pPr>
              <w:spacing w:after="0"/>
              <w:rPr>
                <w:sz w:val="24"/>
                <w:szCs w:val="24"/>
                <w:color w:val="auto"/>
              </w:rPr>
            </w:pPr>
          </w:p>
        </w:tc>
      </w:tr>
      <w:tr>
        <w:trPr>
          <w:trHeight w:val="230"/>
        </w:trPr>
        <w:tc>
          <w:tcPr>
            <w:tcW w:w="224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18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205740</wp:posOffset>
            </wp:positionV>
            <wp:extent cx="15862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06" w:lineRule="exact"/>
        <w:rPr>
          <w:sz w:val="24"/>
          <w:szCs w:val="24"/>
          <w:color w:val="auto"/>
        </w:rPr>
      </w:pPr>
    </w:p>
    <w:p>
      <w:pPr>
        <w:ind w:left="460" w:hanging="425"/>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73" w:lineRule="exact"/>
        <w:rPr>
          <w:rFonts w:ascii="Arial" w:cs="Arial" w:eastAsia="Arial" w:hAnsi="Arial"/>
          <w:sz w:val="18"/>
          <w:szCs w:val="18"/>
          <w:color w:val="auto"/>
        </w:rPr>
      </w:pPr>
    </w:p>
    <w:p>
      <w:pPr>
        <w:ind w:left="460" w:hanging="425"/>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73" w:lineRule="exact"/>
        <w:rPr>
          <w:rFonts w:ascii="Arial" w:cs="Arial" w:eastAsia="Arial" w:hAnsi="Arial"/>
          <w:sz w:val="18"/>
          <w:szCs w:val="18"/>
          <w:color w:val="auto"/>
        </w:rPr>
      </w:pPr>
    </w:p>
    <w:p>
      <w:pPr>
        <w:ind w:left="460" w:hanging="425"/>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73" w:lineRule="exact"/>
        <w:rPr>
          <w:rFonts w:ascii="Arial" w:cs="Arial" w:eastAsia="Arial" w:hAnsi="Arial"/>
          <w:sz w:val="18"/>
          <w:szCs w:val="18"/>
          <w:color w:val="auto"/>
        </w:rPr>
      </w:pPr>
    </w:p>
    <w:p>
      <w:pPr>
        <w:ind w:right="2880" w:firstLine="35"/>
        <w:spacing w:after="0" w:line="506" w:lineRule="auto"/>
        <w:tabs>
          <w:tab w:leader="none" w:pos="446"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280" w:type="dxa"/>
        <w:tblCellMar>
          <w:top w:w="0" w:type="dxa"/>
          <w:left w:w="0" w:type="dxa"/>
          <w:bottom w:w="0" w:type="dxa"/>
          <w:right w:w="0" w:type="dxa"/>
        </w:tblCellMar>
      </w:tblPr>
      <w:tr>
        <w:trPr>
          <w:trHeight w:val="234"/>
        </w:trPr>
        <w:tc>
          <w:tcPr>
            <w:tcW w:w="5140" w:type="dxa"/>
            <w:vAlign w:val="bottom"/>
            <w:gridSpan w:val="2"/>
          </w:tcPr>
          <w:p>
            <w:pPr>
              <w:ind w:left="1820"/>
              <w:spacing w:after="0"/>
              <w:rPr>
                <w:sz w:val="20"/>
                <w:szCs w:val="20"/>
                <w:color w:val="auto"/>
              </w:rPr>
            </w:pPr>
            <w:r>
              <w:rPr>
                <w:rFonts w:ascii="Arial" w:cs="Arial" w:eastAsia="Arial" w:hAnsi="Arial"/>
                <w:sz w:val="18"/>
                <w:szCs w:val="18"/>
                <w:b w:val="1"/>
                <w:bCs w:val="1"/>
                <w:color w:val="auto"/>
              </w:rPr>
              <w:t>Title of each class</w:t>
            </w: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3920" w:type="dxa"/>
            <w:vAlign w:val="bottom"/>
          </w:tcPr>
          <w:p>
            <w:pPr>
              <w:jc w:val="center"/>
              <w:ind w:left="5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81"/>
        </w:trPr>
        <w:tc>
          <w:tcPr>
            <w:tcW w:w="50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920" w:type="dxa"/>
            <w:vAlign w:val="bottom"/>
            <w:tcBorders>
              <w:bottom w:val="single" w:sz="8" w:color="auto"/>
            </w:tcBorders>
          </w:tcPr>
          <w:p>
            <w:pPr>
              <w:spacing w:after="0"/>
              <w:rPr>
                <w:sz w:val="7"/>
                <w:szCs w:val="7"/>
                <w:color w:val="auto"/>
              </w:rPr>
            </w:pPr>
          </w:p>
        </w:tc>
      </w:tr>
      <w:tr>
        <w:trPr>
          <w:trHeight w:val="237"/>
        </w:trPr>
        <w:tc>
          <w:tcPr>
            <w:tcW w:w="5140" w:type="dxa"/>
            <w:vAlign w:val="bottom"/>
            <w:gridSpan w:val="2"/>
          </w:tcPr>
          <w:p>
            <w:pPr>
              <w:ind w:left="600"/>
              <w:spacing w:after="0"/>
              <w:rPr>
                <w:sz w:val="20"/>
                <w:szCs w:val="20"/>
                <w:color w:val="auto"/>
              </w:rPr>
            </w:pPr>
            <w:r>
              <w:rPr>
                <w:rFonts w:ascii="Arial" w:cs="Arial" w:eastAsia="Arial" w:hAnsi="Arial"/>
                <w:sz w:val="18"/>
                <w:szCs w:val="18"/>
                <w:b w:val="1"/>
                <w:bCs w:val="1"/>
                <w:color w:val="auto"/>
              </w:rPr>
              <w:t>Class A Common Stock, par value $0.001 per share</w:t>
            </w:r>
          </w:p>
        </w:tc>
        <w:tc>
          <w:tcPr>
            <w:tcW w:w="1820" w:type="dxa"/>
            <w:vAlign w:val="bottom"/>
            <w:gridSpan w:val="2"/>
          </w:tcPr>
          <w:p>
            <w:pPr>
              <w:jc w:val="center"/>
              <w:spacing w:after="0"/>
              <w:rPr>
                <w:sz w:val="20"/>
                <w:szCs w:val="20"/>
                <w:color w:val="auto"/>
              </w:rPr>
            </w:pPr>
            <w:r>
              <w:rPr>
                <w:rFonts w:ascii="Arial" w:cs="Arial" w:eastAsia="Arial" w:hAnsi="Arial"/>
                <w:sz w:val="18"/>
                <w:szCs w:val="18"/>
                <w:b w:val="1"/>
                <w:bCs w:val="1"/>
                <w:color w:val="auto"/>
              </w:rPr>
              <w:t>TWLO</w:t>
            </w:r>
          </w:p>
        </w:tc>
        <w:tc>
          <w:tcPr>
            <w:tcW w:w="392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The New York Stock Exchange</w:t>
            </w:r>
          </w:p>
        </w:tc>
      </w:tr>
    </w:tbl>
    <w:p>
      <w:pPr>
        <w:spacing w:after="0" w:line="200" w:lineRule="exact"/>
        <w:rPr>
          <w:sz w:val="24"/>
          <w:szCs w:val="24"/>
          <w:color w:val="auto"/>
        </w:rPr>
      </w:pPr>
    </w:p>
    <w:p>
      <w:pPr>
        <w:spacing w:after="0" w:line="299" w:lineRule="exact"/>
        <w:rPr>
          <w:sz w:val="24"/>
          <w:szCs w:val="24"/>
          <w:color w:val="auto"/>
        </w:rPr>
      </w:pPr>
    </w:p>
    <w:p>
      <w:pPr>
        <w:ind w:left="60" w:right="6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 w:lineRule="exact"/>
        <w:rPr>
          <w:sz w:val="24"/>
          <w:szCs w:val="24"/>
          <w:color w:val="auto"/>
        </w:rPr>
      </w:pPr>
    </w:p>
    <w:p>
      <w:pPr>
        <w:jc w:val="right"/>
        <w:spacing w:after="0"/>
        <w:tabs>
          <w:tab w:leader="none" w:pos="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7"/>
          <w:szCs w:val="17"/>
          <w:color w:val="auto"/>
        </w:rPr>
        <w:t>o</w:t>
      </w:r>
    </w:p>
    <w:p>
      <w:pPr>
        <w:spacing w:after="0" w:line="200" w:lineRule="exact"/>
        <w:rPr>
          <w:sz w:val="24"/>
          <w:szCs w:val="24"/>
          <w:color w:val="auto"/>
        </w:rPr>
      </w:pPr>
    </w:p>
    <w:p>
      <w:pPr>
        <w:spacing w:after="0" w:line="376" w:lineRule="exact"/>
        <w:rPr>
          <w:sz w:val="24"/>
          <w:szCs w:val="24"/>
          <w:color w:val="auto"/>
        </w:rPr>
      </w:pPr>
    </w:p>
    <w:p>
      <w:pPr>
        <w:ind w:left="60" w:right="60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203200</wp:posOffset>
            </wp:positionV>
            <wp:extent cx="72205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058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220345</wp:posOffset>
            </wp:positionV>
            <wp:extent cx="72205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0585" cy="8890"/>
                    </a:xfrm>
                    <a:prstGeom prst="rect">
                      <a:avLst/>
                    </a:prstGeom>
                    <a:noFill/>
                  </pic:spPr>
                </pic:pic>
              </a:graphicData>
            </a:graphic>
          </wp:anchor>
        </w:drawing>
      </w:r>
    </w:p>
    <w:p>
      <w:pPr>
        <w:sectPr>
          <w:pgSz w:w="11900" w:h="16838" w:orient="portrait"/>
          <w:cols w:equalWidth="0" w:num="1">
            <w:col w:w="11380"/>
          </w:cols>
          <w:pgMar w:left="240" w:top="837" w:right="279" w:bottom="72" w:gutter="0" w:footer="0" w:header="0"/>
        </w:sectPr>
      </w:pPr>
    </w:p>
    <w:bookmarkStart w:id="1" w:name="page2"/>
    <w:bookmarkEnd w:id="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10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36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On June 18, 2019, the Company held its 2019 Annual Meeting of Stockholders (the “</w:t>
      </w:r>
      <w:r>
        <w:rPr>
          <w:rFonts w:ascii="Arial" w:cs="Arial" w:eastAsia="Arial" w:hAnsi="Arial"/>
          <w:sz w:val="16"/>
          <w:szCs w:val="16"/>
          <w:b w:val="1"/>
          <w:bCs w:val="1"/>
          <w:color w:val="auto"/>
        </w:rPr>
        <w:t>Meeting</w:t>
      </w:r>
      <w:r>
        <w:rPr>
          <w:rFonts w:ascii="Arial" w:cs="Arial" w:eastAsia="Arial" w:hAnsi="Arial"/>
          <w:sz w:val="16"/>
          <w:szCs w:val="16"/>
          <w:color w:val="auto"/>
        </w:rPr>
        <w:t>”). The Company’s stockholders voted on three proposals at the Meeting, each of which is described in more detail in the Company’s definitive proxy statement filed with the Securities and Exchange Commission on April 26, 2019. Holders of the Company’s Class A Common Stock were entitled to one vote for each share held as of the close of business on April 22, 2019 (the “</w:t>
      </w:r>
      <w:r>
        <w:rPr>
          <w:rFonts w:ascii="Arial" w:cs="Arial" w:eastAsia="Arial" w:hAnsi="Arial"/>
          <w:sz w:val="16"/>
          <w:szCs w:val="16"/>
          <w:b w:val="1"/>
          <w:bCs w:val="1"/>
          <w:color w:val="auto"/>
        </w:rPr>
        <w:t>Record Date</w:t>
      </w:r>
      <w:r>
        <w:rPr>
          <w:rFonts w:ascii="Arial" w:cs="Arial" w:eastAsia="Arial" w:hAnsi="Arial"/>
          <w:sz w:val="16"/>
          <w:szCs w:val="16"/>
          <w:color w:val="auto"/>
        </w:rPr>
        <w:t>”) and holders of the Company’s Class B Common Stock were entitled to ten votes for each share held as of the close of business on the Record Date. The Class A Common Stock and Class B Common Stock voted as a single class on all matters. Present at the Meeting in person or by proxy were holders of 109,409,474 shares of Class A and Class B Common Stock, together representing a total of 206,693,858 votes, or more than 76.4% of the eligible votes as of the Record Date, and constituting a quorum. The final results with respect to each such proposal are set forth below:</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 Election of Directors.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stockholders elected each of the two persons named below as Class III directors to serve until the 2022 annual meeting of stockholders and until their successors are duly elected and qualified. The results of such vote were:</w:t>
      </w:r>
    </w:p>
    <w:p>
      <w:pPr>
        <w:spacing w:after="0" w:line="200" w:lineRule="exact"/>
        <w:rPr>
          <w:sz w:val="20"/>
          <w:szCs w:val="20"/>
          <w:color w:val="auto"/>
        </w:rPr>
      </w:pPr>
    </w:p>
    <w:p>
      <w:pPr>
        <w:spacing w:after="0" w:line="232" w:lineRule="exact"/>
        <w:rPr>
          <w:sz w:val="20"/>
          <w:szCs w:val="20"/>
          <w:color w:val="auto"/>
        </w:rPr>
      </w:pPr>
    </w:p>
    <w:tbl>
      <w:tblPr>
        <w:tblLayout w:type="fixed"/>
        <w:tblInd w:w="1880" w:type="dxa"/>
        <w:tblCellMar>
          <w:top w:w="0" w:type="dxa"/>
          <w:left w:w="0" w:type="dxa"/>
          <w:bottom w:w="0" w:type="dxa"/>
          <w:right w:w="0" w:type="dxa"/>
        </w:tblCellMar>
      </w:tblPr>
      <w:tr>
        <w:trPr>
          <w:trHeight w:val="192"/>
        </w:trPr>
        <w:tc>
          <w:tcPr>
            <w:tcW w:w="14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Director Nominee</w:t>
            </w:r>
          </w:p>
        </w:tc>
        <w:tc>
          <w:tcPr>
            <w:tcW w:w="74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Votes For</w:t>
            </w:r>
          </w:p>
        </w:tc>
        <w:tc>
          <w:tcPr>
            <w:tcW w:w="4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Votes Withheld</w:t>
            </w:r>
          </w:p>
        </w:tc>
        <w:tc>
          <w:tcPr>
            <w:tcW w:w="3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63"/>
        </w:trPr>
        <w:tc>
          <w:tcPr>
            <w:tcW w:w="2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Elena Donio</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166,309,683</w:t>
            </w:r>
          </w:p>
        </w:tc>
        <w:tc>
          <w:tcPr>
            <w:tcW w:w="4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rPr>
              <w:t>14,919,797</w:t>
            </w:r>
          </w:p>
        </w:tc>
        <w:tc>
          <w:tcPr>
            <w:tcW w:w="3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25,464,378</w:t>
            </w:r>
          </w:p>
        </w:tc>
      </w:tr>
      <w:tr>
        <w:trPr>
          <w:trHeight w:val="229"/>
        </w:trPr>
        <w:tc>
          <w:tcPr>
            <w:tcW w:w="2200" w:type="dxa"/>
            <w:vAlign w:val="bottom"/>
            <w:gridSpan w:val="2"/>
          </w:tcPr>
          <w:p>
            <w:pPr>
              <w:ind w:left="20"/>
              <w:spacing w:after="0"/>
              <w:rPr>
                <w:sz w:val="20"/>
                <w:szCs w:val="20"/>
                <w:color w:val="auto"/>
              </w:rPr>
            </w:pPr>
            <w:r>
              <w:rPr>
                <w:rFonts w:ascii="Arial" w:cs="Arial" w:eastAsia="Arial" w:hAnsi="Arial"/>
                <w:sz w:val="18"/>
                <w:szCs w:val="18"/>
                <w:color w:val="auto"/>
              </w:rPr>
              <w:t>Donna L.</w:t>
            </w:r>
          </w:p>
        </w:tc>
        <w:tc>
          <w:tcPr>
            <w:tcW w:w="1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2200" w:type="dxa"/>
            <w:vAlign w:val="bottom"/>
            <w:gridSpan w:val="2"/>
          </w:tcPr>
          <w:p>
            <w:pPr>
              <w:ind w:left="20"/>
              <w:spacing w:after="0"/>
              <w:rPr>
                <w:sz w:val="20"/>
                <w:szCs w:val="20"/>
                <w:color w:val="auto"/>
              </w:rPr>
            </w:pPr>
            <w:r>
              <w:rPr>
                <w:rFonts w:ascii="Arial" w:cs="Arial" w:eastAsia="Arial" w:hAnsi="Arial"/>
                <w:sz w:val="18"/>
                <w:szCs w:val="18"/>
                <w:color w:val="auto"/>
              </w:rPr>
              <w:t>Dubinsky</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178,165,217</w:t>
            </w:r>
          </w:p>
        </w:tc>
        <w:tc>
          <w:tcPr>
            <w:tcW w:w="400" w:type="dxa"/>
            <w:vAlign w:val="bottom"/>
          </w:tcPr>
          <w:p>
            <w:pPr>
              <w:spacing w:after="0"/>
              <w:rPr>
                <w:sz w:val="20"/>
                <w:szCs w:val="20"/>
                <w:color w:val="auto"/>
              </w:rPr>
            </w:pPr>
          </w:p>
        </w:tc>
        <w:tc>
          <w:tcPr>
            <w:tcW w:w="1560" w:type="dxa"/>
            <w:vAlign w:val="bottom"/>
          </w:tcPr>
          <w:p>
            <w:pPr>
              <w:jc w:val="right"/>
              <w:ind w:right="336"/>
              <w:spacing w:after="0"/>
              <w:rPr>
                <w:sz w:val="20"/>
                <w:szCs w:val="20"/>
                <w:color w:val="auto"/>
              </w:rPr>
            </w:pPr>
            <w:r>
              <w:rPr>
                <w:rFonts w:ascii="Arial" w:cs="Arial" w:eastAsia="Arial" w:hAnsi="Arial"/>
                <w:sz w:val="18"/>
                <w:szCs w:val="18"/>
                <w:color w:val="auto"/>
              </w:rPr>
              <w:t>3,064,263</w:t>
            </w:r>
          </w:p>
        </w:tc>
        <w:tc>
          <w:tcPr>
            <w:tcW w:w="38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25,464,378</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Proposal 2 - </w:t>
      </w:r>
      <w:r>
        <w:rPr>
          <w:rFonts w:ascii="Arial" w:cs="Arial" w:eastAsia="Arial" w:hAnsi="Arial"/>
          <w:sz w:val="16"/>
          <w:szCs w:val="16"/>
          <w:b w:val="1"/>
          <w:bCs w:val="1"/>
          <w:color w:val="auto"/>
        </w:rPr>
        <w:t>Ratification of Appointment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stockholders ratified the appointment of KPMG LLP as the Company’s independent registered public accounting firm for the fiscal year ending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The results of such vote were:</w:t>
      </w:r>
    </w:p>
    <w:p>
      <w:pPr>
        <w:spacing w:after="0" w:line="200" w:lineRule="exact"/>
        <w:rPr>
          <w:sz w:val="20"/>
          <w:szCs w:val="20"/>
          <w:color w:val="auto"/>
        </w:rPr>
      </w:pPr>
    </w:p>
    <w:p>
      <w:pPr>
        <w:spacing w:after="0" w:line="246" w:lineRule="exact"/>
        <w:rPr>
          <w:sz w:val="20"/>
          <w:szCs w:val="20"/>
          <w:color w:val="auto"/>
        </w:rPr>
      </w:pPr>
    </w:p>
    <w:tbl>
      <w:tblPr>
        <w:tblLayout w:type="fixed"/>
        <w:tblInd w:w="2880" w:type="dxa"/>
        <w:tblCellMar>
          <w:top w:w="0" w:type="dxa"/>
          <w:left w:w="0" w:type="dxa"/>
          <w:bottom w:w="0" w:type="dxa"/>
          <w:right w:w="0" w:type="dxa"/>
        </w:tblCellMar>
      </w:tblPr>
      <w:tr>
        <w:trPr>
          <w:trHeight w:val="186"/>
        </w:trPr>
        <w:tc>
          <w:tcPr>
            <w:tcW w:w="21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7"/>
              </w:rPr>
              <w:t>For</w:t>
            </w:r>
          </w:p>
        </w:tc>
        <w:tc>
          <w:tcPr>
            <w:tcW w:w="21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9"/>
              </w:rPr>
              <w:t>Against</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39"/>
        </w:trPr>
        <w:tc>
          <w:tcPr>
            <w:tcW w:w="1400" w:type="dxa"/>
            <w:vAlign w:val="bottom"/>
            <w:tcBorders>
              <w:bottom w:val="single" w:sz="8" w:color="auto"/>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50"/>
        </w:trPr>
        <w:tc>
          <w:tcPr>
            <w:tcW w:w="140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204,676,622</w:t>
            </w:r>
          </w:p>
        </w:tc>
        <w:tc>
          <w:tcPr>
            <w:tcW w:w="7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215,766</w:t>
            </w:r>
          </w:p>
        </w:tc>
        <w:tc>
          <w:tcPr>
            <w:tcW w:w="76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1,801,470</w:t>
            </w:r>
          </w:p>
        </w:tc>
      </w:tr>
      <w:tr>
        <w:trPr>
          <w:trHeight w:val="27"/>
        </w:trPr>
        <w:tc>
          <w:tcPr>
            <w:tcW w:w="14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 Non-binding Advisory Vote on Compensation of Named 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stockholders approved, on a non-binding advisory basis, the compensation of the Company’s named executive officers. The results of such vote were:</w:t>
      </w:r>
    </w:p>
    <w:p>
      <w:pPr>
        <w:spacing w:after="0" w:line="200" w:lineRule="exact"/>
        <w:rPr>
          <w:sz w:val="20"/>
          <w:szCs w:val="20"/>
          <w:color w:val="auto"/>
        </w:rPr>
      </w:pPr>
    </w:p>
    <w:p>
      <w:pPr>
        <w:spacing w:after="0" w:line="283" w:lineRule="exact"/>
        <w:rPr>
          <w:sz w:val="20"/>
          <w:szCs w:val="20"/>
          <w:color w:val="auto"/>
        </w:rPr>
      </w:pPr>
    </w:p>
    <w:tbl>
      <w:tblPr>
        <w:tblLayout w:type="fixed"/>
        <w:tblInd w:w="1880" w:type="dxa"/>
        <w:tblCellMar>
          <w:top w:w="0" w:type="dxa"/>
          <w:left w:w="0" w:type="dxa"/>
          <w:bottom w:w="0" w:type="dxa"/>
          <w:right w:w="0" w:type="dxa"/>
        </w:tblCellMar>
      </w:tblPr>
      <w:tr>
        <w:trPr>
          <w:trHeight w:val="186"/>
        </w:trPr>
        <w:tc>
          <w:tcPr>
            <w:tcW w:w="21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7"/>
              </w:rPr>
              <w:t>For</w:t>
            </w:r>
          </w:p>
        </w:tc>
        <w:tc>
          <w:tcPr>
            <w:tcW w:w="20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9"/>
              </w:rPr>
              <w:t>Against</w:t>
            </w:r>
          </w:p>
        </w:tc>
        <w:tc>
          <w:tcPr>
            <w:tcW w:w="21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3"/>
              </w:rPr>
              <w:t>Abstain</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39"/>
        </w:trPr>
        <w:tc>
          <w:tcPr>
            <w:tcW w:w="1380" w:type="dxa"/>
            <w:vAlign w:val="bottom"/>
            <w:tcBorders>
              <w:bottom w:val="single" w:sz="8" w:color="auto"/>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50"/>
        </w:trPr>
        <w:tc>
          <w:tcPr>
            <w:tcW w:w="138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171,249,235</w:t>
            </w:r>
          </w:p>
        </w:tc>
        <w:tc>
          <w:tcPr>
            <w:tcW w:w="7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8,158,146</w:t>
            </w:r>
          </w:p>
        </w:tc>
        <w:tc>
          <w:tcPr>
            <w:tcW w:w="7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1,822,099</w:t>
            </w:r>
          </w:p>
        </w:tc>
        <w:tc>
          <w:tcPr>
            <w:tcW w:w="7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25,464,378</w:t>
            </w:r>
          </w:p>
        </w:tc>
      </w:tr>
      <w:tr>
        <w:trPr>
          <w:trHeight w:val="27"/>
        </w:trPr>
        <w:tc>
          <w:tcPr>
            <w:tcW w:w="1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118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72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800" w:type="dxa"/>
            <w:vAlign w:val="bottom"/>
            <w:gridSpan w:val="2"/>
          </w:tcPr>
          <w:p>
            <w:pPr>
              <w:ind w:left="2120"/>
              <w:spacing w:after="0"/>
              <w:rPr>
                <w:sz w:val="20"/>
                <w:szCs w:val="20"/>
                <w:color w:val="auto"/>
              </w:rPr>
            </w:pPr>
            <w:r>
              <w:rPr>
                <w:rFonts w:ascii="Arial" w:cs="Arial" w:eastAsia="Arial" w:hAnsi="Arial"/>
                <w:sz w:val="18"/>
                <w:szCs w:val="18"/>
                <w:b w:val="1"/>
                <w:bCs w:val="1"/>
                <w:color w:val="auto"/>
              </w:rPr>
              <w:t>TWILIO INC.</w:t>
            </w:r>
          </w:p>
        </w:tc>
      </w:tr>
      <w:tr>
        <w:trPr>
          <w:trHeight w:val="567"/>
        </w:trPr>
        <w:tc>
          <w:tcPr>
            <w:tcW w:w="3580" w:type="dxa"/>
            <w:vAlign w:val="bottom"/>
          </w:tcPr>
          <w:p>
            <w:pPr>
              <w:spacing w:after="0"/>
              <w:rPr>
                <w:sz w:val="20"/>
                <w:szCs w:val="20"/>
                <w:color w:val="auto"/>
              </w:rPr>
            </w:pPr>
            <w:r>
              <w:rPr>
                <w:rFonts w:ascii="Arial" w:cs="Arial" w:eastAsia="Arial" w:hAnsi="Arial"/>
                <w:sz w:val="18"/>
                <w:szCs w:val="18"/>
                <w:color w:val="auto"/>
              </w:rPr>
              <w:t>Date: June 21, 2019</w:t>
            </w:r>
          </w:p>
        </w:tc>
        <w:tc>
          <w:tcPr>
            <w:tcW w:w="2780" w:type="dxa"/>
            <w:vAlign w:val="bottom"/>
          </w:tcPr>
          <w:p>
            <w:pPr>
              <w:ind w:left="2120"/>
              <w:spacing w:after="0"/>
              <w:rPr>
                <w:sz w:val="20"/>
                <w:szCs w:val="20"/>
                <w:color w:val="auto"/>
              </w:rPr>
            </w:pPr>
            <w:r>
              <w:rPr>
                <w:rFonts w:ascii="Arial" w:cs="Arial" w:eastAsia="Arial" w:hAnsi="Arial"/>
                <w:sz w:val="18"/>
                <w:szCs w:val="18"/>
                <w:color w:val="auto"/>
              </w:rPr>
              <w:t>By:</w:t>
            </w:r>
          </w:p>
        </w:tc>
        <w:tc>
          <w:tcPr>
            <w:tcW w:w="5020" w:type="dxa"/>
            <w:vAlign w:val="bottom"/>
          </w:tcPr>
          <w:p>
            <w:pPr>
              <w:ind w:left="40"/>
              <w:spacing w:after="0"/>
              <w:rPr>
                <w:sz w:val="20"/>
                <w:szCs w:val="20"/>
                <w:color w:val="auto"/>
              </w:rPr>
            </w:pPr>
            <w:r>
              <w:rPr>
                <w:rFonts w:ascii="Arial" w:cs="Arial" w:eastAsia="Arial" w:hAnsi="Arial"/>
                <w:sz w:val="18"/>
                <w:szCs w:val="18"/>
                <w:color w:val="auto"/>
              </w:rPr>
              <w:t>/s/ Khozema Shipchandler</w:t>
            </w:r>
          </w:p>
        </w:tc>
      </w:tr>
      <w:tr>
        <w:trPr>
          <w:trHeight w:val="27"/>
        </w:trPr>
        <w:tc>
          <w:tcPr>
            <w:tcW w:w="35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spacing w:after="0"/>
              <w:rPr>
                <w:sz w:val="20"/>
                <w:szCs w:val="20"/>
                <w:color w:val="auto"/>
              </w:rPr>
            </w:pPr>
          </w:p>
        </w:tc>
        <w:tc>
          <w:tcPr>
            <w:tcW w:w="2780" w:type="dxa"/>
            <w:vAlign w:val="bottom"/>
          </w:tcPr>
          <w:p>
            <w:pPr>
              <w:ind w:left="2120"/>
              <w:spacing w:after="0"/>
              <w:rPr>
                <w:sz w:val="20"/>
                <w:szCs w:val="20"/>
                <w:color w:val="auto"/>
              </w:rPr>
            </w:pPr>
            <w:r>
              <w:rPr>
                <w:rFonts w:ascii="Arial" w:cs="Arial" w:eastAsia="Arial" w:hAnsi="Arial"/>
                <w:sz w:val="18"/>
                <w:szCs w:val="18"/>
                <w:color w:val="auto"/>
              </w:rPr>
              <w:t>Name:</w:t>
            </w:r>
          </w:p>
        </w:tc>
        <w:tc>
          <w:tcPr>
            <w:tcW w:w="5020" w:type="dxa"/>
            <w:vAlign w:val="bottom"/>
          </w:tcPr>
          <w:p>
            <w:pPr>
              <w:ind w:left="40"/>
              <w:spacing w:after="0"/>
              <w:rPr>
                <w:sz w:val="20"/>
                <w:szCs w:val="20"/>
                <w:color w:val="auto"/>
              </w:rPr>
            </w:pPr>
            <w:r>
              <w:rPr>
                <w:rFonts w:ascii="Arial" w:cs="Arial" w:eastAsia="Arial" w:hAnsi="Arial"/>
                <w:sz w:val="18"/>
                <w:szCs w:val="18"/>
                <w:color w:val="auto"/>
              </w:rPr>
              <w:t>Khozema Shipchandler</w:t>
            </w:r>
          </w:p>
        </w:tc>
      </w:tr>
      <w:tr>
        <w:trPr>
          <w:trHeight w:val="270"/>
        </w:trPr>
        <w:tc>
          <w:tcPr>
            <w:tcW w:w="3580" w:type="dxa"/>
            <w:vAlign w:val="bottom"/>
          </w:tcPr>
          <w:p>
            <w:pPr>
              <w:spacing w:after="0"/>
              <w:rPr>
                <w:sz w:val="23"/>
                <w:szCs w:val="23"/>
                <w:color w:val="auto"/>
              </w:rPr>
            </w:pPr>
          </w:p>
        </w:tc>
        <w:tc>
          <w:tcPr>
            <w:tcW w:w="2780" w:type="dxa"/>
            <w:vAlign w:val="bottom"/>
          </w:tcPr>
          <w:p>
            <w:pPr>
              <w:ind w:left="2120"/>
              <w:spacing w:after="0"/>
              <w:rPr>
                <w:sz w:val="20"/>
                <w:szCs w:val="20"/>
                <w:color w:val="auto"/>
              </w:rPr>
            </w:pPr>
            <w:r>
              <w:rPr>
                <w:rFonts w:ascii="Arial" w:cs="Arial" w:eastAsia="Arial" w:hAnsi="Arial"/>
                <w:sz w:val="18"/>
                <w:szCs w:val="18"/>
                <w:color w:val="auto"/>
              </w:rPr>
              <w:t>Title:</w:t>
            </w:r>
          </w:p>
        </w:tc>
        <w:tc>
          <w:tcPr>
            <w:tcW w:w="5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7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2019-12-01T14:21:42Z</dcterms:created>
  <dcterms:modified xsi:type="dcterms:W3CDTF">2019-12-01T14:21:42Z</dcterms:modified>
</cp:coreProperties>
</file>