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080-2_4seq1.xml.htm"/>
      <w:bookmarkStart w:id="1" w:name="kstm2623080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Stafman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WEST 55TH STREET, FLOOR 34</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TWILIO INC</w:t>
              </w:r>
            </w:hyperlink>
            <w:r>
              <w:rPr/>
              <w:t xml:space="preserve"> [ </w:t>
            </w:r>
            <w:r>
              <w:rPr>
                <w:rFonts w:ascii="Times;serif" w:hAnsi="Times;serif"/>
                <w:color w:val="0000FF"/>
                <w:sz w:val="24"/>
                <w:shd w:fill="FFFFFF" w:val="clear"/>
              </w:rPr>
              <w:t>TWLO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35"/>
        <w:gridCol w:w="903"/>
        <w:gridCol w:w="774"/>
        <w:gridCol w:w="599"/>
        <w:gridCol w:w="340"/>
        <w:gridCol w:w="1000"/>
        <w:gridCol w:w="431"/>
        <w:gridCol w:w="834"/>
        <w:gridCol w:w="1124"/>
        <w:gridCol w:w="969"/>
        <w:gridCol w:w="10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247.08</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(1)(2)(3)(4)</w:t>
            </w:r>
          </w:p>
        </w:tc>
      </w:tr>
      <w:tr>
        <w:trPr/>
        <w:tc>
          <w:tcPr>
            <w:tcW w:w="21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13,492</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(1)(4)(5)</w:t>
            </w:r>
          </w:p>
        </w:tc>
        <w:tc>
          <w:tcPr>
            <w:tcW w:w="10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Stafman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WEST 55TH STREET, FLOOR 34</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Ferguson Scott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WEST 55TH STREET, 34TH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Sachem Head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WEST 55TH STREET, 34TH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Uncas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WEST 55TH STREET, FLOOR 34</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Sachem Head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WEST 55TH STREET, FLOOR 34</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addition to Andrew J. Stafman, this Form 4 is being filed jointly by Sachem Head Capital Management LP ("Sachem Head"), Uncas GP LLC ("SH Management"), Sachem Head GP LLC ("Sachem Head GP"), and Scott D. Ferguson, a citizen of the United States (Mr. Ferguson and, together with Sachem Head, SH Management, Sachem GP, and Mr. Stafman, the "Reporting Persons"). Each of the Reporting Persons has the same business address as Mr. Stafman and may be deemed to be the beneficial owner of certain of the securities reported on this Form 4 (the "Subject Securities") for purposes of Rule 16a-1(a) under the Securities Exchange Act of 1934, as amended. Each of the Reporting Persons disclaims any beneficial ownership of any of the Subject Securities, except to the extent of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securities directly owned by Sachem Head LP ("SH") and Sachem Head Master LP ("SHM" and, together with SH, the "Sachem Head Funds"). Each of Sachem Head, as the investment adviser to the Sachem Head Funds, SH Management, as the sole general partner of Sachem Head, and Scott D. Ferguson, as the managing partner of Sachem Head, may be deemed to beneficially own the securities directly owned by the Sachem Head Funds. As the general partner of SH and SHM, Sachem Head GP may be deemed to beneficially own the securities directly owned by SH and SHM.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principal business of Sachem Head is to serve as investment advisor to certain affiliated funds, including the Sachem Head Funds. The principal business of SH Management is to serve as the sole general partner of Sachem Head. The principal business of Sachem Head GP is to serve as the general partner of certain affiliated funds, including SH and SHM. The principal occupation of Scott D. Ferguson is to serve as the managing partner of Sachem Head and the managing member of SH Management and Sachem Head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Andrew J. Stafman is a partner at Sachem Head and also serves on the board of directors of the Issuer. As a result, the Reporting Persons other than Mr. Stafman may be deemed directors of the Issuer by deputization.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an arrangement between Andrew J. Stafman and Sachem Head, upon receipt of the Subject Securities, Andrew J. Stafman granted all right, title, interest, claims, and any other ownership interests in such Subject Securities to Sachem Head for no consideration.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Adamski, as Attorney-in-Fact for Andrew J. Stafman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Adamski, as Attorney-in-Fact for Scott D. Ferguson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Adamski, as General Counsel of Sachem Head Capital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Adamski, as General Counsel of Uncas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Adamski, as General Counsel of Sachem Head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8024" TargetMode="External"/><Relationship Id="rId5" Type="http://schemas.openxmlformats.org/officeDocument/2006/relationships/hyperlink" Target="http://www.sec.gov/cgi-bin/browse-edgar?action=getcompany&amp;CIK=00014476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18024" TargetMode="External"/><Relationship Id="rId9" Type="http://schemas.openxmlformats.org/officeDocument/2006/relationships/hyperlink" Target="http://www.sec.gov/cgi-bin/browse-edgar?action=getcompany&amp;CIK=0001658919" TargetMode="External"/><Relationship Id="rId10" Type="http://schemas.openxmlformats.org/officeDocument/2006/relationships/hyperlink" Target="http://www.sec.gov/cgi-bin/browse-edgar?action=getcompany&amp;CIK=0001582090" TargetMode="External"/><Relationship Id="rId11" Type="http://schemas.openxmlformats.org/officeDocument/2006/relationships/hyperlink" Target="http://www.sec.gov/cgi-bin/browse-edgar?action=getcompany&amp;CIK=0001658906" TargetMode="External"/><Relationship Id="rId12" Type="http://schemas.openxmlformats.org/officeDocument/2006/relationships/hyperlink" Target="http://www.sec.gov/cgi-bin/browse-edgar?action=getcompany&amp;CIK=0001658917"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1167</Words>
  <Characters>6061</Characters>
  <CharactersWithSpaces>7081</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