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p>
      <w:pPr>
        <w:pStyle w:val="TextBody"/>
        <w:spacing w:lineRule="auto" w:line="288" w:before="160" w:after="283"/>
        <w:jc w:val="center"/>
        <w:rPr/>
      </w:pPr>
      <w:r>
        <w:rPr>
          <w:rFonts w:ascii="Times New Roman;sans-serif" w:hAnsi="Times New Roman;sans-serif"/>
          <w:b/>
          <w:color w:val="000000"/>
          <w:sz w:val="26"/>
        </w:rPr>
        <w:t>FORM 10-Q</w:t>
      </w:r>
      <w:r>
        <w:rPr>
          <w:color w:val="000000"/>
        </w:rPr>
        <w:t xml:space="preserve"> </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spacing w:lineRule="auto" w:line="288" w:before="8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001-37806</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p>
      <w:pPr>
        <w:pStyle w:val="TextBody"/>
        <w:spacing w:before="80" w:after="283"/>
        <w:jc w:val="center"/>
        <w:rPr/>
      </w:pPr>
      <w:r>
        <w:rPr/>
        <w:drawing>
          <wp:inline distT="0" distB="6350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TWILIO INC.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tbl>
      <w:tblPr>
        <w:tblW w:w="7286" w:type="dxa"/>
        <w:jc w:val="left"/>
        <w:tblInd w:w="0" w:type="dxa"/>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26-2574840</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101 Spear Street, Fifth Floor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San Francisco, California 94105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(415) 390-2337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w:t>
      </w:r>
    </w:p>
    <w:p>
      <w:pPr>
        <w:pStyle w:val="TextBody"/>
        <w:spacing w:lineRule="auto" w:line="288" w:before="4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847" w:type="dxa"/>
        <w:jc w:val="center"/>
        <w:tblInd w:w="0" w:type="dxa"/>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$0.001 per share</w:t>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TWLO</w:t>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0" w:after="120"/>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As of May 2, 2023, 174,313,953 shares of the registrant’s Class A common stock and 9,617,605 shares of registrant’s Class B common stock were outstanding.</w:t>
      </w:r>
    </w:p>
    <w:p>
      <w:pPr>
        <w:pStyle w:val="TextBody"/>
        <w:spacing w:lineRule="auto" w:line="288" w:before="0" w:after="120"/>
        <w:ind w:left="0" w:right="0" w:firstLine="72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spacing w:lineRule="auto" w:line="288" w:before="0" w:after="120"/>
        <w:ind w:left="0" w:right="0" w:firstLine="720"/>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0" w:after="120"/>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140" w:after="283"/>
        <w:rPr/>
      </w:pPr>
      <w:r>
        <w:rPr/>
      </w:r>
    </w:p>
    <w:p>
      <w:pPr>
        <w:pStyle w:val="TextBody"/>
        <w:spacing w:lineRule="auto" w:line="288" w:before="0" w:after="120"/>
        <w:ind w:left="0" w:right="0" w:firstLine="72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0" w:after="120"/>
        <w:ind w:left="0" w:right="0" w:firstLine="720"/>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No</w:t>
      </w: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46685"/>
                <wp:effectExtent l="0" t="0" r="0" b="0"/>
                <wp:wrapNone/>
                <wp:docPr id="2" name="Frame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539" w:type="dxa"/>
        <w:jc w:val="center"/>
        <w:tblInd w:w="0" w:type="dxa"/>
        <w:tblCellMar>
          <w:top w:w="28" w:type="dxa"/>
          <w:left w:w="28" w:type="dxa"/>
          <w:bottom w:w="28" w:type="dxa"/>
          <w:right w:w="28" w:type="dxa"/>
        </w:tblCellMar>
      </w:tblPr>
      <w:tblGrid>
        <w:gridCol w:w="290"/>
        <w:gridCol w:w="255"/>
        <w:gridCol w:w="256"/>
        <w:gridCol w:w="3063"/>
        <w:gridCol w:w="3063"/>
        <w:gridCol w:w="3069"/>
        <w:gridCol w:w="158"/>
        <w:gridCol w:w="158"/>
        <w:gridCol w:w="227"/>
      </w:tblGrid>
      <w:tr>
        <w:trPr/>
        <w:tc>
          <w:tcPr>
            <w:tcW w:w="2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063" w:type="dxa"/>
            <w:tcBorders/>
            <w:shd w:fill="auto" w:val="clear"/>
            <w:vAlign w:val="center"/>
          </w:tcPr>
          <w:p>
            <w:pPr>
              <w:pStyle w:val="TableContents"/>
              <w:spacing w:before="0" w:after="283"/>
              <w:rPr>
                <w:sz w:val="4"/>
                <w:szCs w:val="4"/>
              </w:rPr>
            </w:pPr>
            <w:r>
              <w:rPr>
                <w:sz w:val="4"/>
                <w:szCs w:val="4"/>
              </w:rPr>
            </w:r>
          </w:p>
        </w:tc>
        <w:tc>
          <w:tcPr>
            <w:tcW w:w="3063"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6c191296c648d68d1744a6c8c08601_19">
              <w:r>
                <w:rPr>
                  <w:rStyle w:val="InternetLink"/>
                  <w:rFonts w:ascii="Times New Roman;sans-serif" w:hAnsi="Times New Roman;sans-serif"/>
                  <w:b/>
                  <w:color w:val="0000FF"/>
                  <w:sz w:val="18"/>
                  <w:u w:val="single"/>
                </w:rPr>
                <w:t>PART I - FINANCIAL INFORMATION</w:t>
              </w:r>
            </w:hyperlink>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2">
              <w:r>
                <w:rPr>
                  <w:rStyle w:val="InternetLink"/>
                  <w:rFonts w:ascii="Times New Roman;sans-serif" w:hAnsi="Times New Roman;sans-serif"/>
                  <w:b w:val="false"/>
                  <w:color w:val="0000FF"/>
                  <w:sz w:val="20"/>
                  <w:u w:val="single"/>
                </w:rPr>
                <w:t>Item 1.</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2">
              <w:r>
                <w:rPr>
                  <w:rStyle w:val="InternetLink"/>
                  <w:rFonts w:ascii="Times New Roman;sans-serif" w:hAnsi="Times New Roman;sans-serif"/>
                  <w:b w:val="false"/>
                  <w:color w:val="0000FF"/>
                  <w:sz w:val="20"/>
                  <w:u w:val="single"/>
                </w:rPr>
                <w:t>Financial Statements (unaudited)</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2">
              <w:r>
                <w:rPr>
                  <w:rStyle w:val="InternetLink"/>
                  <w:rFonts w:ascii="Times New Roman;sans-serif" w:hAnsi="Times New Roman;sans-serif"/>
                  <w:b w:val="false"/>
                  <w:color w:val="0000FF"/>
                  <w:sz w:val="20"/>
                  <w:u w:val="single"/>
                </w:rPr>
                <w:t>3</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5">
              <w:r>
                <w:rPr>
                  <w:rStyle w:val="InternetLink"/>
                </w:rPr>
                <w:t xml:space="preserve">Condensed Consolidated Balance Sheets as of </w:t>
              </w:r>
            </w:hyperlink>
            <w:hyperlink w:anchor="ibc6c191296c648d68d1744a6c8c08601_25">
              <w:r>
                <w:rPr>
                  <w:rStyle w:val="InternetLink"/>
                </w:rPr>
                <w:t>March 31, 2023</w:t>
              </w:r>
            </w:hyperlink>
            <w:hyperlink w:anchor="ibc6c191296c648d68d1744a6c8c08601_25">
              <w:r>
                <w:rPr>
                  <w:rStyle w:val="InternetLink"/>
                </w:rPr>
                <w:t xml:space="preserve"> and December 31, 20</w:t>
              </w:r>
            </w:hyperlink>
            <w:hyperlink w:anchor="ibc6c191296c648d68d1744a6c8c08601_25">
              <w:r>
                <w:rPr>
                  <w:rStyle w:val="InternetLink"/>
                </w:rPr>
                <w:t>2</w:t>
              </w:r>
            </w:hyperlink>
            <w:hyperlink w:anchor="ibc6c191296c648d68d1744a6c8c08601_25">
              <w:r>
                <w:rPr>
                  <w:rStyle w:val="InternetLink"/>
                </w:rPr>
                <w:t>2</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5">
              <w:r>
                <w:rPr>
                  <w:rStyle w:val="InternetLink"/>
                  <w:rFonts w:ascii="Times New Roman;sans-serif" w:hAnsi="Times New Roman;sans-serif"/>
                  <w:b w:val="false"/>
                  <w:color w:val="0000FF"/>
                  <w:sz w:val="20"/>
                  <w:u w:val="single"/>
                </w:rPr>
                <w:t>3</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8">
              <w:r>
                <w:rPr>
                  <w:rStyle w:val="InternetLink"/>
                </w:rPr>
                <w:t xml:space="preserve">Condensed Consolidated Statements of Operations for the Three </w:t>
              </w:r>
            </w:hyperlink>
            <w:hyperlink w:anchor="ibc6c191296c648d68d1744a6c8c08601_28">
              <w:r>
                <w:rPr>
                  <w:rStyle w:val="InternetLink"/>
                </w:rPr>
                <w:t xml:space="preserve">Months Ended </w:t>
              </w:r>
            </w:hyperlink>
            <w:hyperlink w:anchor="ibc6c191296c648d68d1744a6c8c08601_28">
              <w:r>
                <w:rPr>
                  <w:rStyle w:val="InternetLink"/>
                </w:rPr>
                <w:t>March 31, 2023</w:t>
              </w:r>
            </w:hyperlink>
            <w:hyperlink w:anchor="ibc6c191296c648d68d1744a6c8c08601_28">
              <w:r>
                <w:rPr>
                  <w:rStyle w:val="InternetLink"/>
                </w:rPr>
                <w:t xml:space="preserve"> and 20</w:t>
              </w:r>
            </w:hyperlink>
            <w:hyperlink w:anchor="ibc6c191296c648d68d1744a6c8c08601_28">
              <w:r>
                <w:rPr>
                  <w:rStyle w:val="InternetLink"/>
                </w:rPr>
                <w:t>2</w:t>
              </w:r>
            </w:hyperlink>
            <w:hyperlink w:anchor="ibc6c191296c648d68d1744a6c8c08601_28">
              <w:r>
                <w:rPr>
                  <w:rStyle w:val="InternetLink"/>
                </w:rPr>
                <w:t>2</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8">
              <w:r>
                <w:rPr>
                  <w:rStyle w:val="InternetLink"/>
                  <w:rFonts w:ascii="Times New Roman;sans-serif" w:hAnsi="Times New Roman;sans-serif"/>
                  <w:b w:val="false"/>
                  <w:color w:val="0000FF"/>
                  <w:sz w:val="20"/>
                  <w:u w:val="single"/>
                </w:rPr>
                <w:t>4</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31">
              <w:r>
                <w:rPr>
                  <w:rStyle w:val="InternetLink"/>
                </w:rPr>
                <w:t xml:space="preserve">Condensed Consolidated Statements of Comprehensive Loss for the Three </w:t>
              </w:r>
            </w:hyperlink>
            <w:hyperlink w:anchor="ibc6c191296c648d68d1744a6c8c08601_31">
              <w:r>
                <w:rPr>
                  <w:rStyle w:val="InternetLink"/>
                </w:rPr>
                <w:t xml:space="preserve">Months Ended </w:t>
              </w:r>
            </w:hyperlink>
            <w:hyperlink w:anchor="ibc6c191296c648d68d1744a6c8c08601_31">
              <w:r>
                <w:rPr>
                  <w:rStyle w:val="InternetLink"/>
                </w:rPr>
                <w:t>March 31, 2023</w:t>
              </w:r>
            </w:hyperlink>
            <w:hyperlink w:anchor="ibc6c191296c648d68d1744a6c8c08601_31">
              <w:r>
                <w:rPr>
                  <w:rStyle w:val="InternetLink"/>
                </w:rPr>
                <w:t xml:space="preserve"> and 20</w:t>
              </w:r>
            </w:hyperlink>
            <w:hyperlink w:anchor="ibc6c191296c648d68d1744a6c8c08601_31">
              <w:r>
                <w:rPr>
                  <w:rStyle w:val="InternetLink"/>
                </w:rPr>
                <w:t>2</w:t>
              </w:r>
            </w:hyperlink>
            <w:hyperlink w:anchor="ibc6c191296c648d68d1744a6c8c08601_31">
              <w:r>
                <w:rPr>
                  <w:rStyle w:val="InternetLink"/>
                </w:rPr>
                <w:t>2</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31">
              <w:r>
                <w:rPr>
                  <w:rStyle w:val="InternetLink"/>
                  <w:rFonts w:ascii="Times New Roman;sans-serif" w:hAnsi="Times New Roman;sans-serif"/>
                  <w:b w:val="false"/>
                  <w:color w:val="0000FF"/>
                  <w:sz w:val="20"/>
                  <w:u w:val="single"/>
                </w:rPr>
                <w:t>5</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34">
              <w:r>
                <w:rPr>
                  <w:rStyle w:val="InternetLink"/>
                </w:rPr>
                <w:t>Condensed Consolidated Statements of Stockholders’ Equity for the Three</w:t>
              </w:r>
            </w:hyperlink>
            <w:hyperlink w:anchor="ibc6c191296c648d68d1744a6c8c08601_34">
              <w:r>
                <w:rPr>
                  <w:rStyle w:val="InternetLink"/>
                </w:rPr>
                <w:t xml:space="preserve"> Months Ended </w:t>
              </w:r>
            </w:hyperlink>
            <w:hyperlink w:anchor="ibc6c191296c648d68d1744a6c8c08601_34">
              <w:r>
                <w:rPr>
                  <w:rStyle w:val="InternetLink"/>
                </w:rPr>
                <w:t>March 31, 2023</w:t>
              </w:r>
            </w:hyperlink>
            <w:hyperlink w:anchor="ibc6c191296c648d68d1744a6c8c08601_34">
              <w:r>
                <w:rPr>
                  <w:rStyle w:val="InternetLink"/>
                </w:rPr>
                <w:t xml:space="preserve"> and 20</w:t>
              </w:r>
            </w:hyperlink>
            <w:hyperlink w:anchor="ibc6c191296c648d68d1744a6c8c08601_34">
              <w:r>
                <w:rPr>
                  <w:rStyle w:val="InternetLink"/>
                </w:rPr>
                <w:t>2</w:t>
              </w:r>
            </w:hyperlink>
            <w:hyperlink w:anchor="ibc6c191296c648d68d1744a6c8c08601_34">
              <w:r>
                <w:rPr>
                  <w:rStyle w:val="InternetLink"/>
                </w:rPr>
                <w:t>2</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34">
              <w:r>
                <w:rPr>
                  <w:rStyle w:val="InternetLink"/>
                  <w:rFonts w:ascii="Times New Roman;sans-serif" w:hAnsi="Times New Roman;sans-serif"/>
                  <w:b w:val="false"/>
                  <w:color w:val="0000FF"/>
                  <w:sz w:val="20"/>
                  <w:u w:val="single"/>
                </w:rPr>
                <w:t>6</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37">
              <w:r>
                <w:rPr>
                  <w:rStyle w:val="InternetLink"/>
                </w:rPr>
                <w:t xml:space="preserve">Condensed Consolidated Statements of Cash Flows for the </w:t>
              </w:r>
            </w:hyperlink>
            <w:hyperlink w:anchor="ibc6c191296c648d68d1744a6c8c08601_37">
              <w:r>
                <w:rPr>
                  <w:rStyle w:val="InternetLink"/>
                </w:rPr>
                <w:t>Three</w:t>
              </w:r>
            </w:hyperlink>
            <w:hyperlink w:anchor="ibc6c191296c648d68d1744a6c8c08601_37">
              <w:r>
                <w:rPr>
                  <w:rStyle w:val="InternetLink"/>
                </w:rPr>
                <w:t xml:space="preserve"> Months Ended </w:t>
              </w:r>
            </w:hyperlink>
            <w:hyperlink w:anchor="ibc6c191296c648d68d1744a6c8c08601_37">
              <w:r>
                <w:rPr>
                  <w:rStyle w:val="InternetLink"/>
                </w:rPr>
                <w:t>March 31, 2023</w:t>
              </w:r>
            </w:hyperlink>
            <w:hyperlink w:anchor="ibc6c191296c648d68d1744a6c8c08601_37">
              <w:r>
                <w:rPr>
                  <w:rStyle w:val="InternetLink"/>
                </w:rPr>
                <w:t xml:space="preserve"> and 20</w:t>
              </w:r>
            </w:hyperlink>
            <w:hyperlink w:anchor="ibc6c191296c648d68d1744a6c8c08601_37">
              <w:r>
                <w:rPr>
                  <w:rStyle w:val="InternetLink"/>
                </w:rPr>
                <w:t>2</w:t>
              </w:r>
            </w:hyperlink>
            <w:hyperlink w:anchor="ibc6c191296c648d68d1744a6c8c08601_37">
              <w:r>
                <w:rPr>
                  <w:rStyle w:val="InternetLink"/>
                </w:rPr>
                <w:t>2</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37">
              <w:r>
                <w:rPr>
                  <w:rStyle w:val="InternetLink"/>
                  <w:rFonts w:ascii="Times New Roman;sans-serif" w:hAnsi="Times New Roman;sans-serif"/>
                  <w:b w:val="false"/>
                  <w:color w:val="0000FF"/>
                  <w:sz w:val="20"/>
                  <w:u w:val="single"/>
                </w:rPr>
                <w:t>8</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40">
              <w:r>
                <w:rPr>
                  <w:rStyle w:val="InternetLink"/>
                  <w:rFonts w:ascii="Times New Roman;sans-serif" w:hAnsi="Times New Roman;sans-serif"/>
                  <w:b w:val="false"/>
                  <w:color w:val="0000FF"/>
                  <w:sz w:val="20"/>
                  <w:u w:val="single"/>
                </w:rPr>
                <w:t>Notes to Condensed Consolidated Financial Statements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40">
              <w:r>
                <w:rPr>
                  <w:rStyle w:val="InternetLink"/>
                  <w:rFonts w:ascii="Times New Roman;sans-serif" w:hAnsi="Times New Roman;sans-serif"/>
                  <w:b w:val="false"/>
                  <w:color w:val="0000FF"/>
                  <w:sz w:val="20"/>
                  <w:u w:val="single"/>
                </w:rPr>
                <w:t>9</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96">
              <w:r>
                <w:rPr>
                  <w:rStyle w:val="InternetLink"/>
                  <w:rFonts w:ascii="Times New Roman;sans-serif" w:hAnsi="Times New Roman;sans-serif"/>
                  <w:b w:val="false"/>
                  <w:color w:val="0000FF"/>
                  <w:sz w:val="20"/>
                  <w:u w:val="single"/>
                </w:rPr>
                <w:t>Item 2.</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9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96">
              <w:r>
                <w:rPr>
                  <w:rStyle w:val="InternetLink"/>
                  <w:rFonts w:ascii="Times New Roman;sans-serif" w:hAnsi="Times New Roman;sans-serif"/>
                  <w:b w:val="false"/>
                  <w:color w:val="0000FF"/>
                  <w:sz w:val="20"/>
                  <w:u w:val="single"/>
                </w:rPr>
                <w:t>26</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44">
              <w:r>
                <w:rPr>
                  <w:rStyle w:val="InternetLink"/>
                  <w:rFonts w:ascii="Times New Roman;sans-serif" w:hAnsi="Times New Roman;sans-serif"/>
                  <w:b w:val="false"/>
                  <w:color w:val="0000FF"/>
                  <w:sz w:val="20"/>
                  <w:u w:val="single"/>
                </w:rPr>
                <w:t>Item 3.</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44">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44">
              <w:r>
                <w:rPr>
                  <w:rStyle w:val="InternetLink"/>
                  <w:rFonts w:ascii="Times New Roman;sans-serif" w:hAnsi="Times New Roman;sans-serif"/>
                  <w:b w:val="false"/>
                  <w:color w:val="0000FF"/>
                  <w:sz w:val="20"/>
                  <w:u w:val="single"/>
                </w:rPr>
                <w:t>40</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47">
              <w:r>
                <w:rPr>
                  <w:rStyle w:val="InternetLink"/>
                  <w:rFonts w:ascii="Times New Roman;sans-serif" w:hAnsi="Times New Roman;sans-serif"/>
                  <w:b w:val="false"/>
                  <w:color w:val="0000FF"/>
                  <w:sz w:val="20"/>
                  <w:u w:val="single"/>
                </w:rPr>
                <w:t>Item 4.</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47">
              <w:r>
                <w:rPr>
                  <w:rStyle w:val="InternetLink"/>
                  <w:rFonts w:ascii="Times New Roman;sans-serif" w:hAnsi="Times New Roman;sans-serif"/>
                  <w:b w:val="false"/>
                  <w:color w:val="0000FF"/>
                  <w:sz w:val="20"/>
                  <w:u w:val="single"/>
                </w:rPr>
                <w:t>Controls and Procedures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47">
              <w:r>
                <w:rPr>
                  <w:rStyle w:val="InternetLink"/>
                  <w:rFonts w:ascii="Times New Roman;sans-serif" w:hAnsi="Times New Roman;sans-serif"/>
                  <w:b w:val="false"/>
                  <w:color w:val="0000FF"/>
                  <w:sz w:val="20"/>
                  <w:u w:val="single"/>
                </w:rPr>
                <w:t>40</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6c191296c648d68d1744a6c8c08601_253">
              <w:r>
                <w:rPr>
                  <w:rStyle w:val="InternetLink"/>
                  <w:rFonts w:ascii="Times New Roman;sans-serif" w:hAnsi="Times New Roman;sans-serif"/>
                  <w:b/>
                  <w:color w:val="0000FF"/>
                  <w:sz w:val="18"/>
                  <w:u w:val="single"/>
                </w:rPr>
                <w:t>PART II - OTHER INFORMATION</w:t>
              </w:r>
            </w:hyperlink>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90">
              <w:r>
                <w:rPr>
                  <w:rStyle w:val="InternetLink"/>
                  <w:rFonts w:ascii="Times New Roman;sans-serif" w:hAnsi="Times New Roman;sans-serif"/>
                  <w:b w:val="false"/>
                  <w:color w:val="0000FF"/>
                  <w:sz w:val="20"/>
                  <w:u w:val="single"/>
                </w:rPr>
                <w:t>Item 1.</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90">
              <w:r>
                <w:rPr>
                  <w:rStyle w:val="InternetLink"/>
                  <w:rFonts w:ascii="Times New Roman;sans-serif" w:hAnsi="Times New Roman;sans-serif"/>
                  <w:b w:val="false"/>
                  <w:color w:val="0000FF"/>
                  <w:sz w:val="20"/>
                  <w:u w:val="single"/>
                </w:rPr>
                <w:t>Legal Proceedings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90">
              <w:r>
                <w:rPr>
                  <w:rStyle w:val="InternetLink"/>
                  <w:rFonts w:ascii="Times New Roman;sans-serif" w:hAnsi="Times New Roman;sans-serif"/>
                  <w:b w:val="false"/>
                  <w:color w:val="0000FF"/>
                  <w:sz w:val="20"/>
                  <w:u w:val="single"/>
                </w:rPr>
                <w:t>41</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78">
              <w:r>
                <w:rPr>
                  <w:rStyle w:val="InternetLink"/>
                  <w:rFonts w:ascii="Times New Roman;sans-serif" w:hAnsi="Times New Roman;sans-serif"/>
                  <w:b w:val="false"/>
                  <w:color w:val="0000FF"/>
                  <w:sz w:val="20"/>
                  <w:u w:val="single"/>
                </w:rPr>
                <w:t>Item 1A.</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78">
              <w:r>
                <w:rPr>
                  <w:rStyle w:val="InternetLink"/>
                  <w:rFonts w:ascii="Times New Roman;sans-serif" w:hAnsi="Times New Roman;sans-serif"/>
                  <w:b w:val="false"/>
                  <w:color w:val="0000FF"/>
                  <w:sz w:val="20"/>
                  <w:u w:val="single"/>
                </w:rPr>
                <w:t>Risk Factors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178">
              <w:r>
                <w:rPr>
                  <w:rStyle w:val="InternetLink"/>
                  <w:rFonts w:ascii="Times New Roman;sans-serif" w:hAnsi="Times New Roman;sans-serif"/>
                  <w:b w:val="false"/>
                  <w:color w:val="0000FF"/>
                  <w:sz w:val="20"/>
                  <w:u w:val="single"/>
                </w:rPr>
                <w:t>41</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62">
              <w:r>
                <w:rPr>
                  <w:rStyle w:val="InternetLink"/>
                  <w:rFonts w:ascii="Times New Roman;sans-serif" w:hAnsi="Times New Roman;sans-serif"/>
                  <w:b w:val="false"/>
                  <w:color w:val="0000FF"/>
                  <w:sz w:val="20"/>
                  <w:u w:val="single"/>
                </w:rPr>
                <w:t>Item 2.</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62">
              <w:r>
                <w:rPr>
                  <w:rStyle w:val="InternetLink"/>
                  <w:rFonts w:ascii="Times New Roman;sans-serif" w:hAnsi="Times New Roman;sans-serif"/>
                  <w:b w:val="false"/>
                  <w:color w:val="0000FF"/>
                  <w:sz w:val="20"/>
                  <w:u w:val="single"/>
                </w:rPr>
                <w:t>Unregistered Sales of Equity Securities and Use of Proceeds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62">
              <w:r>
                <w:rPr>
                  <w:rStyle w:val="InternetLink"/>
                  <w:rFonts w:ascii="Times New Roman;sans-serif" w:hAnsi="Times New Roman;sans-serif"/>
                  <w:b w:val="false"/>
                  <w:color w:val="0000FF"/>
                  <w:sz w:val="20"/>
                  <w:u w:val="single"/>
                </w:rPr>
                <w:t>76</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65">
              <w:r>
                <w:rPr>
                  <w:rStyle w:val="InternetLink"/>
                  <w:rFonts w:ascii="Times New Roman;sans-serif" w:hAnsi="Times New Roman;sans-serif"/>
                  <w:b w:val="false"/>
                  <w:color w:val="0000FF"/>
                  <w:sz w:val="20"/>
                  <w:u w:val="single"/>
                </w:rPr>
                <w:t>Item 5.</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65">
              <w:r>
                <w:rPr>
                  <w:rStyle w:val="InternetLink"/>
                  <w:rFonts w:ascii="Times New Roman;sans-serif" w:hAnsi="Times New Roman;sans-serif"/>
                  <w:b w:val="false"/>
                  <w:color w:val="0000FF"/>
                  <w:sz w:val="20"/>
                  <w:u w:val="single"/>
                </w:rPr>
                <w:t>Other Information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265">
              <w:r>
                <w:rPr>
                  <w:rStyle w:val="InternetLink"/>
                  <w:rFonts w:ascii="Times New Roman;sans-serif" w:hAnsi="Times New Roman;sans-serif"/>
                  <w:b w:val="false"/>
                  <w:color w:val="0000FF"/>
                  <w:sz w:val="20"/>
                  <w:u w:val="single"/>
                </w:rPr>
                <w:t>76</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496">
              <w:r>
                <w:rPr>
                  <w:rStyle w:val="InternetLink"/>
                  <w:rFonts w:ascii="Times New Roman;sans-serif" w:hAnsi="Times New Roman;sans-serif"/>
                  <w:b w:val="false"/>
                  <w:color w:val="0000FF"/>
                  <w:sz w:val="20"/>
                  <w:u w:val="single"/>
                </w:rPr>
                <w:t>Item 6.</w:t>
              </w:r>
            </w:hyperlink>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496">
              <w:r>
                <w:rPr>
                  <w:rStyle w:val="InternetLink"/>
                  <w:rFonts w:ascii="Times New Roman;sans-serif" w:hAnsi="Times New Roman;sans-serif"/>
                  <w:b w:val="false"/>
                  <w:color w:val="0000FF"/>
                  <w:sz w:val="20"/>
                  <w:u w:val="single"/>
                </w:rPr>
                <w:t>Exhibits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496">
              <w:r>
                <w:rPr>
                  <w:rStyle w:val="InternetLink"/>
                  <w:rFonts w:ascii="Times New Roman;sans-serif" w:hAnsi="Times New Roman;sans-serif"/>
                  <w:b w:val="false"/>
                  <w:color w:val="0000FF"/>
                  <w:sz w:val="20"/>
                  <w:u w:val="single"/>
                </w:rPr>
                <w:t>77</w:t>
              </w:r>
            </w:hyperlink>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505">
              <w:r>
                <w:rPr>
                  <w:rStyle w:val="InternetLink"/>
                  <w:rFonts w:ascii="Times New Roman;sans-serif" w:hAnsi="Times New Roman;sans-serif"/>
                  <w:b w:val="false"/>
                  <w:color w:val="0000FF"/>
                  <w:sz w:val="20"/>
                  <w:u w:val="single"/>
                </w:rPr>
                <w:t>Signatures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6c191296c648d68d1744a6c8c08601_505">
              <w:r>
                <w:rPr>
                  <w:rStyle w:val="InternetLink"/>
                  <w:rFonts w:ascii="Times New Roman;sans-serif" w:hAnsi="Times New Roman;sans-serif"/>
                  <w:b w:val="false"/>
                  <w:color w:val="0000FF"/>
                  <w:sz w:val="20"/>
                  <w:u w:val="single"/>
                </w:rPr>
                <w:t>77</w:t>
              </w:r>
            </w:hyperlink>
          </w:p>
        </w:tc>
      </w:tr>
    </w:tbl>
    <w:p>
      <w:pPr>
        <w:pStyle w:val="TextBody"/>
        <w:spacing w:before="240" w:after="283"/>
        <w:rPr/>
      </w:pPr>
      <w:r>
        <w:rPr/>
      </w:r>
    </w:p>
    <w:p>
      <w:pPr>
        <w:pStyle w:val="TextBody"/>
        <w:spacing w:before="24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49" w:type="dxa"/>
        <w:jc w:val="center"/>
        <w:tblInd w:w="0" w:type="dxa"/>
        <w:tblCellMar>
          <w:top w:w="28" w:type="dxa"/>
          <w:left w:w="28" w:type="dxa"/>
          <w:bottom w:w="28" w:type="dxa"/>
          <w:right w:w="28" w:type="dxa"/>
        </w:tblCellMar>
      </w:tblPr>
      <w:tblGrid>
        <w:gridCol w:w="1389"/>
        <w:gridCol w:w="1213"/>
        <w:gridCol w:w="1223"/>
        <w:gridCol w:w="109"/>
        <w:gridCol w:w="109"/>
        <w:gridCol w:w="109"/>
        <w:gridCol w:w="206"/>
        <w:gridCol w:w="1014"/>
        <w:gridCol w:w="115"/>
        <w:gridCol w:w="109"/>
        <w:gridCol w:w="109"/>
        <w:gridCol w:w="109"/>
        <w:gridCol w:w="244"/>
        <w:gridCol w:w="1199"/>
        <w:gridCol w:w="192"/>
      </w:tblGrid>
      <w:tr>
        <w:trPr/>
        <w:tc>
          <w:tcPr>
            <w:tcW w:w="138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634,824 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651,752 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3,310,483 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3,503,317 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575,664 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547,507 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335,565 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281,510 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4,856,536 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4,984,086 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254,062 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263,979 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121,341 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684,144 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699,911 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797,699 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849,935 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5,284,388 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5,284,153 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360,899 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12,298,908 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12,564,304 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121,157 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124,605 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475,871 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490,221 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139,110 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788,449 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808,158 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162,114 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164,551 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987,769 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987,382 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23,881 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1,980,042 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2,005,262 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and Class B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14,233,590 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14,055,853 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(71,945)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(121,161)</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(3,842,965)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(3,375,836)</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10,318,866 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10,559,042 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12,298,908 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12,564,304 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2369"/>
        <w:gridCol w:w="1894"/>
        <w:gridCol w:w="1909"/>
        <w:gridCol w:w="109"/>
        <w:gridCol w:w="109"/>
        <w:gridCol w:w="109"/>
        <w:gridCol w:w="248"/>
        <w:gridCol w:w="1106"/>
        <w:gridCol w:w="138"/>
        <w:gridCol w:w="138"/>
        <w:gridCol w:w="138"/>
        <w:gridCol w:w="138"/>
        <w:gridCol w:w="273"/>
        <w:gridCol w:w="1020"/>
        <w:gridCol w:w="138"/>
        <w:gridCol w:w="109"/>
        <w:gridCol w:w="109"/>
        <w:gridCol w:w="109"/>
        <w:gridCol w:w="109"/>
        <w:gridCol w:w="109"/>
        <w:gridCol w:w="158"/>
      </w:tblGrid>
      <w:tr>
        <w:trPr/>
        <w:tc>
          <w:tcPr>
            <w:tcW w:w="2369"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6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6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c>
          <w:tcPr>
            <w:tcW w:w="703" w:type="dxa"/>
            <w:gridSpan w:val="6"/>
            <w:tcBorders/>
            <w:shd w:fill="auto" w:val="clea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875,363 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515,874 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450,292 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425,071 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240,611 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287,906 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114,362 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642,879 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(224,485)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186,403,349 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180,898,713 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20" w:type="dxa"/>
        <w:jc w:val="center"/>
        <w:tblInd w:w="0" w:type="dxa"/>
        <w:tblCellMar>
          <w:top w:w="28" w:type="dxa"/>
          <w:left w:w="28" w:type="dxa"/>
          <w:bottom w:w="28" w:type="dxa"/>
          <w:right w:w="28" w:type="dxa"/>
        </w:tblCellMar>
      </w:tblPr>
      <w:tblGrid>
        <w:gridCol w:w="2220"/>
        <w:gridCol w:w="1945"/>
        <w:gridCol w:w="1970"/>
        <w:gridCol w:w="109"/>
        <w:gridCol w:w="109"/>
        <w:gridCol w:w="109"/>
        <w:gridCol w:w="196"/>
        <w:gridCol w:w="811"/>
        <w:gridCol w:w="109"/>
        <w:gridCol w:w="109"/>
        <w:gridCol w:w="109"/>
        <w:gridCol w:w="109"/>
        <w:gridCol w:w="196"/>
        <w:gridCol w:w="811"/>
        <w:gridCol w:w="109"/>
        <w:gridCol w:w="109"/>
        <w:gridCol w:w="109"/>
        <w:gridCol w:w="109"/>
        <w:gridCol w:w="109"/>
        <w:gridCol w:w="109"/>
        <w:gridCol w:w="154"/>
      </w:tblGrid>
      <w:tr>
        <w:trPr/>
        <w:tc>
          <w:tcPr>
            <w:tcW w:w="2220"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market value of effective foreign currency forward exchange contracts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TWILIO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tbl>
      <w:tblPr>
        <w:tblW w:w="13231" w:type="dxa"/>
        <w:jc w:val="center"/>
        <w:tblInd w:w="0" w:type="dxa"/>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443"/>
        <w:gridCol w:w="443"/>
        <w:gridCol w:w="196"/>
        <w:gridCol w:w="109"/>
        <w:gridCol w:w="109"/>
        <w:gridCol w:w="109"/>
        <w:gridCol w:w="208"/>
        <w:gridCol w:w="367"/>
        <w:gridCol w:w="116"/>
        <w:gridCol w:w="109"/>
        <w:gridCol w:w="109"/>
        <w:gridCol w:w="109"/>
        <w:gridCol w:w="196"/>
        <w:gridCol w:w="976"/>
        <w:gridCol w:w="109"/>
        <w:gridCol w:w="109"/>
        <w:gridCol w:w="109"/>
        <w:gridCol w:w="109"/>
        <w:gridCol w:w="225"/>
        <w:gridCol w:w="864"/>
        <w:gridCol w:w="127"/>
        <w:gridCol w:w="109"/>
        <w:gridCol w:w="109"/>
        <w:gridCol w:w="109"/>
        <w:gridCol w:w="196"/>
        <w:gridCol w:w="886"/>
        <w:gridCol w:w="109"/>
        <w:gridCol w:w="109"/>
        <w:gridCol w:w="109"/>
        <w:gridCol w:w="109"/>
        <w:gridCol w:w="196"/>
        <w:gridCol w:w="976"/>
        <w:gridCol w:w="109"/>
        <w:gridCol w:w="109"/>
        <w:gridCol w:w="109"/>
        <w:gridCol w:w="109"/>
        <w:gridCol w:w="109"/>
        <w:gridCol w:w="109"/>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4"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176,358,104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14,055,853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(121,161)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(3,375,836)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10,559,042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66,968 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1,516,634 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(1,902,124)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176,121,918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14,233,590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(71,945)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(3,842,965)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10,318,866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TWILIO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tbl>
      <w:tblPr>
        <w:tblW w:w="12487" w:type="dxa"/>
        <w:jc w:val="center"/>
        <w:tblInd w:w="0" w:type="dxa"/>
        <w:tblCellMar>
          <w:top w:w="28" w:type="dxa"/>
          <w:left w:w="28" w:type="dxa"/>
          <w:bottom w:w="28" w:type="dxa"/>
          <w:right w:w="28" w:type="dxa"/>
        </w:tblCellMar>
      </w:tblPr>
      <w:tblGrid>
        <w:gridCol w:w="544"/>
        <w:gridCol w:w="268"/>
        <w:gridCol w:w="269"/>
        <w:gridCol w:w="109"/>
        <w:gridCol w:w="109"/>
        <w:gridCol w:w="109"/>
        <w:gridCol w:w="533"/>
        <w:gridCol w:w="533"/>
        <w:gridCol w:w="196"/>
        <w:gridCol w:w="109"/>
        <w:gridCol w:w="109"/>
        <w:gridCol w:w="109"/>
        <w:gridCol w:w="196"/>
        <w:gridCol w:w="436"/>
        <w:gridCol w:w="109"/>
        <w:gridCol w:w="109"/>
        <w:gridCol w:w="109"/>
        <w:gridCol w:w="109"/>
        <w:gridCol w:w="443"/>
        <w:gridCol w:w="443"/>
        <w:gridCol w:w="196"/>
        <w:gridCol w:w="109"/>
        <w:gridCol w:w="109"/>
        <w:gridCol w:w="109"/>
        <w:gridCol w:w="208"/>
        <w:gridCol w:w="367"/>
        <w:gridCol w:w="116"/>
        <w:gridCol w:w="109"/>
        <w:gridCol w:w="109"/>
        <w:gridCol w:w="109"/>
        <w:gridCol w:w="196"/>
        <w:gridCol w:w="976"/>
        <w:gridCol w:w="109"/>
        <w:gridCol w:w="109"/>
        <w:gridCol w:w="109"/>
        <w:gridCol w:w="109"/>
        <w:gridCol w:w="246"/>
        <w:gridCol w:w="832"/>
        <w:gridCol w:w="138"/>
        <w:gridCol w:w="109"/>
        <w:gridCol w:w="109"/>
        <w:gridCol w:w="109"/>
        <w:gridCol w:w="196"/>
        <w:gridCol w:w="886"/>
        <w:gridCol w:w="109"/>
        <w:gridCol w:w="109"/>
        <w:gridCol w:w="109"/>
        <w:gridCol w:w="109"/>
        <w:gridCol w:w="196"/>
        <w:gridCol w:w="976"/>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9"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170,625,994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9,842,105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13,169,118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(18,141)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(2,119,691)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11,031,466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(221,627)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180,643 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193,889 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877,089 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215,389 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(215,389)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donated to charity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returned from escrow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(152,239)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(62,826)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(62,826)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171,763,174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9,820,605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13,343,554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(84,984)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(2,341,318)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10,917,433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spacing w:before="240" w:after="283"/>
        <w:jc w:val="center"/>
        <w:rPr/>
      </w:pPr>
      <w:r>
        <w:rPr/>
      </w:r>
    </w:p>
    <w:p>
      <w:pPr>
        <w:pStyle w:val="TextBody"/>
        <w:spacing w:before="240" w:after="283"/>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0"/>
        </w:rPr>
        <w:t>TWILIO</w:t>
      </w:r>
      <w:r>
        <w:rPr>
          <w:color w:val="000000"/>
        </w:rPr>
        <w:t> </w:t>
      </w:r>
      <w:r>
        <w:rPr>
          <w:rFonts w:ascii="Times New Roman;sans-serif" w:hAnsi="Times New Roman;sans-serif"/>
          <w:b/>
          <w:color w:val="000000"/>
          <w:sz w:val="20"/>
        </w:rPr>
        <w:t>INC</w:t>
      </w:r>
      <w:r>
        <w:rPr>
          <w:rFonts w:ascii="Times New Roman;sans-serif" w:hAnsi="Times New Roman;sans-serif"/>
          <w:b/>
          <w:color w:val="000000"/>
          <w:sz w:val="16"/>
        </w:rPr>
        <w: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539" w:type="dxa"/>
        <w:jc w:val="center"/>
        <w:tblInd w:w="0" w:type="dxa"/>
        <w:tblCellMar>
          <w:top w:w="28" w:type="dxa"/>
          <w:left w:w="28" w:type="dxa"/>
          <w:bottom w:w="28" w:type="dxa"/>
          <w:right w:w="28" w:type="dxa"/>
        </w:tblCellMar>
      </w:tblPr>
      <w:tblGrid>
        <w:gridCol w:w="2797"/>
        <w:gridCol w:w="2276"/>
        <w:gridCol w:w="2281"/>
        <w:gridCol w:w="109"/>
        <w:gridCol w:w="109"/>
        <w:gridCol w:w="109"/>
        <w:gridCol w:w="196"/>
        <w:gridCol w:w="786"/>
        <w:gridCol w:w="109"/>
        <w:gridCol w:w="109"/>
        <w:gridCol w:w="109"/>
        <w:gridCol w:w="109"/>
        <w:gridCol w:w="196"/>
        <w:gridCol w:w="871"/>
        <w:gridCol w:w="109"/>
        <w:gridCol w:w="109"/>
        <w:gridCol w:w="155"/>
      </w:tblGrid>
      <w:tr>
        <w:trPr/>
        <w:tc>
          <w:tcPr>
            <w:tcW w:w="2797"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264" w:type="dxa"/>
            <w:gridSpan w:val="2"/>
            <w:tcBorders/>
            <w:shd w:fill="auto" w:val="clear"/>
          </w:tcPr>
          <w:p>
            <w:pPr>
              <w:pStyle w:val="TableContents"/>
              <w:spacing w:before="0" w:after="283"/>
              <w:rPr>
                <w:sz w:val="4"/>
                <w:szCs w:val="4"/>
              </w:rPr>
            </w:pPr>
            <w:r>
              <w:rPr>
                <w:sz w:val="4"/>
                <w:szCs w:val="4"/>
              </w:rPr>
            </w:r>
          </w:p>
        </w:tc>
      </w:tr>
      <w:tr>
        <w:trPr/>
        <w:tc>
          <w:tcPr>
            <w:tcW w:w="7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264" w:type="dxa"/>
            <w:gridSpan w:val="2"/>
            <w:tcBorders/>
            <w:shd w:fill="auto" w:val="clear"/>
          </w:tcPr>
          <w:p>
            <w:pPr>
              <w:pStyle w:val="TableContents"/>
              <w:spacing w:before="0" w:after="283"/>
              <w:rPr>
                <w:sz w:val="4"/>
                <w:szCs w:val="4"/>
              </w:rPr>
            </w:pPr>
            <w:r>
              <w:rPr>
                <w:sz w:val="4"/>
                <w:szCs w:val="4"/>
              </w:rPr>
            </w:r>
          </w:p>
        </w:tc>
      </w:tr>
      <w:tr>
        <w:trPr/>
        <w:tc>
          <w:tcPr>
            <w:tcW w:w="7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4" w:type="dxa"/>
            <w:gridSpan w:val="2"/>
            <w:tcBorders/>
            <w:shd w:fill="auto" w:val="clea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Adjustments to reconcile net loss to net cash used in operating activities: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 due to office closures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restructuring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 and other related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 and other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long-lived and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costs related to public offerings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debt and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equity awards withheld for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shares of Class A common stock and related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exercises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 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headquarters are located in San Francisco, California, and the Company has subsidiaries across North America, South America, Europe, Asia and Australia.</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ind w:left="0" w:right="0" w:firstLine="540"/>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27, 2023 (“Annual Report”).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2022, included herein, was derived from the audited financial statements as of that date, but may not include all disclosures including certain notes required by U.S. GAAP on an annual reporting basis.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2023 or any future period.</w:t>
      </w:r>
    </w:p>
    <w:p>
      <w:pPr>
        <w:pStyle w:val="TextBody"/>
        <w:spacing w:lineRule="auto" w:line="288" w:before="240" w:after="283"/>
        <w:ind w:left="0" w:right="0" w:firstLine="540"/>
        <w:rPr/>
      </w:pPr>
      <w:r>
        <w:rPr>
          <w:rFonts w:ascii="Times New Roman;sans-serif" w:hAnsi="Times New Roman;sans-serif"/>
          <w:b/>
          <w:i/>
          <w:color w:val="000000"/>
          <w:sz w:val="20"/>
        </w:rPr>
        <w:t>(b)</w:t>
      </w:r>
      <w:r>
        <w:rPr>
          <w:rFonts w:ascii="Times New Roman;sans-serif" w:hAnsi="Times New Roman;sans-serif"/>
          <w:b/>
          <w:i/>
          <w:color w:val="000000"/>
          <w:sz w:val="20"/>
        </w:rPr>
        <w:t>Principles of Consolidation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Company and its wholly owned subsidiaries. All significant intercompany balances and transactions have been eliminated.</w:t>
      </w:r>
    </w:p>
    <w:p>
      <w:pPr>
        <w:pStyle w:val="TextBody"/>
        <w:spacing w:lineRule="auto" w:line="288" w:before="240" w:after="283"/>
        <w:ind w:left="0" w:right="0" w:firstLine="540"/>
        <w:rPr/>
      </w:pPr>
      <w:r>
        <w:rPr>
          <w:rFonts w:ascii="Times New Roman;sans-serif" w:hAnsi="Times New Roman;sans-serif"/>
          <w:b/>
          <w:i/>
          <w:color w:val="000000"/>
          <w:sz w:val="20"/>
        </w:rPr>
        <w:t>(c)</w:t>
      </w:r>
      <w:r>
        <w:rPr>
          <w:rFonts w:ascii="Times New Roman;sans-serif" w:hAnsi="Times New Roman;sans-serif"/>
          <w:b/>
          <w:i/>
          <w:color w:val="000000"/>
          <w:sz w:val="20"/>
        </w:rPr>
        <w:t>Use of Estimates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impairment assessments of goodwill and indefinite-lived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TextBody"/>
        <w:spacing w:lineRule="auto" w:line="288" w:before="240" w:after="283"/>
        <w:ind w:left="0" w:right="0" w:firstLine="540"/>
        <w:rPr/>
      </w:pPr>
      <w:r>
        <w:rPr>
          <w:rFonts w:ascii="Times New Roman;sans-serif" w:hAnsi="Times New Roman;sans-serif"/>
          <w:b/>
          <w:i/>
          <w:color w:val="000000"/>
          <w:sz w:val="20"/>
        </w:rPr>
        <w:t>(d)</w:t>
      </w:r>
      <w:r>
        <w:rPr>
          <w:rFonts w:ascii="Times New Roman;sans-serif" w:hAnsi="Times New Roman;sans-serif"/>
          <w:b/>
          <w:i/>
          <w:color w:val="000000"/>
          <w:sz w:val="20"/>
        </w:rPr>
        <w:t>Remaining Performance Obligations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for contracts with durations of more than one year was $165.9 million as of March 31, 2023, of which 72% is expected to be recognized over the next 12 months and 95% is expected to be recognized over the next 24 months.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pPr>
      <w:r>
        <w:rPr>
          <w:rFonts w:ascii="Times New Roman;sans-serif" w:hAnsi="Times New Roman;sans-serif"/>
          <w:b/>
          <w:i/>
          <w:color w:val="000000"/>
          <w:sz w:val="20"/>
        </w:rPr>
        <w:t>(e)</w:t>
      </w:r>
      <w:r>
        <w:rPr>
          <w:rFonts w:ascii="Times New Roman;sans-serif" w:hAnsi="Times New Roman;sans-serif"/>
          <w:b/>
          <w:i/>
          <w:color w:val="000000"/>
          <w:sz w:val="20"/>
        </w:rPr>
        <w:t>Deferred Revenue and Customer Deposits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recorded $136.5 million and $139.1 million as its deferred revenue and customer deposits, respectively, that are included in deferred revenue and customer deposits and other long-term liabilities in the accompanying condensed consolidated balance sheets. During the three months ended March 31, 2023 and 2022, the Company recognized $71.3 million and $64.9 million of revenue, respectively, that was included in the deferred revenue and customer deposits balances as of the end of the previous year.</w:t>
      </w:r>
    </w:p>
    <w:p>
      <w:pPr>
        <w:pStyle w:val="TextBody"/>
        <w:spacing w:lineRule="auto" w:line="288" w:before="240" w:after="283"/>
        <w:ind w:left="0" w:right="0" w:firstLine="540"/>
        <w:rPr/>
      </w:pPr>
      <w:r>
        <w:rPr>
          <w:rFonts w:ascii="Times New Roman;sans-serif" w:hAnsi="Times New Roman;sans-serif"/>
          <w:b/>
          <w:i/>
          <w:color w:val="000000"/>
          <w:sz w:val="20"/>
        </w:rPr>
        <w:t>(f)</w:t>
      </w:r>
      <w:r>
        <w:rPr>
          <w:rFonts w:ascii="Times New Roman;sans-serif" w:hAnsi="Times New Roman;sans-serif"/>
          <w:b/>
          <w:i/>
          <w:color w:val="000000"/>
          <w:sz w:val="20"/>
        </w:rPr>
        <w:t>Deferred Sales Commissions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Total net capitalized commission costs as of March 31, 2023, and December 31, 2022, were $237.0 million and $239.1 million, respectively, and are included in prepaid expenses and other current assets and other long</w:t>
        <w:noBreakHyphen/>
        <w:t xml:space="preserve">term assets in the accompanying condensed consolidated balance sheets. </w:t>
      </w:r>
    </w:p>
    <w:p>
      <w:pPr>
        <w:pStyle w:val="TextBody"/>
        <w:spacing w:lineRule="auto" w:line="288" w:before="240" w:after="283"/>
        <w:ind w:left="0" w:right="0" w:firstLine="540"/>
        <w:rPr/>
      </w:pPr>
      <w:r>
        <w:rPr>
          <w:rFonts w:ascii="Times New Roman;sans-serif" w:hAnsi="Times New Roman;sans-serif"/>
          <w:b/>
          <w:i/>
          <w:color w:val="000000"/>
          <w:sz w:val="20"/>
        </w:rPr>
        <w:t>(g)</w:t>
      </w:r>
      <w:r>
        <w:rPr>
          <w:rFonts w:ascii="Times New Roman;sans-serif" w:hAnsi="Times New Roman;sans-serif"/>
          <w:b/>
          <w:i/>
          <w:color w:val="000000"/>
          <w:sz w:val="20"/>
        </w:rPr>
        <w:t>Concentration of Credit Risk</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In the three months ended March 31, 2023 and 2022, no customer organization accounted for more than 10% of the Company’s total revenue.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no customer organization represented more than 10% of the Company’s gross accounts receivable.</w:t>
      </w:r>
    </w:p>
    <w:p>
      <w:pPr>
        <w:pStyle w:val="TextBody"/>
        <w:spacing w:lineRule="auto" w:line="288" w:before="240" w:after="283"/>
        <w:ind w:left="0" w:right="0" w:firstLine="540"/>
        <w:rPr/>
      </w:pPr>
      <w:r>
        <w:rPr>
          <w:rFonts w:ascii="Times New Roman;sans-serif" w:hAnsi="Times New Roman;sans-serif"/>
          <w:b/>
          <w:i/>
          <w:color w:val="000000"/>
          <w:sz w:val="20"/>
        </w:rPr>
        <w:t>(h)</w:t>
      </w:r>
      <w:r>
        <w:rPr>
          <w:rFonts w:ascii="Times New Roman;sans-serif" w:hAnsi="Times New Roman;sans-serif"/>
          <w:b/>
          <w:i/>
          <w:color w:val="000000"/>
          <w:sz w:val="20"/>
        </w:rPr>
        <w:t>Changes to Significant Accounting Policies</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elected to record the excess of the repurchase price over the par value of the repurchased shares of its Class A common stock in accumulated deficit, along with the associated transaction costs and excise taxes. Immediately upon repurchase, the shares are retired and returned to the status of unauthorized and unissued.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changes to the Company’s significant accounting policies as described in its Annual Report.</w:t>
      </w:r>
    </w:p>
    <w:p>
      <w:pPr>
        <w:pStyle w:val="TextBody"/>
        <w:spacing w:lineRule="auto" w:line="288" w:before="240" w:after="283"/>
        <w:ind w:left="0" w:right="0" w:firstLine="540"/>
        <w:rPr/>
      </w:pPr>
      <w:r>
        <w:rPr>
          <w:rFonts w:ascii="Times New Roman;sans-serif" w:hAnsi="Times New Roman;sans-serif"/>
          <w:b/>
          <w:i/>
          <w:color w:val="000000"/>
          <w:sz w:val="20"/>
        </w:rPr>
        <w:t>(i)</w:t>
      </w:r>
      <w:r>
        <w:rPr>
          <w:rFonts w:ascii="Times New Roman;sans-serif" w:hAnsi="Times New Roman;sans-serif"/>
          <w:b/>
          <w:i/>
          <w:color w:val="000000"/>
          <w:sz w:val="20"/>
        </w:rPr>
        <w:t>Recently Issued Accounting Guidance, Not yet Adopted</w:t>
      </w:r>
    </w:p>
    <w:p>
      <w:pPr>
        <w:pStyle w:val="TextBody"/>
        <w:spacing w:lineRule="auto" w:line="288" w:before="240" w:after="283"/>
        <w:ind w:left="0" w:right="0" w:firstLine="540"/>
        <w:rPr/>
      </w:pPr>
      <w:r>
        <w:rPr>
          <w:rFonts w:ascii="Times New Roman;sans-serif" w:hAnsi="Times New Roman;sans-serif"/>
          <w:b w:val="false"/>
          <w:color w:val="000000"/>
          <w:sz w:val="20"/>
        </w:rPr>
        <w:t>In June 2022, the Financial Accounting Standards Board issued Accounting Standards Update No. 2022-03, "</w:t>
      </w:r>
      <w:r>
        <w:rPr>
          <w:rFonts w:ascii="Times New Roman;sans-serif" w:hAnsi="Times New Roman;sans-serif"/>
          <w:b w:val="false"/>
          <w:i/>
          <w:color w:val="000000"/>
          <w:sz w:val="20"/>
        </w:rPr>
        <w:t>Fair Value Measurements (Topic 820): Fair Value Measurement of Equity Securities Subject to Contractual Sale Restrictions,</w:t>
      </w:r>
      <w:r>
        <w:rPr>
          <w:rFonts w:ascii="Times New Roman;sans-serif" w:hAnsi="Times New Roman;sans-serif"/>
          <w:b w:val="false"/>
          <w:color w:val="000000"/>
          <w:sz w:val="20"/>
        </w:rPr>
        <w:t>" which clarifies and amends the guidance of measuring the fair value of equity securities subject to contractual restrictions that prohibit the sale of the equity securities. The guidance will be effective for fiscal years beginning after December 15, 2023, and interim periods within those fiscal years. The Company is evaluating the impact of the adoption of this guidance on its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Financial Assets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the financial assets measured at fair value on a recurring basis: </w:t>
      </w:r>
    </w:p>
    <w:tbl>
      <w:tblPr>
        <w:tblW w:w="11710" w:type="dxa"/>
        <w:jc w:val="center"/>
        <w:tblInd w:w="0" w:type="dxa"/>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571"/>
        <w:gridCol w:w="109"/>
        <w:gridCol w:w="109"/>
        <w:gridCol w:w="109"/>
        <w:gridCol w:w="109"/>
        <w:gridCol w:w="196"/>
        <w:gridCol w:w="661"/>
        <w:gridCol w:w="109"/>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March 31, 2023</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6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7" w:type="dxa"/>
            <w:gridSpan w:val="4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Non-U.S. government </w:t>
              <w:br/>
              <w: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debt securities and </w:t>
              <w:br/>
              <w:t>   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2,757,442 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marketable </w:t>
              <w:br/>
              <w: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3,600,480 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2340" w:type="dxa"/>
        <w:jc w:val="center"/>
        <w:tblInd w:w="0" w:type="dxa"/>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202"/>
        <w:gridCol w:w="435"/>
        <w:gridCol w:w="114"/>
        <w:gridCol w:w="109"/>
        <w:gridCol w:w="109"/>
        <w:gridCol w:w="109"/>
        <w:gridCol w:w="196"/>
        <w:gridCol w:w="661"/>
        <w:gridCol w:w="109"/>
        <w:gridCol w:w="109"/>
        <w:gridCol w:w="109"/>
        <w:gridCol w:w="109"/>
        <w:gridCol w:w="196"/>
        <w:gridCol w:w="661"/>
        <w:gridCol w:w="109"/>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December 31, 2022</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75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54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96" w:type="dxa"/>
            <w:tcBorders/>
            <w:shd w:fill="auto" w:val="clear"/>
          </w:tcPr>
          <w:p>
            <w:pPr>
              <w:pStyle w:val="TableContents"/>
              <w:spacing w:before="0" w:after="283"/>
              <w:rPr>
                <w:sz w:val="4"/>
                <w:szCs w:val="4"/>
              </w:rPr>
            </w:pPr>
            <w:r>
              <w:rPr>
                <w:sz w:val="4"/>
                <w:szCs w:val="4"/>
              </w:rPr>
            </w:r>
          </w:p>
        </w:tc>
        <w:tc>
          <w:tcPr>
            <w:tcW w:w="40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9" w:type="dxa"/>
            <w:gridSpan w:val="4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8" w:type="dxa"/>
            <w:gridSpan w:val="6"/>
            <w:tcBorders/>
            <w:shd w:fill="auto" w:val="clea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Money market funds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Reverse repurchase</w:t>
              <w:br/>
              <w:t>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included in cash</w:t>
              <w:br/>
              <w:t>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Non-U.S. government</w:t>
              <w:br/>
              <w: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w:t>
              <w:br/>
              <w:t>   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2,890,906 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3,752,176 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aggregate related fair value of the corporate debt securities with unrealized losses was $2.4 billion as of March 31, 2023, of which $1.9 billion were in an unrealized loss position for more than 12 months and $420.2 million were in an unrealized loss position for less than 12 months. The aggregate related fair value of corporate debt securities with unrealized losses was $2.7 billion as of December 31, 2022, of which $2.0 billion were in an unrealized loss position for more than 12 months and $620.5 million were in an unrealized loss position for less than 12 months. Unrealized losses related to other investments as of March 31, 2023, and December 31, 2022, were not significant.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primary objective when investing excess cash is preservation of capital, hence the Company's marketable securities primarily consist of U.S. Treasury Securities, non-U.S government securities, high credit quality corporate debt securities and commercial paper. Because the Company views its marketable securities as available to support current operations, it has classified all available for sale securities as short-term. As of March 31, 2023, and December 31, 2022, for all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March 31, 2023, and December 31, 2022, the Company anticipates that it will recover the entire amortized cost basis of such fixed income securities before maturity.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earned on marketable securities was $17.2 million and $15.6 million in the three months ended March 31, 2023 and 2022, respectively. The interest is recorded as other income (expenses), net, in the accompanying condensed consolidated statements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contractual maturities of marketable securities: </w:t>
      </w:r>
    </w:p>
    <w:tbl>
      <w:tblPr>
        <w:tblW w:w="7497" w:type="dxa"/>
        <w:jc w:val="center"/>
        <w:tblInd w:w="0" w:type="dxa"/>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Strategic Investments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held strategic investments with a carrying value of $30.7 million and $76.9 million, respectively, recorded as other long-term assets in the accompanying condensed consolidated balance sheets. The carrying value of these securities is determined under the measurement alternative on a non-recurring basis and adjusted for observable changes in fair value or impairment. In the three months ended March 31, 2023, the Company remeasured one of its strategic investments that it acquired in 2021 to fair value due to an assessed impairment. The fair value measurement of the strategic investment is categorized under Level 2 in the fair value hierarchy and the primary input used in the fair value measurement was the publicly available stock price of the issuer’s unrestricted security of the same class. The impairment loss of $46.2 million is recorded in other income (expenses), net, in the accompanying condensed consolidated statement of operations for the three months ended March 31, 2023. There were no other impairments or adjustments recorded in the three months ended March 31, 2023 and 2022, related to these securities.</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Financial Liabilities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March 31, 2023, and December 31, 2022, the aggregate fair value of these liabilities and the associated unrealized losses were not significant.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not measured at fair value on a recurring basis are its Senior Notes due 2029 (“2029 Notes”) and its Senior Notes due 2031 (“2031 Notes”). As of March 31, 2023, the fair value of the 2029 Notes and 2031 Notes were $437.4 million and $427.5 million, respectively. As of December 31, 2022, the fair value of the 2029 Notes and 2031 Notes were $410.9 million and $399.4 million, respectively. </w:t>
      </w:r>
    </w:p>
    <w:p>
      <w:pPr>
        <w:pStyle w:val="TextBody"/>
        <w:spacing w:before="0" w:after="0"/>
        <w:ind w:left="0" w:right="0" w:firstLine="54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Property and Equipment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8287" w:type="dxa"/>
        <w:jc w:val="center"/>
        <w:tblInd w:w="0" w:type="dxa"/>
        <w:tblCellMar>
          <w:top w:w="28" w:type="dxa"/>
          <w:left w:w="28" w:type="dxa"/>
          <w:bottom w:w="28" w:type="dxa"/>
          <w:right w:w="28" w:type="dxa"/>
        </w:tblCellMar>
      </w:tblPr>
      <w:tblGrid>
        <w:gridCol w:w="1396"/>
        <w:gridCol w:w="1227"/>
        <w:gridCol w:w="1231"/>
        <w:gridCol w:w="109"/>
        <w:gridCol w:w="109"/>
        <w:gridCol w:w="109"/>
        <w:gridCol w:w="327"/>
        <w:gridCol w:w="1230"/>
        <w:gridCol w:w="182"/>
        <w:gridCol w:w="109"/>
        <w:gridCol w:w="109"/>
        <w:gridCol w:w="109"/>
        <w:gridCol w:w="368"/>
        <w:gridCol w:w="1383"/>
        <w:gridCol w:w="289"/>
      </w:tblGrid>
      <w:tr>
        <w:trPr/>
        <w:tc>
          <w:tcPr>
            <w:tcW w:w="1396"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269,463 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257,983 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Data center equipment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101,178 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100,207 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92,475 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91,660 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71,344 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70,815 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14,675 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550,275 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Less: accumulated depreciation and amortization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(310,143)</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(286,296)</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254,062 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263,979 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spacing w:lineRule="auto" w:line="288" w:before="0" w:after="0"/>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Data center equipment contains $72.4 million in assets held under finance leases as of March 31, 2023, and December 31, 2022. Accumulated depreciation and amortization includes $45.0 million and $41.2 million of accumulated depreciation for assets held under finance leases as of March 31, 2023, and December 31, 2022, respectively.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$20.1 million and $16.6 million in the three months ended March 31, 2023 and 2022, respectively.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capitalized $14.2 million and $14.7 million in internal</w:t>
        <w:noBreakHyphen/>
        <w:t>use software development costs in the three months ended March 31, 2023 and 2022, respectively.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the Company signed an agreement to divest its Internet of Things (“IoT”) assets and liabilities to a third party. The Company recorded a $3.8 million loss on net assets held for sale related to this transaction and an additional $2.2 million of related costs. The assets and liabilities held for sale are not significant.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5. Impairment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announced plans to close additional offices as part of its 2022 strategy to become a remote-first company. The Company regularly assesses recoverability of all impacted right-of-use (“ROU”) assets and the related leasehold improvements and property and equipment for indicators of impairment. In the three months ended March 31, 2023, the Company recorded a $21.8 million impairment expense related to its permanent office closures.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 other significant impairments were recorded in the three months ended March 31, 2023 and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Restructuring Activities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February 13, 2023, the Company committed to a workforce reduction plan (the “February 2023 Plan”) that eliminated approximately 17% of the Company’s workforce. In the three months ended March 31, 2023, the Company recorded restructuring charges of $121.9 million, which consisted of $111.6 million related to employee severances, benefits and facilitation costs and $10.3 million related to vesting of stock-based awards of the impacted employees. The execution of the February 2023 Plan was substantially completed as of March 31, 2023. The estimated remaining expenses related to the February 2023 Plan are approximately $20.0 million and are expected to be incurred in 2023. The actual expenses may differ materially from the original estimates.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restructuring liability related to the February 2023 Plan that is included in accrued expenses and other current liabilities in the accompanying condensed consolidated balance sheet:</w:t>
      </w:r>
    </w:p>
    <w:tbl>
      <w:tblPr>
        <w:tblW w:w="8061" w:type="dxa"/>
        <w:jc w:val="center"/>
        <w:tblInd w:w="0" w:type="dxa"/>
        <w:tblCellMar>
          <w:top w:w="28" w:type="dxa"/>
          <w:left w:w="28" w:type="dxa"/>
          <w:bottom w:w="28" w:type="dxa"/>
          <w:right w:w="28" w:type="dxa"/>
        </w:tblCellMar>
      </w:tblPr>
      <w:tblGrid>
        <w:gridCol w:w="905"/>
        <w:gridCol w:w="798"/>
        <w:gridCol w:w="801"/>
        <w:gridCol w:w="109"/>
        <w:gridCol w:w="109"/>
        <w:gridCol w:w="109"/>
        <w:gridCol w:w="463"/>
        <w:gridCol w:w="1529"/>
        <w:gridCol w:w="258"/>
        <w:gridCol w:w="109"/>
        <w:gridCol w:w="109"/>
        <w:gridCol w:w="109"/>
        <w:gridCol w:w="326"/>
        <w:gridCol w:w="929"/>
        <w:gridCol w:w="184"/>
        <w:gridCol w:w="196"/>
        <w:gridCol w:w="646"/>
        <w:gridCol w:w="109"/>
        <w:gridCol w:w="109"/>
        <w:gridCol w:w="154"/>
      </w:tblGrid>
      <w:tr>
        <w:trPr/>
        <w:tc>
          <w:tcPr>
            <w:tcW w:w="905"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Workforce Reduction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Facilitation Costs</w:t>
            </w:r>
          </w:p>
        </w:tc>
        <w:tc>
          <w:tcPr>
            <w:tcW w:w="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105,113 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(77,873)</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27,240 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$10.3 million vesting of the stock-based awards is recorded in the additional-paid-in capital in the accompanying condensed consolidated statement of stockholders’ equity.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activity and the remaining amounts related to the restructuring plan effected in September 2022 (the “September 2022 Plan”) were insignificant.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Reorganization and Segment Reporting</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February 2023, concurrent with the announcement of the February 2023 Plan, the Company announced a reorganization of its business into two business units, Twilio Data &amp; Applications and Twilio Communications, to enable the Company to better execute on the key priorities for each side of its business—accelerating growth for Twilio Data &amp; Applications and driving efficiencies for Twilio Communications—while accounting for each business unit’s unique economic, customer and product needs (the “Reorganization”). Effective March 1, 2023, the Company’s Board of Directors appointed a president for each newly created business unit. Both presidents report directly to the Chief Operating Decision Maker (“CODM”), maintain regular contact with the CODM and are directly accountable for specific activities and financial results of their respective business units. The Company’s Chief Executive Officer is its CODM.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 operating segment is a component of a public entity that has all of the following characteristics: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it engages in business activities from which it may recognize revenues and incur expenses,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its operating results are regularly reviewed by the public entity’s CODM to make decisions about resources to be allocated to the segment and assess its performance,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its discrete financial information is available.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With the Reorganization, the Company significantly changed the organizational structure of its business, including the way management will operate the business in the future. As such, in February 2023, the Company began making significant realignments to its internal processes and controls to build a financial reporting process within its enterprise reporting system that would enable consistent, comparable and reliable internal reporting of discrete financial information on a newly formed business unit level (the “Realignment”). The Realignment includes efforts, such as remapping of the Company’s functional cost centers to the newly formed business units, developing new allocation methodologies for various costs and reserves, redesigning employee compensation structure, including commissions plans, and other changes - most of which involve judgment and assumptions. Additionally, as of March 31, 2023, the Company was still in process of determining the optimal measure of profitability to be used by the CODM to assess performance of the newly formed business units. The Company expects to complete these efforts during 2023 in order to regularly provide the CODM with discrete financial information on the business unit level, which will also enable the Company to provide segment level disclosures. As this information was not yet available as of March 31, 2023, the Company concluded that it continued to have one operating and reportable segment in the first quarter of 2023.</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expected shift from one operating segment to two operating segments in 2023, the Company will also shift into a multiple reporting unit structure. Once this occurs and the Company is able to allocate goodwill to each reporting unit, the Company will perform an impairment assessment for each newly formed reporting unit, which may result in goodwill and other asset impairments that could be material.</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8. Derivatives and Hedging</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had outstanding foreign currency forward contracts designated as cash flow hedges with a total sell notional value of $286.8 million. The notional value represents the amount that will be sold upon maturity of the forward contract. As of March 31, 2023, these contracts had maturities of up to seventeen months.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Gains and losses associated with these foreign currency forward contracts were as follows:</w:t>
      </w:r>
    </w:p>
    <w:tbl>
      <w:tblPr>
        <w:tblW w:w="10539" w:type="dxa"/>
        <w:jc w:val="center"/>
        <w:tblInd w:w="0" w:type="dxa"/>
        <w:tblCellMar>
          <w:top w:w="28" w:type="dxa"/>
          <w:left w:w="28" w:type="dxa"/>
          <w:bottom w:w="28" w:type="dxa"/>
          <w:right w:w="28" w:type="dxa"/>
        </w:tblCellMar>
      </w:tblPr>
      <w:tblGrid>
        <w:gridCol w:w="976"/>
        <w:gridCol w:w="748"/>
        <w:gridCol w:w="754"/>
        <w:gridCol w:w="109"/>
        <w:gridCol w:w="109"/>
        <w:gridCol w:w="109"/>
        <w:gridCol w:w="1192"/>
        <w:gridCol w:w="1192"/>
        <w:gridCol w:w="1195"/>
        <w:gridCol w:w="109"/>
        <w:gridCol w:w="109"/>
        <w:gridCol w:w="109"/>
        <w:gridCol w:w="109"/>
        <w:gridCol w:w="109"/>
        <w:gridCol w:w="169"/>
        <w:gridCol w:w="169"/>
        <w:gridCol w:w="305"/>
        <w:gridCol w:w="866"/>
        <w:gridCol w:w="169"/>
        <w:gridCol w:w="109"/>
        <w:gridCol w:w="109"/>
        <w:gridCol w:w="109"/>
        <w:gridCol w:w="196"/>
        <w:gridCol w:w="595"/>
        <w:gridCol w:w="109"/>
        <w:gridCol w:w="109"/>
        <w:gridCol w:w="109"/>
        <w:gridCol w:w="109"/>
        <w:gridCol w:w="109"/>
        <w:gridCol w:w="109"/>
        <w:gridCol w:w="160"/>
      </w:tblGrid>
      <w:tr>
        <w:trPr/>
        <w:tc>
          <w:tcPr>
            <w:tcW w:w="97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 of Operations and Statement of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gridSpan w:val="4"/>
            <w:tcBorders/>
            <w:shd w:fill="auto" w:val="clear"/>
          </w:tcPr>
          <w:p>
            <w:pPr>
              <w:pStyle w:val="TableContents"/>
              <w:spacing w:before="0" w:after="283"/>
              <w:rPr>
                <w:sz w:val="4"/>
                <w:szCs w:val="4"/>
              </w:rPr>
            </w:pPr>
            <w:r>
              <w:rPr>
                <w:sz w:val="4"/>
                <w:szCs w:val="4"/>
              </w:rPr>
            </w:r>
          </w:p>
        </w:tc>
      </w:tr>
      <w:tr>
        <w:trPr/>
        <w:tc>
          <w:tcPr>
            <w:tcW w:w="24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56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gridSpan w:val="4"/>
            <w:tcBorders/>
            <w:shd w:fill="auto" w:val="clear"/>
          </w:tcPr>
          <w:p>
            <w:pPr>
              <w:pStyle w:val="TableContents"/>
              <w:spacing w:before="0" w:after="283"/>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recognized in OCI</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recognized in income due to instruments maturing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March 31, 2023, the Company did not have any offsetting arrangements.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9. Goodwill and Intangible Assets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goodwill balance as of March 31, 2023, and December 31, 2022, was as follows:</w:t>
      </w:r>
    </w:p>
    <w:tbl>
      <w:tblPr>
        <w:tblW w:w="4161" w:type="dxa"/>
        <w:jc w:val="center"/>
        <w:tblInd w:w="0" w:type="dxa"/>
        <w:tblCellMar>
          <w:top w:w="28" w:type="dxa"/>
          <w:left w:w="28" w:type="dxa"/>
          <w:bottom w:w="28" w:type="dxa"/>
          <w:right w:w="28" w:type="dxa"/>
        </w:tblCellMar>
      </w:tblPr>
      <w:tblGrid>
        <w:gridCol w:w="905"/>
        <w:gridCol w:w="798"/>
        <w:gridCol w:w="801"/>
        <w:gridCol w:w="109"/>
        <w:gridCol w:w="109"/>
        <w:gridCol w:w="109"/>
        <w:gridCol w:w="196"/>
        <w:gridCol w:w="871"/>
        <w:gridCol w:w="109"/>
        <w:gridCol w:w="154"/>
      </w:tblGrid>
      <w:tr>
        <w:trPr/>
        <w:tc>
          <w:tcPr>
            <w:tcW w:w="905"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7982" w:type="dxa"/>
        <w:jc w:val="center"/>
        <w:tblInd w:w="0" w:type="dxa"/>
        <w:tblCellMar>
          <w:top w:w="28" w:type="dxa"/>
          <w:left w:w="28" w:type="dxa"/>
          <w:bottom w:w="28" w:type="dxa"/>
          <w:right w:w="28" w:type="dxa"/>
        </w:tblCellMar>
      </w:tblPr>
      <w:tblGrid>
        <w:gridCol w:w="924"/>
        <w:gridCol w:w="810"/>
        <w:gridCol w:w="816"/>
        <w:gridCol w:w="109"/>
        <w:gridCol w:w="109"/>
        <w:gridCol w:w="109"/>
        <w:gridCol w:w="196"/>
        <w:gridCol w:w="871"/>
        <w:gridCol w:w="109"/>
        <w:gridCol w:w="109"/>
        <w:gridCol w:w="109"/>
        <w:gridCol w:w="109"/>
        <w:gridCol w:w="400"/>
        <w:gridCol w:w="1562"/>
        <w:gridCol w:w="227"/>
        <w:gridCol w:w="109"/>
        <w:gridCol w:w="109"/>
        <w:gridCol w:w="109"/>
        <w:gridCol w:w="196"/>
        <w:gridCol w:w="736"/>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(363,631)</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(223,148)</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(21,622)</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(641,677)</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(641,677)</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720"/>
        <w:jc w:val="center"/>
        <w:rPr/>
      </w:pPr>
      <w:r>
        <w:rPr/>
      </w:r>
    </w:p>
    <w:tbl>
      <w:tblPr>
        <w:tblW w:w="8200" w:type="dxa"/>
        <w:jc w:val="center"/>
        <w:tblInd w:w="0" w:type="dxa"/>
        <w:tblCellMar>
          <w:top w:w="28" w:type="dxa"/>
          <w:left w:w="28" w:type="dxa"/>
          <w:bottom w:w="28" w:type="dxa"/>
          <w:right w:w="28" w:type="dxa"/>
        </w:tblCellMar>
      </w:tblPr>
      <w:tblGrid>
        <w:gridCol w:w="924"/>
        <w:gridCol w:w="810"/>
        <w:gridCol w:w="816"/>
        <w:gridCol w:w="109"/>
        <w:gridCol w:w="109"/>
        <w:gridCol w:w="109"/>
        <w:gridCol w:w="196"/>
        <w:gridCol w:w="871"/>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0"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(335,893)</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(204,241)</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(19,846)</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(20,106)</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(590,791)</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(590,791)</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$50.8 million and $51.5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Total estimated future amortization expense is as follows: </w:t>
      </w:r>
    </w:p>
    <w:tbl>
      <w:tblPr>
        <w:tblW w:w="4107" w:type="dxa"/>
        <w:jc w:val="center"/>
        <w:tblInd w:w="0" w:type="dxa"/>
        <w:tblCellMar>
          <w:top w:w="28" w:type="dxa"/>
          <w:left w:w="28" w:type="dxa"/>
          <w:bottom w:w="28" w:type="dxa"/>
          <w:right w:w="28" w:type="dxa"/>
        </w:tblCellMar>
      </w:tblPr>
      <w:tblGrid>
        <w:gridCol w:w="721"/>
        <w:gridCol w:w="636"/>
        <w:gridCol w:w="638"/>
        <w:gridCol w:w="109"/>
        <w:gridCol w:w="109"/>
        <w:gridCol w:w="109"/>
        <w:gridCol w:w="322"/>
        <w:gridCol w:w="1210"/>
        <w:gridCol w:w="253"/>
      </w:tblGrid>
      <w:tr>
        <w:trPr/>
        <w:tc>
          <w:tcPr>
            <w:tcW w:w="721"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152,782 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196,111 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192,538 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120,240 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72,221 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58,592 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792,484 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10. Accrued Expenses and Other Current Liabilities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8108" w:type="dxa"/>
        <w:jc w:val="left"/>
        <w:tblInd w:w="0" w:type="dxa"/>
        <w:tblCellMar>
          <w:top w:w="28" w:type="dxa"/>
          <w:left w:w="28" w:type="dxa"/>
          <w:bottom w:w="28" w:type="dxa"/>
          <w:right w:w="28" w:type="dxa"/>
        </w:tblCellMar>
      </w:tblPr>
      <w:tblGrid>
        <w:gridCol w:w="1331"/>
        <w:gridCol w:w="1167"/>
        <w:gridCol w:w="1177"/>
        <w:gridCol w:w="109"/>
        <w:gridCol w:w="109"/>
        <w:gridCol w:w="109"/>
        <w:gridCol w:w="327"/>
        <w:gridCol w:w="1230"/>
        <w:gridCol w:w="182"/>
        <w:gridCol w:w="109"/>
        <w:gridCol w:w="109"/>
        <w:gridCol w:w="109"/>
        <w:gridCol w:w="368"/>
        <w:gridCol w:w="1383"/>
        <w:gridCol w:w="289"/>
      </w:tblGrid>
      <w:tr>
        <w:trPr/>
        <w:tc>
          <w:tcPr>
            <w:tcW w:w="1331"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3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6"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79,703 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bonus and commission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35,449 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153,469 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161,455 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other taxes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90,901 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92,319 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contributions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11,871 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Employee sabbatical benefit accrual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30,683 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69,176 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475,871 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490,221 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spacing w:lineRule="auto" w:line="288" w:before="0" w:after="0"/>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 xml:space="preserve">In February 2023, the Company announced that it will sunset its employee sabbatical program as of December 31, 2023. The accrued liability as of March 31, 2023, represents the accumulated benefit balance for the employees who remain eligible under this program through its termination date.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11. Long-Term Debt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consisted of the following:</w:t>
      </w:r>
    </w:p>
    <w:tbl>
      <w:tblPr>
        <w:tblW w:w="6518" w:type="dxa"/>
        <w:jc w:val="center"/>
        <w:tblInd w:w="0" w:type="dxa"/>
        <w:tblCellMar>
          <w:top w:w="28" w:type="dxa"/>
          <w:left w:w="28" w:type="dxa"/>
          <w:bottom w:w="28" w:type="dxa"/>
          <w:right w:w="28" w:type="dxa"/>
        </w:tblCellMar>
      </w:tblPr>
      <w:tblGrid>
        <w:gridCol w:w="755"/>
        <w:gridCol w:w="663"/>
        <w:gridCol w:w="667"/>
        <w:gridCol w:w="109"/>
        <w:gridCol w:w="109"/>
        <w:gridCol w:w="109"/>
        <w:gridCol w:w="327"/>
        <w:gridCol w:w="1230"/>
        <w:gridCol w:w="182"/>
        <w:gridCol w:w="109"/>
        <w:gridCol w:w="109"/>
        <w:gridCol w:w="109"/>
        <w:gridCol w:w="368"/>
        <w:gridCol w:w="1383"/>
        <w:gridCol w:w="289"/>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6"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494,093 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493,873 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493,676 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493,509 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987,769 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987,382 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was in compliance with all of its covenants under the related indentures.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12. Revenue by Geographic Area and Business Units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is based on the IP address or the mailing address at the time of registration. The following table sets forth revenue by geographic area:</w:t>
      </w:r>
    </w:p>
    <w:tbl>
      <w:tblPr>
        <w:tblW w:w="5729" w:type="dxa"/>
        <w:jc w:val="center"/>
        <w:tblInd w:w="0" w:type="dxa"/>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736"/>
        <w:gridCol w:w="109"/>
        <w:gridCol w:w="109"/>
        <w:gridCol w:w="109"/>
        <w:gridCol w:w="109"/>
        <w:gridCol w:w="109"/>
        <w:gridCol w:w="109"/>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5304" w:type="dxa"/>
        <w:jc w:val="center"/>
        <w:tblInd w:w="0" w:type="dxa"/>
        <w:tblCellMar>
          <w:top w:w="28" w:type="dxa"/>
          <w:left w:w="28" w:type="dxa"/>
          <w:bottom w:w="28" w:type="dxa"/>
          <w:right w:w="28" w:type="dxa"/>
        </w:tblCellMar>
      </w:tblPr>
      <w:tblGrid>
        <w:gridCol w:w="1125"/>
        <w:gridCol w:w="989"/>
        <w:gridCol w:w="990"/>
        <w:gridCol w:w="165"/>
        <w:gridCol w:w="166"/>
        <w:gridCol w:w="256"/>
        <w:gridCol w:w="109"/>
        <w:gridCol w:w="109"/>
        <w:gridCol w:w="109"/>
        <w:gridCol w:w="165"/>
        <w:gridCol w:w="166"/>
        <w:gridCol w:w="256"/>
        <w:gridCol w:w="109"/>
        <w:gridCol w:w="109"/>
        <w:gridCol w:w="109"/>
        <w:gridCol w:w="109"/>
        <w:gridCol w:w="109"/>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revenue by geographic area:</w:t>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Long-lived assets outside of the United States were $52.5 million and $54.5 million as of March 31, 2023, and December 31, 2022, respectively.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revenue by business unit:</w:t>
      </w:r>
    </w:p>
    <w:tbl>
      <w:tblPr>
        <w:tblW w:w="5437" w:type="dxa"/>
        <w:jc w:val="center"/>
        <w:tblInd w:w="0" w:type="dxa"/>
        <w:tblCellMar>
          <w:top w:w="28" w:type="dxa"/>
          <w:left w:w="28" w:type="dxa"/>
          <w:bottom w:w="28" w:type="dxa"/>
          <w:right w:w="28" w:type="dxa"/>
        </w:tblCellMar>
      </w:tblPr>
      <w:tblGrid>
        <w:gridCol w:w="753"/>
        <w:gridCol w:w="663"/>
        <w:gridCol w:w="669"/>
        <w:gridCol w:w="109"/>
        <w:gridCol w:w="109"/>
        <w:gridCol w:w="109"/>
        <w:gridCol w:w="196"/>
        <w:gridCol w:w="871"/>
        <w:gridCol w:w="109"/>
        <w:gridCol w:w="109"/>
        <w:gridCol w:w="109"/>
        <w:gridCol w:w="109"/>
        <w:gridCol w:w="196"/>
        <w:gridCol w:w="736"/>
        <w:gridCol w:w="109"/>
        <w:gridCol w:w="109"/>
        <w:gridCol w:w="109"/>
        <w:gridCol w:w="109"/>
        <w:gridCol w:w="154"/>
      </w:tblGrid>
      <w:tr>
        <w:trPr/>
        <w:tc>
          <w:tcPr>
            <w:tcW w:w="75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business unit:</w:t>
            </w:r>
          </w:p>
        </w:tc>
        <w:tc>
          <w:tcPr>
            <w:tcW w:w="2871"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Data &amp; Applications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Twilio Communications includes a variety of application programming interfaces (“APIs”) and software solutions to optimize communications between Twilio customers and their end users. This is primarily concentrated within the Messaging,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Voice and Email communication channels. Twilio Data &amp; Applications includes Twilio Segment, Twilio Engage, Twilio Flex and Marketing Campaigns. These products enable businesses to achieve more effective customer engagement by providing the tools necessary for customers to build direct, personalized relationships with their end users. Other consists of revenue from enterprise and support plans, professional services, IoT/wireless and other smaller products. As a result of the Realignment described in Note 6, the groups of products included in each of the above categories may be adjusted in future periods.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13. Commitments and Contingencies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firstLine="540"/>
        <w:rPr/>
      </w:pPr>
      <w:r>
        <w:rPr>
          <w:rFonts w:ascii="Times New Roman;sans-serif" w:hAnsi="Times New Roman;sans-serif"/>
          <w:b/>
          <w:i/>
          <w:color w:val="000000"/>
          <w:sz w:val="20"/>
        </w:rPr>
        <w:t>(a)</w:t>
      </w:r>
      <w:r>
        <w:rPr>
          <w:rFonts w:ascii="Times New Roman;sans-serif" w:hAnsi="Times New Roman;sans-serif"/>
          <w:b/>
          <w:i/>
          <w:color w:val="000000"/>
          <w:sz w:val="20"/>
        </w:rPr>
        <w:t>Lease and Other Commitments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non-cancelable operating lease agreements for its facilities. In the three months ended March 31, 2023, the Company did not enter into any significant new lease agreements.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contractual commitments with its cloud infrastructure provider, network service providers and other vendors. In the three months ended March 31, 2023, the Company entered into several such agreements with terms up to two years for a total purchase commitment of $47.6 million.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pPr>
      <w:r>
        <w:rPr>
          <w:rFonts w:ascii="Times New Roman;sans-serif" w:hAnsi="Times New Roman;sans-serif"/>
          <w:b/>
          <w:i/>
          <w:color w:val="000000"/>
          <w:sz w:val="20"/>
        </w:rPr>
        <w:t>(b)</w:t>
      </w:r>
      <w:r>
        <w:rPr>
          <w:rFonts w:ascii="Times New Roman;sans-serif" w:hAnsi="Times New Roman;sans-serif"/>
          <w:b/>
          <w:i/>
          <w:color w:val="000000"/>
          <w:sz w:val="20"/>
        </w:rPr>
        <w:t xml:space="preserve">Legal Matters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City and County of San Francisco (“San Francisco”) has assessed the Company for additional Telephone Users Tax (“TUT”) and Access Line Tax on certain of the Company’s services for the years 2009 through 2018. The assessments totaled $38.8 million, including interest and penalties. The Company paid the assessments under protest in the third quarter of 2020.</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27, 2021, the Company filed a lawsuit against San Francisco in San Francisco Superior Court challenging the assessments. The Company raised numerous defenses to the assessments including that its services are not telecommunications services, application of the taxes to the Company’s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 The previously set trial date was vacated, and a case management conference is scheduled for June 2023.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13(d) of these condensed consolidated financial statements.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noBreakHyphen/>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Legal fees and other costs related to litigation and other legal proceedings are expensed as incurred and are included in general and administrative expenses in the accompanying condensed consolidated statements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pPr>
      <w:r>
        <w:rPr>
          <w:rFonts w:ascii="Times New Roman;sans-serif" w:hAnsi="Times New Roman;sans-serif"/>
          <w:b/>
          <w:i/>
          <w:color w:val="000000"/>
          <w:sz w:val="20"/>
        </w:rPr>
        <w:t>(c)</w:t>
      </w:r>
      <w:r>
        <w:rPr>
          <w:rFonts w:ascii="Times New Roman;sans-serif" w:hAnsi="Times New Roman;sans-serif"/>
          <w:b/>
          <w:i/>
          <w:color w:val="000000"/>
          <w:sz w:val="20"/>
        </w:rPr>
        <w:t>Indemnification Agreements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and in connection with its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no amounts were accrued related to any outstanding indemnification agreements.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pPr>
      <w:r>
        <w:rPr>
          <w:rFonts w:ascii="Times New Roman;sans-serif" w:hAnsi="Times New Roman;sans-serif"/>
          <w:b/>
          <w:i/>
          <w:color w:val="000000"/>
          <w:sz w:val="20"/>
        </w:rPr>
        <w:t>(d)</w:t>
      </w:r>
      <w:r>
        <w:rPr>
          <w:rFonts w:ascii="Times New Roman;sans-serif" w:hAnsi="Times New Roman;sans-serif"/>
          <w:b/>
          <w:i/>
          <w:color w:val="000000"/>
          <w:sz w:val="20"/>
        </w:rPr>
        <w:t>Other Taxes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conducts operations in many tax jurisdictions within and outside of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13(b), the Company is currently involved in legal proceedings with the City and County of San Francisco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condensed consolidated balance sheets.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liabilities recorded for the non-income-based taxes were $30.3 million for domestic jurisdictions and $21.8 million for jurisdictions outside of the United States. As of December 31, 2022, these liabilities were $29.1 million and $20.6 million,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14. Stockholders' Equity</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authorized 100,000,000 shares of preferred stock, par value $0.001, of which no shares were issued and outstanding.</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had authorized 1,000,000,000 shares of Class A common stock and 100,000,000 shares of Class B common stock, each with a par value of $0.001 per share. As of March 31, 2023, 176,121,918 shares of Class A common stock and 9,617,605 shares of Class B common stock were issued and outstanding. As of December 31, 2022, 176,358,104 shares of Class A common stock and 9,617,605 shares of Class B common stock were issued and outstanding.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w:t>
      </w:r>
    </w:p>
    <w:tbl>
      <w:tblPr>
        <w:tblW w:w="8513" w:type="dxa"/>
        <w:jc w:val="center"/>
        <w:tblInd w:w="0" w:type="dxa"/>
        <w:tblCellMar>
          <w:top w:w="28" w:type="dxa"/>
          <w:left w:w="28" w:type="dxa"/>
          <w:bottom w:w="28" w:type="dxa"/>
          <w:right w:w="28" w:type="dxa"/>
        </w:tblCellMar>
      </w:tblPr>
      <w:tblGrid>
        <w:gridCol w:w="1475"/>
        <w:gridCol w:w="1298"/>
        <w:gridCol w:w="1306"/>
        <w:gridCol w:w="109"/>
        <w:gridCol w:w="109"/>
        <w:gridCol w:w="109"/>
        <w:gridCol w:w="579"/>
        <w:gridCol w:w="579"/>
        <w:gridCol w:w="582"/>
        <w:gridCol w:w="109"/>
        <w:gridCol w:w="109"/>
        <w:gridCol w:w="109"/>
        <w:gridCol w:w="597"/>
        <w:gridCol w:w="597"/>
        <w:gridCol w:w="846"/>
      </w:tblGrid>
      <w:tr>
        <w:trPr/>
        <w:tc>
          <w:tcPr>
            <w:tcW w:w="147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2,007,636 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2,277,379 </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13,487,645 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15,414,997 </w:t>
            </w:r>
          </w:p>
        </w:tc>
        <w:tc>
          <w:tcPr>
            <w:tcW w:w="8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508,347 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530,449 </w:t>
            </w:r>
          </w:p>
        </w:tc>
        <w:tc>
          <w:tcPr>
            <w:tcW w:w="8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29,755,557 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19,851,399 </w:t>
            </w:r>
          </w:p>
        </w:tc>
        <w:tc>
          <w:tcPr>
            <w:tcW w:w="8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available for grant under ESPP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9,448,429 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7,648,429 </w:t>
            </w:r>
          </w:p>
        </w:tc>
        <w:tc>
          <w:tcPr>
            <w:tcW w:w="8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55,207,614 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45,722,653 </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February 2023, the Board of Directors of the Company authorized a share repurchase program pursuant to which the Company may repurchase up to $1.0 billion in aggregate value of its outstanding Class A common stock. Repurchases under this program will be made through open market, private transactions or other means, in compliance with applicable federal securities laws, and could include repurchases pursuant to Rule 10b5-1 trading plans. The Company has discretion in determining the conditions under which shares may be repurchased from time to time. The program is set to expire on December 31, 2024.</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the Company repurchased 1.9 million shares of its Class A common stock for an aggregate purchase price of $125.0 million, including related costs. As of March 31, 2023, approximately $875.0 million of the originally authorized amount remained available for future repurchases. Subsequent to March 31, 2023, the Company has repurchased additional shares of its Class A common stock for an aggregate purchase price of $125.0 million.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15. Stock-Based Compensation</w:t>
      </w: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2016 Stock Option and Incentive Plan (the “2016 Plan”) provides for granting stock options, restricted stock units, restricted stock awards,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also offers an Employee Stock Purchase Plan (“ESPP”) to eligible employees. The ESPP provides for separate six-month offering periods beginning in May and November of each year.</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total unrecognized compensation cost related to all outstanding equity awards was as follows: </w:t>
      </w:r>
    </w:p>
    <w:tbl>
      <w:tblPr>
        <w:tblW w:w="9939" w:type="dxa"/>
        <w:jc w:val="left"/>
        <w:tblInd w:w="0" w:type="dxa"/>
        <w:tblCellMar>
          <w:top w:w="28" w:type="dxa"/>
          <w:left w:w="28" w:type="dxa"/>
          <w:bottom w:w="28" w:type="dxa"/>
          <w:right w:w="28" w:type="dxa"/>
        </w:tblCellMar>
      </w:tblPr>
      <w:tblGrid>
        <w:gridCol w:w="1325"/>
        <w:gridCol w:w="1162"/>
        <w:gridCol w:w="1173"/>
        <w:gridCol w:w="109"/>
        <w:gridCol w:w="109"/>
        <w:gridCol w:w="109"/>
        <w:gridCol w:w="454"/>
        <w:gridCol w:w="2021"/>
        <w:gridCol w:w="255"/>
        <w:gridCol w:w="109"/>
        <w:gridCol w:w="109"/>
        <w:gridCol w:w="109"/>
        <w:gridCol w:w="847"/>
        <w:gridCol w:w="847"/>
        <w:gridCol w:w="1201"/>
      </w:tblGrid>
      <w:tr>
        <w:trPr/>
        <w:tc>
          <w:tcPr>
            <w:tcW w:w="1325"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 Compensation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period</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years)</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31,238 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and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1,427,132 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shares in escrow subject to future vesting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1,463,211 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recorded total stock-based compensation expense as follows:</w:t>
      </w:r>
    </w:p>
    <w:tbl>
      <w:tblPr>
        <w:tblW w:w="5444" w:type="dxa"/>
        <w:jc w:val="center"/>
        <w:tblInd w:w="0" w:type="dxa"/>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16. Net Loss Per Share Attributable to Common Stockholders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periods presented:</w:t>
      </w:r>
    </w:p>
    <w:tbl>
      <w:tblPr>
        <w:tblW w:w="9088" w:type="dxa"/>
        <w:jc w:val="center"/>
        <w:tblInd w:w="0" w:type="dxa"/>
        <w:tblCellMar>
          <w:top w:w="28" w:type="dxa"/>
          <w:left w:w="28" w:type="dxa"/>
          <w:bottom w:w="28" w:type="dxa"/>
          <w:right w:w="28" w:type="dxa"/>
        </w:tblCellMar>
      </w:tblPr>
      <w:tblGrid>
        <w:gridCol w:w="1962"/>
        <w:gridCol w:w="1724"/>
        <w:gridCol w:w="1729"/>
        <w:gridCol w:w="109"/>
        <w:gridCol w:w="109"/>
        <w:gridCol w:w="109"/>
        <w:gridCol w:w="217"/>
        <w:gridCol w:w="834"/>
        <w:gridCol w:w="109"/>
        <w:gridCol w:w="109"/>
        <w:gridCol w:w="109"/>
        <w:gridCol w:w="109"/>
        <w:gridCol w:w="217"/>
        <w:gridCol w:w="834"/>
        <w:gridCol w:w="109"/>
        <w:gridCol w:w="109"/>
        <w:gridCol w:w="109"/>
        <w:gridCol w:w="109"/>
        <w:gridCol w:w="109"/>
        <w:gridCol w:w="109"/>
        <w:gridCol w:w="154"/>
      </w:tblGrid>
      <w:tr>
        <w:trPr/>
        <w:tc>
          <w:tcPr>
            <w:tcW w:w="1962"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2186" w:type="dxa"/>
            <w:gridSpan w:val="12"/>
            <w:tcBorders/>
            <w:shd w:fill="auto" w:val="clear"/>
          </w:tcPr>
          <w:p>
            <w:pPr>
              <w:pStyle w:val="TableContents"/>
              <w:spacing w:before="0" w:after="283"/>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 (in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(221,627)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to compute net loss per share attributable to </w:t>
              <w:br/>
              <w:t>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186,403,349 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180,898,713 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common stockholders because their effect would have been anti-dilutive:</w:t>
      </w:r>
    </w:p>
    <w:tbl>
      <w:tblPr>
        <w:tblW w:w="9456" w:type="dxa"/>
        <w:jc w:val="center"/>
        <w:tblInd w:w="0" w:type="dxa"/>
        <w:tblCellMar>
          <w:top w:w="28" w:type="dxa"/>
          <w:left w:w="28" w:type="dxa"/>
          <w:bottom w:w="28" w:type="dxa"/>
          <w:right w:w="28" w:type="dxa"/>
        </w:tblCellMar>
      </w:tblPr>
      <w:tblGrid>
        <w:gridCol w:w="2245"/>
        <w:gridCol w:w="1976"/>
        <w:gridCol w:w="1988"/>
        <w:gridCol w:w="109"/>
        <w:gridCol w:w="109"/>
        <w:gridCol w:w="109"/>
        <w:gridCol w:w="479"/>
        <w:gridCol w:w="482"/>
        <w:gridCol w:w="156"/>
        <w:gridCol w:w="141"/>
        <w:gridCol w:w="141"/>
        <w:gridCol w:w="141"/>
        <w:gridCol w:w="479"/>
        <w:gridCol w:w="482"/>
        <w:gridCol w:w="156"/>
        <w:gridCol w:w="109"/>
        <w:gridCol w:w="154"/>
      </w:tblGrid>
      <w:tr>
        <w:trPr/>
        <w:tc>
          <w:tcPr>
            <w:tcW w:w="2245"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2,007,636 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2,709,573 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13,487,645 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7,745,115 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596,755 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committed under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escrow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escrow and restricted stock awards subject to future vesting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16,793,370 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11,306,973 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17. Income Taxes</w:t>
      </w:r>
      <w:r>
        <w:rPr>
          <w:color w:val="000000"/>
        </w:rPr>
        <w:t>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computes its provision for income taxes for interim periods by applying an estimated annual effective tax rate to anticipated annual pretax income or loss. The estimated annual effective tax rate is applied to the Company’s year to 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 The Company recorded an income tax provision of $10.5 million for the three months ended March 31, 2023, and an income tax benefit of $2.9 million for the three months ended March 31, 2022.</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recorded in the three months ended March 31, 2023, consists primarily of income taxes and withholding taxes, partially offset by an income tax benefit from the release of tax liabilities related to uncertain tax positions for which the statute of limitation had lapsed. The benefit for income taxes recorded in the three months ended March 31, 2022, consists primarily of an income tax benefit from the reversal of U.S. valuation allowance related to acquired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intangible assets from business combinations, partially offset by income taxes and withholding taxes in foreign jurisdictions in which the Company conducts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w:t>
      </w:r>
    </w:p>
    <w:p>
      <w:pPr>
        <w:pStyle w:val="TextBody"/>
        <w:spacing w:before="240" w:after="283"/>
        <w:ind w:left="0" w:right="0" w:firstLine="54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18.</w:t>
      </w:r>
      <w:r>
        <w:rPr>
          <w:color w:val="000000"/>
        </w:rPr>
        <w:t xml:space="preserve"> </w:t>
      </w:r>
      <w:r>
        <w:rPr>
          <w:rFonts w:ascii="Times New Roman;sans-serif" w:hAnsi="Times New Roman;sans-serif"/>
          <w:b/>
          <w:color w:val="000000"/>
          <w:sz w:val="20"/>
        </w:rPr>
        <w:t>Related Party Transactions</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May 2022, the Company and Syniverse Corporation (“Syniverse”), an equity method investee, entered into a wholesale agreement, pursuant to which Syniverse will process, route and deliver application-to-person messages originating and/or terminating between the Company’s customers and mobile network operators. For the three months ended March 31, 2023, the value of the transactions that occurred between the Company and Syniverse were $33.5 million. These transactions were recorded as cost of revenue in the accompanying condensed consolidated statement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impact of macroeconomic uncertainties and significant market volatility in the global economy on our customers, partners, employees and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future financial performance, including expectations regarding our revenue, cost of revenue, gross margin and operating expenses, our ability to generate positive cash flow and ability to achieve and sustain profitability, and the assumptions underlying such expectations;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the benefits and efficiencies we expect to derive from recent workforce reductions and other cost-saving initiatives, including reducing our global office footprint;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business unit reorganization, including its expected costs and benefits, related accounting determinations and changes to our leadership structure;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our expectations regarding our Data &amp; Applications business, including increased investment and go-to-market focus to capture market share and increase revenue growth;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expectations regarding our Communications business, including anticipated efficiencies and strategy for streamlining the customer experience, including increased focus on self-service capabilities;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retain and increase revenue from existing customers and attract new customers, including enterprises and international organizations;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maintain reliable service levels for our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anticipated investments in sales and marketing, research and development and additional systems and processes to support our growth;</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potential harm caused by compromises in security, data and infrastructure, including cybersecurity protections;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comply with modified or new industry standards, laws and regulations applying to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make progress on our environmental, social and governance (“ESG”) programs, goals and commitments;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manage changes in network service provider fees that we pay in connection with the delivery of communications on our platform;</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investments and costs required to prevent, detect and remediate potential cybersecurity threats, incidents and breaches of ours or our customers’ systems or information;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optimize our network service provider coverage and connectivity;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work closely with email inbox service providers to maintain deliverability rates;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impact and expected results from changes in our relationships with our larger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form and expand partnerships with technology partners and consulting partners;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anticipated technology trends, such as the use of and demand for cloud communications and customer engagement tools;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successfully enter into new markets and manage our international expansion;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sufficiency of our cash and cash equivalents to meet our liquidity needs;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expectations regarding our share repurchase program;</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successfully defend litigation brought against us;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customers’ and other platform users’ violation of our policies or other misuse of our platform;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successfully integrate and realize the benefits of our past or future strategic acquisitions, divestitures or investments, and our expectations regarding the impact of the pending divestiture of our Internet of Things (“IoT”)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spacing w:before="240" w:after="283"/>
        <w:ind w:left="0" w:right="0" w:firstLine="54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included in our Annual Report on Form 10-K for the year ended December 31, 2022.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76"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enable businesses of all sizes and across numerous industries to revolutionize how they engage their customers. Our leading customer engagement platform is comprised of a suite of flexible software and communications solutions that allow businesses to deliver seamless, trusted and engaging customer experiences at scale. In order to deliver the personalized experiences through digital communication channels that their customers have come to expect, businesses seek a comprehensive view of their customers across multiple digital touchpoints that reveals what their needs are and which communications methods they prefer. Our platform, which combines our highly customizable communications Application Programming Interfaces (“APIs”) with leading customer data management capabilities, allows businesses to break down data silos and build a comprehensive view of customers to create the exact solutions they need to engage their customers at every step of the customer journey through real-time, relevant, personalized communications over the customers’ preferred communication channels. </w:t>
      </w:r>
    </w:p>
    <w:p>
      <w:pPr>
        <w:pStyle w:val="TextBody"/>
        <w:spacing w:lineRule="auto" w:line="276"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our platform, businesses can personalize every transaction with real-time data, build lasting loyalty, reduce customer acquisition costs and increase customer lifetime value. Our customized software products are designed to address specific use cases, including our customer data platform, virtual contact centers, personalized yet scalable marketing campaigns and advanced account security systems. Our leading communications solutions, including our APIs, are highly customizable and enable developers to embed numerous forms of voice, messaging and email interactions into their customer-facing applications. Our platform is designed to support all of the most important ways people communicate through technology and our global infrastructure is capable of supporting virtually any business at scale.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2023 and 2022, our revenue was $1.0 billion and $875.4 million, respectively, and our net loss was $342.1 million and $221.6 million, respectively. In the three months ended March 31, 2023 and 2022, our 10 largest Active Customer Accounts generated an aggregate of 10% and 11% of our total revenue, respectively.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240" w:after="283"/>
        <w:ind w:left="0" w:right="0" w:firstLine="720"/>
        <w:rPr/>
      </w:pPr>
      <w:r>
        <w:rPr>
          <w:rFonts w:ascii="Times New Roman;sans-serif" w:hAnsi="Times New Roman;sans-serif"/>
          <w:b/>
          <w:i/>
          <w:color w:val="000000"/>
          <w:sz w:val="20"/>
        </w:rPr>
        <w:t>Business Unit Reorganization.</w:t>
      </w:r>
      <w:r>
        <w:rPr>
          <w:color w:val="000000"/>
        </w:rPr>
        <w:t xml:space="preserve"> </w:t>
      </w:r>
      <w:r>
        <w:rPr>
          <w:rFonts w:ascii="Times New Roman;sans-serif" w:hAnsi="Times New Roman;sans-serif"/>
          <w:b w:val="false"/>
          <w:color w:val="000000"/>
          <w:sz w:val="20"/>
        </w:rPr>
        <w:t xml:space="preserve">In February 2023, we announced the reorganization of our business into two business units: Twilio Data &amp; Applications and Twilio Communications (the “Reorganization”). In connection with the Reorganization, we appointed Elena Donio as President, Twilio Data &amp; Applications, and Khozema Shipchandler as President, Twilio Communications, effective March 1, 2023. We also appointed Aidan Viggiano as our Chief Financial Officer, effective March 1, 2023. </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this strategic realignment will enable us to better execute on the key priorities for each side of our business—accelerating growth for Data &amp; Applications and driving efficiencies for Communications—while accounting for each business unit’s unique economic, customer and product needs. These two business units can execute against their respective financial goals with more focus and independence—but they are also highly complementary. Our Data &amp; Applications business benefits from our underlying communications platform and our substantial active customer base. Our success in Data &amp; Applications also drives more intelligence for our Communications products. Together, they address adjacent buyers and related problems that our customers have. </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Reorganization, we significantly changed the organizational structure of our business, including the way we will manage the business in the future. As such, in February 2023, we began making significant realignments to our internal processes and controls to build a financial reporting process within our enterprise reporting system that will enable consistent, comparable and reliable internal reporting on a business unit level. We expect to substantially complete our internal process realignments during 2023, which will enable us to provide segment level reporting.</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68" w:before="240" w:after="283"/>
        <w:ind w:left="0" w:right="0" w:firstLine="540"/>
        <w:rPr/>
      </w:pPr>
      <w:r>
        <w:rPr>
          <w:rFonts w:ascii="Times New Roman;sans-serif" w:hAnsi="Times New Roman;sans-serif"/>
          <w:b/>
          <w:i/>
          <w:color w:val="000000"/>
          <w:sz w:val="20"/>
        </w:rPr>
        <w:t xml:space="preserve">Share Repurchase Program. </w:t>
      </w:r>
      <w:r>
        <w:rPr>
          <w:rFonts w:ascii="Times New Roman;sans-serif" w:hAnsi="Times New Roman;sans-serif"/>
          <w:b w:val="false"/>
          <w:color w:val="000000"/>
          <w:sz w:val="20"/>
        </w:rPr>
        <w:t>In February 2023, our Board of Directors authorized a share repurchase program pursuant to which we may repurchase up to $1.0 billion in aggregate value of our Class A common stock. Repurchases under this program can be made through open market, private transactions or other means in compliance with applicable federal securities laws and could include repurchases pursuant to Rule 10b5-1 trading plans. We have a discretion in determining the conditions under which shares may be repurchased from time to time. The program is set to expire on December 31, 2024.</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repurchased $125.0 million in aggregate value, or 1.9 million shares, of our Class A common stock under this program. Subsequent to March 31, 2023, we have repurchased additional shares of our Class A common stock for an aggregate purchase price of $125.0 million. Approximately $750.0 million of the originally authorized amount remains available for future repurchases.</w:t>
      </w:r>
    </w:p>
    <w:p>
      <w:pPr>
        <w:pStyle w:val="TextBody"/>
        <w:spacing w:lineRule="auto" w:line="268" w:before="240" w:after="283"/>
        <w:ind w:left="0" w:right="0" w:firstLine="540"/>
        <w:rPr/>
      </w:pPr>
      <w:r>
        <w:rPr>
          <w:rFonts w:ascii="Times New Roman;sans-serif" w:hAnsi="Times New Roman;sans-serif"/>
          <w:b/>
          <w:i/>
          <w:color w:val="000000"/>
          <w:sz w:val="20"/>
        </w:rPr>
        <w:t xml:space="preserve">Workforce Reduction Plan. </w:t>
      </w:r>
      <w:r>
        <w:rPr>
          <w:rFonts w:ascii="Times New Roman;sans-serif" w:hAnsi="Times New Roman;sans-serif"/>
          <w:b w:val="false"/>
          <w:color w:val="000000"/>
          <w:sz w:val="20"/>
        </w:rPr>
        <w:t>In February 2023, we committed to a workforce restructuring plan (the “February 2023 Plan”) that eliminated approximately 17% of our workforce. The execution of the February 2023 Plan was substantially completed as of March 31, 2023. In the first quarter of 2023, we incurred total restructuring expenses of $121.9 million related to employee severances, benefits, vesting of equity awards and facilitation costs. We are expecting to record an estimated additional $20.0 million of restructuring expenses until the execution of the plan is completed in 2023. The actual remaining expenses may differ materially from our original estimates. Previously, in September 2022, we executed a similar workforce reduction plan (the “September 2022 Plan”) that was intended to reduce operating costs, improve operating margins and shift our selling capacity to accelerate software sales. For further details refer to Note 6 to our unaudited condensed consolidated financial statements included elsewhere in this Quarterly Report on Form 10-Q.</w:t>
      </w:r>
    </w:p>
    <w:p>
      <w:pPr>
        <w:pStyle w:val="TextBody"/>
        <w:spacing w:lineRule="auto" w:line="268" w:before="240" w:after="283"/>
        <w:ind w:left="0" w:right="0" w:firstLine="540"/>
        <w:rPr/>
      </w:pPr>
      <w:r>
        <w:rPr>
          <w:rFonts w:ascii="Times New Roman;sans-serif" w:hAnsi="Times New Roman;sans-serif"/>
          <w:b/>
          <w:i/>
          <w:color w:val="000000"/>
          <w:sz w:val="20"/>
        </w:rPr>
        <w:t xml:space="preserve">Sabbatical Program. </w:t>
      </w:r>
      <w:r>
        <w:rPr>
          <w:rFonts w:ascii="Times New Roman;sans-serif" w:hAnsi="Times New Roman;sans-serif"/>
          <w:b w:val="false"/>
          <w:color w:val="000000"/>
          <w:sz w:val="20"/>
        </w:rPr>
        <w:t xml:space="preserve">In February 2023, we announced that we will be sunsetting our employee sabbatical program that we introduced effective July 1, 2022. The sabbatical program was intended to provide our tenured employees with a paid leave of four consecutive weeks after every three years of service. Employees who had accumulated more than three years of service as of the program’s effective date became eligible for their benefit immediately. The discontinuation of this program and the reduction in force under our February 2023 Plan resulted in a $12.0 million cumulative one-time decrease to our accrued sabbatical liability in the first quarter of 2023. As of March 31, 2023, the remaining liability of $15.7 million related to the accumulated benefits for employees who remain eligible for this benefit until its expiration on December 31, 2023. As of December 31, 2022, the accrued sabbatical liability was $30.7 million. </w:t>
      </w:r>
    </w:p>
    <w:p>
      <w:pPr>
        <w:pStyle w:val="TextBody"/>
        <w:spacing w:lineRule="auto" w:line="288" w:before="240" w:after="283"/>
        <w:ind w:left="0" w:right="0" w:firstLine="540"/>
        <w:rPr/>
      </w:pPr>
      <w:r>
        <w:rPr>
          <w:rFonts w:ascii="Times New Roman;sans-serif" w:hAnsi="Times New Roman;sans-serif"/>
          <w:b/>
          <w:i/>
          <w:color w:val="000000"/>
          <w:sz w:val="20"/>
        </w:rPr>
        <w:t xml:space="preserve">Remote-First Company. </w:t>
      </w:r>
      <w:r>
        <w:rPr>
          <w:rFonts w:ascii="Times New Roman;sans-serif" w:hAnsi="Times New Roman;sans-serif"/>
          <w:b w:val="false"/>
          <w:color w:val="000000"/>
          <w:sz w:val="20"/>
        </w:rPr>
        <w:t>In 2022, we announced our decision to become a remote-first company allowing our employees the flexibility to work remotely on a permanent basis. As part of our new operating strategy, we permanently closed several of our offices in 2022 and early 2023. In February 2023, we announced that we will be closing additional offices during 2023. These office closures resulted in an impairment of several long-lived assets, including our operating lease assets, leasehold improvements and property and equipment. In the first quarter of 2023, we recorded a total impairment loss of $21.8 million and we expect to record an estimated additional impairment of approximately $10 million to $20 million in 2023 as the exit activities are finalized in each location.</w:t>
      </w:r>
    </w:p>
    <w:p>
      <w:pPr>
        <w:pStyle w:val="TextBody"/>
        <w:spacing w:lineRule="auto" w:line="288" w:before="240" w:after="283"/>
        <w:ind w:left="0" w:right="0" w:firstLine="540"/>
        <w:rPr/>
      </w:pPr>
      <w:r>
        <w:rPr>
          <w:rFonts w:ascii="Times New Roman;sans-serif" w:hAnsi="Times New Roman;sans-serif"/>
          <w:b/>
          <w:i/>
          <w:color w:val="000000"/>
          <w:sz w:val="20"/>
        </w:rPr>
        <w:t>Impairment of Strategic Investment.</w:t>
      </w:r>
      <w:r>
        <w:rPr>
          <w:color w:val="000000"/>
        </w:rPr>
        <w:t xml:space="preserve"> </w:t>
      </w:r>
      <w:r>
        <w:rPr>
          <w:rFonts w:ascii="Times New Roman;sans-serif" w:hAnsi="Times New Roman;sans-serif"/>
          <w:b w:val="false"/>
          <w:color w:val="000000"/>
          <w:sz w:val="20"/>
        </w:rPr>
        <w:t>In the first quarter of 2023, we recorded a $46.2 million, non-cash impairment charge associated with one of our investments from 2021 to reduce its carrying amount to fair value.</w:t>
      </w:r>
    </w:p>
    <w:p>
      <w:pPr>
        <w:pStyle w:val="TextBody"/>
        <w:spacing w:lineRule="auto" w:line="288" w:before="240" w:after="283"/>
        <w:ind w:left="0" w:right="0" w:firstLine="540"/>
        <w:rPr/>
      </w:pPr>
      <w:r>
        <w:rPr>
          <w:rFonts w:ascii="Times New Roman;sans-serif" w:hAnsi="Times New Roman;sans-serif"/>
          <w:b/>
          <w:i/>
          <w:color w:val="000000"/>
          <w:sz w:val="20"/>
        </w:rPr>
        <w:t>Divestiture of IoT Assets.</w:t>
      </w:r>
      <w:r>
        <w:rPr>
          <w:color w:val="000000"/>
        </w:rPr>
        <w:t xml:space="preserve"> </w:t>
      </w:r>
      <w:r>
        <w:rPr>
          <w:rFonts w:ascii="Times New Roman;sans-serif" w:hAnsi="Times New Roman;sans-serif"/>
          <w:b w:val="false"/>
          <w:color w:val="000000"/>
          <w:sz w:val="20"/>
        </w:rPr>
        <w:t>In the first quarter of 2023, we signed an agreement to divest our Internet of Things assets and liabilities to a third party. In connection with this transaction, we recorded a $3.8 million loss on net assets held for sale and an additional $2.2 million in related expenses. We may realize an additional gain or loss on the transaction closing date that is expected in the second quarter of 2023, which amount is not expected to be material.</w:t>
      </w:r>
    </w:p>
    <w:p>
      <w:pPr>
        <w:pStyle w:val="TextBody"/>
        <w:spacing w:lineRule="auto" w:line="288" w:before="240" w:after="283"/>
        <w:ind w:left="0" w:right="0" w:firstLine="540"/>
        <w:rPr/>
      </w:pPr>
      <w:r>
        <w:rPr>
          <w:rFonts w:ascii="Times New Roman;sans-serif" w:hAnsi="Times New Roman;sans-serif"/>
          <w:b/>
          <w:i/>
          <w:color w:val="000000"/>
          <w:sz w:val="20"/>
        </w:rPr>
        <w:t xml:space="preserve">Macroeconomic and Geopolitical Factors. </w:t>
      </w:r>
      <w:r>
        <w:rPr>
          <w:rFonts w:ascii="Times New Roman;sans-serif" w:hAnsi="Times New Roman;sans-serif"/>
          <w:b w:val="false"/>
          <w:color w:val="000000"/>
          <w:sz w:val="20"/>
        </w:rPr>
        <w:t>Our results of operations may be significantly affected by several macroeconomic and geopolitical factors, such as changes in global economic conditions, customer demand and spending, inflation, labor market constraints, uncertainty regarding the impacts of fluctuations in foreign exchange rates, world events, existing and new domestic and foreign laws and regulations, as well as those factors outlined in Part II, Item 1A, “Risk Factors.”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operational and financial metrics, including Active Customer Accounts and Dollar-Based Net Expansion Rate, to evaluate our business, measure our performance, identify trends affecting our business, formulate business plans and make strategic decisions.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year-over-year revenue growth and Dollar-Based Net Expansion Rate for the three months ended March 31, 2023 and 2022, and the number of Active Customer Accounts as of March 31, 2023 and 2022.</w:t>
      </w:r>
    </w:p>
    <w:tbl>
      <w:tblPr>
        <w:tblW w:w="7298" w:type="dxa"/>
        <w:jc w:val="center"/>
        <w:tblInd w:w="0" w:type="dxa"/>
        <w:tblCellMar>
          <w:top w:w="28" w:type="dxa"/>
          <w:left w:w="28" w:type="dxa"/>
          <w:bottom w:w="28" w:type="dxa"/>
          <w:right w:w="28" w:type="dxa"/>
        </w:tblCellMar>
      </w:tblPr>
      <w:tblGrid>
        <w:gridCol w:w="1403"/>
        <w:gridCol w:w="1231"/>
        <w:gridCol w:w="1236"/>
        <w:gridCol w:w="109"/>
        <w:gridCol w:w="109"/>
        <w:gridCol w:w="109"/>
        <w:gridCol w:w="196"/>
        <w:gridCol w:w="871"/>
        <w:gridCol w:w="256"/>
        <w:gridCol w:w="109"/>
        <w:gridCol w:w="109"/>
        <w:gridCol w:w="109"/>
        <w:gridCol w:w="196"/>
        <w:gridCol w:w="736"/>
        <w:gridCol w:w="256"/>
        <w:gridCol w:w="109"/>
        <w:gridCol w:w="154"/>
      </w:tblGrid>
      <w:tr>
        <w:trPr/>
        <w:tc>
          <w:tcPr>
            <w:tcW w:w="1403"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 Accounts (as of end date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875,363 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Total Revenue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Dollar-Based Net Expansion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428" w:type="dxa"/>
            <w:gridSpan w:val="14"/>
            <w:tcBorders/>
            <w:shd w:fill="auto" w:val="clea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428" w:type="dxa"/>
            <w:gridSpan w:val="14"/>
            <w:tcBorders/>
            <w:shd w:fill="auto" w:val="clea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428" w:type="dxa"/>
            <w:gridSpan w:val="14"/>
            <w:tcBorders/>
            <w:shd w:fill="auto" w:val="clea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428" w:type="dxa"/>
            <w:gridSpan w:val="14"/>
            <w:tcBorders/>
            <w:shd w:fill="auto" w:val="clea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3428" w:type="dxa"/>
            <w:gridSpan w:val="14"/>
            <w:tcBorders/>
            <w:shd w:fill="auto" w:val="clea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Active Customer Accounts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w:t>
      </w:r>
    </w:p>
    <w:p>
      <w:pPr>
        <w:pStyle w:val="TextBody"/>
        <w:spacing w:lineRule="auto" w:line="288" w:before="240" w:after="283"/>
        <w:ind w:left="0" w:right="0" w:firstLine="540"/>
        <w:rPr/>
      </w:pPr>
      <w:r>
        <w:rPr>
          <w:rFonts w:ascii="Times New Roman;sans-serif" w:hAnsi="Times New Roman;sans-serif"/>
          <w:b w:val="false"/>
          <w:color w:val="000000"/>
          <w:sz w:val="20"/>
        </w:rPr>
        <w:t>We believe that the number of Active Customer Accounts is an important indicator of the growth of our business, the market acceptance of our platform and future revenue trends. We believe that use of our platform by customers at or above the $5 per month threshold is a stronger indicator of potential future engagement than trial usage of our platform or usage at levels below $5 per month. The number of Active Customer Accounts is rounded down to the nearest thousand</w:t>
      </w:r>
      <w:r>
        <w:rPr>
          <w:rFonts w:ascii="Times New Roman;sans-serif" w:hAnsi="Times New Roman;sans-serif"/>
          <w:b w:val="false"/>
          <w:color w:val="000000"/>
          <w:sz w:val="18"/>
        </w:rPr>
        <w:t xml:space="preserve">. </w:t>
      </w:r>
      <w:r>
        <w:rPr>
          <w:rFonts w:ascii="Times New Roman;sans-serif" w:hAnsi="Times New Roman;sans-serif"/>
          <w:b w:val="false"/>
          <w:color w:val="000000"/>
          <w:sz w:val="20"/>
        </w:rPr>
        <w:t xml:space="preserve">In the three months ended March 31, 2023 and 2022, revenue from Active Customer Accounts represented over 99% of total revenue in each period. </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Dollar</w:t>
        <w:noBreakHyphen/>
        <w:t>Based Net Expansion Rate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Dollar-Based Net Expansion Rate compares the total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quarter ended March 31, 2023, our Dollar-Based Net Expansion Rate excludes the contributions from acquisitions made after January 1, 2022.</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measuring Dollar-Based Net Expansion Rate provides a more meaningful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our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Components of Statements of Operations</w:t>
      </w:r>
    </w:p>
    <w:p>
      <w:pPr>
        <w:pStyle w:val="TextBody"/>
        <w:spacing w:lineRule="auto" w:line="288" w:before="240" w:after="283"/>
        <w:rPr/>
      </w:pPr>
      <w:r>
        <w:rPr>
          <w:rFonts w:ascii="Times New Roman;sans-serif" w:hAnsi="Times New Roman;sans-serif"/>
          <w:b/>
          <w:i/>
          <w:color w:val="000000"/>
          <w:sz w:val="20"/>
        </w:rPr>
        <w:t>Revenue</w:t>
      </w:r>
      <w:r>
        <w:rPr>
          <w:color w:val="000000"/>
        </w:rPr>
        <w:t xml:space="preserve"> </w:t>
      </w:r>
    </w:p>
    <w:p>
      <w:pPr>
        <w:pStyle w:val="TextBody"/>
        <w:spacing w:lineRule="auto" w:line="288" w:before="240" w:after="283"/>
        <w:ind w:left="0" w:right="0" w:firstLine="54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We derive the majority of our revenue from usage</w:t>
        <w:noBreakHyphen/>
        <w:t>based fees earned from our Twilio Communications products when customers access our cloud-based platform. Our usage</w:t>
        <w:noBreakHyphen/>
        <w:t>based products primarily include offerings, such as Programmable Messaging, Programmable Voice, Twilio Verify and others. Some examples of the usage</w:t>
        <w:noBreakHyphen/>
        <w:t>based fees that we charge include fees related to the number of text messages sent or received using our Programmable Messaging, minutes of call duration activity for our Programmable Voice and the number of authentications for Twilio Verify. In the three months ended March 31, 2023 and 2022, we generated 71% and 73% of our revenue, respectively, from usage</w:t>
        <w:noBreakHyphen/>
        <w:t>based fees.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earn monthly subscription-based fees from various of our Twilio Data &amp; Applications products and solutions on our platform, such as our customer data platform Twilio Segment, our customer engagement solution Twilio Engage, our cloud contact center Twilio Flex; as well as certain of our Twilio Communications fee</w:t>
        <w:noBreakHyphen/>
        <w:t>based products, such as our Email API. When our usage-based Twilio Communications products are embedded into our Twilio Data &amp; Applications and other products, we charge for them separately on a usage basis.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Customers gain access to our products and solutions either through an e-commerce self service sign-up format which requires an upfront prepayment via credit card that is drawn down as they use our products; or for our larger customers, including enterprise customers, a negotiated contract is established for at least 12 months that contain minimum revenue commitments and which may contain more favorable pricing. Customers on such contracts are typically either invoiced monthly in arrears for products used or invoiced in advance at the start of the term.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part of our expected shift to two operating segments in 2023, “Other” revenue, as described in Note 12 to the unaudited condensed consolidated financial statements included elsewhere in this Quarterly Report on Form 10-Q, will be allocated to our two business units—Twilio Data &amp; Applications and Twilio Communications—and in such future periods each business unit will include revenue that was not included in such business unit in the current quarter or in prior periods. Upon finalizing the shift to two operating segments, prior periods presented for purposes of comparison will be recast accordingly.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p>
      <w:pPr>
        <w:pStyle w:val="TextBody"/>
        <w:spacing w:lineRule="auto" w:line="288" w:before="240" w:after="283"/>
        <w:ind w:left="0" w:right="0" w:firstLine="540"/>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amortization of capitalized internal-use software development costs and acquired intangible assets.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pStyle w:val="TextBody"/>
        <w:spacing w:lineRule="auto" w:line="288" w:before="240" w:after="283"/>
        <w:ind w:left="0" w:right="0" w:firstLine="540"/>
        <w:rPr/>
      </w:pPr>
      <w:r>
        <w:rPr>
          <w:rFonts w:ascii="Times New Roman;sans-serif" w:hAnsi="Times New Roman;sans-serif"/>
          <w:b w:val="false"/>
          <w:i/>
          <w:color w:val="000000"/>
          <w:sz w:val="20"/>
        </w:rPr>
        <w:t xml:space="preserve">Gross Margin. </w:t>
      </w:r>
      <w:r>
        <w:rPr>
          <w:rFonts w:ascii="Times New Roman;sans-serif" w:hAnsi="Times New Roman;sans-serif"/>
          <w:b w:val="false"/>
          <w:color w:val="000000"/>
          <w:sz w:val="20"/>
        </w:rPr>
        <w:t>Gross margin is gross profit expressed as a percentage of revenue. Our gross margin has been and will continue to be affected by a number of factors, including the timing and extent of our investments in our operations; our product mix; our ability to manage our network service provider and cloud infrastructure</w:t>
        <w:noBreakHyphen/>
        <w:t>related fees, including A2P SMS fees; the mix of U.S. revenue compared to international revenue; changes in foreign exchange rates; the timing of amortization of capitalized software development costs and acquired intangibles; and the extent to which we periodically choose to adjust prices of our products.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most significant components of operating expenses are personnel costs, which consist of salaries, benefits, sales commissions and bonuses and stock</w:t>
        <w:noBreakHyphen/>
        <w:t>based compensation. We also incur other non</w:t>
        <w:noBreakHyphen/>
        <w:t>personnel costs related to our general overhead expenses.</w:t>
      </w:r>
    </w:p>
    <w:p>
      <w:pPr>
        <w:pStyle w:val="TextBody"/>
        <w:spacing w:lineRule="auto" w:line="288" w:before="240" w:after="283"/>
        <w:ind w:left="0" w:right="0" w:firstLine="540"/>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focusing our research and development investment in the highest impact product areas for our future. We are investing strategically in alignment with our focus on building a trusted leading customer engagement platform.</w:t>
      </w:r>
    </w:p>
    <w:p>
      <w:pPr>
        <w:pStyle w:val="TextBody"/>
        <w:spacing w:lineRule="auto" w:line="288" w:before="240" w:after="283"/>
        <w:ind w:left="0" w:right="0" w:firstLine="540"/>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including commissions and bonuses to our sales employees. Sales and marketing expenses also include expenditures related to advertising, marketing, our brand awareness activities, costs related to our SIGNAL customer and developer conferences, credit card processing fees, professional services fees, depreciation, amortization of acquired intangible assets and an allocation of our general overhead expenses.</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sales and marketing efforts on generating awareness of our company, platform and products, creating sales leads and establishing and promoting our brand, both domestically and internationally. </w:t>
      </w:r>
    </w:p>
    <w:p>
      <w:pPr>
        <w:pStyle w:val="TextBody"/>
        <w:spacing w:lineRule="auto" w:line="268" w:before="240" w:after="283"/>
        <w:ind w:left="0" w:right="0" w:firstLine="540"/>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 xml:space="preserve">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incur costs associated with supporting the growth of our business and to meet the increased compliance requirements associated with our operations. We may also incur higher than usual losses related to deterioration of quality of certain financial assets caused by macroeconomic conditions. </w:t>
      </w:r>
    </w:p>
    <w:p>
      <w:pPr>
        <w:pStyle w:val="TextBody"/>
        <w:spacing w:lineRule="auto" w:line="288" w:before="240" w:after="283"/>
        <w:ind w:left="0" w:right="0" w:firstLine="540"/>
        <w:rPr/>
      </w:pPr>
      <w:r>
        <w:rPr>
          <w:rFonts w:ascii="Times New Roman;sans-serif" w:hAnsi="Times New Roman;sans-serif"/>
          <w:b w:val="false"/>
          <w:i/>
          <w:color w:val="000000"/>
          <w:sz w:val="20"/>
        </w:rPr>
        <w:t>Restructuring Costs.</w:t>
      </w:r>
      <w:r>
        <w:rPr>
          <w:color w:val="000000"/>
        </w:rPr>
        <w:t xml:space="preserve"> </w:t>
      </w:r>
      <w:r>
        <w:rPr>
          <w:rFonts w:ascii="Times New Roman;sans-serif" w:hAnsi="Times New Roman;sans-serif"/>
          <w:b w:val="false"/>
          <w:color w:val="000000"/>
          <w:sz w:val="20"/>
        </w:rPr>
        <w:t>Restructuring costs consist primarily of personnel costs, such as employee severance payments, benefits and certain facilitation costs, associated with our workforce reductions, which are described in Note 6 to our unaudited condensed consolidated financial statements included elsewhere in this Quarterly Report on Form 10-Q. Restructuring costs also include stock-based compensation expense related to vesting of stock-based awards of the impacted employees.</w:t>
      </w:r>
    </w:p>
    <w:p>
      <w:pPr>
        <w:pStyle w:val="TextBody"/>
        <w:spacing w:lineRule="auto" w:line="288" w:before="240" w:after="283"/>
        <w:ind w:left="0" w:right="0" w:firstLine="540"/>
        <w:rPr/>
      </w:pPr>
      <w:r>
        <w:rPr>
          <w:rFonts w:ascii="Times New Roman;sans-serif" w:hAnsi="Times New Roman;sans-serif"/>
          <w:b w:val="false"/>
          <w:i/>
          <w:color w:val="000000"/>
          <w:sz w:val="20"/>
        </w:rPr>
        <w:t>Impairment of Long-Lived Assets.</w:t>
      </w:r>
      <w:r>
        <w:rPr>
          <w:color w:val="000000"/>
        </w:rPr>
        <w:t xml:space="preserve"> </w:t>
      </w:r>
      <w:r>
        <w:rPr>
          <w:rFonts w:ascii="Times New Roman;sans-serif" w:hAnsi="Times New Roman;sans-serif"/>
          <w:b w:val="false"/>
          <w:color w:val="000000"/>
          <w:sz w:val="20"/>
        </w:rPr>
        <w:t xml:space="preserve">Impairment of long-lived assets consists primarily of impairment charges allocated to the carrying amount of certain operating right-of-use assets and the associated leasehold improvements and property and equipment when the carrying amounts exceed their respective fair values.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benefit from income taxes consists primarily of income taxes and withholding taxes in foreign jurisdictions in which the Company conducts business.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use the following non</w:t>
        <w:noBreakHyphen/>
        <w:t>GAAP financial information, collectively, to evaluate our ongoing operations and for internal planning and forecasting purposes. We believe that non</w:t>
        <w:noBreakHyphen/>
        <w:t>GAAP financial information, when taken collectively,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GAAP financial information to supplement their results of operations reported in accordance with generally accepted accounting principles (“GAAP”). 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Non</w:t>
        <w:noBreakHyphen/>
        <w:t>GAAP Gross Profit and Non</w:t>
        <w:noBreakHyphen/>
        <w:t>GAAP Gross Margin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358" w:type="dxa"/>
        <w:jc w:val="center"/>
        <w:tblInd w:w="0" w:type="dxa"/>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425,071 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460,228 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Non</w:t>
        <w:noBreakHyphen/>
        <w:t>GAAP Operating Expenses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 xml:space="preserve">GAAP operating expenses (including categories of operating expenses) as GAAP operating expenses (and categories of operating expenses) adjusted to exclude, as applicable, certain expenses as presented in the table below: </w:t>
      </w:r>
    </w:p>
    <w:tbl>
      <w:tblPr>
        <w:tblW w:w="7065" w:type="dxa"/>
        <w:jc w:val="center"/>
        <w:tblInd w:w="0" w:type="dxa"/>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Non</w:t>
        <w:noBreakHyphen/>
        <w:t>GAAP Income (Loss) from Operations and Non</w:t>
        <w:noBreakHyphen/>
        <w:t>GAAP Operating Margin</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income (loss) from operations and non</w:t>
        <w:noBreakHyphen/>
        <w:t>GAAP operating margin as GAAP income (loss) from operations and GAAP operating margin, respectively, adjusted to exclude, as applicable, certain expenses as presented in the table below:</w:t>
      </w:r>
    </w:p>
    <w:tbl>
      <w:tblPr>
        <w:tblW w:w="7509" w:type="dxa"/>
        <w:jc w:val="center"/>
        <w:tblInd w:w="0" w:type="dxa"/>
        <w:tblCellMar>
          <w:top w:w="28" w:type="dxa"/>
          <w:left w:w="28" w:type="dxa"/>
          <w:bottom w:w="28" w:type="dxa"/>
          <w:right w:w="28" w:type="dxa"/>
        </w:tblCellMar>
      </w:tblPr>
      <w:tblGrid>
        <w:gridCol w:w="1314"/>
        <w:gridCol w:w="1155"/>
        <w:gridCol w:w="1161"/>
        <w:gridCol w:w="109"/>
        <w:gridCol w:w="109"/>
        <w:gridCol w:w="109"/>
        <w:gridCol w:w="196"/>
        <w:gridCol w:w="811"/>
        <w:gridCol w:w="256"/>
        <w:gridCol w:w="109"/>
        <w:gridCol w:w="109"/>
        <w:gridCol w:w="109"/>
        <w:gridCol w:w="196"/>
        <w:gridCol w:w="811"/>
        <w:gridCol w:w="256"/>
        <w:gridCol w:w="109"/>
        <w:gridCol w:w="109"/>
        <w:gridCol w:w="109"/>
        <w:gridCol w:w="109"/>
        <w:gridCol w:w="109"/>
        <w:gridCol w:w="154"/>
      </w:tblGrid>
      <w:tr>
        <w:trPr/>
        <w:tc>
          <w:tcPr>
            <w:tcW w:w="131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(217,808)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155,275 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We have included results of operations for acquisitions closed after January 1, 2022, from the closing date of each such acquisition. The period-to-period comparison of our historical results are not indicative of the results that may be expected in the future.</w:t>
      </w:r>
    </w:p>
    <w:tbl>
      <w:tblPr>
        <w:tblW w:w="9212" w:type="dxa"/>
        <w:jc w:val="center"/>
        <w:tblInd w:w="0" w:type="dxa"/>
        <w:tblCellMar>
          <w:top w:w="28" w:type="dxa"/>
          <w:left w:w="28" w:type="dxa"/>
          <w:bottom w:w="28" w:type="dxa"/>
          <w:right w:w="28" w:type="dxa"/>
        </w:tblCellMar>
      </w:tblPr>
      <w:tblGrid>
        <w:gridCol w:w="1640"/>
        <w:gridCol w:w="1441"/>
        <w:gridCol w:w="1449"/>
        <w:gridCol w:w="109"/>
        <w:gridCol w:w="109"/>
        <w:gridCol w:w="109"/>
        <w:gridCol w:w="273"/>
        <w:gridCol w:w="1217"/>
        <w:gridCol w:w="152"/>
        <w:gridCol w:w="152"/>
        <w:gridCol w:w="152"/>
        <w:gridCol w:w="152"/>
        <w:gridCol w:w="273"/>
        <w:gridCol w:w="1133"/>
        <w:gridCol w:w="152"/>
        <w:gridCol w:w="109"/>
        <w:gridCol w:w="109"/>
        <w:gridCol w:w="109"/>
        <w:gridCol w:w="109"/>
        <w:gridCol w:w="109"/>
        <w:gridCol w:w="154"/>
      </w:tblGrid>
      <w:tr>
        <w:trPr/>
        <w:tc>
          <w:tcPr>
            <w:tcW w:w="1640"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c>
          <w:tcPr>
            <w:tcW w:w="699" w:type="dxa"/>
            <w:gridSpan w:val="6"/>
            <w:tcBorders/>
            <w:shd w:fill="auto" w:val="clea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875,363 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515,874 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450,292 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Research and development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240,611 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Sales and marketing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287,906 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General and administrative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114,362 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642,879 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(217,808)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(30,419)</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(67,588)</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(224,485)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(221,627)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attributable to common </w:t>
              <w:br/>
              <w:t>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in computing net </w:t>
              <w:br/>
              <w:t xml:space="preserve">     loss per share attributable to common </w:t>
              <w:br/>
              <w:t>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186,403,349 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180,898,713 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pPr>
      <w:r>
        <w:rPr>
          <w:rFonts w:ascii="Times New Roman;sans-serif" w:hAnsi="Times New Roman;sans-serif"/>
          <w:b w:val="false"/>
          <w:color w:val="000000"/>
          <w:sz w:val="20"/>
        </w:rPr>
        <w:t>__________________________________</w:t>
        <w:br/>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stock-based compensation expense as follows:</w:t>
      </w:r>
    </w:p>
    <w:tbl>
      <w:tblPr>
        <w:tblW w:w="5444" w:type="dxa"/>
        <w:jc w:val="center"/>
        <w:tblInd w:w="0" w:type="dxa"/>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color w:val="000000"/>
          <w:sz w:val="20"/>
        </w:rPr>
        <w:t>____________________________________</w:t>
        <w:br/>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amortization of acquired intangibles as follows:</w:t>
      </w:r>
    </w:p>
    <w:tbl>
      <w:tblPr>
        <w:tblW w:w="5264" w:type="dxa"/>
        <w:jc w:val="center"/>
        <w:tblInd w:w="0" w:type="dxa"/>
        <w:tblCellMar>
          <w:top w:w="28" w:type="dxa"/>
          <w:left w:w="28" w:type="dxa"/>
          <w:bottom w:w="28" w:type="dxa"/>
          <w:right w:w="28" w:type="dxa"/>
        </w:tblCellMar>
      </w:tblPr>
      <w:tblGrid>
        <w:gridCol w:w="728"/>
        <w:gridCol w:w="639"/>
        <w:gridCol w:w="642"/>
        <w:gridCol w:w="109"/>
        <w:gridCol w:w="109"/>
        <w:gridCol w:w="109"/>
        <w:gridCol w:w="196"/>
        <w:gridCol w:w="646"/>
        <w:gridCol w:w="109"/>
        <w:gridCol w:w="109"/>
        <w:gridCol w:w="109"/>
        <w:gridCol w:w="109"/>
        <w:gridCol w:w="196"/>
        <w:gridCol w:w="646"/>
        <w:gridCol w:w="109"/>
        <w:gridCol w:w="109"/>
        <w:gridCol w:w="109"/>
        <w:gridCol w:w="109"/>
        <w:gridCol w:w="109"/>
        <w:gridCol w:w="109"/>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our total revenue:</w:t>
      </w:r>
    </w:p>
    <w:tbl>
      <w:tblPr>
        <w:tblW w:w="9403" w:type="dxa"/>
        <w:jc w:val="center"/>
        <w:tblInd w:w="0" w:type="dxa"/>
        <w:tblCellMar>
          <w:top w:w="28" w:type="dxa"/>
          <w:left w:w="28" w:type="dxa"/>
          <w:bottom w:w="28" w:type="dxa"/>
          <w:right w:w="28" w:type="dxa"/>
        </w:tblCellMar>
      </w:tblPr>
      <w:tblGrid>
        <w:gridCol w:w="2329"/>
        <w:gridCol w:w="2047"/>
        <w:gridCol w:w="2058"/>
        <w:gridCol w:w="109"/>
        <w:gridCol w:w="109"/>
        <w:gridCol w:w="109"/>
        <w:gridCol w:w="210"/>
        <w:gridCol w:w="211"/>
        <w:gridCol w:w="363"/>
        <w:gridCol w:w="125"/>
        <w:gridCol w:w="125"/>
        <w:gridCol w:w="125"/>
        <w:gridCol w:w="210"/>
        <w:gridCol w:w="211"/>
        <w:gridCol w:w="363"/>
        <w:gridCol w:w="109"/>
        <w:gridCol w:w="109"/>
        <w:gridCol w:w="109"/>
        <w:gridCol w:w="109"/>
        <w:gridCol w:w="109"/>
        <w:gridCol w:w="154"/>
      </w:tblGrid>
      <w:tr>
        <w:trPr/>
        <w:tc>
          <w:tcPr>
            <w:tcW w:w="232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as a percentage of revenue: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pPr>
      <w:r>
        <w:rPr>
          <w:rFonts w:ascii="Times New Roman;sans-serif" w:hAnsi="Times New Roman;sans-serif"/>
          <w:b w:val="false"/>
          <w:color w:val="000000"/>
          <w:sz w:val="20"/>
        </w:rPr>
        <w:t>____________________________________</w:t>
      </w:r>
      <w:r>
        <w:rPr>
          <w:rFonts w:ascii="Times New Roman;sans-serif" w:hAnsi="Times New Roman;sans-serif"/>
          <w:b/>
          <w:color w:val="000000"/>
          <w:sz w:val="18"/>
        </w:rPr>
        <w:br/>
      </w:r>
      <w:r>
        <w:rPr>
          <w:rFonts w:ascii="Times New Roman;sans-serif" w:hAnsi="Times New Roman;sans-serif"/>
          <w:b w:val="false"/>
          <w:color w:val="000000"/>
          <w:sz w:val="18"/>
        </w:rPr>
        <w:t xml:space="preserve">* Less than 0.5% of revenue.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Columns may not add up to 100% due to rounding.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w:t>
      </w:r>
    </w:p>
    <w:tbl>
      <w:tblPr>
        <w:tblW w:w="6822" w:type="dxa"/>
        <w:jc w:val="center"/>
        <w:tblInd w:w="0" w:type="dxa"/>
        <w:tblCellMar>
          <w:top w:w="28" w:type="dxa"/>
          <w:left w:w="28" w:type="dxa"/>
          <w:bottom w:w="28" w:type="dxa"/>
          <w:right w:w="28" w:type="dxa"/>
        </w:tblCellMar>
      </w:tblPr>
      <w:tblGrid>
        <w:gridCol w:w="391"/>
        <w:gridCol w:w="343"/>
        <w:gridCol w:w="345"/>
        <w:gridCol w:w="109"/>
        <w:gridCol w:w="109"/>
        <w:gridCol w:w="109"/>
        <w:gridCol w:w="196"/>
        <w:gridCol w:w="871"/>
        <w:gridCol w:w="109"/>
        <w:gridCol w:w="109"/>
        <w:gridCol w:w="109"/>
        <w:gridCol w:w="109"/>
        <w:gridCol w:w="196"/>
        <w:gridCol w:w="736"/>
        <w:gridCol w:w="109"/>
        <w:gridCol w:w="109"/>
        <w:gridCol w:w="109"/>
        <w:gridCol w:w="109"/>
        <w:gridCol w:w="109"/>
        <w:gridCol w:w="109"/>
        <w:gridCol w:w="196"/>
        <w:gridCol w:w="736"/>
        <w:gridCol w:w="109"/>
        <w:gridCol w:w="109"/>
        <w:gridCol w:w="109"/>
        <w:gridCol w:w="109"/>
        <w:gridCol w:w="165"/>
        <w:gridCol w:w="166"/>
        <w:gridCol w:w="256"/>
        <w:gridCol w:w="109"/>
        <w:gridCol w:w="109"/>
        <w:gridCol w:w="154"/>
      </w:tblGrid>
      <w:tr>
        <w:trPr/>
        <w:tc>
          <w:tcPr>
            <w:tcW w:w="39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0" w:type="dxa"/>
            <w:gridSpan w:val="1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86" w:type="dxa"/>
            <w:gridSpan w:val="9"/>
            <w:tcBorders/>
            <w:shd w:fill="auto" w:val="clear"/>
          </w:tcPr>
          <w:p>
            <w:pPr>
              <w:pStyle w:val="TableContents"/>
              <w:spacing w:before="0" w:after="283"/>
              <w:rPr>
                <w:sz w:val="4"/>
                <w:szCs w:val="4"/>
              </w:rPr>
            </w:pPr>
            <w:r>
              <w:rPr>
                <w:sz w:val="4"/>
                <w:szCs w:val="4"/>
              </w:rPr>
            </w:r>
          </w:p>
        </w:tc>
      </w:tr>
      <w:tr>
        <w:trPr/>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total revenue increased by $131.2 million, or 15%, compared to the same period last year. This increase was attributable to an increase in the usage of our products by our existing customers as reflected in our Dollar</w:t>
        <w:noBreakHyphen/>
        <w:t>Based Net Expansion Rate of 106%, as well as a 12% increase in the number of Active Customer Accounts, from over 268,000 as of March 31, 2022, to over 300,000 as of March 31, 2023. This growth in usage and Active Customer Accounts helped to drive a $103.9 million increase in Communications revenue and a $19.1 million increase in Data &amp; Applications revenue during the three months ended March 31, 2023 compared to the same period last year.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U.S. revenue and international revenue represented $662.1 million or 66%, and $344.5 million, or 34%, respectively, of total revenue. In the three months ended March 31, 2022, U.S. revenue and international revenue represented $570.4 million, or 65%, and $305.0 million, or 35%, respectively, of total revenue. The increases in revenue in each geographical area were attributable to the growth in usage of our products by our existing customers and Active Customer Accounts as described above.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tbl>
      <w:tblPr>
        <w:tblW w:w="6512" w:type="dxa"/>
        <w:jc w:val="center"/>
        <w:tblInd w:w="0" w:type="dxa"/>
        <w:tblCellMar>
          <w:top w:w="28" w:type="dxa"/>
          <w:left w:w="28" w:type="dxa"/>
          <w:bottom w:w="28" w:type="dxa"/>
          <w:right w:w="28" w:type="dxa"/>
        </w:tblCellMar>
      </w:tblPr>
      <w:tblGrid>
        <w:gridCol w:w="451"/>
        <w:gridCol w:w="396"/>
        <w:gridCol w:w="398"/>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01"/>
      </w:tblGrid>
      <w:tr>
        <w:trPr/>
        <w:tc>
          <w:tcPr>
            <w:tcW w:w="45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515,874 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450,292 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cost of revenue increased by $65.6 million, or 15%, compared to the same period last year. The increase in cost of revenue was primarily attributable to a $58.4 million increase in network service providers’ costs, which support the growth in usage of our products driven by the growth in Active Customer Accounts and the increase in usage of our products by existing customers as described above.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053" w:type="dxa"/>
        <w:jc w:val="center"/>
        <w:tblInd w:w="0" w:type="dxa"/>
        <w:tblCellMar>
          <w:top w:w="28" w:type="dxa"/>
          <w:left w:w="28" w:type="dxa"/>
          <w:bottom w:w="28" w:type="dxa"/>
          <w:right w:w="28" w:type="dxa"/>
        </w:tblCellMar>
      </w:tblPr>
      <w:tblGrid>
        <w:gridCol w:w="853"/>
        <w:gridCol w:w="750"/>
        <w:gridCol w:w="752"/>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36"/>
        <w:gridCol w:w="109"/>
        <w:gridCol w:w="109"/>
        <w:gridCol w:w="109"/>
        <w:gridCol w:w="109"/>
        <w:gridCol w:w="210"/>
        <w:gridCol w:w="211"/>
        <w:gridCol w:w="256"/>
        <w:gridCol w:w="109"/>
        <w:gridCol w:w="109"/>
        <w:gridCol w:w="154"/>
      </w:tblGrid>
      <w:tr>
        <w:trPr/>
        <w:tc>
          <w:tcPr>
            <w:tcW w:w="85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5" w:type="dxa"/>
            <w:gridSpan w:val="1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76" w:type="dxa"/>
            <w:gridSpan w:val="9"/>
            <w:tcBorders/>
            <w:shd w:fill="auto" w:val="clea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research and development expenses decreased by $2.0 million, or 1%, compared to the same period last year. The decrease was attributable to our efforts to manage our cost structure, including the restructuring of our workforce in September 2022 and February 2023, and sunsetting of the employee sabbatical program in the three months ended March 31, 2023. As a result, total personnel costs decreased by $5.5 million, despite a 4% average increase in research and development headcount. This decrease was partially offset by increases in other operating expense categories that were not significant either individually or in the aggregate.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sales and marketing expenses decreased by $28.0 million, or 10%, compared to the same period last year. The decrease was attributable to our efforts to manage our cost structure, including the restructuring of our workforce in September 2022 and February 2023, and sunsetting of the employee sabbatical program in the three months ended March 31, 2023. As a results, total personnel costs decreased by $18.5 million, driven by a 12% average decrease in sales and marketing headcount. The lower sales and marketing expenses were also due to a $4.3 million decrease in advertising expenses and a $2.7 million decrease in expenses related to corporate events.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general and administrative expenses decreased by $1.8 million, or 2%, compared to the same period last year. The decrease was attributable to our efforts to manage our cost structure, including the restructuring of our workforce in September 2022 and February 2023, and sunsetting of the employee sabbatical program in the three months ended March 31, 2023. As a result, total personnel costs decreased by $3.6 million, driven by a 23% average decrease in general and administrative headcount. This decrease was partially offset by increases in other operating expense categories that were not significant either individually or in the aggregate.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we incurred $121.9 million in restructuring costs primarily as a result of our February 2023 Plan. For further detail refer to Note 6 to our unaudited condensed consolidated financial statements included elsewhere in this Quarterly Report on Form 10-Q.</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we incurred $21.8 million in impairment charges related to certain of our operating lease assets and other long-lived assets as a result of our permanent office closure announcements in 2022 and in the first quarter of 2023. For further detail refer to Note 5 to our unaudited condensed consolidated financial statements included elsewhere in this Quarterly Report on Form 10-Q.</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cash and cash equivalents of $634.8 million and short-term marketable securities of $3.3 billion. In any given period, cash and cash equivalents may consist of money market funds, reverse repurchase agreements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11 and Note 13(a) to our unaudited condensed consolidated financial statements included elsewhere in this Quarterly Report on Form 10-Q for discussions of our obligations and commitments related to leases, debt and other purchase obligations.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Part II, Item 1A, “Risk Factors.”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a share repurchase program pursuant to which we may repurchase up to $1.0 billion in aggregate value of our Class A common stock. Repurchases under the program will be made through open market, private transactions or other means in compliance with applicable federal securities laws, and could include repurchases pursuant to Rule 10b5-1 trading plans. We have a discretion in determining the conditions under which shares may be repurchased from time to time. The program is set to expire on December 31, 2024.</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purchased $125.0 million in aggregate value, or 1.9 million shares, of our Class A common stock on the open market under this program. Subsequent to March 31, 2023, we have repurchased additional shares of our Class A common stock for an aggregate purchase price of $125.0 million. Approximately $750.0 million of the originally authorized amount remains available for future repurchases.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2029 Notes and 2031 Notes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13 to our Annual Report on Form 10-K filed with the SEC on February 27, 2023.</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76" w:before="240" w:after="283"/>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8519" w:type="dxa"/>
        <w:jc w:val="center"/>
        <w:tblInd w:w="0" w:type="dxa"/>
        <w:tblCellMar>
          <w:top w:w="28" w:type="dxa"/>
          <w:left w:w="28" w:type="dxa"/>
          <w:bottom w:w="28" w:type="dxa"/>
          <w:right w:w="28" w:type="dxa"/>
        </w:tblCellMar>
      </w:tblPr>
      <w:tblGrid>
        <w:gridCol w:w="2006"/>
        <w:gridCol w:w="1758"/>
        <w:gridCol w:w="1771"/>
        <w:gridCol w:w="109"/>
        <w:gridCol w:w="109"/>
        <w:gridCol w:w="109"/>
        <w:gridCol w:w="196"/>
        <w:gridCol w:w="721"/>
        <w:gridCol w:w="109"/>
        <w:gridCol w:w="109"/>
        <w:gridCol w:w="109"/>
        <w:gridCol w:w="109"/>
        <w:gridCol w:w="196"/>
        <w:gridCol w:w="736"/>
        <w:gridCol w:w="109"/>
        <w:gridCol w:w="109"/>
        <w:gridCol w:w="154"/>
      </w:tblGrid>
      <w:tr>
        <w:trPr/>
        <w:tc>
          <w:tcPr>
            <w:tcW w:w="2006"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5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shd w:fill="auto" w:val="clear"/>
          </w:tcPr>
          <w:p>
            <w:pPr>
              <w:pStyle w:val="TableContents"/>
              <w:spacing w:before="0" w:after="283"/>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Operating Activities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cash used in operating activities consisted primarily of our net loss of $342.1 million adjusted for non-cash items, including $170.8 million of stock-based compensation expense which included the impact of our February 2023 Plan, $71.4 million of depreciation and amortization expense, $21.8 million of impairment of operating lease assets and other long-lived assets, $8.6 million of non-cash reduction in our operating right-of-use asset, $17.9 million amortization of deferred commissions, $30.4 million of our share of losses from an equity method investment, $46.2 million of impairment of an investment that we acquired in 2021, and $143.2 million of cumulative changes in operating assets and liabilities. With respect to changes in operating assets and liabilities, accounts receivable and prepaid expenses increased $86.7 million primarily due to revenue growth, timing of cash receipts and pre-payments and certain operating expenses. Accounts payable and other current liabilities increased $19.1 million primarily driven by a $33.2 million increase in the restructuring liabilities that was offset by a $15.0 million decrease in the sabbatical benefit accrual as a result of lower headcount and sunsetting of the program. Operating lease liabilities decreased $13.7 million due to payments made against our operating lease obligations. Other long-term assets increased $21.5 million primarily due to an increase in the sales commissions balances related to the growth of our business. The impairment of operating lease assets and other long lived assets and the details of the February 2023 Plan are described further in Note 5 and Note 6, respectively, to our unaudited condensed consolidated financial statements included elsewhere in this Quarterly Report on Form 10-Q.</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2022, cash used in operating activities consisted primarily of our net loss of $221.6 million adjusted for non-cash items, including $155.3 million of stock-based compensation expense, $68.1 million of depreciation and amortization expense, $12.4 million of non-cash reduction to our operating right-of-use asset, $12.6 million amortization of deferred commissions and $60.7 million of cumulative changes in operating assets and liabilities. With respect to changes in operating assets and liabilities, accounts receivable and prepaid expenses increased $33.8 million primarily due to revenue growth, the timing of cash receipts and pre-payments for cloud infrastructure fees and certain operating expenses. Accounts payable and other current liabilities increased $19.4 million primarily due to increases in transaction volumes. Operating lease liability decreased $13.1 million due to payments made against our operating lease obligations. Other long-term assets increased $27.4 million primarily due to an increase in the sales commissions balances related to the growth of our business. </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cash provided by investing activities was $202.5 million primarily consisting of $219.1 million of proceeds from sales and maturities of marketable securities, net of purchases of marketable securities and other investments; $9.9 million related to capitalized software development costs and $6.8 million related to purchases of long-lived assets.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2022, cash provided by investing activities was $151.0 million primarily consisting of $195.9 million of proceeds from sales and maturities of marketable securities, net of purchases of marketable securities and other investments, offset by $27.7 million of net cash paid to acquire other businesses, $10.3 million related to capitalized software development costs and $7.0 million related to purchases of long-lived assets.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cash used in financing activities was $121.5 million primarily consisting of $115.0 million of cash paid to repurchase 1.9 million shares of our Class A common stock in the open market, including related costs, and $7.4 million in principal payments on debt and finance leases, offset by $3.3 million in proceeds from stock options exercised by our employees and shares issued under our employee stock purchase plan.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2022, cash provided by financing activities was $4.1 million primarily consisting of $11.7 million in proceeds from stock options exercised by our employees, offset by $6.5 million in principal payments on debt and finance leases.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as described in our Annual Report on Form 10-K filed with the SEC on February 27, 2023, other than the addition of a policy related to our share repurchase program as described in Note 2 to the unaudited condensed consolidated financial statements included elsewhere in this Quarterly Report on Form 10-Q.</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including sensitivities as follows: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$634.8 million and marketable securities of $3.3 billion as of March 31, 2023. In any given period, cash and cash equivalents may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Currency Exchange Risks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Quarterly Report on Form 10-Q.</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derivative hedging transactions to mitigate our exposure to market risks that may result from changes in foreign currency exchange rates. For further information, refer to Note 8 to our unaudited condensed consolidated financial statements included elsewhere in this Quarterly Report on Form 10-Q.</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spacing w:lineRule="auto" w:line="288" w:before="24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Principal Financial Officer, has evaluated the effectiveness of our disclosure controls and procedures (as defined in Rules 13a-15(e) and 15d-15(e) under the Exchange Act), as of the end of the period covered by this Quarterly Report on Form 10-Q.</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Chief Executive Officer and our Principal Financial Officer concluded that, as of March 31,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Principal Financial Officer, as appropriate, to allow timely decisions regarding required disclosures.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bc6c191296c648d68d1744a6c8c08601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(b)    Changes in Internal Control</w:t>
      </w:r>
    </w:p>
    <w:p>
      <w:pPr>
        <w:pStyle w:val="TextBody"/>
        <w:spacing w:lineRule="auto" w:line="276"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in connection with the evaluation required by Rule 13a-15(d) and 15d-15(d) of the Exchange Act that occurred during the three months ended March 31, 2023, that materially affected, or are reasonably likely to materially affect, our internal control over financial reporting.</w:t>
      </w:r>
    </w:p>
    <w:p>
      <w:pPr>
        <w:pStyle w:val="TextBody"/>
        <w:spacing w:lineRule="auto" w:line="417" w:before="24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(c)    Inherent Limitations on Effectiveness of Controls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our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pStyle w:val="TextBody"/>
        <w:spacing w:before="24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 </w:t>
      </w:r>
      <w:r>
        <w:rPr>
          <w:rFonts w:ascii="Times New Roman;sans-serif" w:hAnsi="Times New Roman;sans-serif"/>
          <w:b/>
          <w:i/>
          <w:color w:val="000000"/>
          <w:sz w:val="20"/>
        </w:rPr>
        <w:t xml:space="preserve">Legal Proceedings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13(b) to our unaudited condensed consolidated financial statements included elsewhere in this Quarterly Report on Form 10-Q for a description of our current material legal proceedings.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lineRule="auto" w:line="288" w:before="24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Class A common stock. The risks and uncertainties described below may not be the only ones we face. If any of the risks actually occur, our business, results of operations and financial condition could be adversely affected. In that event, the market price of our Class A common stock could decline, and you could lose part or all of your investment.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numerous risks and uncertainties, including those outside of our control, that could cause our business, results of operations, and/or financial condition to be harmed, including risks regarding the following:</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Business and Industry</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impact of macroeconomic uncertainties;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fluctuations in our quarterly results and our ability to meet securities analysts’ and investors’ expectations;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effectiveness of actions taken to restructure our business in alignment with our strategic priorities;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potential disruption caused by the reorganization of our business into business units;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maintain and grow our relationships with existing customers such that they increase their usage of our platform;</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attract new customers in a cost-effective manner and increase adoption of our products by enterprises;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evolution of the market for our products and platform, including the continued adoption of such by developers;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effectively manage our growth;</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compete effectively in an intensely competitive market;</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history of losses and uncertainty about our future profitability;</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hire, integrate and retain highly skilled personnel;</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maintain and enhance our brand and increase market awareness of our company and products;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adapt and respond effectively to rapidly changing technology, evolving industry standards, changing regulations, and changing customer needs, requirements or preferences;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disruptions or deterioration in the quality of service and connectivity by third-party service providers;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a failure to set optimal prices for our products;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significant risks associated with expansion of our international operations;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reliance on our largest customers to generate a significant amount of our revenue;</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integrate and achieve the expected benefits of acquisitions, partnerships and investments;</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Cyber Security, Data Privacy and Intellectual Property</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any breaches of our networks or systems, or those of AWS or our service providers;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substantial reliance on AWS to operate our platform;</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actual or perceived failure to comply with increasingly stringent laws, regulations and obligations relating to privacy, data protection and data security;</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protect our intellectual property rights;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use of open source software;</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Legal and Regulatory Matters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 xml:space="preserve">our ability to comply with telecommunications-related regulations, and the impact of future legislative or regulatory actions; </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obtain or retain geographical, mobile, regional, local or toll-free numbers and to effectively process requests to port such numbers in a timely manner due to industry regulations;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federal legislation and international laws imposing obligations on the senders of commercial emails;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fraudulent usage of or activity relating to our products;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changes in laws and regulations related to the Internet or its infrastructure;</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compliance with applicable laws and regulations, including export control, economic trade sanctions, and anti-corruption regulations;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standards imposed by private entities and inbox service providers that interfere with the effectiveness of our platform;</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any legal proceedings or claims against us;</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Financial and Accounting Matters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exposure to foreign currency exchange rate fluctuations;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substantial indebtedness that may decrease our business flexibility;</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obtain additional capital to support our business and its availability on acceptable terms;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accuracy of our estimates and judgments related to our critical accounting policies;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changes in accounting standards that may cause adverse financial reporting fluctuations;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failure to maintain an effective system of disclosure controls and internal control over financial reporting;</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Tax Matters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our ability to use our net operating losses and certain other tax attributes to offset future taxable income and taxes;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additional tax liabilities or potentially adverse tax consequences on our global operations and structure;</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changes in tax rules and regulations;</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Ownership of Our Class A Common Stock</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volatility of the trading price of our Class A common stock;</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potential decline in the market price of our Class A common stock due to substantial future sales of shares;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dual class nature of our stock;</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the possibility that we may not realize the anticipated long-term stockholder value of our share repurchase program;</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securities or industry analysts changing their recommendations regarding our Class A common stock; and</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anti-takeover provisions contained in our governing documents and the exclusive forum provision in our bylaws.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Global economic and political conditions, including macroeconomic uncertainties, may continue to adversely impact our business, results of operations and financial condition.</w:t>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may continue to put pressure on and lead to uncertain economic conditions. These macroeconomic conditions have resulted in, and may continue to result in, decreased business spending by our current and prospective customers and business partners, reduced demand for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 </w:t>
      </w:r>
    </w:p>
    <w:p>
      <w:pPr>
        <w:pStyle w:val="TextBody"/>
        <w:spacing w:before="0" w:after="0"/>
        <w:ind w:left="0" w:right="0" w:firstLine="54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macroeconomic environment has constrained the budgets and financial resources of some of our current and prospective customers, which has caused the impacted current and prospective customers to become more budget-conscious, to delay and/or reduce spending. Given that a majority of our revenue is usage-based and impacted by general consumer sentiment and activity, our business may be more immediately and severely impacted by adverse macroeconomic conditions than those that rely primarily on software-as-a-service (“SaaS”) subscription revenue. The current macroeconomic environment has caused certain customers without long-term contracts with us to reduce or terminate their usage of our products without notice or termination changes, which has negatively impacted, and may in the future negatively impact, Communications revenue. Similarly, the current macroeconomic environment has caused certain customers to renegotiate existing contracts on less advantageous terms to us than those currently in place, default on payments due on existing contracts, or fail to renew at the end of their current contract term, which has had a negative impact on our Data &amp; Applications revenue. A prolonged economic slowdown could exacerbate these negative effects on revenue and revenue growth in both our Communications and Data &amp; Applications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 </w:t>
      </w:r>
    </w:p>
    <w:p>
      <w:pPr>
        <w:pStyle w:val="TextBody"/>
        <w:spacing w:before="0" w:after="0"/>
        <w:ind w:left="0" w:right="0" w:firstLine="54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Many of our customers are in industries that have been negatively impacted by recent macroeconomic conditions, including customers in social media, cryptocurrencies, retail and e-commerce, consumer packaged goods, direct-to-consumer and other industries dependent on consumer spending, and the concentration of our customer base within these industries could exacerbate the effects of weakening macroeconomic conditions on our business. For example, we have generally experienced, and expect to continue to experience, longer sales cycles when engaging with current and potential customers in industries negatively impacted by macroeconomic conditions. Our products are also utilized by many small and medium-sized businesses, which have been, and may continue to be, adversely affected by the current economic downturn to a greater extent than larger enterprises with greater financial resources. To the extent that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Our quarterly and annual results of operations have fluctuated in the past and may continue to do so in the future. As a result, we may fail to meet securities analysts’ and investors’ expectations, which could cause the price of our Class A common stock to decline.</w:t>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including our revenue, cost of revenue, gross margin and operating expenses, have fluctuated in the past and may continue to do so in the future due to a variety of factors, many of which are outside of our control. These fluctuations and the related impacts to any earnings guidance we may issue from time to time could cause the price of our Class A common stock to change significantly or experience declines. In addition to the other risks described in this “Risk Factors” section, some of the factors that may result in fluctuations to our results of operations include: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general economic conditions, including a downturn or recession, rising inflation and rising interest rates, geopolitical uncertainty and instability;</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expected costs and benefits of our business unit reorganization and changes to our leadership structure;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amount and timing of costs, including any adverse effects associated with, our recent workforce reductions;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attract and retain new customers, obtain renewals from existing customers and cross-sell or otherwise increase revenue from existing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introduce new products and enhance existing products;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leverage more of our self-service capabilities for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competition and the actions of our competitors, including pricing changes and the introduction of new products, services and geographies;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significant security breaches or incidents impacting our platform, or interruptions to, the delivery and use of our products;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cloud infrastructure, network services and other third-party technology, including the fees charged by their providers;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rate productivity of our salesforce, including our enterprise salesforce;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length and complexity of the sales cycle for our products, especially for sales to larger enterprises, government and regulated organizations;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the mix of products that our customers use during a particular period;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the mix or amount of products sold in the United States versus internationally;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amount and timing of operating costs and capital expenditures related to the operations and expansion of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expenses in connection with mergers, acquisitions, dispositions, or other strategic transactions;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timing of customer payments and our ability to collect accounts receivable from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rising inflation and our ability to control costs, including our operating expenses;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amount and timing of costs associated with recruiting, training and integrating new employees, and retaining existing employees;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foreign currency exchange rates and our ability to effectively hedge our foreign currency exposure;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extraordinary expenses such as litigation or other dispute-related settlement payments;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laws, industry standards and regulations that affect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impact of new accounting pronouncements;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fluctuations in stock-based compensation expense.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expectations of investors or securities analysts, then the trading price of our Class A common stock could fall substantially, and we could face costly lawsuits, including securities class action suits.</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Actions that we are taking to restructure our business in alignment with our strategic priorities may not be as effective as anticipated.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of 2022, we reduced our workforce by approximately 11%, and in February 2023, we reduced our workforce by an additional approximately 17%. While our reductions in force and other efforts to restructure our business were designed to reduce operating costs, improve operating margins and shift our selling capacity to accelerate software sales, we may encounter challenges in the execution of these efforts that could prevent us from recognizing the intended benefits of such efforts or otherwise adversely affect our business, results of operations and financial condition.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reductions in force, we have incurred and may continue to incur additional costs in the short-term, including cash expenditures for employee transition,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other unintended consequences, including employee attrition beyond our intended reduction in force, which may also be further exacerbated by the actual or perceived declining value of our equity awards; damage to our corporate culture and decreased employee morale among our remaining employees, including as a result of reduced employee perks;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As the size of our workforce decreases, we will increasingly rely on our self-service model to drive sales of our communications products to customers that do not require direct account coverage. Our self-service capabilities may not be as successful as we anticipate, and our efforts to accelerate software sales may not be effective or may take longer than we expect to drive growth. If these factors lead us to fail to meet our operational and growth targets or to delays in meeting such targets, our business, results of operations and financial condition may be adversely affected.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In the first quarter of 2023, we reorganized our business into business units. These changes may be disruptive to our business and may not have the desired effects.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 announced in February 2023, in the first quarter of 2023, we reorganized our business into two business units – Twilio Communications and Twilio Data &amp; Applications – to enable us to develop the organization and systems to successfully operate a multi-product business and to better align our sales resources with customer and market opportunities. In addition, as the business units were created based on how management views and evaluates our business, we also expect to change our operating and reporting segment structure from one reportable segment to two reportable segments in 2023, and we expect to revise our prior period presentation to conform to the new segments.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business unit reorganization and changes in our segment reporting structure will require significant expenditures and allocation of valuable management resources and may place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sales positions, reorganize our sales teams into business units, and focus on leveraging our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failure to achieve our timing expectations regarding our transition from one reportable segment to two reportable segments; and the failure to maintain our corporate culture, employee morale and productivity, and to retain highly skilled employees due to reductions in our workforce and changes in leadership structure. Because of these and other factors, we cannot predict whether we will realize the purpose and anticipated benefits of Reorganization and segment reporting changes, and if we do not, our business, results of operations and financial condition could be adversely affected.</w:t>
      </w:r>
    </w:p>
    <w:p>
      <w:pPr>
        <w:pStyle w:val="TextBody"/>
        <w:spacing w:before="0" w:after="0"/>
        <w:ind w:left="0" w:right="0" w:firstLine="540"/>
        <w:jc w:val="both"/>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investors, analysts or the market will understand or favorably view the changes we make to our financial reporting or that any such changes will have the desired effect. Failure of investors or analysts to understand our revised segment reporting structure may negatively affect their ability to understand our business and operating results, which could adversely affect our stock price. In addition, we test for goodwill impairment at the reporting unit level and consider the difference between the fair value of a reporting unit and its carrying value when determining whether any impairment exists. There can be no assurance that the change to our segment reporting structure will not result in impairment charges in future periods, which could harm our operating results.</w:t>
      </w:r>
    </w:p>
    <w:p>
      <w:pPr>
        <w:pStyle w:val="TextBody"/>
        <w:spacing w:lineRule="auto" w:line="276"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customers increasing their use of our products, and a loss of customers or decline in their use of our products could adversely affect our business, results of operations and financial condition.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platform. If our customers do not increase their use of our products, then our revenue may decline. The majority of our customers are charged based on their usage of our products. Most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their use of competitors’ products. For example,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Our inability to devote sufficient resources to effectively assist our customers could adversely affect our ability to retain existing customers and could disincentivize prospective customers from adopting our products. We may be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Our inability to provide high-quality customer support, or a market perception that we do not maintain high-quality customer support, could erode the trust of current and potential customers and adversely affect our reputation.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usage of our products is generally outside of our control and therefore it is difficult to accurately predict customers’ usage levels. The loss of customers or reductions in their usage levels of our products may each have a negative impact on our business, results of operations and financial condition. Our Dollar-Based Net Expansion Rate may decline in the future if customers are not satisfied with our products and related customer service experience, the value proposition of our products or our ability to meet their needs and expectations. If a significant number of customers cease using, or reduce their usage of our products, including due to cost-saving measures in the face of macroeconomic uncertainty or changes in the competitive landscape, then we may be required to spend significantly more on sales and marketing than we currently expect in order to maintain or increase revenue from customers. Such additional sales and marketing expenditures could adversely affect our business, results of operations and financial condition. </w:t>
      </w:r>
    </w:p>
    <w:p>
      <w:pPr>
        <w:pStyle w:val="TextBody"/>
        <w:spacing w:before="240" w:after="283"/>
        <w:ind w:left="0" w:right="0" w:firstLine="54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in a cost-effective manner, sell additional products to our existing customers or develop new products and enhancements to our products that achieve market acceptance then our business, results of operations and financial condition would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must continue to attract new customers in a cost-effective manner, increase revenue from existing customers, and increase gross margins, each of which depends in part on our ability to enhance and improve our existing products, increase adoption and usage of our products, and introduce new products, particularly products with higher gross margins.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in new marketing campaigns, and we cannot guarantee that any such investments will lead wider adoption of our products or to the cost-effective acquisition of additional customers. If we are unable to maintain effective marketing programs, then our ability to efficiently attract new customers could be adversely affected and we may not be able to attract the number and types of new customers we are seeking.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ability to attract new customers and increase revenue from existing customers depends in large part on our ability to enhance and improve our existing products and to introduce compelling new products that reflect the changing nature of our markets, technological advances and industry standards.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margins. Furthermore, our ability to increase the usage of our products depends, in part, on the development of new use cases for our products, which is typically driven by our developer community and may be outside of our control. Our ability to generate usage of additional products by our customers may also require increasingly sophisticated and more costly sales efforts and result in a longer sales cycle. If we are unable to successfully enhance our existing products to meet evolving customer requirements, increase adoption and usage of our products, develop and drive adoption of new products, and increase our gross margins, or if our efforts to increase the usage of our products are more expensive than we expect, then our business, results of operations and financial condition would be adversely affected. The adoption of our products, and the development of enhancements and new products, also depends, in part, on our ability to anticipate complex and uncertain emerging technologies, changes to customers’ needs and expectations, and shifts in industry standard practices. Anticipating these factors requires that we allocate significant resources without any guarantee that any such investments and efforts will result in wider adoption of our products in the marketplace. If we are unable to adequately anticipate these changes, then our business and financial condition could be adversely affected.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with such third-party products, our ability to meet the needs and expectations of our current and prospective customers could be adversely affected and adversely affect our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enhance our existing products to meet evolving customer requirements, increase adoption and usage of our products, develop and drive adoption of new products, maintain integrations with third-party products, anticipate changes in technology, customers’ needs and expectations, or industry standards, and increase our gross margins, or if our efforts to increase the usage of our products are more expensive than we expect, then our business, results of operations and financial condition would be adversely affected.</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are unable to increase adoption of our products by enterprises, our business, results of operations and financial condition may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a majority of our revenue has been generated as a result of software developers adopting our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 seek to increase the adoption of our products by enterprises, including products like Segment and Engage, which are primarily aimed at complex customer data platform implementations at larger companies, and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economic recessions or slowdowns can result in our enterprise customers terminating their arrangements with us, longer sales cycles, and reduced or limited contract values as enterprise organizations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The market for our products and platform continues to evolve, and may decline or experience limited growth, and is dependent in part on developers continuing to adopt our platform and use our products.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 for our products and platform continues to evolve, which makes our business and future prospects difficult to evaluate. We believe that our revenue currently constitutes a significant portion of the total revenue in the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and improving the functionality of our products and bringing new technologies to market to increase market acceptance and use of our platform. Our growth will depend, in part, on our ability to leverage more of our self-service capability for developers that do not need direct account coverage. We will also continue to prioritize accelerating software sales, which could have an impact on our results of operations. Our ability to expand the market that our products and platform address depends upon a number of factors, including the cost, performance and perceived value associated with such products and platform. The market for our products and platform could fail to grow significantly, or at all, or there could be a reduction in demand for our products as a result of any number of factors, including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fail to effectively manage our growth, then our business, results of operations and financial condition could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provide any assurance that our business will continue to grow at the same rate or at all in the future, we have experienced substantial growth in our business and operations in recent years, which has placed, and may continue to place, significant demands on our management and our operational and financial resources, especially as we continue to focus on improving our operating efficiency. Although we committed to workforce reduction plans in September 2022 and February 2023 to reduce operating costs, improve operating margins and accelerate profitability,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systems and infrastructure, as well as the changes arising from the Reorganization, will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recent reductions in force and the Reorganization,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w:t>
      </w:r>
    </w:p>
    <w:p>
      <w:pPr>
        <w:pStyle w:val="TextBody"/>
        <w:spacing w:lineRule="auto" w:line="288" w:before="240" w:after="240"/>
        <w:ind w:left="0" w:right="0" w:firstLine="540"/>
        <w:rPr>
          <w:rFonts w:ascii="Times New Roman;sans-serif" w:hAnsi="Times New Roman;sans-serif"/>
          <w:b/>
          <w:i/>
          <w:color w:val="000000"/>
          <w:sz w:val="20"/>
        </w:rPr>
      </w:pPr>
      <w:r>
        <w:rPr>
          <w:rFonts w:ascii="Times New Roman;sans-serif" w:hAnsi="Times New Roman;sans-serif"/>
          <w:b/>
          <w:i/>
          <w:color w:val="000000"/>
          <w:sz w:val="20"/>
        </w:rPr>
        <w:t>The market in which we participate is intensely competitive, and if we do not compete effectively, our business, results of operations and financial condition could be harmed.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 for customer engagement platform is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In our Communications business, our competitors are primarily (i) regional network service providers that offer limited developer functionality on top of their own physical infrastructure, (ii) CPaaS companies that offer communications products and applications, and (iii) other software companies that compete with portions of our communications product line. In our Data &amp; Applications business our competitors are primarily (i) legacy on-premises vendors, (ii) SaaS companies and marketing cloud platform vendors that offer bundled applications and platforms, and (iii) CRM and customer experience vendors.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have a history of losses and may not achieve or sustain profitability in the future.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each year since our inception, including net losses of $342.1 million, $1.3 billion and $949.9 million in the three months ended March 31, 2023 and the years ended December 31, 2022 and 2021, respectively. We had an accumulated deficit of $3.8 billion as of March 31, 2023.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including the continued expansion of our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direct sales organization and marketing programs, especially for enterprises, organizations outside of the United States, and programs directed at increasing our brand awareness among developers, as well expansion of our self-service capabilities;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Class A common stock may significantly decrease.</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depend largely on the continued services of highly skilled personnel, including our senior management and other key employees, and failing to attract, integrate or retain such employees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continue to experience high levels of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We have focused our hiring efforts on areas such as Segment, Engage and Flex, and we have frozen the vast majority of new hires and backfills outside of these core areas.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Additionally, loss of services of senior management or other key employees could significantly delay or prevent the achievement of our development and strategic objectives. In particular, we depend to a considerable degree on the vision, skills, experience and effort of our co-founder and Chief Executive Officer, Jeff Lawson.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labor market for our business is subject to external factors that are beyond our control, including our industry’s highly competitive market for skilled workers and leaders, inflation, effects that the COVID-19 pandemic has had on the labor market, and workforce participation rates. We must provide competitive compensation packages and a high-quality work environment to hire, retain and motivate employees. Volatility in, or the actual or perceived lack of performance of, our stock price may affect our ability to attract, motivate and retain key employees. In September 2022 and February 2023, we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 we believe that a critical contributor to our success and our ability to attract, recruit, hire and retain highly skilled personnel has been our corporate culture. As we grow and experience organizational changes, including as a result of the reductions in force and the Reorganization, we may find it difficult to maintain important aspects of our corporate culture. While we are taking steps to develop a more inclusive and diverse workforce, there is no guarantee that we will be able to do so. Our inability to preserve our culture, or to reshape our culture, as we grow and transform our operating model could limit our ability to innovate and could negatively affect our ability to retain and recruit personnel, continue to perform at current levels or execute on our business strategy, any one of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and enhancing the “Twilio” brand identity and increasing market awareness of our company and products, particularly among developers and enterprises,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high-quality products, and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including, but not limited to, as a result of recent inflationary pressures.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are unable to adapt and respond effectively to rapidly changing technology, evolving industry standards, changing regulations, evolving interoperability requirements, and changing customer needs, requirements or preferences, our products may become less competitive.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communications in general, and cloud communications in particular, is subject to rapid technological change, evolving industry standards, changing regulations, as well as changing customer needs, requirements and preferences. These are all uncertain and we cannot predict the consequences, effects, or introduction of new, disruptive, emerging technologies or the manner and pace at which our market develops over time, and our ability to compete in our market depends on predicting and adapting to these changing circumstances.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Signature-based Handling of Asserted Information Using toKENs (“SHAKEN”) and Secure Telephone Identity Revisited (“STIR”) standards (together,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or new products are introduced into the market that could render our products obsolete, such technologies and products could adversely impact our ability to compete effectively and may lead to customers reduce or terminate their usage of our products.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example, in recent years, multiple major U.S. mobile carriers have introduced Application to Person (“A2P”) SMS service offerings that added a new fee for A2P SMS messages delivered to their respective subscribers, and, from time-to-time, other U.S. mobile carriers have added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respond in these ways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Passing these fees through to our customers typically has the effect of increasing our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service outages, or poor-quality communications on our products, and we could encounter difficulty identifying the source of the problem. The occurrence of errors, service outages,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Failure to set optimal prices for our products could adversely impact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certain of our products, we primarily charge our customers based on their use of such products (“usage-based pricing”). One of the challenges of our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may need to change our pricing model from time to time. In the past, we have at times reduced our prices either for individual customers in connection with long-term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may demand substantial price concessions. In addition, if the mix of products sold changes, including for a shift to IP-based products, then we may need to, or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choose to, revise our pricing. As a result, in the future we may be required or choose to reduce our prices or change our pricing models,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are continuing to expand our international operations, which exposes us to risks inherent in global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continuing to expand our international operations to increase our revenue from customers outside of the United States as part of our growth strategy. In the three months ended March 31, 2023 and the year ended December 31, 2022, we derived 34% of our revenue from customer accounts located outside the United States. The future success of our business will depend, in part, on our ability to expand our customer base worldwide. Operating in international markets requires significant resources and management attention and will subject us to regulatory, economic and political risks in addition to those we already face in the United States.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we will face risks in doing business internationally that could adversely affect our business, including: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inflation and actions taken by central banks to counter inflation;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difficulty of managing and staffing international operations and the increased operations, travel, infrastructure and legal compliance costs associated with servicing international customers and operating numerous international locations;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effectively price our products in competitive international markets;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new and different sources of competition or other changes to our current competitive landscape;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potentially greater difficulty collecting accounts receivable and longer payment cycles;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higher or more variable network service provider fees outside of the United States;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need to adapt and localize our products and support for specific countries;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comply with laws, regulations and industry standards relating to data privacy, data protection, data localization and data security enacted in countries and other regions in which we operate or do business, including the GDPR and Brazil’s General Data Protection Law (Lei Geral de Proteção de Dados Pessoais) (Law No. 13,709/2018);</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difficulties in understanding and complying with local laws, regulations and customs in non-U.S. jurisdictions;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compliance with various anti-bribery and anti-corruption laws such as the U.S. Foreign Corrupt Practices Act, as amended (“FCPA”) and United Kingdom Bribery Act of 2010;</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international trade policies, tariffs and other non-tariff barriers, such as quotas and local content rules;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more limited protection for intellectual property rights in some countries;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adverse tax consequences;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currency control regulations, which might restrict or prohibit our conversion of other currencies into U.S. dollars;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restrictions on the transfer of funds;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deterioration of political relations between the United States and other countries;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has been, and may continue to be, adversely impacted as we expand our operations and customer base worldwide. Our failure to manage any of these risks successfully could harm our international operations, and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currently generate significant revenue from our largest customers, and the loss or decline in revenue from any of these customers could harm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2023 and the years ended December 31, 2022 and 2021, our 10 largest Active Customer Accounts generated an aggregate of 10%, 12% and 11%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 </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may not realize potential benefits from our acquisitions, partnerships and investments because of difficulties related to integration, the achievement of synergies, and other challenges.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combining the acquired businesses’ corporate functions with our corporate functions;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determining whether and how to address possible differences in corporate cultures and management philosophies;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integrating the companies’ compliance, administrative and IT infrastructure;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developing products and technology that allow value to be unlocked in the future;</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evaluating and forecasting the financial impact of such acquisitions, partnerships and investments, including accounting charges;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effecting potential actions that may be required in connection with obtaining regulatory approvals.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at times the attention of certain members of our management and resources may be focused on integration of the acquired businesses and diverted from day-to-day business operations, which may disrupt our ongoing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pStyle w:val="TextBody"/>
        <w:spacing w:before="0" w:after="0"/>
        <w:ind w:left="0" w:right="0" w:firstLine="54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divest or stop investing in certain businesses or products. For example, in the first quarter of 2023, we signed an agreement to divest our Internet of Things assets and liabilities to a third party. The sale of a business or product may require us to restructure operations and/or terminate employees, and could expose us to unanticipated ongoing obligations and liabilities, including as a result of our indemnification obligations. Additionally, such transactions could disrupt our customer, supplier and/or employee relationships and divert management and our employees’ time and attention. During the pendency of a divestiture, we may be subject to risks related to a decline in the business, loss of employees, customers, or suppliers, and that the transaction may not close, which could have an adverse effect on the business to be divested and on us. Additionally, we may experience harm to our financial results, including loss of revenue, and we may not realize the expected benefits and cost savings of these actions and our operating results may be adversely impacted.</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Cyber Security, Data Privacy and Intellectual Property</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Breaches of or incidents impacting our networks or systems, or those of Amazon Web Services (“AWS”) or our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or unavailability of data or other information technology assets, adware, telecommunications failures, earthquakes, fires, floods and other similar threats.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or entities may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incident or disruption of our platform, systems, or networks or those of our service providers, such as AWS, could result in loss,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we are required to comply with laws and regulations that require us to maintain the security of personal information and we may have contractual and other legal obligations to notify customers, regulators,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AWS or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substantially rely upon AWS to operate our platform, and any disruption of or interference with our use of AWS would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a substantial majority of our cloud infrastructure to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(such as COVID-19), fraud or security attacks. In addition, if our security, or that of AWS, is compromised, our products or platform are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extent that we do not effectively address capacity constraints, either through AWS or alternative providers of cloud infrastructure, or other factors that may result in interruptions, delays and outages in service and availability of our products and/or services, our business, results of operations and financial condition may be adversely affected. In addition, if Amazon requires that we comply with unfavorable terms in order to continue our use of AWS of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reducing their usage of our products, discourage them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the California Privacy Rights Act of 2020 (“CPRA”), which became enforceable as of January 1, 2023, expanded the CCPA protections for consumers and employees. Similar laws have been enacted or been proposed at the state and federal levels. For example, Connecticut, Utah, Virginia and Colorado have each passed laws similar to but different from the CCPA and CPRA that have taken or will take effect in 2023, and Iowa has passed such a law that will take effect in 2025.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apply to privacy, data protection and data security. For example, the GDPR, the United Kingdom’s Data Protection Act 2018 (“UK GDPR”) and the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we could be subject to regulatory audits, civil and criminal penalties, fines and breach of contract claims, as well as reputational damage, which could impact the willingness of customers to do business with us.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 from regulators. For example, absent appropriate safeguards or other circumstances, the GDPR and laws in Switzerland and the UK generally restrict the transfer of personal information to countries outside of the EEA, Switzerland and the UK such as the United States, that the European Commission does not consider as providing an adequate level of privacy, data protection and data security. On March 25, 2022, the United States and EU announced an “agreement in principle” to replace the EU-U.S. Privacy Shield transfer framework with the Trans-Atlantic Data Privacy Framework. Progress has since been made towards the establishment of this as a valid transfer mechanism with President Biden’s issuance of the Executive Order Enhancing Safeguards for United States Signals Intelligence Activity in October 2022. Additionally, on December 13, 2022, the European Commission published a draft adequacy decision on the level of protection of personal data under the EU-U.S. Data Privacy Framework and on February 28, 2023, the European Data Protection Board adopted its opinion on the draft adequacy decision on the level of protection of personal data under the EU-U.S. Data Privacy Framework, but this framework has not yet been established. If we cannot implement and maintain a valid mechanism for cross-border data transfers, we and our customers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Evolving laws, regulations, and other actual and asserted obligations relating to privacy, data protection, and data security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59"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our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46685"/>
                <wp:effectExtent l="0" t="0" r="0" b="0"/>
                <wp:wrapNone/>
                <wp:docPr id="60"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sell our products and subject us to possible litigation.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provided to the agency a follow-up letter on February 10, 2023 detailing our fraud mitigation practices and various improvements being carried out to reduce future risks. There has been no further communication from the agency on this matter. Any enforcement action by the FCC, which may be a public process, would hurt our reputation in the industry, could erode customer trust, possibly impair our ability to sell our VoIP and other telecommunications products to customers and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subject to a number of FCC regulations and laws that are administered by the FCC. Among others, we must comply (in whole or in part) with:</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Communications Act of 1934, as amended, which regulates communications services and the provision of such services;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Telephone Consumer Protection Act, which limits the use of automatic dialing systems for calls and texts, artificial or prerecorded voice messages and fax machines;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Communications Assistance for Law Enforcement Act, which requires covered entities to assist law enforcement in undertaking electronic surveillance;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requirements to safeguard the privacy of certain customer information;</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46685"/>
                <wp:effectExtent l="0" t="0" r="0" b="0"/>
                <wp:wrapNone/>
                <wp:docPr id="61"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payment of annual FCC regulatory fees and contributions to FCC-administered funds based on our interstate and international revenues;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rules pertaining to access to our services by people with disabilities and contributions to the Telecommunications Relay Services fund.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Congress and the FCC are attempting to mitigate the prevalence of robocalls by requiring participation in a technical standard called SHAKEN/STIR, which allows voice carriers to authenticate caller ID, prohibiting malicious spoofing.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internationally, we have become subject to telecommunications laws and regulations in the foreign countries where we offer our products. Internationally, we currently offer our products in more than 180 countries and territories.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46685"/>
                <wp:effectExtent l="0" t="0" r="0" b="0"/>
                <wp:wrapNone/>
                <wp:docPr id="62"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63"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pStyle w:val="TextBody"/>
        <w:spacing w:lineRule="auto" w:line="26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have suspended the customers’ accounts and we provided to the FCC a follow-up letter on February 10, 2023 detailing our fraud mitigation practices and various improvements being carried out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46685"/>
                <wp:effectExtent l="0" t="0" r="0" b="0"/>
                <wp:wrapNone/>
                <wp:docPr id="64"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on March 10, 2021. A temporary injunction preventing implementation of a similar law in Vermont expired on April 20, 2022, but a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 xml:space="preserve">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46685"/>
                <wp:effectExtent l="0" t="0" r="0" b="0"/>
                <wp:wrapNone/>
                <wp:docPr id="65"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operations from deploying our products and using our services throughout their globally-distributed systems or, in some cases, prevent the export of our products or provision of our services to some countries altogether.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 parties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none of our employees agents, representatives, business partners or third-party intermediaries will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Any legal proceedings or claims against us could be costly and time-consuming to defend and could harm our reputation regardless of the outcome.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46685"/>
                <wp:effectExtent l="0" t="0" r="0" b="0"/>
                <wp:wrapNone/>
                <wp:docPr id="66"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face exposure to foreign currency exchange rate fluctuations, and such fluctuations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our international operations expand, our exposure to the effects of fluctuations in currency exchange rates grows. For example, global geopolitical events, such as the war in Ukraine,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spacing w:lineRule="auto" w:line="276"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$1.0 billion of indebtedness outstanding (excluding intercompany indebtedness). Our indebtedness may: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limit our ability to obtain additional financing to fund future working capital, capital expenditures, business opportunities, acquisitions or other general corporate requirements;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increase our vulnerability to adverse changes in general economic, industry and competitive conditions;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expose us to the risk of increased interest rates as certain of our borrowings, including borrowings under a future revolving credit facility, may be at variable rates of interest;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place us at a competitive disadvantage compared to our less leveraged competitors;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increase our cost of borrowing.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67"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spacing w:lineRule="auto" w:line="276"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spacing w:lineRule="auto" w:line="276"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rely on assumptions and estimates to calculate certain of our key metrics, and real or perceived inaccuracies in such metrics could adversely affect our reputation and our business.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rely on assumptions and estimates to calculate certain of our key metrics, such as Active Customer Accounts and Dollar-Based Net Expansion Rate. Our key metrics are not based on any standardized industry methodology and are not necessarily calculated in the same manner or comparable to similarly titled measures presented by other companies. Similarly, our key metrics may differ from estimates published by third parties or from similarly titled metrics of our competitors due to differences in methodology. The numbers that we use to calculate Active Customer Accounts and Dollar-Based Net Expansion Rate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pStyle w:val="TextBody"/>
        <w:spacing w:lineRule="auto" w:line="276"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68"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spacing w:lineRule="auto" w:line="276"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Changes in accounting standards or practices may cause adverse, unexpected financial reporting fluctuations and affect our results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our goodwill or intangible assets become impaired, we may be required to record a significant charge to earnings.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review our intangible assets for impairment when events or changes in circumstances indicate the carrying value may not be recoverable. Goodwill is required to be tested for impairment at least annually. As of March 31, 2023, we carried a net $6.1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expected shift from one operating segment to two operating segments in 2023, we will also shift into a multiple reporting unit structure. Once this occurs and we are able to allocate goodwill to each reporting unit, we will perform an impairment assessment for each new reporting unit, which may result in a goodwill and other asset impairment charges that could be material.</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69"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Tax Matters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certain other tax attributes to offset future taxable income and taxes may be subject to certain limitations.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U.S. federal, state and foreign net operating loss carryforwards (“NOLs”), of $3.7 billion, $2.7 billion and $498.5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may have additional tax liabilities, which could harm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tax jurisdictions throughout the United States and internationally. In many of these jurisdictions, non-income-based taxes, such as sales, VAT, GST,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$29.1 million and $20.6 million for domestic jurisdictions and jurisdictions outside of the United States, respectively, on our December 31, 2022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70"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San Francisco City and County has assessed us for $38.8 million in taxes, including interest and penalties, which exceeded the $11.5 million we had accrued for that assessment. We have paid the full amount, as required by law, and the payment made in excess of the accrued amount is reflected as a deposit on our balance sheet. We believe, however, that this assessment is incorrect and, after failing to reach a settlement, filed a lawsuit on May 27, 2021 contesting the assessment. The previously set trial date was vacated, and a case management conference is scheduled for June 2023. However, litigation is uncertain and a ruling against us may adversely affect our financial position and results of operations.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global operations and structure subject us to potentially adverse tax consequences.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Changes in, or interpretations of, tax rules and regulations or our tax positions may materially and adversely affect our income taxes.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effective for tax years beginning after December 31, 2022, and a 1% excise tax on share repurchases occurring after December 31, 2022, which may affect our share repurchase program.</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2023. If the requirement to capitalize Section 174 expenditures is not modified by legislation, it may also impact our effective tax rate and our cash tax liability in the future.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The OECD continues to release additional guidance on these rules and the Framework calls for law enactment by OECD and G20 members to take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71"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effect after 2023. These changes, when enacted by various countries in which we do business, may increase our taxes in these countries. Changes to these and other areas in relation to international tax reform, including future actions taken by foreign governments in response to the Tax Act, could increase uncertainty and may adversely affect our tax rate and cash flow in future years.</w:t>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has been volatile and may continue to be volatile, and you could lose all or part of your investment.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and may continue to, fluctuate significantly in response to numerous factors, many of which are beyond our control and may not be related to our operating performance, including: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sales of shares of our Class A common stock by our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issuance or repurchase of shares of our Class A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short selling of our Class A common stock or related derivatives;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announcements by us or our competitors of new products or services;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spacing w:lineRule="auto" w:line="268" w:before="240" w:after="283"/>
        <w:ind w:left="0" w:right="0" w:hanging="360"/>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laws, industry standards, regulations or regulatory enforcement in the United States or internationally;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any significant change in our management, including changes in the pace of hiring;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general political, social, economic and market conditions, in both domestic and foreign markets, including the effects of the COVID-19 pandemic and the war in Ukraine on the global economy, changes in the labor market,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46685"/>
                <wp:effectExtent l="0" t="0" r="0" b="0"/>
                <wp:wrapNone/>
                <wp:docPr id="72"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supply chain disruptions, inflation, increased interest rates, instability and volatility in the banking and financial services sector, and slow or negative growth of our markets.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could cause the market price of our Class A common stock to decline.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 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Until no later than June 2023, the dual class structure of our common stock has the effect of concentrating voting power with those stockholders who held our capital stock prior to the completion of our initial public offering, including our directors, executive officers and their respective affiliates. This limits the ability of holders of our Class A common stock to influence corporate matters, including the election of directors, amendments of our organizational documents and any merger, consolidation, sale of all or substantially all of our assets, or other major corporate transaction requiring stockholder approval.</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As of March 31, 2023, our directors, executive officers and their respective affiliates, held in the aggregate 21.2% of the voting power of our capital stock. Because of the 10-to-one voting ratio between our Class B common stock and Class A common stock, the holders of our Class B common stock collectively will be able to significantly influence certain matters submitted to our stockholders for approval until the earlier of (i) June 28, 2023 (the “Final Conversion Date”), or (ii) the date the holders of two-thirds of our Class B common stock elect to convert the Class B common stock to Class A common stock. While our dual class common stock structure remains in effect, this concentrated voting power limits your ability to influence corporate matters, including the election of directors, amendments of our organizational documents, and any merger, consolidation, sale of all or substantially all of our assets, or other major corporate transaction requiring stockholder approval. In addition, our dual class structure may prevent or discourage unsolicited acquisition proposals or offers for our capital stock that you may feel are in your best interest as one of our stockholders.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until no later than the Final Conversion Date, of increasing the relative voting power of those holders of Class B common stock who retain their shares in the long term.</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may not realize the anticipated long-term stockholder value of our share repurchase program, and any failure to repurchase our Class A common stock after we have announced our intention to do so may negatively impact our stock price.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February 2023, we announced that our Board of Directors authorized the repurchase of up to $1.0 billion of our Class A common stock from time to time through a share repurchase program.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2024,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73"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Repurchasing our Class A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If securities or industry analysts change their recommendations regarding our Class A common stock adversely, the trading price of our Class A common stock and trading volume could decline.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second amended and restated bylaws, as well as provisions of Delaware law, could impair a takeover attempt.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authorizing “blank check” preferred stock, which could be issued by our Board of Directors without stockholder approval and may contain voting, liquidation, dividend and other rights superior to our Class A and Class B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limiting the liability of, and providing indemnification to, our directors and officers;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limiting the ability of our stockholders to call and bring business before special meetings;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providing for a dual class common stock structure in which holders of our Class B common stock have until no later than the Final Conversion Date the ability to significantly influence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providing that our Board of Directors is classified into three classes of directors with staggered three-year terms;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controlling the procedures for the conduct and scheduling of Board of Directors and stockholder meetings;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74"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second amended and restated bylaws provides that the Court of Chancery of the State of Delaware is the exclusive forum for the following types of actions or proceedings under Delaware statutory or common law:</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any derivative action or proceeding brought on our behalf;</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any action asserting a breach of fiduciary duty owed by our directors, officers, employees or our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any action asserting a claim against us arising under the Delaware General Corporation Law; and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any action asserting a claim against us that is governed by the internal-affairs doctrine (the “Delaware Forum Provision”).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We do not expect to declare any dividends in the foreseeable future.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46685"/>
                <wp:effectExtent l="0" t="0" r="0" b="0"/>
                <wp:wrapNone/>
                <wp:docPr id="75"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pandemics, earthquakes, fire, floods and other natural catastrophic events, and to interruption by man-made problems such as power disruptions, computer viruses, data security breaches, terrorism or war.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are subject to interruption by natural disasters, flooding, fire, power shortages, public health epidemics or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could cause disruptions in our or our customers’ businesses, national economies or the world economy as a whole.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Our reputation and/or business could be negatively impacted by ESG matters and/or our reporting of such matters.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ESG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76"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issued 22,102 shares of our unregistered Class A common stock to an independent donor advised fund to further our Twilio.org philanthropic goals. The shares were “restricted securities” for purposes of Rule 144 under the Securities Act, and had an aggregate fair market value on the date of donation of $1.6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 activity for the three months ended March 31, 2023:</w:t>
      </w:r>
    </w:p>
    <w:tbl>
      <w:tblPr>
        <w:tblW w:w="10539" w:type="dxa"/>
        <w:jc w:val="left"/>
        <w:tblInd w:w="0" w:type="dxa"/>
        <w:tblCellMar>
          <w:top w:w="28" w:type="dxa"/>
          <w:left w:w="28" w:type="dxa"/>
          <w:bottom w:w="28" w:type="dxa"/>
          <w:right w:w="28" w:type="dxa"/>
        </w:tblCellMar>
      </w:tblPr>
      <w:tblGrid>
        <w:gridCol w:w="406"/>
        <w:gridCol w:w="298"/>
        <w:gridCol w:w="299"/>
        <w:gridCol w:w="109"/>
        <w:gridCol w:w="109"/>
        <w:gridCol w:w="109"/>
        <w:gridCol w:w="458"/>
        <w:gridCol w:w="458"/>
        <w:gridCol w:w="459"/>
        <w:gridCol w:w="109"/>
        <w:gridCol w:w="109"/>
        <w:gridCol w:w="109"/>
        <w:gridCol w:w="287"/>
        <w:gridCol w:w="815"/>
        <w:gridCol w:w="159"/>
        <w:gridCol w:w="109"/>
        <w:gridCol w:w="109"/>
        <w:gridCol w:w="109"/>
        <w:gridCol w:w="109"/>
        <w:gridCol w:w="109"/>
        <w:gridCol w:w="784"/>
        <w:gridCol w:w="784"/>
        <w:gridCol w:w="786"/>
        <w:gridCol w:w="109"/>
        <w:gridCol w:w="109"/>
        <w:gridCol w:w="109"/>
        <w:gridCol w:w="599"/>
        <w:gridCol w:w="1705"/>
        <w:gridCol w:w="337"/>
        <w:gridCol w:w="109"/>
        <w:gridCol w:w="109"/>
        <w:gridCol w:w="161"/>
      </w:tblGrid>
      <w:tr>
        <w:trPr/>
        <w:tc>
          <w:tcPr>
            <w:tcW w:w="4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Total Number of Shares Purchased as Part of Publicly Announced Plans or Programs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Approximate Dollar Value of Shares that May Yet Be Purchased Under the Plans or Programs</w:t>
            </w:r>
            <w:r>
              <w:rPr>
                <w:rFonts w:ascii="Times New Roman;sans-serif" w:hAnsi="Times New Roman;sans-serif"/>
                <w:b/>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rFonts w:ascii="Times New Roman;sans-serif" w:hAnsi="Times New Roman;sans-serif"/>
          <w:b w:val="false"/>
          <w:i/>
          <w:color w:val="000000"/>
          <w:sz w:val="18"/>
        </w:rPr>
      </w:pPr>
      <w:r>
        <w:rPr>
          <w:rFonts w:ascii="Times New Roman;sans-serif" w:hAnsi="Times New Roman;sans-serif"/>
          <w:b w:val="false"/>
          <w:i/>
          <w:color w:val="000000"/>
          <w:sz w:val="18"/>
        </w:rPr>
        <w:t>_____________________________</w:t>
      </w:r>
    </w:p>
    <w:p>
      <w:pPr>
        <w:pStyle w:val="TextBody"/>
        <w:spacing w:lineRule="auto" w:line="26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 February 2023, our Board of Directors authorized a share repurchase program to repurchase up to $1.0 billion in aggregate value of our Class A common stock. Repurchases under the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 is set to expire on December 31, 2024. Refer to Note 14 — Stockholders' Equity in Part I, Item 1, of this Quarterly Report on Form 10-Q for additional information related to share repurchases.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Average price paid per share includes costs associated with the repurchases.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77"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62"/>
        <w:gridCol w:w="231"/>
        <w:gridCol w:w="232"/>
        <w:gridCol w:w="109"/>
        <w:gridCol w:w="109"/>
        <w:gridCol w:w="109"/>
        <w:gridCol w:w="1875"/>
        <w:gridCol w:w="1703"/>
        <w:gridCol w:w="1708"/>
        <w:gridCol w:w="109"/>
        <w:gridCol w:w="109"/>
        <w:gridCol w:w="109"/>
        <w:gridCol w:w="170"/>
        <w:gridCol w:w="170"/>
        <w:gridCol w:w="171"/>
        <w:gridCol w:w="109"/>
        <w:gridCol w:w="109"/>
        <w:gridCol w:w="109"/>
        <w:gridCol w:w="249"/>
        <w:gridCol w:w="237"/>
        <w:gridCol w:w="187"/>
        <w:gridCol w:w="109"/>
        <w:gridCol w:w="109"/>
        <w:gridCol w:w="109"/>
        <w:gridCol w:w="210"/>
        <w:gridCol w:w="210"/>
        <w:gridCol w:w="211"/>
        <w:gridCol w:w="109"/>
        <w:gridCol w:w="109"/>
        <w:gridCol w:w="109"/>
        <w:gridCol w:w="374"/>
        <w:gridCol w:w="324"/>
        <w:gridCol w:w="380"/>
      </w:tblGrid>
      <w:tr>
        <w:trPr/>
        <w:tc>
          <w:tcPr>
            <w:tcW w:w="26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053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INDEX</w:t>
            </w:r>
          </w:p>
        </w:tc>
      </w:tr>
      <w:tr>
        <w:trPr/>
        <w:tc>
          <w:tcPr>
            <w:tcW w:w="7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6"/>
                  <w:u w:val="single"/>
                </w:rPr>
                <w:t>Form of Cash-Based Award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2023</w:t>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6"/>
                  <w:u w:val="single"/>
                </w:rPr>
                <w:t>Form of Amended CEO Severance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2023</w:t>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6"/>
                  <w:u w:val="single"/>
                </w:rPr>
                <w:t>Form of Senior Executive Severance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2023</w:t>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6"/>
                  <w:u w:val="single"/>
                </w:rPr>
                <w:t>Offer Letter with Aidan Viggiano, dated February 10,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27, 2023</w:t>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6"/>
                  <w:u w:val="single"/>
                </w:rPr>
                <w:t>Letter Agreement with Eyal Manor, dated February 2,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27, 2023</w:t>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on-employeedirectorsdefer.htm">
              <w:r>
                <w:rPr>
                  <w:rStyle w:val="InternetLink"/>
                </w:rPr>
                <w:t xml:space="preserve">Non-Employee Directors’ Deferred Compensation Program, and </w:t>
              </w:r>
            </w:hyperlink>
            <w:hyperlink w:anchor="non-employeedirectorsdefer.htm">
              <w:r>
                <w:rPr>
                  <w:rStyle w:val="InternetLink"/>
                </w:rPr>
                <w:t>f</w:t>
              </w:r>
            </w:hyperlink>
            <w:hyperlink w:anchor="non-employeedirectorsdefer.htm">
              <w:r>
                <w:rPr>
                  <w:rStyle w:val="InternetLink"/>
                </w:rPr>
                <w:t xml:space="preserve">orms </w:t>
              </w:r>
            </w:hyperlink>
            <w:hyperlink w:anchor="non-employeedirectorsdefer.htm">
              <w:r>
                <w:rPr>
                  <w:rStyle w:val="InternetLink"/>
                </w:rPr>
                <w:t>t</w:t>
              </w:r>
            </w:hyperlink>
            <w:hyperlink w:anchor="non-employeedirectorsdefer.htm">
              <w:r>
                <w:rPr>
                  <w:rStyle w:val="InternetLink"/>
                </w:rPr>
                <w:t>hereunder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wlo-20230331xex311.htm">
              <w:r>
                <w:rPr>
                  <w:rStyle w:val="InternetLink"/>
                  <w:rFonts w:ascii="Times New Roman;sans-serif" w:hAnsi="Times New Roman;sans-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wlo-20230331xex312.htm">
              <w:r>
                <w:rPr>
                  <w:rStyle w:val="InternetLink"/>
                  <w:rFonts w:ascii="Times New Roman;sans-serif" w:hAnsi="Times New Roman;sans-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wlo-20230331xex321.htm">
              <w:r>
                <w:rPr>
                  <w:rStyle w:val="InternetLink"/>
                  <w:rFonts w:ascii="Times New Roman;sans-serif" w:hAnsi="Times New Roman;sans-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with Interactive Data File (formatted as Inline XBRL with applicable taxonomy extension information contained in Exhibits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__________________________________________</w:t>
      </w:r>
    </w:p>
    <w:p>
      <w:pPr>
        <w:pStyle w:val="TextBody"/>
        <w:spacing w:lineRule="auto" w:line="288"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control of a compensatory plan, contract or agreement.</w:t>
      </w:r>
    </w:p>
    <w:p>
      <w:pPr>
        <w:pStyle w:val="TextBody"/>
        <w:spacing w:lineRule="auto" w:line="288"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386" w:type="dxa"/>
        <w:jc w:val="center"/>
        <w:tblInd w:w="0" w:type="dxa"/>
        <w:tblCellMar>
          <w:top w:w="28" w:type="dxa"/>
          <w:left w:w="28" w:type="dxa"/>
          <w:bottom w:w="28" w:type="dxa"/>
          <w:right w:w="28" w:type="dxa"/>
        </w:tblCellMar>
      </w:tblPr>
      <w:tblGrid>
        <w:gridCol w:w="374"/>
        <w:gridCol w:w="328"/>
        <w:gridCol w:w="333"/>
        <w:gridCol w:w="109"/>
        <w:gridCol w:w="109"/>
        <w:gridCol w:w="109"/>
        <w:gridCol w:w="1467"/>
        <w:gridCol w:w="1467"/>
        <w:gridCol w:w="2090"/>
      </w:tblGrid>
      <w:tr>
        <w:trPr/>
        <w:tc>
          <w:tcPr>
            <w:tcW w:w="37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Twilio Inc.</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JEFF LAWSON</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Jeff Lawson</w:t>
            </w:r>
          </w:p>
          <w:p>
            <w:pPr>
              <w:pStyle w:val="TableContents"/>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Director and Chief Executive Officer (Principal Executive Officer)</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Aidan Viggiano</w:t>
            </w:r>
          </w:p>
          <w:p>
            <w:pPr>
              <w:pStyle w:val="TableContents"/>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24" w:type="dxa"/>
            <w:gridSpan w:val="3"/>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46685"/>
                <wp:effectExtent l="0" t="0" r="0" b="0"/>
                <wp:wrapNone/>
                <wp:docPr id="78" name="Frame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35" w:before="0" w:after="0"/>
        <w:jc w:val="center"/>
        <w:rPr>
          <w:rFonts w:ascii="Times New Roman;sans-serif" w:hAnsi="Times New Roman;sans-serif"/>
          <w:b/>
          <w:color w:val="000000"/>
          <w:sz w:val="24"/>
        </w:rPr>
      </w:pPr>
      <w:r>
        <w:rPr>
          <w:rFonts w:ascii="Times New Roman;sans-serif" w:hAnsi="Times New Roman;sans-serif"/>
          <w:b/>
          <w:color w:val="000000"/>
          <w:sz w:val="24"/>
        </w:rPr>
        <w:t>RULES AND CONDITIONS</w:t>
      </w:r>
    </w:p>
    <w:p>
      <w:pPr>
        <w:pStyle w:val="TextBody"/>
        <w:spacing w:lineRule="auto" w:line="235" w:before="0" w:after="0"/>
        <w:jc w:val="center"/>
        <w:rPr>
          <w:rFonts w:ascii="Times New Roman;sans-serif" w:hAnsi="Times New Roman;sans-serif"/>
          <w:b/>
          <w:color w:val="000000"/>
          <w:sz w:val="24"/>
        </w:rPr>
      </w:pPr>
      <w:r>
        <w:rPr>
          <w:rFonts w:ascii="Times New Roman;sans-serif" w:hAnsi="Times New Roman;sans-serif"/>
          <w:b/>
          <w:color w:val="000000"/>
          <w:sz w:val="24"/>
        </w:rPr>
        <w:t>FOR THE TWILIO INC.</w:t>
      </w:r>
    </w:p>
    <w:p>
      <w:pPr>
        <w:pStyle w:val="TextBody"/>
        <w:spacing w:lineRule="auto" w:line="235" w:before="0" w:after="0"/>
        <w:ind w:left="0" w:right="0" w:firstLine="591"/>
        <w:jc w:val="center"/>
        <w:rPr>
          <w:rFonts w:ascii="Times New Roman;sans-serif" w:hAnsi="Times New Roman;sans-serif"/>
          <w:b/>
          <w:color w:val="000000"/>
          <w:sz w:val="24"/>
        </w:rPr>
      </w:pPr>
      <w:r>
        <w:rPr>
          <w:rFonts w:ascii="Times New Roman;sans-serif" w:hAnsi="Times New Roman;sans-serif"/>
          <w:b/>
          <w:color w:val="000000"/>
          <w:sz w:val="24"/>
        </w:rPr>
        <w:t>NON-EMPLOYEE DIRECTORS’ DEFERRED COMPENSATION PROGRAM (THE “PROGRAM”)</w:t>
      </w:r>
    </w:p>
    <w:p>
      <w:pPr>
        <w:pStyle w:val="TextBody"/>
        <w:spacing w:before="0" w:after="0"/>
        <w:rPr/>
      </w:pPr>
      <w:r>
        <w:rPr/>
      </w:r>
    </w:p>
    <w:p>
      <w:pPr>
        <w:pStyle w:val="TextBody"/>
        <w:spacing w:lineRule="auto" w:line="268" w:before="0" w:after="0"/>
        <w:ind w:left="0" w:right="0" w:firstLine="83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rules and conditions have been adopted by the Board of Directors of Twilio Inc. (the “Company”) to govern the deferral of Restricted Stock Units by Non-Employee Directors pursuant to the Twilio Inc. 2016 Stock Option and Incentive Plan (the “Stock Plan”) and the Twilio Inc. Amended and Restated Non-Employee Director Compensation Policy (the “Policy”). Capitalized terms used but not defined herein shall have the meaning given such terms in the Stock Plan.</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1.</w:t>
      </w:r>
      <w:r>
        <w:rPr>
          <w:rFonts w:ascii="Times New Roman;sans-serif" w:hAnsi="Times New Roman;sans-serif"/>
          <w:b w:val="false"/>
          <w:color w:val="000000"/>
          <w:sz w:val="24"/>
          <w:u w:val="single"/>
        </w:rPr>
        <w:t>Election to Defer the Equity Retainer</w:t>
      </w:r>
      <w:r>
        <w:rPr>
          <w:rFonts w:ascii="Times New Roman;sans-serif" w:hAnsi="Times New Roman;sans-serif"/>
          <w:b w:val="false"/>
          <w:color w:val="000000"/>
          <w:sz w:val="24"/>
        </w:rPr>
        <w:t>. A Non-Employee Director may elect in advance to defer the receipt of the initial and/or annual Restricted Stock Unit Grant made to such Non-Employee Director pursuant to the Policy under the Stock Plan (such grant, the “Equity Retainer”). To make such an election, except with respect to a newly elected or appointed Non- Employee Director, the Non-Employee Director must execute and deliver to the Company a deferral election form before the end of the calendar year preceding the calendar year in which the applicable Equity Retainer is scheduled to be granted. A newly elected or appointed Non- Employee Director, may, upon (but no later than 30 days after) becoming a Non-Employee Director, file a deferral election with respect to the initial Equity Retainer and/or to Equity Retainers that are awarded subsequent to the election. An election shall remain in effect from year to year until revoked in writing by the Non-Employee Director, but any revocation shall become effective only with respect to Equity Retainers that are granted in calendar years beginning after receipt and acceptance by the Company of a written revocation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All elections (including revocation thereof) must be made during an open window period while the Non- Employee Director is not in possession of any material non-public information relating to the Company.</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2.</w:t>
      </w:r>
      <w:r>
        <w:rPr>
          <w:rFonts w:ascii="Times New Roman;sans-serif" w:hAnsi="Times New Roman;sans-serif"/>
          <w:b w:val="false"/>
          <w:color w:val="000000"/>
          <w:sz w:val="24"/>
          <w:u w:val="single"/>
        </w:rPr>
        <w:t>Deferred Account</w:t>
      </w:r>
      <w:r>
        <w:rPr>
          <w:rFonts w:ascii="Times New Roman;sans-serif" w:hAnsi="Times New Roman;sans-serif"/>
          <w:b w:val="false"/>
          <w:color w:val="000000"/>
          <w:sz w:val="24"/>
        </w:rPr>
        <w:t>. Upon the vesting of any Equity Retainer awarded to any Non- Employee Director who has elected to defer his or her Equity Retainer(s) pursuant to this Program, any shares of Stock that would otherwise have been issued to the Non-Employee Director upon such vesting shall be converted to deferred stock units on a one-to-one basis and credited to the Non-Employee Director’s deferred account (“Account”).</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3.</w:t>
      </w:r>
      <w:r>
        <w:rPr>
          <w:rFonts w:ascii="Times New Roman;sans-serif" w:hAnsi="Times New Roman;sans-serif"/>
          <w:b w:val="false"/>
          <w:color w:val="000000"/>
          <w:sz w:val="24"/>
          <w:u w:val="single"/>
        </w:rPr>
        <w:t>Dividend Equivalent Amounts</w:t>
      </w:r>
      <w:r>
        <w:rPr>
          <w:rFonts w:ascii="Times New Roman;sans-serif" w:hAnsi="Times New Roman;sans-serif"/>
          <w:b w:val="false"/>
          <w:color w:val="000000"/>
          <w:sz w:val="24"/>
        </w:rPr>
        <w:t>. If dividends (other than dividends payable only in shares of Stock) are paid with respect to Stock, each Account shall be credited with a number of whole and fractional stock units determined by multiplying the dividend value per share by the stock unit balance of the Account on the record date and dividing the result by the Fair Market Value of a share of Stock on the dividend payment date.</w:t>
      </w:r>
    </w:p>
    <w:p>
      <w:pPr>
        <w:pStyle w:val="TextBody"/>
        <w:spacing w:before="0" w:after="0"/>
        <w:rPr/>
      </w:pPr>
      <w:r>
        <w:rPr/>
      </w:r>
    </w:p>
    <w:p>
      <w:pPr>
        <w:pStyle w:val="TextBody"/>
        <w:spacing w:lineRule="auto" w:line="268"/>
        <w:ind w:left="0" w:right="0" w:hanging="360"/>
        <w:jc w:val="both"/>
        <w:rPr/>
      </w:pPr>
      <w:r>
        <w:rPr>
          <w:rFonts w:ascii="Arial;sans-serif" w:hAnsi="Arial;sans-serif"/>
          <w:b w:val="false"/>
          <w:color w:val="000000"/>
          <w:sz w:val="22"/>
        </w:rPr>
        <w:t>4.</w:t>
      </w:r>
      <w:r>
        <w:rPr>
          <w:rFonts w:ascii="Times New Roman;sans-serif" w:hAnsi="Times New Roman;sans-serif"/>
          <w:b w:val="false"/>
          <w:color w:val="000000"/>
          <w:sz w:val="24"/>
          <w:u w:val="single"/>
        </w:rPr>
        <w:t>Period of Deferral</w:t>
      </w:r>
      <w:r>
        <w:rPr>
          <w:rFonts w:ascii="Times New Roman;sans-serif" w:hAnsi="Times New Roman;sans-serif"/>
          <w:b w:val="false"/>
          <w:color w:val="000000"/>
          <w:sz w:val="24"/>
        </w:rPr>
        <w:t xml:space="preserve">. The deferred stock units in each Account shall be deferred until, and the period of deferral shall cease upon, the earliest of (a) 90 days after a Non- Employee Director ceases to serve as a member of the Board of Directors of the Company and incurs a “separation from service” within the meaning of Section 409A of the Internal Revenue Code of 1986, as amended, and the regulations promulgated thereunder (“Section 409A”), (b) the consummation of a Sale Event (as defined in the Stock Plan) so long as such Sale Event constitutes a “change in the ownership or effective control of the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75260"/>
                <wp:effectExtent l="0" t="0" r="0" b="0"/>
                <wp:wrapNone/>
                <wp:docPr id="79" name="Frame7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Company, or in the ownership of a substantial portion of the assets of the Company” within the meaning of Section 409A (a “Change in Control”) or (dc) 90 days after the date of a Non-Employee Director’s death.</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5.</w:t>
      </w:r>
      <w:r>
        <w:rPr>
          <w:rFonts w:ascii="Times New Roman;sans-serif" w:hAnsi="Times New Roman;sans-serif"/>
          <w:b w:val="false"/>
          <w:color w:val="000000"/>
          <w:sz w:val="24"/>
          <w:u w:val="single"/>
        </w:rPr>
        <w:t>Designation of Beneficiary</w:t>
      </w:r>
      <w:r>
        <w:rPr>
          <w:rFonts w:ascii="Times New Roman;sans-serif" w:hAnsi="Times New Roman;sans-serif"/>
          <w:b w:val="false"/>
          <w:color w:val="000000"/>
          <w:sz w:val="24"/>
        </w:rPr>
        <w:t>. A Non-Employee Director may designate one or more beneficiaries to receive payments from his or her Account in the event of his or her death. A designation of beneficiary may apply to a specified percentage of a Non-Employee Director’s entire interest in his or her Account. Such designation, or any change therein, must be in writing and shall be effective upon receipt by the Company. If there is no effective designation of beneficiary, or if no beneficiary survives the Non-Employee Director, the estate of the Non- Employee Director shall be deemed to be the beneficiary. All payments to a beneficiary or estate shall be made in a lump sum in shares of Stock, with any fractional share paid in cash.</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6.</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All amounts credited to a Non-Employee Director’s Account shall be paid in shares of Stock to the Non-Employee Director, or his or her designated beneficiary (or beneficiaries) or estate, in a single lump sum as soon as practicable (but in no event later than 30 days deferral) after the end of the first applicable period of deferral specified in Section 4 (above) occurs; provided, however, that fractional shares shall be paid in cash.</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7.</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In the event of a stock dividend, stock split or similar change in capitalization affecting the Stock, the Company shall make appropriate adjustments in the number of stock units credited to the Non-Employee Directors’ Accounts.</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8.</w:t>
      </w:r>
      <w:r>
        <w:rPr>
          <w:rFonts w:ascii="Times New Roman;sans-serif" w:hAnsi="Times New Roman;sans-serif"/>
          <w:b w:val="false"/>
          <w:color w:val="000000"/>
          <w:sz w:val="24"/>
          <w:u w:val="single"/>
        </w:rPr>
        <w:t>Non-transferability of Rights</w:t>
      </w:r>
      <w:r>
        <w:rPr>
          <w:rFonts w:ascii="Times New Roman;sans-serif" w:hAnsi="Times New Roman;sans-serif"/>
          <w:b w:val="false"/>
          <w:color w:val="000000"/>
          <w:sz w:val="24"/>
        </w:rPr>
        <w:t>. During a Non-Employee Director’s lifetime, any payment under this Program shall be made only to the Non-Employee Director. No sum or other interest under this deferred compensation arrangement shall be subject in any manner to anticipation, alienation, sale, transfer, assignment, pledge, encumbrance or charge, and any attempt by a Non-Employee Director or any beneficiary under this Program to do so shall be void. No interest under this deferred compensation arrangement shall in any manner be liable for or subject to the debts, contracts, liabilities, engagements or torts of a Non-Employee Director or beneficiary entitled thereto. Notwithstanding the foregoing, the Company may make payments to an individual other than a Non-Employee Director to the extent required by a domestic relations order.</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9.</w:t>
      </w:r>
      <w:r>
        <w:rPr>
          <w:rFonts w:ascii="Times New Roman;sans-serif" w:hAnsi="Times New Roman;sans-serif"/>
          <w:b w:val="false"/>
          <w:color w:val="000000"/>
          <w:sz w:val="24"/>
          <w:u w:val="single"/>
        </w:rPr>
        <w:t>Company’s Obligations to Be Unfunded and Unsecured</w:t>
      </w:r>
      <w:r>
        <w:rPr>
          <w:rFonts w:ascii="Times New Roman;sans-serif" w:hAnsi="Times New Roman;sans-serif"/>
          <w:b w:val="false"/>
          <w:color w:val="000000"/>
          <w:sz w:val="24"/>
        </w:rPr>
        <w:t>. The Accounts maintained under this Program shall at all times be entirely unfunded, and no provision shall at any time be made with respect to segregating assets of the Company (including Stock) for payment of any amounts hereunder. No Non-Employee Director or other person shall have any interest in any particular assets of the Company (including Stock) by reason of the right to receive payment under this Program, and any Non-Employee Director or other person shall have only the rights of a general unsecured creditor of the Company with respect to any rights under this Program.</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2"/>
        </w:rPr>
        <w:t>10.</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Program is intended to be a compliant deferred compensation plan under Section 409A and shall be administered in accordance with the requirements of Section 409A.</w:t>
      </w:r>
    </w:p>
    <w:p>
      <w:pPr>
        <w:pStyle w:val="TextBody"/>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75260"/>
                <wp:effectExtent l="0" t="0" r="0" b="0"/>
                <wp:wrapNone/>
                <wp:docPr id="80" name="Frame7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v:rect>
            </w:pict>
          </mc:Fallback>
        </mc:AlternateContent>
      </w:r>
    </w:p>
    <w:p>
      <w:pPr>
        <w:pStyle w:val="TextBody"/>
        <w:spacing w:lineRule="auto" w:line="268" w:before="0" w:after="0"/>
        <w:ind w:left="0" w:right="0" w:hanging="360"/>
        <w:jc w:val="both"/>
        <w:rPr/>
      </w:pPr>
      <w:r>
        <w:rPr>
          <w:rFonts w:ascii="Arial;sans-serif" w:hAnsi="Arial;sans-serif"/>
          <w:b w:val="false"/>
          <w:color w:val="000000"/>
          <w:sz w:val="22"/>
        </w:rPr>
        <w:t>11.</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This Program shall be subject to the terms and conditions of the Stock Plan and the Policy. Capitalized terms in this document shall have the meaning specified in the Stock Plan, unless a different meaning is specified herein.</w:t>
      </w:r>
    </w:p>
    <w:p>
      <w:pPr>
        <w:pStyle w:val="TextBody"/>
        <w:spacing w:before="0" w:after="0"/>
        <w:rPr/>
      </w:pPr>
      <w:r>
        <w:rPr/>
      </w:r>
    </w:p>
    <w:p>
      <w:pPr>
        <w:pStyle w:val="TextBody"/>
        <w:spacing w:before="0" w:after="0"/>
        <w:rPr/>
      </w:pPr>
      <w:r>
        <w:rPr/>
      </w:r>
    </w:p>
    <w:p>
      <w:pPr>
        <w:pStyle w:val="TextBody"/>
        <w:spacing w:lineRule="auto" w:line="268" w:before="0" w:after="0"/>
        <w:ind w:left="0" w:right="0" w:firstLine="110"/>
        <w:rPr>
          <w:rFonts w:ascii="Times New Roman;sans-serif" w:hAnsi="Times New Roman;sans-serif"/>
          <w:b w:val="false"/>
          <w:color w:val="000000"/>
          <w:sz w:val="24"/>
        </w:rPr>
      </w:pPr>
      <w:r>
        <w:rPr>
          <w:rFonts w:ascii="Times New Roman;sans-serif" w:hAnsi="Times New Roman;sans-serif"/>
          <w:b w:val="false"/>
          <w:color w:val="000000"/>
          <w:sz w:val="24"/>
        </w:rPr>
        <w:t>Adopted as of July 13, 2017 (the “Effective Date”)</w:t>
      </w:r>
    </w:p>
    <w:p>
      <w:pPr>
        <w:pStyle w:val="TextBody"/>
        <w:spacing w:before="0" w:after="0"/>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spacing w:before="0" w:after="0"/>
        <w:ind w:left="0" w:right="0" w:firstLine="3295"/>
        <w:jc w:val="center"/>
        <w:rPr/>
      </w:pPr>
      <w:r>
        <w:rPr/>
      </w:r>
    </w:p>
    <w:p>
      <w:pPr>
        <w:pStyle w:val="TextBody"/>
        <w:ind w:left="0" w:right="0" w:firstLine="3295"/>
        <w:jc w:val="center"/>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75260"/>
                <wp:effectExtent l="0" t="0" r="0" b="0"/>
                <wp:wrapNone/>
                <wp:docPr id="81"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v:rect>
            </w:pict>
          </mc:Fallback>
        </mc:AlternateContent>
      </w:r>
    </w:p>
    <w:p>
      <w:pPr>
        <w:pStyle w:val="TextBody"/>
        <w:spacing w:lineRule="auto" w:line="268" w:before="0" w:after="0"/>
        <w:ind w:left="0" w:right="0" w:firstLine="3295"/>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before="0" w:after="0"/>
        <w:rPr/>
      </w:pPr>
      <w:r>
        <w:rPr/>
      </w:r>
    </w:p>
    <w:p>
      <w:pPr>
        <w:pStyle w:val="TextBody"/>
        <w:spacing w:lineRule="auto" w:line="268" w:before="0" w:after="0"/>
        <w:ind w:left="0" w:right="0" w:firstLine="1011"/>
        <w:rPr>
          <w:rFonts w:ascii="Times New Roman;sans-serif" w:hAnsi="Times New Roman;sans-serif"/>
          <w:b w:val="false"/>
          <w:color w:val="000000"/>
          <w:sz w:val="24"/>
        </w:rPr>
      </w:pPr>
      <w:r>
        <w:rPr>
          <w:rFonts w:ascii="Times New Roman;sans-serif" w:hAnsi="Times New Roman;sans-serif"/>
          <w:b w:val="false"/>
          <w:color w:val="000000"/>
          <w:sz w:val="24"/>
        </w:rPr>
        <w:t>Form of Non-Employee Director Restricted Stock Unit Award Agreement</w:t>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spacing w:before="0" w:after="0"/>
        <w:ind w:left="0" w:right="0" w:firstLine="1011"/>
        <w:rPr/>
      </w:pPr>
      <w:r>
        <w:rPr/>
      </w:r>
    </w:p>
    <w:p>
      <w:pPr>
        <w:pStyle w:val="TextBody"/>
        <w:ind w:left="0" w:right="0" w:firstLine="1011"/>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v:rect>
            </w:pict>
          </mc:Fallback>
        </mc:AlternateContent>
      </w:r>
    </w:p>
    <w:p>
      <w:pPr>
        <w:pStyle w:val="TextBody"/>
        <w:spacing w:lineRule="auto" w:line="288" w:before="0" w:after="0"/>
        <w:ind w:left="0" w:right="0" w:firstLine="1011"/>
        <w:jc w:val="center"/>
        <w:rPr>
          <w:rFonts w:ascii="Times New Roman;sans-serif" w:hAnsi="Times New Roman;sans-serif"/>
          <w:b/>
          <w:color w:val="000000"/>
          <w:sz w:val="28"/>
        </w:rPr>
      </w:pPr>
      <w:r>
        <w:rPr>
          <w:rFonts w:ascii="Times New Roman;sans-serif" w:hAnsi="Times New Roman;sans-serif"/>
          <w:b/>
          <w:color w:val="000000"/>
          <w:sz w:val="28"/>
        </w:rPr>
        <w:t>RESTRICTED STOCK UNIT AWARD AGREEMENT (DEFERRED) FOR NON-EMPLOYEE DIRECTORS</w:t>
      </w:r>
    </w:p>
    <w:p>
      <w:pPr>
        <w:pStyle w:val="TextBody"/>
        <w:spacing w:lineRule="auto" w:line="288" w:before="0" w:after="0"/>
        <w:ind w:left="0" w:right="0" w:firstLine="591"/>
        <w:jc w:val="center"/>
        <w:rPr>
          <w:rFonts w:ascii="Times New Roman;sans-serif" w:hAnsi="Times New Roman;sans-serif"/>
          <w:b/>
          <w:color w:val="000000"/>
          <w:sz w:val="28"/>
        </w:rPr>
      </w:pPr>
      <w:r>
        <w:rPr>
          <w:rFonts w:ascii="Times New Roman;sans-serif" w:hAnsi="Times New Roman;sans-serif"/>
          <w:b/>
          <w:color w:val="000000"/>
          <w:sz w:val="28"/>
        </w:rPr>
        <w:t>UNDER THE TWILIO INC.</w:t>
      </w:r>
    </w:p>
    <w:p>
      <w:pPr>
        <w:pStyle w:val="TextBody"/>
        <w:spacing w:lineRule="auto" w:line="288" w:before="0" w:after="0"/>
        <w:ind w:left="0" w:right="0" w:firstLine="591"/>
        <w:jc w:val="center"/>
        <w:rPr>
          <w:rFonts w:ascii="Times New Roman;sans-serif" w:hAnsi="Times New Roman;sans-serif"/>
          <w:b/>
          <w:color w:val="000000"/>
          <w:sz w:val="28"/>
        </w:rPr>
      </w:pPr>
      <w:r>
        <w:rPr>
          <w:rFonts w:ascii="Times New Roman;sans-serif" w:hAnsi="Times New Roman;sans-serif"/>
          <w:b/>
          <w:color w:val="000000"/>
          <w:sz w:val="28"/>
        </w:rPr>
        <w:t>2016 STOCK OPTION AND INCENTIVE PLAN</w:t>
      </w:r>
    </w:p>
    <w:p>
      <w:pPr>
        <w:pStyle w:val="TextBody"/>
        <w:spacing w:before="0" w:after="0"/>
        <w:rPr/>
      </w:pPr>
      <w:r>
        <w:rPr/>
      </w:r>
    </w:p>
    <w:p>
      <w:pPr>
        <w:pStyle w:val="TextBody"/>
        <w:spacing w:lineRule="auto" w:line="448" w:before="0" w:after="0"/>
        <w:ind w:left="0" w:right="0" w:firstLine="110"/>
        <w:rPr>
          <w:rFonts w:ascii="Times New Roman;sans-serif" w:hAnsi="Times New Roman;sans-serif"/>
          <w:b w:val="false"/>
          <w:color w:val="000000"/>
          <w:sz w:val="24"/>
        </w:rPr>
      </w:pPr>
      <w:r>
        <w:rPr>
          <w:rFonts w:ascii="Times New Roman;sans-serif" w:hAnsi="Times New Roman;sans-serif"/>
          <w:b w:val="false"/>
          <w:color w:val="000000"/>
          <w:sz w:val="24"/>
        </w:rPr>
        <w:t xml:space="preserve">Name of Grantee: </w:t>
      </w:r>
    </w:p>
    <w:p>
      <w:pPr>
        <w:pStyle w:val="TextBody"/>
        <w:spacing w:lineRule="auto" w:line="448" w:before="0" w:after="0"/>
        <w:ind w:left="0" w:right="0" w:firstLine="110"/>
        <w:rPr>
          <w:rFonts w:ascii="Times New Roman;sans-serif" w:hAnsi="Times New Roman;sans-serif"/>
          <w:b w:val="false"/>
          <w:color w:val="000000"/>
          <w:sz w:val="24"/>
        </w:rPr>
      </w:pPr>
      <w:r>
        <w:rPr>
          <w:rFonts w:ascii="Times New Roman;sans-serif" w:hAnsi="Times New Roman;sans-serif"/>
          <w:b w:val="false"/>
          <w:color w:val="000000"/>
          <w:sz w:val="24"/>
        </w:rPr>
        <w:t xml:space="preserve">No. of Restricted Stock Units: </w:t>
      </w:r>
    </w:p>
    <w:p>
      <w:pPr>
        <w:pStyle w:val="TextBody"/>
        <w:spacing w:lineRule="auto" w:line="271" w:before="0" w:after="0"/>
        <w:ind w:left="0" w:right="0" w:firstLine="110"/>
        <w:rPr>
          <w:rFonts w:ascii="Times New Roman;sans-serif" w:hAnsi="Times New Roman;sans-serif"/>
          <w:b w:val="false"/>
          <w:color w:val="000000"/>
          <w:sz w:val="24"/>
        </w:rPr>
      </w:pPr>
      <w:r>
        <w:rPr>
          <w:rFonts w:ascii="Times New Roman;sans-serif" w:hAnsi="Times New Roman;sans-serif"/>
          <w:b w:val="false"/>
          <w:color w:val="000000"/>
          <w:sz w:val="24"/>
        </w:rPr>
        <w:t xml:space="preserve">Grant Date: </w:t>
      </w:r>
    </w:p>
    <w:p>
      <w:pPr>
        <w:pStyle w:val="TextBody"/>
        <w:spacing w:before="0" w:after="0"/>
        <w:ind w:left="0" w:right="0" w:firstLine="11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Pursuant to the Twilio Inc. 2016 Stock Option and Incentive Plan as amended through the date hereof (the “Plan”), Twilio Inc. (the “Company”) hereby grants an award of the number of Restricted Stock Units listed above (an “Award”) to the Grantee named above. Each Restricted Stock Unit shall relate to one share of Class A Common Stock, par value $0.001 per share (the “Stock”) of the Company. Reference is also made to the Rules and Conditions for the Twilio Inc. Non-Employee Directors’ Deferred Compensation Program (the “Program”) and the Grantee’s deferral election thereunder.</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1.</w:t>
      </w:r>
      <w:r>
        <w:rPr>
          <w:rFonts w:ascii="Times New Roman;sans-serif" w:hAnsi="Times New Roman;sans-serif"/>
          <w:b w:val="false"/>
          <w:color w:val="000000"/>
          <w:sz w:val="24"/>
          <w:u w:val="single"/>
        </w:rPr>
        <w:t>Restrictions on Transfer of Award</w:t>
      </w:r>
      <w:r>
        <w:rPr>
          <w:rFonts w:ascii="Times New Roman;sans-serif" w:hAnsi="Times New Roman;sans-serif"/>
          <w:b w:val="false"/>
          <w:color w:val="000000"/>
          <w:sz w:val="24"/>
        </w:rPr>
        <w:t>. This Award may not be sold, transferred, pledged,</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this Agreement, and the Program.</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2.</w:t>
      </w:r>
      <w:r>
        <w:rPr>
          <w:rFonts w:ascii="Times New Roman;sans-serif" w:hAnsi="Times New Roman;sans-serif"/>
          <w:b w:val="false"/>
          <w:color w:val="000000"/>
          <w:sz w:val="24"/>
          <w:u w:val="single"/>
        </w:rPr>
        <w:t>Vesting of Restricted Stock Units</w:t>
      </w:r>
      <w:r>
        <w:rPr>
          <w:rFonts w:ascii="Times New Roman;sans-serif" w:hAnsi="Times New Roman;sans-serif"/>
          <w:b w:val="false"/>
          <w:color w:val="000000"/>
          <w:sz w:val="24"/>
        </w:rPr>
        <w:t>. The restrictions and conditions of Paragraph 1 of this</w:t>
      </w:r>
    </w:p>
    <w:p>
      <w:pPr>
        <w:pStyle w:val="TextBody"/>
        <w:spacing w:lineRule="auto" w:line="268" w:before="0" w:after="0"/>
        <w:rPr/>
      </w:pPr>
      <w:r>
        <w:rPr>
          <w:rFonts w:ascii="Times New Roman;sans-serif" w:hAnsi="Times New Roman;sans-serif"/>
          <w:b w:val="false"/>
          <w:color w:val="000000"/>
          <w:sz w:val="24"/>
        </w:rPr>
        <w:t>Agreement shall lapse [</w:t>
      </w:r>
      <w:r>
        <w:rPr>
          <w:rFonts w:ascii="Times New Roman;sans-serif" w:hAnsi="Times New Roman;sans-serif"/>
          <w:b w:val="false"/>
          <w:color w:val="000000"/>
          <w:sz w:val="24"/>
          <w:highlight w:val="yellow"/>
        </w:rPr>
        <w:t>INITIAL RETAINER</w:t>
      </w:r>
      <w:r>
        <w:rPr>
          <w:rFonts w:ascii="Times New Roman;sans-serif" w:hAnsi="Times New Roman;sans-serif"/>
          <w:b w:val="false"/>
          <w:color w:val="000000"/>
          <w:sz w:val="24"/>
        </w:rPr>
        <w:t>: in three equal annual installments, with the first installment vesting 13 months after the Grantee initially joins the Board, the second installment vesting 24 months after the Grantee initially joins the Board and the third installment vesting 36 months after the Grantee initially joins the Board;</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4"/>
        </w:rPr>
        <w:t>provided, the Grantee remains in service as a member of the Board on each such date] [</w:t>
      </w:r>
      <w:r>
        <w:rPr>
          <w:rFonts w:ascii="Times New Roman;sans-serif" w:hAnsi="Times New Roman;sans-serif"/>
          <w:b w:val="false"/>
          <w:color w:val="000000"/>
          <w:sz w:val="24"/>
          <w:highlight w:val="yellow"/>
        </w:rPr>
        <w:t>ANNUAL RETAINER</w:t>
      </w:r>
      <w:r>
        <w:rPr>
          <w:rFonts w:ascii="Times New Roman;sans-serif" w:hAnsi="Times New Roman;sans-serif"/>
          <w:b w:val="false"/>
          <w:color w:val="000000"/>
          <w:sz w:val="24"/>
        </w:rPr>
        <w:t>: in full with respect to all of the Restricted Stock Units on the earlier of (i) the one-year anniversary of the Grant Date or (ii) the date of the Company’s next annual meeting of stockholders following the Grant Date; provided, the Grantee remains in service as a member of the Board on such date].</w:t>
      </w:r>
    </w:p>
    <w:p>
      <w:pPr>
        <w:pStyle w:val="TextBody"/>
        <w:spacing w:before="0" w:after="0"/>
        <w:rPr/>
      </w:pPr>
      <w:r>
        <w:rPr/>
      </w:r>
    </w:p>
    <w:p>
      <w:pPr>
        <w:pStyle w:val="TextBody"/>
        <w:spacing w:lineRule="auto" w:line="235" w:before="0" w:after="0"/>
        <w:ind w:left="0" w:right="0" w:firstLine="830"/>
        <w:rPr>
          <w:rFonts w:ascii="Times New Roman;sans-serif" w:hAnsi="Times New Roman;sans-serif"/>
          <w:b w:val="false"/>
          <w:color w:val="000000"/>
          <w:sz w:val="24"/>
        </w:rPr>
      </w:pPr>
      <w:r>
        <w:rPr>
          <w:rFonts w:ascii="Times New Roman;sans-serif" w:hAnsi="Times New Roman;sans-serif"/>
          <w:b w:val="false"/>
          <w:color w:val="000000"/>
          <w:sz w:val="24"/>
        </w:rPr>
        <w:t>The Administrator may at any time accelerate the vesting schedule specified in this Paragraph 2. In the event of a Sale Event, the Restricted Stock Units shall become 100% vested.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9"/>
        </w:rPr>
        <w:t>Note:</w:t>
      </w:r>
      <w:r>
        <w:rPr>
          <w:color w:val="000000"/>
        </w:rPr>
        <w:t xml:space="preserve"> </w:t>
      </w:r>
      <w:r>
        <w:rPr>
          <w:rFonts w:ascii="Times New Roman;sans-serif" w:hAnsi="Times New Roman;sans-serif"/>
          <w:b w:val="false"/>
          <w:color w:val="000000"/>
          <w:sz w:val="19"/>
        </w:rPr>
        <w:t>the</w:t>
      </w:r>
      <w:r>
        <w:rPr>
          <w:color w:val="000000"/>
        </w:rPr>
        <w:t xml:space="preserve"> </w:t>
      </w:r>
      <w:r>
        <w:rPr>
          <w:rFonts w:ascii="Times New Roman;sans-serif" w:hAnsi="Times New Roman;sans-serif"/>
          <w:b w:val="false"/>
          <w:color w:val="000000"/>
          <w:sz w:val="19"/>
        </w:rPr>
        <w:t>requirement</w:t>
      </w:r>
      <w:r>
        <w:rPr>
          <w:color w:val="000000"/>
        </w:rPr>
        <w:t xml:space="preserve"> </w:t>
      </w:r>
      <w:r>
        <w:rPr>
          <w:rFonts w:ascii="Times New Roman;sans-serif" w:hAnsi="Times New Roman;sans-serif"/>
          <w:b w:val="false"/>
          <w:color w:val="000000"/>
          <w:sz w:val="19"/>
        </w:rPr>
        <w:t>for</w:t>
      </w:r>
      <w:r>
        <w:rPr>
          <w:color w:val="000000"/>
        </w:rPr>
        <w:t xml:space="preserve"> </w:t>
      </w:r>
      <w:r>
        <w:rPr>
          <w:rFonts w:ascii="Times New Roman;sans-serif" w:hAnsi="Times New Roman;sans-serif"/>
          <w:b w:val="false"/>
          <w:color w:val="000000"/>
          <w:sz w:val="19"/>
        </w:rPr>
        <w:t>the</w:t>
      </w:r>
      <w:r>
        <w:rPr>
          <w:color w:val="000000"/>
        </w:rPr>
        <w:t xml:space="preserve"> </w:t>
      </w:r>
      <w:r>
        <w:rPr>
          <w:rFonts w:ascii="Times New Roman;sans-serif" w:hAnsi="Times New Roman;sans-serif"/>
          <w:b w:val="false"/>
          <w:color w:val="000000"/>
          <w:sz w:val="19"/>
        </w:rPr>
        <w:t>first</w:t>
      </w:r>
      <w:r>
        <w:rPr>
          <w:color w:val="000000"/>
        </w:rPr>
        <w:t xml:space="preserve"> </w:t>
      </w:r>
      <w:r>
        <w:rPr>
          <w:rFonts w:ascii="Times New Roman;sans-serif" w:hAnsi="Times New Roman;sans-serif"/>
          <w:b w:val="false"/>
          <w:color w:val="000000"/>
          <w:sz w:val="19"/>
        </w:rPr>
        <w:t>tranche</w:t>
      </w:r>
      <w:r>
        <w:rPr>
          <w:color w:val="000000"/>
        </w:rPr>
        <w:t xml:space="preserve"> </w:t>
      </w:r>
      <w:r>
        <w:rPr>
          <w:rFonts w:ascii="Times New Roman;sans-serif" w:hAnsi="Times New Roman;sans-serif"/>
          <w:b w:val="false"/>
          <w:color w:val="000000"/>
          <w:sz w:val="19"/>
        </w:rPr>
        <w:t>to</w:t>
      </w:r>
      <w:r>
        <w:rPr>
          <w:color w:val="000000"/>
        </w:rPr>
        <w:t xml:space="preserve"> </w:t>
      </w:r>
      <w:r>
        <w:rPr>
          <w:rFonts w:ascii="Times New Roman;sans-serif" w:hAnsi="Times New Roman;sans-serif"/>
          <w:b w:val="false"/>
          <w:color w:val="000000"/>
          <w:sz w:val="19"/>
        </w:rPr>
        <w:t>vest in</w:t>
      </w:r>
      <w:r>
        <w:rPr>
          <w:color w:val="000000"/>
        </w:rPr>
        <w:t xml:space="preserve"> </w:t>
      </w:r>
      <w:r>
        <w:rPr>
          <w:rFonts w:ascii="Times New Roman;sans-serif" w:hAnsi="Times New Roman;sans-serif"/>
          <w:b w:val="false"/>
          <w:color w:val="000000"/>
          <w:sz w:val="19"/>
        </w:rPr>
        <w:t>13</w:t>
      </w:r>
      <w:r>
        <w:rPr>
          <w:color w:val="000000"/>
        </w:rPr>
        <w:t xml:space="preserve"> </w:t>
      </w:r>
      <w:r>
        <w:rPr>
          <w:rFonts w:ascii="Times New Roman;sans-serif" w:hAnsi="Times New Roman;sans-serif"/>
          <w:b w:val="false"/>
          <w:color w:val="000000"/>
          <w:sz w:val="19"/>
        </w:rPr>
        <w:t>months</w:t>
      </w:r>
      <w:r>
        <w:rPr>
          <w:color w:val="000000"/>
        </w:rPr>
        <w:t xml:space="preserve"> </w:t>
      </w:r>
      <w:r>
        <w:rPr>
          <w:rFonts w:ascii="Times New Roman;sans-serif" w:hAnsi="Times New Roman;sans-serif"/>
          <w:b w:val="false"/>
          <w:color w:val="000000"/>
          <w:sz w:val="19"/>
        </w:rPr>
        <w:t>(12</w:t>
      </w:r>
      <w:r>
        <w:rPr>
          <w:color w:val="000000"/>
        </w:rPr>
        <w:t xml:space="preserve"> </w:t>
      </w:r>
      <w:r>
        <w:rPr>
          <w:rFonts w:ascii="Times New Roman;sans-serif" w:hAnsi="Times New Roman;sans-serif"/>
          <w:b w:val="false"/>
          <w:color w:val="000000"/>
          <w:sz w:val="19"/>
        </w:rPr>
        <w:t>months</w:t>
      </w:r>
      <w:r>
        <w:rPr>
          <w:color w:val="000000"/>
        </w:rPr>
        <w:t xml:space="preserve"> </w:t>
      </w:r>
      <w:r>
        <w:rPr>
          <w:rFonts w:ascii="Times New Roman;sans-serif" w:hAnsi="Times New Roman;sans-serif"/>
          <w:b w:val="false"/>
          <w:color w:val="000000"/>
          <w:sz w:val="19"/>
        </w:rPr>
        <w:t>after</w:t>
      </w:r>
      <w:r>
        <w:rPr>
          <w:color w:val="000000"/>
        </w:rPr>
        <w:t xml:space="preserve"> </w:t>
      </w:r>
      <w:r>
        <w:rPr>
          <w:rFonts w:ascii="Times New Roman;sans-serif" w:hAnsi="Times New Roman;sans-serif"/>
          <w:b w:val="false"/>
          <w:color w:val="000000"/>
          <w:sz w:val="19"/>
        </w:rPr>
        <w:t>deferral</w:t>
      </w:r>
      <w:r>
        <w:rPr>
          <w:color w:val="000000"/>
        </w:rPr>
        <w:t xml:space="preserve"> </w:t>
      </w:r>
      <w:r>
        <w:rPr>
          <w:rFonts w:ascii="Times New Roman;sans-serif" w:hAnsi="Times New Roman;sans-serif"/>
          <w:b w:val="false"/>
          <w:color w:val="000000"/>
          <w:sz w:val="19"/>
        </w:rPr>
        <w:t>election</w:t>
      </w:r>
      <w:r>
        <w:rPr>
          <w:color w:val="000000"/>
        </w:rPr>
        <w:t xml:space="preserve"> </w:t>
      </w:r>
      <w:r>
        <w:rPr>
          <w:rFonts w:ascii="Times New Roman;sans-serif" w:hAnsi="Times New Roman;sans-serif"/>
          <w:b w:val="false"/>
          <w:color w:val="000000"/>
          <w:sz w:val="19"/>
        </w:rPr>
        <w:t>deadline)</w:t>
      </w:r>
      <w:r>
        <w:rPr>
          <w:color w:val="000000"/>
        </w:rPr>
        <w:t xml:space="preserve"> – </w:t>
      </w:r>
      <w:r>
        <w:rPr>
          <w:rFonts w:ascii="Times New Roman;sans-serif" w:hAnsi="Times New Roman;sans-serif"/>
          <w:b w:val="false"/>
          <w:color w:val="000000"/>
          <w:sz w:val="19"/>
        </w:rPr>
        <w:t>which is a 409A requirement for the deferral election of an annual grant.</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75260"/>
                <wp:effectExtent l="0" t="0" r="0" b="0"/>
                <wp:wrapNone/>
                <wp:docPr id="83" name="Frame8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v:rect>
            </w:pict>
          </mc:Fallback>
        </mc:AlternateContent>
      </w:r>
    </w:p>
    <w:p>
      <w:pPr>
        <w:pStyle w:val="TextBody"/>
        <w:spacing w:lineRule="auto" w:line="268" w:before="0" w:after="0"/>
        <w:ind w:left="0" w:right="0" w:hanging="36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Service</w:t>
      </w:r>
      <w:r>
        <w:rPr>
          <w:rFonts w:ascii="Times New Roman;sans-serif" w:hAnsi="Times New Roman;sans-serif"/>
          <w:b w:val="false"/>
          <w:color w:val="000000"/>
          <w:sz w:val="24"/>
        </w:rPr>
        <w:t xml:space="preserve">. Unless the Board of Directors determines otherwise, if the </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4.</w:t>
      </w:r>
      <w:r>
        <w:rPr>
          <w:rFonts w:ascii="Times New Roman;sans-serif" w:hAnsi="Times New Roman;sans-serif"/>
          <w:b w:val="false"/>
          <w:color w:val="000000"/>
          <w:sz w:val="24"/>
          <w:u w:val="single"/>
        </w:rPr>
        <w:t>Issuance of Shares of Stock</w:t>
      </w:r>
      <w:r>
        <w:rPr>
          <w:rFonts w:ascii="Times New Roman;sans-serif" w:hAnsi="Times New Roman;sans-serif"/>
          <w:b w:val="false"/>
          <w:color w:val="000000"/>
          <w:sz w:val="24"/>
        </w:rPr>
        <w:t>. The Company shall issue to the Grantee the number of</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shares of Stock equal to the aggregate number of Restricted Stock Units that have vested pursuant to Paragraph 2 of this Agreement on such date as specified in the Program in accordance with the terms and conditions of the Program and the Grantee shall thereafter have all the rights of a stockholder of the Company with respect to such shares.</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5.</w:t>
      </w:r>
      <w:r>
        <w:rPr>
          <w:rFonts w:ascii="Times New Roman;sans-serif" w:hAnsi="Times New Roman;sans-serif"/>
          <w:b w:val="false"/>
          <w:color w:val="000000"/>
          <w:sz w:val="24"/>
          <w:u w:val="single"/>
        </w:rPr>
        <w:t>Incorporation of Plan and Program</w:t>
      </w:r>
      <w:r>
        <w:rPr>
          <w:rFonts w:ascii="Times New Roman;sans-serif" w:hAnsi="Times New Roman;sans-serif"/>
          <w:b w:val="false"/>
          <w:color w:val="000000"/>
          <w:sz w:val="24"/>
        </w:rPr>
        <w:t xml:space="preserve">. Notwithstanding anything herein to the contrary, this </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Agreement shall be subject to and governed by all the terms and conditions of the Plan and the Program, including the powers of the Administrator set forth in Section 2(b) of the Plan. Capitalized terms in this Agreement shall have the meaning specified in the Plan and the Program, unless a different meaning is specified herein.</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6.</w:t>
      </w:r>
      <w:r>
        <w:rPr>
          <w:rFonts w:ascii="Times New Roman;sans-serif" w:hAnsi="Times New Roman;sans-serif"/>
          <w:b w:val="false"/>
          <w:color w:val="000000"/>
          <w:sz w:val="24"/>
          <w:u w:val="single"/>
        </w:rPr>
        <w:t>Section 409A of the Code.</w:t>
      </w:r>
      <w:r>
        <w:rPr>
          <w:color w:val="000000"/>
        </w:rPr>
        <w:t xml:space="preserve"> </w:t>
      </w:r>
      <w:r>
        <w:rPr>
          <w:rFonts w:ascii="Times New Roman;sans-serif" w:hAnsi="Times New Roman;sans-serif"/>
          <w:b w:val="false"/>
          <w:color w:val="000000"/>
          <w:sz w:val="24"/>
        </w:rPr>
        <w:t xml:space="preserve">This Agreement is intended to be a compliant deferred </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compensation plan under Section 409A and shall be administered and interpreted in accordance with the requirements of Section 409A. If the Grantee is a specified employee (as defined in Section 409A of the Code) at the time of his or her separation from service and the Restricted Stock Units are settled on account of such separation from service, then the settlement shall be delayed for six months or until the Grantee’s death, if earlier, to the extent required to avoid adverse taxation under Section 409A of the Code.</w:t>
      </w:r>
    </w:p>
    <w:p>
      <w:pPr>
        <w:pStyle w:val="TextBody"/>
        <w:spacing w:before="0" w:after="0"/>
        <w:rPr/>
      </w:pPr>
      <w:r>
        <w:rPr/>
      </w:r>
    </w:p>
    <w:p>
      <w:pPr>
        <w:pStyle w:val="TextBody"/>
        <w:spacing w:lineRule="auto" w:line="235" w:before="0" w:after="0"/>
        <w:ind w:left="0" w:right="0" w:hanging="360"/>
        <w:rPr/>
      </w:pPr>
      <w:r>
        <w:rPr>
          <w:rFonts w:ascii="Arial;sans-serif" w:hAnsi="Arial;sans-serif"/>
          <w:b w:val="false"/>
          <w:color w:val="000000"/>
          <w:sz w:val="22"/>
        </w:rPr>
        <w:t>7.</w:t>
      </w:r>
      <w:r>
        <w:rPr>
          <w:rFonts w:ascii="Times New Roman;sans-serif" w:hAnsi="Times New Roman;sans-serif"/>
          <w:b w:val="false"/>
          <w:color w:val="000000"/>
          <w:sz w:val="24"/>
          <w:u w:val="single"/>
        </w:rPr>
        <w:t>No Obligation to Continue as a Director</w:t>
      </w:r>
      <w:r>
        <w:rPr>
          <w:rFonts w:ascii="Times New Roman;sans-serif" w:hAnsi="Times New Roman;sans-serif"/>
          <w:b w:val="false"/>
          <w:color w:val="000000"/>
          <w:sz w:val="24"/>
        </w:rPr>
        <w:t xml:space="preserve">. Neither the Plan nor this Award confers upon </w:t>
      </w:r>
    </w:p>
    <w:p>
      <w:pPr>
        <w:pStyle w:val="TextBody"/>
        <w:spacing w:lineRule="auto" w:line="235" w:before="0" w:after="0"/>
        <w:rPr>
          <w:rFonts w:ascii="Times New Roman;sans-serif" w:hAnsi="Times New Roman;sans-serif"/>
          <w:b w:val="false"/>
          <w:color w:val="000000"/>
          <w:sz w:val="24"/>
        </w:rPr>
      </w:pPr>
      <w:r>
        <w:rPr>
          <w:rFonts w:ascii="Times New Roman;sans-serif" w:hAnsi="Times New Roman;sans-serif"/>
          <w:b w:val="false"/>
          <w:color w:val="000000"/>
          <w:sz w:val="24"/>
        </w:rPr>
        <w:t>the Grantee any rights with respect to continuance as a Director.</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8.</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xml:space="preserve">. This Agreement and the Program (including any elections thereunder) </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constitute the entire agreement between the parties with respect to this Award and supersedes all prior agreements and discussions between the parties concerning such subject matter.</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9.</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xml:space="preserve">. In order to administer the Plan and this Agreement and to </w:t>
      </w:r>
    </w:p>
    <w:p>
      <w:pPr>
        <w:pStyle w:val="TextBody"/>
        <w:spacing w:lineRule="auto" w:line="268"/>
        <w:rPr>
          <w:rFonts w:ascii="Times New Roman;sans-serif" w:hAnsi="Times New Roman;sans-serif"/>
          <w:b w:val="false"/>
          <w:color w:val="000000"/>
          <w:sz w:val="24"/>
        </w:rPr>
      </w:pPr>
      <w:r>
        <w:rPr>
          <w:rFonts w:ascii="Times New Roman;sans-serif" w:hAnsi="Times New Roman;sans-serif"/>
          <w:b w:val="false"/>
          <w:color w:val="000000"/>
          <w:sz w:val="24"/>
        </w:rPr>
        <w:t>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10.6</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75260"/>
                <wp:effectExtent l="0" t="0" r="0" b="0"/>
                <wp:wrapNone/>
                <wp:docPr id="84"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3.15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v:rect>
            </w:pict>
          </mc:Fallback>
        </mc:AlternateConten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10.</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Notices hereunder shall be mailed or delivered to the Company at its principal </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place of business and shall be mailed or delivered to the Grantee at the address on file with the Company or, in either case, at such other address as one party may subsequently furnish to the other party in writing.</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Twilio Inc.</w:t>
      </w:r>
    </w:p>
    <w:p>
      <w:pPr>
        <w:pStyle w:val="TextBody"/>
        <w:spacing w:before="0" w:after="0"/>
        <w:rPr/>
      </w:pPr>
      <w:r>
        <w:rPr/>
      </w:r>
    </w:p>
    <w:p>
      <w:pPr>
        <w:pStyle w:val="TextBody"/>
        <w:spacing w:before="0" w:after="0"/>
        <w:rPr/>
      </w:pPr>
      <w:r>
        <w:rPr/>
      </w:r>
    </w:p>
    <w:p>
      <w:pPr>
        <w:pStyle w:val="TextBody"/>
        <w:spacing w:lineRule="auto" w:line="240" w:before="0" w:after="0"/>
        <w:ind w:left="0" w:right="0" w:firstLine="4790"/>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p>
      <w:pPr>
        <w:pStyle w:val="TextBody"/>
        <w:spacing w:lineRule="auto" w:line="240" w:before="0" w:after="0"/>
        <w:ind w:left="0" w:right="0" w:firstLine="4790"/>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Dated: </w:t>
      </w:r>
    </w:p>
    <w:p>
      <w:pPr>
        <w:pStyle w:val="TextBody"/>
        <w:spacing w:lineRule="auto" w:line="686"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Grantee’s Signature </w:t>
      </w:r>
    </w:p>
    <w:p>
      <w:pPr>
        <w:pStyle w:val="TextBody"/>
        <w:spacing w:lineRule="auto" w:line="686"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Grantee’s name and address:</w: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spacing w:before="60" w:after="283"/>
        <w:rPr/>
      </w:pPr>
      <w:r>
        <w:rPr/>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I, Jeff Lawson, certify that:</w:t>
      </w:r>
    </w:p>
    <w:p>
      <w:pPr>
        <w:pStyle w:val="TextBody"/>
        <w:spacing w:lineRule="auto" w:line="288" w:before="200" w:after="283"/>
        <w:ind w:left="0" w:right="0" w:firstLine="720"/>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Quarterly Report on Form 10-Q of Twilio Inc.;</w:t>
      </w:r>
    </w:p>
    <w:p>
      <w:pPr>
        <w:pStyle w:val="TextBody"/>
        <w:spacing w:lineRule="auto" w:line="288" w:before="200" w:after="283"/>
        <w:ind w:left="0" w:right="0" w:firstLine="720"/>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firstLine="720"/>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firstLine="720"/>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firstLine="1440"/>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firstLine="1440"/>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firstLine="1440"/>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firstLine="1440"/>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firstLine="720"/>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firstLine="1440"/>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firstLine="1440"/>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bl>
      <w:tblPr>
        <w:tblW w:w="4181" w:type="dxa"/>
        <w:jc w:val="left"/>
        <w:tblInd w:w="0" w:type="dxa"/>
        <w:tblCellMar>
          <w:top w:w="28" w:type="dxa"/>
          <w:left w:w="28" w:type="dxa"/>
          <w:bottom w:w="28" w:type="dxa"/>
          <w:right w:w="28" w:type="dxa"/>
        </w:tblCellMar>
      </w:tblPr>
      <w:tblGrid>
        <w:gridCol w:w="1378"/>
        <w:gridCol w:w="1213"/>
        <w:gridCol w:w="1218"/>
        <w:gridCol w:w="109"/>
        <w:gridCol w:w="109"/>
        <w:gridCol w:w="154"/>
      </w:tblGrid>
      <w:tr>
        <w:trPr/>
        <w:tc>
          <w:tcPr>
            <w:tcW w:w="137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LAWSON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Lawson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 Aidan Viggiano, certify that:</w:t>
      </w:r>
    </w:p>
    <w:p>
      <w:pPr>
        <w:pStyle w:val="TextBody"/>
        <w:spacing w:lineRule="auto" w:line="288" w:before="200" w:after="283"/>
        <w:ind w:left="0" w:right="0" w:firstLine="720"/>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Quarterly Report on Form 10-Q of Twilio Inc.;</w:t>
      </w:r>
    </w:p>
    <w:p>
      <w:pPr>
        <w:pStyle w:val="TextBody"/>
        <w:spacing w:lineRule="auto" w:line="288" w:before="200" w:after="283"/>
        <w:ind w:left="0" w:right="0" w:firstLine="720"/>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firstLine="720"/>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firstLine="720"/>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firstLine="1440"/>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firstLine="1440"/>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firstLine="1440"/>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firstLine="1440"/>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firstLine="720"/>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firstLine="1440"/>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firstLine="1440"/>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bl>
      <w:tblPr>
        <w:tblW w:w="5366" w:type="dxa"/>
        <w:jc w:val="left"/>
        <w:tblInd w:w="0" w:type="dxa"/>
        <w:tblCellMar>
          <w:top w:w="28" w:type="dxa"/>
          <w:left w:w="28" w:type="dxa"/>
          <w:bottom w:w="28" w:type="dxa"/>
          <w:right w:w="28" w:type="dxa"/>
        </w:tblCellMar>
      </w:tblPr>
      <w:tblGrid>
        <w:gridCol w:w="1810"/>
        <w:gridCol w:w="1587"/>
        <w:gridCol w:w="1597"/>
        <w:gridCol w:w="109"/>
        <w:gridCol w:w="109"/>
        <w:gridCol w:w="154"/>
      </w:tblGrid>
      <w:tr>
        <w:trPr/>
        <w:tc>
          <w:tcPr>
            <w:tcW w:w="1810"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 AND CHIEF FINANCIAL OFFICER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0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Aidan Viggiano, Chief Financial Officer of the Company, each hereby certifies that, to the best of their knowledge:</w:t>
      </w:r>
    </w:p>
    <w:p>
      <w:pPr>
        <w:pStyle w:val="TextBody"/>
        <w:spacing w:lineRule="auto" w:line="288" w:before="200" w:after="283"/>
        <w:ind w:left="0" w:right="0" w:firstLine="720"/>
        <w:rPr/>
      </w:pPr>
      <w:r>
        <w:rPr>
          <w:rFonts w:ascii="Times New Roman;sans-serif" w:hAnsi="Times New Roman;sans-serif"/>
          <w:b w:val="false"/>
          <w:color w:val="000000"/>
          <w:sz w:val="18"/>
        </w:rPr>
        <w:t>1.</w:t>
      </w:r>
      <w:r>
        <w:rPr>
          <w:rFonts w:ascii="Times New Roman;sans-serif" w:hAnsi="Times New Roman;sans-serif"/>
          <w:b w:val="false"/>
          <w:color w:val="000000"/>
          <w:sz w:val="18"/>
        </w:rPr>
        <w:t>The Company’s Quarterly Report on Form 10-Q for the quarter ended March 31, 2023, to which this Certification is attached as Exhibit 32.1 (the “Periodic Report”), fully complies with the requirements of Section 13(a) or Section 15(d) of the Exchange Act; and</w:t>
      </w:r>
    </w:p>
    <w:p>
      <w:pPr>
        <w:pStyle w:val="TextBody"/>
        <w:spacing w:lineRule="auto" w:line="288" w:before="200" w:after="283"/>
        <w:ind w:left="0" w:right="0" w:firstLine="720"/>
        <w:rPr/>
      </w:pPr>
      <w:r>
        <w:rPr>
          <w:rFonts w:ascii="Times New Roman;sans-serif" w:hAnsi="Times New Roman;sans-serif"/>
          <w:b w:val="false"/>
          <w:color w:val="000000"/>
          <w:sz w:val="18"/>
        </w:rPr>
        <w:t>2.</w:t>
      </w:r>
      <w:r>
        <w:rPr>
          <w:rFonts w:ascii="Times New Roman;sans-serif" w:hAnsi="Times New Roman;sans-serif"/>
          <w:b w:val="false"/>
          <w:color w:val="000000"/>
          <w:sz w:val="18"/>
        </w:rPr>
        <w:t>The information contained in the Periodic Report fairly presents, in all material respects, the financial condition and results of operations of the Company.</w:t>
      </w:r>
    </w:p>
    <w:p>
      <w:pPr>
        <w:pStyle w:val="TextBody"/>
        <w:spacing w:before="200" w:after="283"/>
        <w:rPr/>
      </w:pPr>
      <w:r>
        <w:rPr/>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9, 2023 </w:t>
      </w:r>
    </w:p>
    <w:tbl>
      <w:tblPr>
        <w:tblW w:w="5367" w:type="dxa"/>
        <w:jc w:val="center"/>
        <w:tblInd w:w="0" w:type="dxa"/>
        <w:tblCellMar>
          <w:top w:w="28" w:type="dxa"/>
          <w:left w:w="28" w:type="dxa"/>
          <w:bottom w:w="28" w:type="dxa"/>
          <w:right w:w="28" w:type="dxa"/>
        </w:tblCellMar>
      </w:tblPr>
      <w:tblGrid>
        <w:gridCol w:w="1807"/>
        <w:gridCol w:w="1591"/>
        <w:gridCol w:w="1597"/>
        <w:gridCol w:w="109"/>
        <w:gridCol w:w="109"/>
        <w:gridCol w:w="154"/>
      </w:tblGrid>
      <w:tr>
        <w:trPr/>
        <w:tc>
          <w:tcPr>
            <w:tcW w:w="1807"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LAWSON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Lawson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75260"/>
                <wp:effectExtent l="0" t="0" r="0" b="0"/>
                <wp:wrapNone/>
                <wp:docPr id="88" name="Frame8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669/000119312523045159/d490360dex101.htm" TargetMode="External"/><Relationship Id="rId4" Type="http://schemas.openxmlformats.org/officeDocument/2006/relationships/hyperlink" Target="https://www.sec.gov/Archives/edgar/data/1447669/000119312523045159/d490360dex102.htm" TargetMode="External"/><Relationship Id="rId5" Type="http://schemas.openxmlformats.org/officeDocument/2006/relationships/hyperlink" Target="https://www.sec.gov/Archives/edgar/data/1447669/000119312523045159/d490360dex103.htm" TargetMode="External"/><Relationship Id="rId6" Type="http://schemas.openxmlformats.org/officeDocument/2006/relationships/hyperlink" Target="https://www.sec.gov/Archives/edgar/data/1447669/000144766923000049/twlo-20221231xex1014.htm" TargetMode="External"/><Relationship Id="rId7" Type="http://schemas.openxmlformats.org/officeDocument/2006/relationships/hyperlink" Target="https://www.sec.gov/Archives/edgar/data/1447669/000144766923000049/twlo-20221231xex1015.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50214</Words>
  <CharactersWithSpaces>331649</CharactersWithSpaces>
  <Paragraphs>2933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