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205105</wp:posOffset>
            </wp:positionH>
            <wp:positionV relativeFrom="page">
              <wp:posOffset>751840</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784860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Washington, D.C. 20549</w:t>
      </w:r>
    </w:p>
    <w:p>
      <w:pPr>
        <w:spacing w:after="0" w:line="16"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_____________________________________________</w:t>
      </w:r>
    </w:p>
    <w:p>
      <w:pPr>
        <w:spacing w:after="0" w:line="11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10-Q</w:t>
      </w:r>
    </w:p>
    <w:p>
      <w:pPr>
        <w:spacing w:after="0" w:line="79"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_____________________________________________</w:t>
      </w:r>
    </w:p>
    <w:p>
      <w:pPr>
        <w:spacing w:after="0" w:line="286" w:lineRule="exact"/>
        <w:rPr>
          <w:sz w:val="24"/>
          <w:szCs w:val="24"/>
          <w:color w:val="auto"/>
        </w:rPr>
      </w:pPr>
    </w:p>
    <w:p>
      <w:pPr>
        <w:ind w:left="720" w:hanging="700"/>
        <w:spacing w:after="0"/>
        <w:tabs>
          <w:tab w:leader="none" w:pos="72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For the quarterly period ended June 30, 2023</w:t>
      </w:r>
    </w:p>
    <w:p>
      <w:pPr>
        <w:spacing w:after="0" w:line="240" w:lineRule="exact"/>
        <w:rPr>
          <w:sz w:val="24"/>
          <w:szCs w:val="24"/>
          <w:color w:val="auto"/>
        </w:rPr>
      </w:pPr>
    </w:p>
    <w:p>
      <w:pPr>
        <w:ind w:left="720" w:hanging="667"/>
        <w:spacing w:after="0"/>
        <w:tabs>
          <w:tab w:leader="none" w:pos="72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76"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For the transition period from to</w:t>
      </w:r>
    </w:p>
    <w:p>
      <w:pPr>
        <w:spacing w:after="0" w:line="85"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Commission File Number: 001-37806</w:t>
      </w:r>
    </w:p>
    <w:p>
      <w:pPr>
        <w:spacing w:after="0" w:line="29" w:lineRule="exact"/>
        <w:rPr>
          <w:sz w:val="24"/>
          <w:szCs w:val="24"/>
          <w:color w:val="auto"/>
        </w:rPr>
      </w:pPr>
    </w:p>
    <w:p>
      <w:pPr>
        <w:ind w:left="3700"/>
        <w:spacing w:after="0"/>
        <w:rPr>
          <w:sz w:val="20"/>
          <w:szCs w:val="20"/>
          <w:color w:val="auto"/>
        </w:rPr>
      </w:pPr>
      <w:r>
        <w:rPr>
          <w:rFonts w:ascii="Arial" w:cs="Arial" w:eastAsia="Arial" w:hAnsi="Arial"/>
          <w:sz w:val="17"/>
          <w:szCs w:val="17"/>
          <w:b w:val="1"/>
          <w:bCs w:val="1"/>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3251835</wp:posOffset>
            </wp:positionH>
            <wp:positionV relativeFrom="paragraph">
              <wp:posOffset>51435</wp:posOffset>
            </wp:positionV>
            <wp:extent cx="638810" cy="278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810" cy="27813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TWILIO INC.</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15"/>
          <w:szCs w:val="15"/>
          <w:color w:val="auto"/>
        </w:rPr>
        <w:t>(Exact name of registrant as specified in its charter)</w:t>
      </w:r>
    </w:p>
    <w:p>
      <w:pPr>
        <w:spacing w:after="0" w:line="14" w:lineRule="exact"/>
        <w:rPr>
          <w:sz w:val="24"/>
          <w:szCs w:val="24"/>
          <w:color w:val="auto"/>
        </w:rPr>
      </w:pPr>
    </w:p>
    <w:p>
      <w:pPr>
        <w:ind w:left="3700"/>
        <w:spacing w:after="0"/>
        <w:rPr>
          <w:sz w:val="20"/>
          <w:szCs w:val="20"/>
          <w:color w:val="auto"/>
        </w:rPr>
      </w:pPr>
      <w:r>
        <w:rPr>
          <w:rFonts w:ascii="Arial" w:cs="Arial" w:eastAsia="Arial" w:hAnsi="Arial"/>
          <w:sz w:val="17"/>
          <w:szCs w:val="17"/>
          <w:b w:val="1"/>
          <w:bCs w:val="1"/>
          <w:color w:val="auto"/>
        </w:rPr>
        <w:t>_____________________________________________</w:t>
      </w:r>
    </w:p>
    <w:p>
      <w:pPr>
        <w:spacing w:after="0" w:line="157" w:lineRule="exact"/>
        <w:rPr>
          <w:sz w:val="24"/>
          <w:szCs w:val="24"/>
          <w:color w:val="auto"/>
        </w:rPr>
      </w:pPr>
    </w:p>
    <w:p>
      <w:pPr>
        <w:ind w:left="2380"/>
        <w:spacing w:after="0"/>
        <w:tabs>
          <w:tab w:leader="none" w:pos="8120" w:val="left"/>
        </w:tabs>
        <w:rPr>
          <w:sz w:val="20"/>
          <w:szCs w:val="20"/>
          <w:color w:val="auto"/>
        </w:rPr>
      </w:pPr>
      <w:r>
        <w:rPr>
          <w:rFonts w:ascii="Arial" w:cs="Arial" w:eastAsia="Arial" w:hAnsi="Arial"/>
          <w:sz w:val="15"/>
          <w:szCs w:val="15"/>
          <w:b w:val="1"/>
          <w:bCs w:val="1"/>
          <w:color w:val="auto"/>
        </w:rPr>
        <w:t>Delaware</w:t>
      </w:r>
      <w:r>
        <w:rPr>
          <w:sz w:val="20"/>
          <w:szCs w:val="20"/>
          <w:color w:val="auto"/>
        </w:rPr>
        <w:tab/>
      </w:r>
      <w:r>
        <w:rPr>
          <w:rFonts w:ascii="Arial" w:cs="Arial" w:eastAsia="Arial" w:hAnsi="Arial"/>
          <w:sz w:val="15"/>
          <w:szCs w:val="15"/>
          <w:b w:val="1"/>
          <w:bCs w:val="1"/>
          <w:color w:val="auto"/>
        </w:rPr>
        <w:t>26-2574840</w:t>
      </w:r>
    </w:p>
    <w:p>
      <w:pPr>
        <w:spacing w:after="0" w:line="29" w:lineRule="exact"/>
        <w:rPr>
          <w:sz w:val="24"/>
          <w:szCs w:val="24"/>
          <w:color w:val="auto"/>
        </w:rPr>
      </w:pPr>
    </w:p>
    <w:p>
      <w:pPr>
        <w:ind w:left="1060"/>
        <w:spacing w:after="0"/>
        <w:tabs>
          <w:tab w:leader="none" w:pos="7500" w:val="left"/>
        </w:tabs>
        <w:rPr>
          <w:sz w:val="20"/>
          <w:szCs w:val="20"/>
          <w:color w:val="auto"/>
        </w:rPr>
      </w:pPr>
      <w:r>
        <w:rPr>
          <w:rFonts w:ascii="Arial" w:cs="Arial" w:eastAsia="Arial" w:hAnsi="Arial"/>
          <w:sz w:val="14"/>
          <w:szCs w:val="14"/>
          <w:color w:val="auto"/>
        </w:rPr>
        <w:t>(State or other jurisdiction of incorporation or organization)</w:t>
      </w:r>
      <w:r>
        <w:rPr>
          <w:sz w:val="20"/>
          <w:szCs w:val="20"/>
          <w:color w:val="auto"/>
        </w:rPr>
        <w:tab/>
      </w:r>
      <w:r>
        <w:rPr>
          <w:rFonts w:ascii="Arial" w:cs="Arial" w:eastAsia="Arial" w:hAnsi="Arial"/>
          <w:sz w:val="11"/>
          <w:szCs w:val="11"/>
          <w:color w:val="auto"/>
        </w:rPr>
        <w:t>(I.R.S. Employer Identification No.)</w:t>
      </w:r>
    </w:p>
    <w:p>
      <w:pPr>
        <w:spacing w:after="0" w:line="282"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101 Spear Street, Fifth Floor</w:t>
      </w:r>
    </w:p>
    <w:p>
      <w:pPr>
        <w:spacing w:after="0" w:line="24"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San Francisco, California 94105</w:t>
      </w:r>
    </w:p>
    <w:p>
      <w:pPr>
        <w:jc w:val="center"/>
        <w:ind w:right="-79"/>
        <w:spacing w:after="0"/>
        <w:rPr>
          <w:sz w:val="20"/>
          <w:szCs w:val="20"/>
          <w:color w:val="auto"/>
        </w:rPr>
      </w:pPr>
      <w:r>
        <w:rPr>
          <w:rFonts w:ascii="Arial" w:cs="Arial" w:eastAsia="Arial" w:hAnsi="Arial"/>
          <w:sz w:val="14"/>
          <w:szCs w:val="14"/>
          <w:color w:val="auto"/>
        </w:rPr>
        <w:t>(Address of principal executive offices) (Zip Code)</w:t>
      </w:r>
    </w:p>
    <w:p>
      <w:pPr>
        <w:spacing w:after="0" w:line="102"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(415) 390-2337</w:t>
      </w:r>
    </w:p>
    <w:p>
      <w:pPr>
        <w:spacing w:after="0" w:line="29"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(Registrant’s telephone number, including area code)</w:t>
      </w:r>
    </w:p>
    <w:p>
      <w:pPr>
        <w:spacing w:after="0" w:line="1" w:lineRule="exact"/>
        <w:rPr>
          <w:sz w:val="24"/>
          <w:szCs w:val="24"/>
          <w:color w:val="auto"/>
        </w:rPr>
      </w:pPr>
    </w:p>
    <w:p>
      <w:pPr>
        <w:ind w:left="3920"/>
        <w:spacing w:after="0"/>
        <w:rPr>
          <w:sz w:val="20"/>
          <w:szCs w:val="20"/>
          <w:color w:val="auto"/>
        </w:rPr>
      </w:pPr>
      <w:r>
        <w:rPr>
          <w:rFonts w:ascii="Arial" w:cs="Arial" w:eastAsia="Arial" w:hAnsi="Arial"/>
          <w:sz w:val="15"/>
          <w:szCs w:val="15"/>
          <w:b w:val="1"/>
          <w:bCs w:val="1"/>
          <w:color w:val="auto"/>
        </w:rPr>
        <w:t>____________________________________________</w:t>
      </w:r>
    </w:p>
    <w:p>
      <w:pPr>
        <w:spacing w:after="0" w:line="50"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57" w:lineRule="exact"/>
        <w:rPr>
          <w:sz w:val="24"/>
          <w:szCs w:val="24"/>
          <w:color w:val="auto"/>
        </w:rPr>
      </w:pPr>
    </w:p>
    <w:tbl>
      <w:tblPr>
        <w:tblLayout w:type="fixed"/>
        <w:tblInd w:w="80" w:type="dxa"/>
        <w:tblCellMar>
          <w:top w:w="0" w:type="dxa"/>
          <w:left w:w="0" w:type="dxa"/>
          <w:bottom w:w="0" w:type="dxa"/>
          <w:right w:w="0" w:type="dxa"/>
        </w:tblCellMar>
      </w:tblPr>
      <w:tr>
        <w:trPr>
          <w:trHeight w:val="205"/>
        </w:trPr>
        <w:tc>
          <w:tcPr>
            <w:tcW w:w="4520" w:type="dxa"/>
            <w:vAlign w:val="bottom"/>
            <w:tcBorders>
              <w:bottom w:val="single" w:sz="8" w:color="auto"/>
            </w:tcBorders>
          </w:tcPr>
          <w:p>
            <w:pPr>
              <w:jc w:val="center"/>
              <w:ind w:left="43"/>
              <w:spacing w:after="0"/>
              <w:rPr>
                <w:sz w:val="20"/>
                <w:szCs w:val="20"/>
                <w:color w:val="auto"/>
              </w:rPr>
            </w:pPr>
            <w:r>
              <w:rPr>
                <w:rFonts w:ascii="Arial" w:cs="Arial" w:eastAsia="Arial" w:hAnsi="Arial"/>
                <w:sz w:val="15"/>
                <w:szCs w:val="15"/>
                <w:b w:val="1"/>
                <w:bCs w:val="1"/>
                <w:color w:val="auto"/>
                <w:w w:val="89"/>
              </w:rPr>
              <w:t>Title of each class</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Trading Symbol(s)</w:t>
            </w:r>
          </w:p>
        </w:tc>
        <w:tc>
          <w:tcPr>
            <w:tcW w:w="412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auto"/>
                <w:w w:val="90"/>
              </w:rPr>
              <w:t>Name of each exchange on which registered</w:t>
            </w:r>
          </w:p>
        </w:tc>
      </w:tr>
      <w:tr>
        <w:trPr>
          <w:trHeight w:val="196"/>
        </w:trPr>
        <w:tc>
          <w:tcPr>
            <w:tcW w:w="4520" w:type="dxa"/>
            <w:vAlign w:val="bottom"/>
          </w:tcPr>
          <w:p>
            <w:pPr>
              <w:jc w:val="center"/>
              <w:ind w:left="23"/>
              <w:spacing w:after="0"/>
              <w:rPr>
                <w:sz w:val="20"/>
                <w:szCs w:val="20"/>
                <w:color w:val="auto"/>
              </w:rPr>
            </w:pPr>
            <w:r>
              <w:rPr>
                <w:rFonts w:ascii="Arial" w:cs="Arial" w:eastAsia="Arial" w:hAnsi="Arial"/>
                <w:sz w:val="15"/>
                <w:szCs w:val="15"/>
                <w:color w:val="auto"/>
                <w:w w:val="91"/>
              </w:rPr>
              <w:t>Class A Common Stock, par value $0.001 per share</w:t>
            </w:r>
          </w:p>
        </w:tc>
        <w:tc>
          <w:tcPr>
            <w:tcW w:w="2440" w:type="dxa"/>
            <w:vAlign w:val="bottom"/>
          </w:tcPr>
          <w:p>
            <w:pPr>
              <w:jc w:val="center"/>
              <w:spacing w:after="0"/>
              <w:rPr>
                <w:sz w:val="20"/>
                <w:szCs w:val="20"/>
                <w:color w:val="auto"/>
              </w:rPr>
            </w:pPr>
            <w:r>
              <w:rPr>
                <w:rFonts w:ascii="Arial" w:cs="Arial" w:eastAsia="Arial" w:hAnsi="Arial"/>
                <w:sz w:val="15"/>
                <w:szCs w:val="15"/>
                <w:color w:val="auto"/>
              </w:rPr>
              <w:t>TWLO</w:t>
            </w:r>
          </w:p>
        </w:tc>
        <w:tc>
          <w:tcPr>
            <w:tcW w:w="4120" w:type="dxa"/>
            <w:vAlign w:val="bottom"/>
          </w:tcPr>
          <w:p>
            <w:pPr>
              <w:jc w:val="center"/>
              <w:ind w:right="3"/>
              <w:spacing w:after="0"/>
              <w:rPr>
                <w:sz w:val="20"/>
                <w:szCs w:val="20"/>
                <w:color w:val="auto"/>
              </w:rPr>
            </w:pPr>
            <w:r>
              <w:rPr>
                <w:rFonts w:ascii="Arial" w:cs="Arial" w:eastAsia="Arial" w:hAnsi="Arial"/>
                <w:sz w:val="15"/>
                <w:szCs w:val="15"/>
                <w:color w:val="auto"/>
                <w:w w:val="94"/>
              </w:rPr>
              <w:t>New York Stock Exchange</w:t>
            </w:r>
          </w:p>
        </w:tc>
      </w:tr>
    </w:tbl>
    <w:p>
      <w:pPr>
        <w:spacing w:after="0" w:line="200" w:lineRule="exact"/>
        <w:rPr>
          <w:sz w:val="24"/>
          <w:szCs w:val="24"/>
          <w:color w:val="auto"/>
        </w:rPr>
      </w:pPr>
    </w:p>
    <w:p>
      <w:pPr>
        <w:spacing w:after="0" w:line="213" w:lineRule="exact"/>
        <w:rPr>
          <w:sz w:val="24"/>
          <w:szCs w:val="24"/>
          <w:color w:val="auto"/>
        </w:rPr>
      </w:pPr>
    </w:p>
    <w:p>
      <w:pPr>
        <w:ind w:left="620"/>
        <w:spacing w:after="0"/>
        <w:rPr>
          <w:sz w:val="20"/>
          <w:szCs w:val="20"/>
          <w:color w:val="auto"/>
        </w:rPr>
      </w:pPr>
      <w:r>
        <w:rPr>
          <w:rFonts w:ascii="Arial" w:cs="Arial" w:eastAsia="Arial" w:hAnsi="Arial"/>
          <w:sz w:val="14"/>
          <w:szCs w:val="14"/>
          <w:color w:val="auto"/>
        </w:rPr>
        <w:t>As of August 1, 2023, 181,116,511 shares of the registrant’s Class A common stock were outstanding.</w:t>
      </w:r>
    </w:p>
    <w:p>
      <w:pPr>
        <w:spacing w:after="0" w:line="110" w:lineRule="exact"/>
        <w:rPr>
          <w:sz w:val="24"/>
          <w:szCs w:val="24"/>
          <w:color w:val="auto"/>
        </w:rPr>
      </w:pPr>
    </w:p>
    <w:p>
      <w:pPr>
        <w:ind w:right="20" w:firstLine="619"/>
        <w:spacing w:after="0" w:line="309"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53" w:lineRule="exact"/>
        <w:rPr>
          <w:sz w:val="24"/>
          <w:szCs w:val="24"/>
          <w:color w:val="auto"/>
        </w:rPr>
      </w:pPr>
    </w:p>
    <w:p>
      <w:pPr>
        <w:ind w:right="380" w:firstLine="619"/>
        <w:spacing w:after="0" w:line="28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63" w:lineRule="exact"/>
        <w:rPr>
          <w:sz w:val="24"/>
          <w:szCs w:val="24"/>
          <w:color w:val="auto"/>
        </w:rPr>
      </w:pPr>
    </w:p>
    <w:p>
      <w:pPr>
        <w:ind w:right="260" w:firstLine="619"/>
        <w:spacing w:after="0" w:line="30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1900" w:type="dxa"/>
        <w:tblCellMar>
          <w:top w:w="0" w:type="dxa"/>
          <w:left w:w="0" w:type="dxa"/>
          <w:bottom w:w="0" w:type="dxa"/>
          <w:right w:w="0" w:type="dxa"/>
        </w:tblCellMar>
      </w:tblPr>
      <w:tr>
        <w:trPr>
          <w:trHeight w:val="180"/>
        </w:trPr>
        <w:tc>
          <w:tcPr>
            <w:tcW w:w="2180" w:type="dxa"/>
            <w:vAlign w:val="bottom"/>
          </w:tcPr>
          <w:p>
            <w:pPr>
              <w:jc w:val="center"/>
              <w:ind w:right="891"/>
              <w:spacing w:after="0"/>
              <w:rPr>
                <w:sz w:val="20"/>
                <w:szCs w:val="20"/>
                <w:color w:val="auto"/>
              </w:rPr>
            </w:pPr>
            <w:r>
              <w:rPr>
                <w:rFonts w:ascii="Arial" w:cs="Arial" w:eastAsia="Arial" w:hAnsi="Arial"/>
                <w:sz w:val="14"/>
                <w:szCs w:val="14"/>
                <w:color w:val="auto"/>
                <w:w w:val="88"/>
              </w:rPr>
              <w:t>Large accelerated filer</w:t>
            </w:r>
          </w:p>
        </w:tc>
        <w:tc>
          <w:tcPr>
            <w:tcW w:w="23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jc w:val="center"/>
              <w:ind w:left="271"/>
              <w:spacing w:after="0"/>
              <w:rPr>
                <w:sz w:val="20"/>
                <w:szCs w:val="20"/>
                <w:color w:val="auto"/>
              </w:rPr>
            </w:pPr>
            <w:r>
              <w:rPr>
                <w:rFonts w:ascii="Arial" w:cs="Arial" w:eastAsia="Arial" w:hAnsi="Arial"/>
                <w:sz w:val="14"/>
                <w:szCs w:val="14"/>
                <w:color w:val="auto"/>
                <w:w w:val="91"/>
              </w:rPr>
              <w:t>Accelerated filer</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3"/>
        </w:trPr>
        <w:tc>
          <w:tcPr>
            <w:tcW w:w="2180" w:type="dxa"/>
            <w:vAlign w:val="bottom"/>
          </w:tcPr>
          <w:p>
            <w:pPr>
              <w:jc w:val="center"/>
              <w:ind w:right="871"/>
              <w:spacing w:after="0"/>
              <w:rPr>
                <w:sz w:val="20"/>
                <w:szCs w:val="20"/>
                <w:color w:val="auto"/>
              </w:rPr>
            </w:pPr>
            <w:r>
              <w:rPr>
                <w:rFonts w:ascii="Arial" w:cs="Arial" w:eastAsia="Arial" w:hAnsi="Arial"/>
                <w:sz w:val="14"/>
                <w:szCs w:val="14"/>
                <w:color w:val="auto"/>
                <w:w w:val="89"/>
              </w:rPr>
              <w:t>Non-accelerated filer</w:t>
            </w:r>
          </w:p>
        </w:tc>
        <w:tc>
          <w:tcPr>
            <w:tcW w:w="23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jc w:val="center"/>
              <w:ind w:left="251"/>
              <w:spacing w:after="0"/>
              <w:rPr>
                <w:sz w:val="20"/>
                <w:szCs w:val="20"/>
                <w:color w:val="auto"/>
              </w:rPr>
            </w:pPr>
            <w:r>
              <w:rPr>
                <w:rFonts w:ascii="Arial" w:cs="Arial" w:eastAsia="Arial" w:hAnsi="Arial"/>
                <w:sz w:val="14"/>
                <w:szCs w:val="14"/>
                <w:color w:val="auto"/>
                <w:w w:val="89"/>
              </w:rPr>
              <w:t>Smaller reporting company</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21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620" w:type="dxa"/>
            <w:vAlign w:val="bottom"/>
          </w:tcPr>
          <w:p>
            <w:pPr>
              <w:jc w:val="center"/>
              <w:ind w:left="251"/>
              <w:spacing w:after="0"/>
              <w:rPr>
                <w:sz w:val="20"/>
                <w:szCs w:val="20"/>
                <w:color w:val="auto"/>
              </w:rPr>
            </w:pPr>
            <w:r>
              <w:rPr>
                <w:rFonts w:ascii="Arial" w:cs="Arial" w:eastAsia="Arial" w:hAnsi="Arial"/>
                <w:sz w:val="14"/>
                <w:szCs w:val="14"/>
                <w:color w:val="auto"/>
                <w:w w:val="90"/>
              </w:rPr>
              <w:t>Emerging growth company</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4"/>
          <w:szCs w:val="24"/>
          <w:color w:val="auto"/>
        </w:rPr>
      </w:pPr>
    </w:p>
    <w:p>
      <w:pPr>
        <w:spacing w:after="0" w:line="222" w:lineRule="exact"/>
        <w:rPr>
          <w:sz w:val="24"/>
          <w:szCs w:val="24"/>
          <w:color w:val="auto"/>
        </w:rPr>
      </w:pPr>
    </w:p>
    <w:p>
      <w:pPr>
        <w:ind w:right="360" w:firstLine="619"/>
        <w:spacing w:after="0" w:line="28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6" w:lineRule="exact"/>
        <w:rPr>
          <w:sz w:val="24"/>
          <w:szCs w:val="24"/>
          <w:color w:val="auto"/>
        </w:rPr>
      </w:pPr>
    </w:p>
    <w:p>
      <w:pPr>
        <w:ind w:left="62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53340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85725</wp:posOffset>
            </wp:positionV>
            <wp:extent cx="713867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160"/>
          </w:cols>
          <w:pgMar w:left="320" w:top="1371"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371" w:right="4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t>TWILIO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Quarterly Report on Form 10-Q</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Three Months Ended June 30, 2023</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Page</w:t>
            </w:r>
          </w:p>
        </w:tc>
      </w:tr>
      <w:tr>
        <w:trPr>
          <w:trHeight w:val="149"/>
        </w:trPr>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20" w:type="dxa"/>
            <w:vAlign w:val="bottom"/>
            <w:tcBorders>
              <w:bottom w:val="single" w:sz="8" w:color="0000FF"/>
            </w:tcBorders>
            <w:gridSpan w:val="6"/>
          </w:tcPr>
          <w:p>
            <w:pPr>
              <w:jc w:val="center"/>
              <w:ind w:right="40"/>
              <w:spacing w:after="0" w:line="149" w:lineRule="exact"/>
              <w:rPr>
                <w:sz w:val="20"/>
                <w:szCs w:val="20"/>
                <w:color w:val="auto"/>
              </w:rPr>
            </w:pPr>
            <w:r>
              <w:rPr>
                <w:rFonts w:ascii="Arial" w:cs="Arial" w:eastAsia="Arial" w:hAnsi="Arial"/>
                <w:sz w:val="15"/>
                <w:szCs w:val="15"/>
                <w:b w:val="1"/>
                <w:bCs w:val="1"/>
                <w:color w:val="0000FF"/>
              </w:rPr>
              <w:t>PART I - FINANCIAL INFORMATION</w:t>
            </w:r>
          </w:p>
        </w:tc>
        <w:tc>
          <w:tcPr>
            <w:tcW w:w="3420" w:type="dxa"/>
            <w:vAlign w:val="bottom"/>
            <w:gridSpan w:val="4"/>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509"/>
        </w:trPr>
        <w:tc>
          <w:tcPr>
            <w:tcW w:w="980" w:type="dxa"/>
            <w:vAlign w:val="bottom"/>
            <w:gridSpan w:val="3"/>
          </w:tcPr>
          <w:p>
            <w:pPr>
              <w:spacing w:after="0"/>
              <w:rPr>
                <w:sz w:val="20"/>
                <w:szCs w:val="20"/>
                <w:color w:val="auto"/>
              </w:rPr>
            </w:pPr>
            <w:r>
              <w:rPr>
                <w:rFonts w:ascii="Arial" w:cs="Arial" w:eastAsia="Arial" w:hAnsi="Arial"/>
                <w:sz w:val="17"/>
                <w:szCs w:val="17"/>
                <w:color w:val="0000FF"/>
              </w:rPr>
              <w:t>Item 1.</w:t>
            </w:r>
          </w:p>
        </w:tc>
        <w:tc>
          <w:tcPr>
            <w:tcW w:w="9580" w:type="dxa"/>
            <w:vAlign w:val="bottom"/>
            <w:gridSpan w:val="17"/>
          </w:tcPr>
          <w:p>
            <w:pPr>
              <w:spacing w:after="0"/>
              <w:rPr>
                <w:sz w:val="20"/>
                <w:szCs w:val="20"/>
                <w:color w:val="auto"/>
              </w:rPr>
            </w:pPr>
            <w:r>
              <w:rPr>
                <w:rFonts w:ascii="Arial" w:cs="Arial" w:eastAsia="Arial" w:hAnsi="Arial"/>
                <w:sz w:val="17"/>
                <w:szCs w:val="17"/>
                <w:color w:val="0000FF"/>
              </w:rPr>
              <w:t>Financial Statements (unaudited)</w:t>
            </w:r>
          </w:p>
        </w:tc>
        <w:tc>
          <w:tcPr>
            <w:tcW w:w="100" w:type="dxa"/>
            <w:vAlign w:val="bottom"/>
          </w:tcPr>
          <w:p>
            <w:pPr>
              <w:spacing w:after="0"/>
              <w:rPr>
                <w:sz w:val="20"/>
                <w:szCs w:val="20"/>
                <w:color w:val="auto"/>
              </w:rPr>
            </w:pPr>
            <w:r>
              <w:rPr>
                <w:rFonts w:ascii="Arial" w:cs="Arial" w:eastAsia="Arial" w:hAnsi="Arial"/>
                <w:sz w:val="17"/>
                <w:szCs w:val="17"/>
                <w:color w:val="0000FF"/>
                <w:w w:val="84"/>
              </w:rPr>
              <w:t>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44"/>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0" w:type="dxa"/>
            <w:vAlign w:val="bottom"/>
            <w:tcBorders>
              <w:bottom w:val="single" w:sz="8" w:color="0000FF"/>
            </w:tcBorders>
            <w:gridSpan w:val="12"/>
          </w:tcPr>
          <w:p>
            <w:pPr>
              <w:spacing w:after="0"/>
              <w:rPr>
                <w:sz w:val="20"/>
                <w:szCs w:val="20"/>
                <w:color w:val="auto"/>
              </w:rPr>
            </w:pPr>
            <w:r>
              <w:rPr>
                <w:rFonts w:ascii="Arial" w:cs="Arial" w:eastAsia="Arial" w:hAnsi="Arial"/>
                <w:sz w:val="17"/>
                <w:szCs w:val="17"/>
                <w:color w:val="0000FF"/>
                <w:w w:val="91"/>
              </w:rPr>
              <w:t>Condensed Consolidated Balance Sheets as of June 30, 2023 and December 31, 2022</w:t>
            </w:r>
          </w:p>
        </w:tc>
        <w:tc>
          <w:tcPr>
            <w:tcW w:w="3580" w:type="dxa"/>
            <w:vAlign w:val="bottom"/>
            <w:gridSpan w:val="5"/>
          </w:tcPr>
          <w:p>
            <w:pPr>
              <w:spacing w:after="0"/>
              <w:rPr>
                <w:sz w:val="24"/>
                <w:szCs w:val="24"/>
                <w:color w:val="auto"/>
              </w:rPr>
            </w:pPr>
          </w:p>
        </w:tc>
        <w:tc>
          <w:tcPr>
            <w:tcW w:w="10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4"/>
              </w:rPr>
              <w:t>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44"/>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80" w:type="dxa"/>
            <w:vAlign w:val="bottom"/>
            <w:gridSpan w:val="17"/>
          </w:tcPr>
          <w:p>
            <w:pPr>
              <w:spacing w:after="0"/>
              <w:rPr>
                <w:sz w:val="20"/>
                <w:szCs w:val="20"/>
                <w:color w:val="auto"/>
              </w:rPr>
            </w:pPr>
            <w:r>
              <w:rPr>
                <w:rFonts w:ascii="Arial" w:cs="Arial" w:eastAsia="Arial" w:hAnsi="Arial"/>
                <w:sz w:val="17"/>
                <w:szCs w:val="17"/>
                <w:color w:val="0000FF"/>
              </w:rPr>
              <w:t>Condensed Consolidated Statements of Operations for the Three and Six Months Ended June 30, 2023 and 2022</w:t>
            </w:r>
          </w:p>
        </w:tc>
        <w:tc>
          <w:tcPr>
            <w:tcW w:w="100" w:type="dxa"/>
            <w:vAlign w:val="bottom"/>
          </w:tcPr>
          <w:p>
            <w:pPr>
              <w:spacing w:after="0"/>
              <w:rPr>
                <w:sz w:val="20"/>
                <w:szCs w:val="20"/>
                <w:color w:val="auto"/>
              </w:rPr>
            </w:pPr>
            <w:r>
              <w:rPr>
                <w:rFonts w:ascii="Arial" w:cs="Arial" w:eastAsia="Arial" w:hAnsi="Arial"/>
                <w:sz w:val="17"/>
                <w:szCs w:val="17"/>
                <w:color w:val="0000FF"/>
                <w:w w:val="84"/>
              </w:rPr>
              <w:t>4</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521"/>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80" w:type="dxa"/>
            <w:vAlign w:val="bottom"/>
            <w:gridSpan w:val="17"/>
          </w:tcPr>
          <w:p>
            <w:pPr>
              <w:spacing w:after="0"/>
              <w:rPr>
                <w:sz w:val="20"/>
                <w:szCs w:val="20"/>
                <w:color w:val="auto"/>
              </w:rPr>
            </w:pPr>
            <w:r>
              <w:rPr>
                <w:rFonts w:ascii="Arial" w:cs="Arial" w:eastAsia="Arial" w:hAnsi="Arial"/>
                <w:sz w:val="17"/>
                <w:szCs w:val="17"/>
                <w:color w:val="0000FF"/>
              </w:rPr>
              <w:t>Condensed Consolidated Statements of Comprehensive Loss for the Three and Six Months Ended June 30, 2023 and 2022</w:t>
            </w:r>
          </w:p>
        </w:tc>
        <w:tc>
          <w:tcPr>
            <w:tcW w:w="100" w:type="dxa"/>
            <w:vAlign w:val="bottom"/>
          </w:tcPr>
          <w:p>
            <w:pPr>
              <w:spacing w:after="0"/>
              <w:rPr>
                <w:sz w:val="20"/>
                <w:szCs w:val="20"/>
                <w:color w:val="auto"/>
              </w:rPr>
            </w:pPr>
            <w:r>
              <w:rPr>
                <w:rFonts w:ascii="Arial" w:cs="Arial" w:eastAsia="Arial" w:hAnsi="Arial"/>
                <w:sz w:val="17"/>
                <w:szCs w:val="17"/>
                <w:color w:val="0000FF"/>
                <w:w w:val="84"/>
              </w:rPr>
              <w:t>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44"/>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2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7"/>
                <w:szCs w:val="17"/>
                <w:color w:val="0000FF"/>
                <w:w w:val="90"/>
              </w:rPr>
              <w:t>Condensed Consolidated Statements of Stockholders’ Equity for the Three and Six Months Ended June 30, 2023 and 2022</w:t>
            </w:r>
          </w:p>
        </w:tc>
        <w:tc>
          <w:tcPr>
            <w:tcW w:w="1160" w:type="dxa"/>
            <w:vAlign w:val="bottom"/>
            <w:tcBorders>
              <w:bottom w:val="single" w:sz="8" w:color="0000FF"/>
            </w:tcBorders>
          </w:tcPr>
          <w:p>
            <w:pPr>
              <w:spacing w:after="0"/>
              <w:rPr>
                <w:sz w:val="24"/>
                <w:szCs w:val="24"/>
                <w:color w:val="auto"/>
              </w:rPr>
            </w:pPr>
          </w:p>
        </w:tc>
        <w:tc>
          <w:tcPr>
            <w:tcW w:w="1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7"/>
                <w:szCs w:val="17"/>
                <w:color w:val="0000FF"/>
                <w:w w:val="84"/>
              </w:rPr>
              <w:t>6</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44"/>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80" w:type="dxa"/>
            <w:vAlign w:val="bottom"/>
            <w:tcBorders>
              <w:bottom w:val="single" w:sz="8" w:color="0000FF"/>
            </w:tcBorders>
            <w:gridSpan w:val="17"/>
          </w:tcPr>
          <w:p>
            <w:pPr>
              <w:spacing w:after="0"/>
              <w:rPr>
                <w:sz w:val="20"/>
                <w:szCs w:val="20"/>
                <w:color w:val="auto"/>
              </w:rPr>
            </w:pPr>
            <w:r>
              <w:rPr>
                <w:rFonts w:ascii="Arial" w:cs="Arial" w:eastAsia="Arial" w:hAnsi="Arial"/>
                <w:sz w:val="17"/>
                <w:szCs w:val="17"/>
                <w:color w:val="0000FF"/>
              </w:rPr>
              <w:t>Condensed Consolidated Statements of Cash Flows for the Six Months Ended June 30, 2023 and 2022</w:t>
            </w:r>
          </w:p>
        </w:tc>
        <w:tc>
          <w:tcPr>
            <w:tcW w:w="10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4"/>
              </w:rPr>
              <w:t>8</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44"/>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2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color w:val="0000FF"/>
                <w:w w:val="89"/>
              </w:rPr>
              <w:t>Notes to Condensed Consolidated Financial Statements</w:t>
            </w:r>
          </w:p>
        </w:tc>
        <w:tc>
          <w:tcPr>
            <w:tcW w:w="5760" w:type="dxa"/>
            <w:vAlign w:val="bottom"/>
            <w:gridSpan w:val="8"/>
          </w:tcPr>
          <w:p>
            <w:pPr>
              <w:spacing w:after="0"/>
              <w:rPr>
                <w:sz w:val="24"/>
                <w:szCs w:val="24"/>
                <w:color w:val="auto"/>
              </w:rPr>
            </w:pPr>
          </w:p>
        </w:tc>
        <w:tc>
          <w:tcPr>
            <w:tcW w:w="10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4"/>
              </w:rPr>
              <w:t>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44"/>
        </w:trPr>
        <w:tc>
          <w:tcPr>
            <w:tcW w:w="980" w:type="dxa"/>
            <w:vAlign w:val="bottom"/>
            <w:gridSpan w:val="3"/>
          </w:tcPr>
          <w:p>
            <w:pPr>
              <w:spacing w:after="0"/>
              <w:rPr>
                <w:sz w:val="20"/>
                <w:szCs w:val="20"/>
                <w:color w:val="auto"/>
              </w:rPr>
            </w:pPr>
            <w:r>
              <w:rPr>
                <w:rFonts w:ascii="Arial" w:cs="Arial" w:eastAsia="Arial" w:hAnsi="Arial"/>
                <w:sz w:val="17"/>
                <w:szCs w:val="17"/>
                <w:color w:val="0000FF"/>
              </w:rPr>
              <w:t>Item 2.</w:t>
            </w:r>
          </w:p>
        </w:tc>
        <w:tc>
          <w:tcPr>
            <w:tcW w:w="9580" w:type="dxa"/>
            <w:vAlign w:val="bottom"/>
            <w:gridSpan w:val="17"/>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660" w:type="dxa"/>
            <w:vAlign w:val="bottom"/>
            <w:gridSpan w:val="3"/>
          </w:tcPr>
          <w:p>
            <w:pPr>
              <w:spacing w:after="0"/>
              <w:rPr>
                <w:sz w:val="20"/>
                <w:szCs w:val="20"/>
                <w:color w:val="auto"/>
              </w:rPr>
            </w:pPr>
            <w:r>
              <w:rPr>
                <w:rFonts w:ascii="Arial" w:cs="Arial" w:eastAsia="Arial" w:hAnsi="Arial"/>
                <w:sz w:val="17"/>
                <w:szCs w:val="17"/>
                <w:color w:val="0000FF"/>
              </w:rPr>
              <w:t>27</w:t>
            </w:r>
          </w:p>
        </w:tc>
      </w:tr>
      <w:tr>
        <w:trPr>
          <w:trHeight w:val="20"/>
        </w:trPr>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44"/>
        </w:trPr>
        <w:tc>
          <w:tcPr>
            <w:tcW w:w="980" w:type="dxa"/>
            <w:vAlign w:val="bottom"/>
            <w:gridSpan w:val="3"/>
          </w:tcPr>
          <w:p>
            <w:pPr>
              <w:spacing w:after="0"/>
              <w:rPr>
                <w:sz w:val="20"/>
                <w:szCs w:val="20"/>
                <w:color w:val="auto"/>
              </w:rPr>
            </w:pPr>
            <w:r>
              <w:rPr>
                <w:rFonts w:ascii="Arial" w:cs="Arial" w:eastAsia="Arial" w:hAnsi="Arial"/>
                <w:sz w:val="17"/>
                <w:szCs w:val="17"/>
                <w:color w:val="0000FF"/>
              </w:rPr>
              <w:t>Item 3.</w:t>
            </w:r>
          </w:p>
        </w:tc>
        <w:tc>
          <w:tcPr>
            <w:tcW w:w="9580" w:type="dxa"/>
            <w:vAlign w:val="bottom"/>
            <w:gridSpan w:val="17"/>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660" w:type="dxa"/>
            <w:vAlign w:val="bottom"/>
            <w:gridSpan w:val="3"/>
          </w:tcPr>
          <w:p>
            <w:pPr>
              <w:spacing w:after="0"/>
              <w:rPr>
                <w:sz w:val="20"/>
                <w:szCs w:val="20"/>
                <w:color w:val="auto"/>
              </w:rPr>
            </w:pPr>
            <w:r>
              <w:rPr>
                <w:rFonts w:ascii="Arial" w:cs="Arial" w:eastAsia="Arial" w:hAnsi="Arial"/>
                <w:sz w:val="17"/>
                <w:szCs w:val="17"/>
                <w:color w:val="0000FF"/>
              </w:rPr>
              <w:t>45</w:t>
            </w:r>
          </w:p>
        </w:tc>
      </w:tr>
      <w:tr>
        <w:trPr>
          <w:trHeight w:val="20"/>
        </w:trPr>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44"/>
        </w:trPr>
        <w:tc>
          <w:tcPr>
            <w:tcW w:w="980" w:type="dxa"/>
            <w:vAlign w:val="bottom"/>
            <w:gridSpan w:val="3"/>
          </w:tcPr>
          <w:p>
            <w:pPr>
              <w:spacing w:after="0"/>
              <w:rPr>
                <w:sz w:val="20"/>
                <w:szCs w:val="20"/>
                <w:color w:val="auto"/>
              </w:rPr>
            </w:pPr>
            <w:r>
              <w:rPr>
                <w:rFonts w:ascii="Arial" w:cs="Arial" w:eastAsia="Arial" w:hAnsi="Arial"/>
                <w:sz w:val="17"/>
                <w:szCs w:val="17"/>
                <w:color w:val="0000FF"/>
              </w:rPr>
              <w:t>Item 4.</w:t>
            </w:r>
          </w:p>
        </w:tc>
        <w:tc>
          <w:tcPr>
            <w:tcW w:w="9580" w:type="dxa"/>
            <w:vAlign w:val="bottom"/>
            <w:gridSpan w:val="17"/>
          </w:tcPr>
          <w:p>
            <w:pPr>
              <w:spacing w:after="0"/>
              <w:rPr>
                <w:sz w:val="20"/>
                <w:szCs w:val="20"/>
                <w:color w:val="auto"/>
              </w:rPr>
            </w:pPr>
            <w:r>
              <w:rPr>
                <w:rFonts w:ascii="Arial" w:cs="Arial" w:eastAsia="Arial" w:hAnsi="Arial"/>
                <w:sz w:val="17"/>
                <w:szCs w:val="17"/>
                <w:color w:val="0000FF"/>
              </w:rPr>
              <w:t>Controls and Procedures</w:t>
            </w:r>
          </w:p>
        </w:tc>
        <w:tc>
          <w:tcPr>
            <w:tcW w:w="660" w:type="dxa"/>
            <w:vAlign w:val="bottom"/>
            <w:gridSpan w:val="3"/>
          </w:tcPr>
          <w:p>
            <w:pPr>
              <w:spacing w:after="0"/>
              <w:rPr>
                <w:sz w:val="20"/>
                <w:szCs w:val="20"/>
                <w:color w:val="auto"/>
              </w:rPr>
            </w:pPr>
            <w:r>
              <w:rPr>
                <w:rFonts w:ascii="Arial" w:cs="Arial" w:eastAsia="Arial" w:hAnsi="Arial"/>
                <w:sz w:val="17"/>
                <w:szCs w:val="17"/>
                <w:color w:val="0000FF"/>
              </w:rPr>
              <w:t>46</w:t>
            </w:r>
          </w:p>
        </w:tc>
      </w:tr>
      <w:tr>
        <w:trPr>
          <w:trHeight w:val="431"/>
        </w:trPr>
        <w:tc>
          <w:tcPr>
            <w:tcW w:w="4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Borders>
              <w:bottom w:val="single" w:sz="8" w:color="0000FF"/>
            </w:tcBorders>
            <w:gridSpan w:val="4"/>
          </w:tcPr>
          <w:p>
            <w:pPr>
              <w:jc w:val="center"/>
              <w:spacing w:after="0"/>
              <w:rPr>
                <w:sz w:val="20"/>
                <w:szCs w:val="20"/>
                <w:color w:val="auto"/>
              </w:rPr>
            </w:pPr>
            <w:r>
              <w:rPr>
                <w:rFonts w:ascii="Arial" w:cs="Arial" w:eastAsia="Arial" w:hAnsi="Arial"/>
                <w:sz w:val="15"/>
                <w:szCs w:val="15"/>
                <w:b w:val="1"/>
                <w:bCs w:val="1"/>
                <w:color w:val="0000FF"/>
              </w:rPr>
              <w:t>PART II - OTHER INFORMATION</w:t>
            </w:r>
          </w:p>
        </w:tc>
        <w:tc>
          <w:tcPr>
            <w:tcW w:w="3580" w:type="dxa"/>
            <w:vAlign w:val="bottom"/>
            <w:gridSpan w:val="5"/>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r>
      <w:tr>
        <w:trPr>
          <w:trHeight w:val="431"/>
        </w:trPr>
        <w:tc>
          <w:tcPr>
            <w:tcW w:w="980" w:type="dxa"/>
            <w:vAlign w:val="bottom"/>
            <w:gridSpan w:val="3"/>
          </w:tcPr>
          <w:p>
            <w:pPr>
              <w:spacing w:after="0"/>
              <w:rPr>
                <w:sz w:val="20"/>
                <w:szCs w:val="20"/>
                <w:color w:val="auto"/>
              </w:rPr>
            </w:pPr>
            <w:r>
              <w:rPr>
                <w:rFonts w:ascii="Arial" w:cs="Arial" w:eastAsia="Arial" w:hAnsi="Arial"/>
                <w:sz w:val="17"/>
                <w:szCs w:val="17"/>
                <w:color w:val="0000FF"/>
              </w:rPr>
              <w:t>Item 1.</w:t>
            </w:r>
          </w:p>
        </w:tc>
        <w:tc>
          <w:tcPr>
            <w:tcW w:w="9580" w:type="dxa"/>
            <w:vAlign w:val="bottom"/>
            <w:gridSpan w:val="17"/>
          </w:tcPr>
          <w:p>
            <w:pPr>
              <w:spacing w:after="0"/>
              <w:rPr>
                <w:sz w:val="20"/>
                <w:szCs w:val="20"/>
                <w:color w:val="auto"/>
              </w:rPr>
            </w:pPr>
            <w:r>
              <w:rPr>
                <w:rFonts w:ascii="Arial" w:cs="Arial" w:eastAsia="Arial" w:hAnsi="Arial"/>
                <w:sz w:val="17"/>
                <w:szCs w:val="17"/>
                <w:color w:val="0000FF"/>
              </w:rPr>
              <w:t>Legal Proceedings</w:t>
            </w:r>
          </w:p>
        </w:tc>
        <w:tc>
          <w:tcPr>
            <w:tcW w:w="660" w:type="dxa"/>
            <w:vAlign w:val="bottom"/>
            <w:gridSpan w:val="3"/>
          </w:tcPr>
          <w:p>
            <w:pPr>
              <w:spacing w:after="0"/>
              <w:rPr>
                <w:sz w:val="20"/>
                <w:szCs w:val="20"/>
                <w:color w:val="auto"/>
              </w:rPr>
            </w:pPr>
            <w:r>
              <w:rPr>
                <w:rFonts w:ascii="Arial" w:cs="Arial" w:eastAsia="Arial" w:hAnsi="Arial"/>
                <w:sz w:val="17"/>
                <w:szCs w:val="17"/>
                <w:color w:val="0000FF"/>
              </w:rPr>
              <w:t>47</w:t>
            </w:r>
          </w:p>
        </w:tc>
      </w:tr>
      <w:tr>
        <w:trPr>
          <w:trHeight w:val="20"/>
        </w:trPr>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920" w:type="dxa"/>
            <w:vAlign w:val="bottom"/>
            <w:tcBorders>
              <w:left w:val="single" w:sz="8" w:color="0000FF"/>
            </w:tcBorders>
            <w:gridSpan w:val="6"/>
          </w:tcPr>
          <w:p>
            <w:pPr>
              <w:spacing w:after="0" w:line="20" w:lineRule="exact"/>
              <w:rPr>
                <w:sz w:val="1"/>
                <w:szCs w:val="1"/>
                <w:color w:val="auto"/>
              </w:rPr>
            </w:pPr>
          </w:p>
        </w:tc>
        <w:tc>
          <w:tcPr>
            <w:tcW w:w="5400" w:type="dxa"/>
            <w:vAlign w:val="bottom"/>
            <w:gridSpan w:val="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44"/>
        </w:trPr>
        <w:tc>
          <w:tcPr>
            <w:tcW w:w="62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4"/>
              </w:rPr>
              <w:t>Item 1A.</w:t>
            </w:r>
          </w:p>
        </w:tc>
        <w:tc>
          <w:tcPr>
            <w:tcW w:w="360" w:type="dxa"/>
            <w:vAlign w:val="bottom"/>
          </w:tcPr>
          <w:p>
            <w:pPr>
              <w:spacing w:after="0"/>
              <w:rPr>
                <w:sz w:val="24"/>
                <w:szCs w:val="24"/>
                <w:color w:val="auto"/>
              </w:rPr>
            </w:pPr>
          </w:p>
        </w:tc>
        <w:tc>
          <w:tcPr>
            <w:tcW w:w="88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0"/>
              </w:rPr>
              <w:t>Risk Factors</w:t>
            </w:r>
          </w:p>
        </w:tc>
        <w:tc>
          <w:tcPr>
            <w:tcW w:w="8700" w:type="dxa"/>
            <w:vAlign w:val="bottom"/>
            <w:gridSpan w:val="14"/>
          </w:tcPr>
          <w:p>
            <w:pPr>
              <w:spacing w:after="0"/>
              <w:rPr>
                <w:sz w:val="24"/>
                <w:szCs w:val="24"/>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84"/>
              </w:rPr>
              <w:t>47</w:t>
            </w:r>
          </w:p>
        </w:tc>
        <w:tc>
          <w:tcPr>
            <w:tcW w:w="480" w:type="dxa"/>
            <w:vAlign w:val="bottom"/>
          </w:tcPr>
          <w:p>
            <w:pPr>
              <w:spacing w:after="0"/>
              <w:rPr>
                <w:sz w:val="24"/>
                <w:szCs w:val="24"/>
                <w:color w:val="auto"/>
              </w:rPr>
            </w:pPr>
          </w:p>
        </w:tc>
      </w:tr>
      <w:tr>
        <w:trPr>
          <w:trHeight w:val="444"/>
        </w:trPr>
        <w:tc>
          <w:tcPr>
            <w:tcW w:w="98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rPr>
              <w:t>Item 2.</w:t>
            </w:r>
          </w:p>
        </w:tc>
        <w:tc>
          <w:tcPr>
            <w:tcW w:w="4180" w:type="dxa"/>
            <w:vAlign w:val="bottom"/>
            <w:tcBorders>
              <w:bottom w:val="single" w:sz="8" w:color="0000FF"/>
            </w:tcBorders>
            <w:gridSpan w:val="10"/>
          </w:tcPr>
          <w:p>
            <w:pPr>
              <w:spacing w:after="0"/>
              <w:rPr>
                <w:sz w:val="20"/>
                <w:szCs w:val="20"/>
                <w:color w:val="auto"/>
              </w:rPr>
            </w:pPr>
            <w:r>
              <w:rPr>
                <w:rFonts w:ascii="Arial" w:cs="Arial" w:eastAsia="Arial" w:hAnsi="Arial"/>
                <w:sz w:val="17"/>
                <w:szCs w:val="17"/>
                <w:color w:val="0000FF"/>
                <w:w w:val="90"/>
              </w:rPr>
              <w:t>Unregistered Sales of Equity Securities and Use of Proceeds</w:t>
            </w:r>
          </w:p>
        </w:tc>
        <w:tc>
          <w:tcPr>
            <w:tcW w:w="5400" w:type="dxa"/>
            <w:vAlign w:val="bottom"/>
            <w:gridSpan w:val="7"/>
          </w:tcPr>
          <w:p>
            <w:pPr>
              <w:spacing w:after="0"/>
              <w:rPr>
                <w:sz w:val="24"/>
                <w:szCs w:val="24"/>
                <w:color w:val="auto"/>
              </w:rPr>
            </w:pPr>
          </w:p>
        </w:tc>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rPr>
              <w:t>81</w:t>
            </w:r>
          </w:p>
        </w:tc>
      </w:tr>
      <w:tr>
        <w:trPr>
          <w:trHeight w:val="444"/>
        </w:trPr>
        <w:tc>
          <w:tcPr>
            <w:tcW w:w="980" w:type="dxa"/>
            <w:vAlign w:val="bottom"/>
            <w:gridSpan w:val="3"/>
          </w:tcPr>
          <w:p>
            <w:pPr>
              <w:spacing w:after="0"/>
              <w:rPr>
                <w:sz w:val="20"/>
                <w:szCs w:val="20"/>
                <w:color w:val="auto"/>
              </w:rPr>
            </w:pPr>
            <w:r>
              <w:rPr>
                <w:rFonts w:ascii="Arial" w:cs="Arial" w:eastAsia="Arial" w:hAnsi="Arial"/>
                <w:sz w:val="17"/>
                <w:szCs w:val="17"/>
                <w:color w:val="0000FF"/>
              </w:rPr>
              <w:t>Item 5.</w:t>
            </w:r>
          </w:p>
        </w:tc>
        <w:tc>
          <w:tcPr>
            <w:tcW w:w="9580" w:type="dxa"/>
            <w:vAlign w:val="bottom"/>
            <w:gridSpan w:val="17"/>
          </w:tcPr>
          <w:p>
            <w:pPr>
              <w:spacing w:after="0"/>
              <w:rPr>
                <w:sz w:val="20"/>
                <w:szCs w:val="20"/>
                <w:color w:val="auto"/>
              </w:rPr>
            </w:pPr>
            <w:r>
              <w:rPr>
                <w:rFonts w:ascii="Arial" w:cs="Arial" w:eastAsia="Arial" w:hAnsi="Arial"/>
                <w:sz w:val="17"/>
                <w:szCs w:val="17"/>
                <w:color w:val="0000FF"/>
              </w:rPr>
              <w:t>Other Information</w:t>
            </w:r>
          </w:p>
        </w:tc>
        <w:tc>
          <w:tcPr>
            <w:tcW w:w="660" w:type="dxa"/>
            <w:vAlign w:val="bottom"/>
            <w:gridSpan w:val="3"/>
          </w:tcPr>
          <w:p>
            <w:pPr>
              <w:spacing w:after="0"/>
              <w:rPr>
                <w:sz w:val="20"/>
                <w:szCs w:val="20"/>
                <w:color w:val="auto"/>
              </w:rPr>
            </w:pPr>
            <w:r>
              <w:rPr>
                <w:rFonts w:ascii="Arial" w:cs="Arial" w:eastAsia="Arial" w:hAnsi="Arial"/>
                <w:sz w:val="17"/>
                <w:szCs w:val="17"/>
                <w:color w:val="0000FF"/>
              </w:rPr>
              <w:t>82</w:t>
            </w:r>
          </w:p>
        </w:tc>
      </w:tr>
      <w:tr>
        <w:trPr>
          <w:trHeight w:val="20"/>
        </w:trPr>
        <w:tc>
          <w:tcPr>
            <w:tcW w:w="4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320" w:type="dxa"/>
            <w:vAlign w:val="bottom"/>
            <w:gridSpan w:val="1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44"/>
        </w:trPr>
        <w:tc>
          <w:tcPr>
            <w:tcW w:w="980" w:type="dxa"/>
            <w:vAlign w:val="bottom"/>
            <w:gridSpan w:val="3"/>
          </w:tcPr>
          <w:p>
            <w:pPr>
              <w:spacing w:after="0"/>
              <w:rPr>
                <w:sz w:val="20"/>
                <w:szCs w:val="20"/>
                <w:color w:val="auto"/>
              </w:rPr>
            </w:pPr>
            <w:r>
              <w:rPr>
                <w:rFonts w:ascii="Arial" w:cs="Arial" w:eastAsia="Arial" w:hAnsi="Arial"/>
                <w:sz w:val="17"/>
                <w:szCs w:val="17"/>
                <w:color w:val="0000FF"/>
              </w:rPr>
              <w:t>Item 6.</w:t>
            </w:r>
          </w:p>
        </w:tc>
        <w:tc>
          <w:tcPr>
            <w:tcW w:w="9580" w:type="dxa"/>
            <w:vAlign w:val="bottom"/>
            <w:gridSpan w:val="17"/>
          </w:tcPr>
          <w:p>
            <w:pPr>
              <w:spacing w:after="0"/>
              <w:rPr>
                <w:sz w:val="20"/>
                <w:szCs w:val="20"/>
                <w:color w:val="auto"/>
              </w:rPr>
            </w:pPr>
            <w:r>
              <w:rPr>
                <w:rFonts w:ascii="Arial" w:cs="Arial" w:eastAsia="Arial" w:hAnsi="Arial"/>
                <w:sz w:val="17"/>
                <w:szCs w:val="17"/>
                <w:color w:val="0000FF"/>
              </w:rPr>
              <w:t>Exhibits</w:t>
            </w:r>
          </w:p>
        </w:tc>
        <w:tc>
          <w:tcPr>
            <w:tcW w:w="660" w:type="dxa"/>
            <w:vAlign w:val="bottom"/>
            <w:gridSpan w:val="3"/>
          </w:tcPr>
          <w:p>
            <w:pPr>
              <w:spacing w:after="0"/>
              <w:rPr>
                <w:sz w:val="20"/>
                <w:szCs w:val="20"/>
                <w:color w:val="auto"/>
              </w:rPr>
            </w:pPr>
            <w:r>
              <w:rPr>
                <w:rFonts w:ascii="Arial" w:cs="Arial" w:eastAsia="Arial" w:hAnsi="Arial"/>
                <w:sz w:val="17"/>
                <w:szCs w:val="17"/>
                <w:color w:val="0000FF"/>
              </w:rPr>
              <w:t>82</w:t>
            </w:r>
          </w:p>
        </w:tc>
      </w:tr>
      <w:tr>
        <w:trPr>
          <w:trHeight w:val="20"/>
        </w:trPr>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40" w:type="dxa"/>
            <w:vAlign w:val="bottom"/>
            <w:gridSpan w:val="1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44"/>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88"/>
              </w:rPr>
              <w:t>Signatures</w:t>
            </w:r>
          </w:p>
        </w:tc>
        <w:tc>
          <w:tcPr>
            <w:tcW w:w="8840" w:type="dxa"/>
            <w:vAlign w:val="bottom"/>
            <w:gridSpan w:val="15"/>
          </w:tcPr>
          <w:p>
            <w:pPr>
              <w:spacing w:after="0"/>
              <w:rPr>
                <w:sz w:val="24"/>
                <w:szCs w:val="24"/>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84"/>
              </w:rPr>
              <w:t>83</w:t>
            </w:r>
          </w:p>
        </w:tc>
        <w:tc>
          <w:tcPr>
            <w:tcW w:w="4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56"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Financial Statements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TWILIO INC.</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68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As of June 30,</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w w:val="93"/>
              </w:rPr>
              <w:t>As of December 31,</w:t>
            </w:r>
          </w:p>
        </w:tc>
        <w:tc>
          <w:tcPr>
            <w:tcW w:w="0" w:type="dxa"/>
            <w:vAlign w:val="bottom"/>
          </w:tcPr>
          <w:p>
            <w:pPr>
              <w:spacing w:after="0"/>
              <w:rPr>
                <w:sz w:val="1"/>
                <w:szCs w:val="1"/>
                <w:color w:val="auto"/>
              </w:rPr>
            </w:pPr>
          </w:p>
        </w:tc>
      </w:tr>
      <w:tr>
        <w:trPr>
          <w:trHeight w:val="200"/>
        </w:trPr>
        <w:tc>
          <w:tcPr>
            <w:tcW w:w="68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823"/>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823"/>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179"/>
        </w:trPr>
        <w:tc>
          <w:tcPr>
            <w:tcW w:w="6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80" w:type="dxa"/>
            <w:vAlign w:val="bottom"/>
            <w:gridSpan w:val="3"/>
          </w:tcPr>
          <w:p>
            <w:pPr>
              <w:jc w:val="right"/>
              <w:ind w:right="40"/>
              <w:spacing w:after="0"/>
              <w:rPr>
                <w:sz w:val="20"/>
                <w:szCs w:val="20"/>
                <w:color w:val="auto"/>
              </w:rPr>
            </w:pPr>
            <w:r>
              <w:rPr>
                <w:rFonts w:ascii="Arial" w:cs="Arial" w:eastAsia="Arial" w:hAnsi="Arial"/>
                <w:sz w:val="14"/>
                <w:szCs w:val="14"/>
                <w:color w:val="auto"/>
              </w:rPr>
              <w:t>(In thousands)</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Cash and cash equivalents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675,081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651,752</w:t>
            </w:r>
          </w:p>
        </w:tc>
        <w:tc>
          <w:tcPr>
            <w:tcW w:w="0" w:type="dxa"/>
            <w:vAlign w:val="bottom"/>
          </w:tcPr>
          <w:p>
            <w:pPr>
              <w:spacing w:after="0"/>
              <w:rPr>
                <w:sz w:val="1"/>
                <w:szCs w:val="1"/>
                <w:color w:val="auto"/>
              </w:rPr>
            </w:pPr>
          </w:p>
        </w:tc>
      </w:tr>
      <w:tr>
        <w:trPr>
          <w:trHeight w:val="203"/>
        </w:trPr>
        <w:tc>
          <w:tcPr>
            <w:tcW w:w="6820" w:type="dxa"/>
            <w:vAlign w:val="bottom"/>
          </w:tcPr>
          <w:p>
            <w:pPr>
              <w:ind w:left="200"/>
              <w:spacing w:after="0"/>
              <w:rPr>
                <w:sz w:val="20"/>
                <w:szCs w:val="20"/>
                <w:color w:val="auto"/>
              </w:rPr>
            </w:pPr>
            <w:r>
              <w:rPr>
                <w:rFonts w:ascii="Arial" w:cs="Arial" w:eastAsia="Arial" w:hAnsi="Arial"/>
                <w:sz w:val="15"/>
                <w:szCs w:val="15"/>
                <w:color w:val="auto"/>
              </w:rPr>
              <w:t>Short-term marketable securities</w:t>
            </w:r>
          </w:p>
        </w:tc>
        <w:tc>
          <w:tcPr>
            <w:tcW w:w="3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3,008,887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3,503,317</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Accounts receivable, net</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599,806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547,507</w:t>
            </w:r>
          </w:p>
        </w:tc>
        <w:tc>
          <w:tcPr>
            <w:tcW w:w="0" w:type="dxa"/>
            <w:vAlign w:val="bottom"/>
          </w:tcPr>
          <w:p>
            <w:pPr>
              <w:spacing w:after="0"/>
              <w:rPr>
                <w:sz w:val="1"/>
                <w:szCs w:val="1"/>
                <w:color w:val="auto"/>
              </w:rPr>
            </w:pPr>
          </w:p>
        </w:tc>
      </w:tr>
      <w:tr>
        <w:trPr>
          <w:trHeight w:val="203"/>
        </w:trPr>
        <w:tc>
          <w:tcPr>
            <w:tcW w:w="6820" w:type="dxa"/>
            <w:vAlign w:val="bottom"/>
          </w:tcPr>
          <w:p>
            <w:pPr>
              <w:ind w:left="200"/>
              <w:spacing w:after="0"/>
              <w:rPr>
                <w:sz w:val="20"/>
                <w:szCs w:val="20"/>
                <w:color w:val="auto"/>
              </w:rPr>
            </w:pPr>
            <w:r>
              <w:rPr>
                <w:rFonts w:ascii="Arial" w:cs="Arial" w:eastAsia="Arial" w:hAnsi="Arial"/>
                <w:sz w:val="15"/>
                <w:szCs w:val="15"/>
                <w:color w:val="auto"/>
              </w:rPr>
              <w:t>Prepaid expenses and other current assets</w:t>
            </w:r>
          </w:p>
        </w:tc>
        <w:tc>
          <w:tcPr>
            <w:tcW w:w="3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315,059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281,510</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Assets held for sale</w:t>
            </w:r>
          </w:p>
        </w:tc>
        <w:tc>
          <w:tcPr>
            <w:tcW w:w="3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65,667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6820" w:type="dxa"/>
            <w:vAlign w:val="bottom"/>
          </w:tcPr>
          <w:p>
            <w:pPr>
              <w:ind w:left="440"/>
              <w:spacing w:after="0"/>
              <w:rPr>
                <w:sz w:val="20"/>
                <w:szCs w:val="20"/>
                <w:color w:val="auto"/>
              </w:rPr>
            </w:pPr>
            <w:r>
              <w:rPr>
                <w:rFonts w:ascii="Arial" w:cs="Arial" w:eastAsia="Arial" w:hAnsi="Arial"/>
                <w:sz w:val="15"/>
                <w:szCs w:val="15"/>
                <w:color w:val="auto"/>
              </w:rPr>
              <w:t>Total current assets</w:t>
            </w:r>
          </w:p>
        </w:tc>
        <w:tc>
          <w:tcPr>
            <w:tcW w:w="3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4,664,500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4,984,086</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Property and equipment, net</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235,392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263,979</w:t>
            </w:r>
          </w:p>
        </w:tc>
        <w:tc>
          <w:tcPr>
            <w:tcW w:w="0" w:type="dxa"/>
            <w:vAlign w:val="bottom"/>
          </w:tcPr>
          <w:p>
            <w:pPr>
              <w:spacing w:after="0"/>
              <w:rPr>
                <w:sz w:val="1"/>
                <w:szCs w:val="1"/>
                <w:color w:val="auto"/>
              </w:rPr>
            </w:pPr>
          </w:p>
        </w:tc>
      </w:tr>
      <w:tr>
        <w:trPr>
          <w:trHeight w:val="203"/>
        </w:trPr>
        <w:tc>
          <w:tcPr>
            <w:tcW w:w="6820" w:type="dxa"/>
            <w:vAlign w:val="bottom"/>
          </w:tcPr>
          <w:p>
            <w:pPr>
              <w:ind w:left="200"/>
              <w:spacing w:after="0"/>
              <w:rPr>
                <w:sz w:val="20"/>
                <w:szCs w:val="20"/>
                <w:color w:val="auto"/>
              </w:rPr>
            </w:pPr>
            <w:r>
              <w:rPr>
                <w:rFonts w:ascii="Arial" w:cs="Arial" w:eastAsia="Arial" w:hAnsi="Arial"/>
                <w:sz w:val="15"/>
                <w:szCs w:val="15"/>
                <w:color w:val="auto"/>
              </w:rPr>
              <w:t>Operating right-of-use assets</w:t>
            </w:r>
          </w:p>
        </w:tc>
        <w:tc>
          <w:tcPr>
            <w:tcW w:w="3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86,193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121,341</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Equity method investment</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656,940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699,911</w:t>
            </w:r>
          </w:p>
        </w:tc>
        <w:tc>
          <w:tcPr>
            <w:tcW w:w="0" w:type="dxa"/>
            <w:vAlign w:val="bottom"/>
          </w:tcPr>
          <w:p>
            <w:pPr>
              <w:spacing w:after="0"/>
              <w:rPr>
                <w:sz w:val="1"/>
                <w:szCs w:val="1"/>
                <w:color w:val="auto"/>
              </w:rPr>
            </w:pPr>
          </w:p>
        </w:tc>
      </w:tr>
      <w:tr>
        <w:trPr>
          <w:trHeight w:val="203"/>
        </w:trPr>
        <w:tc>
          <w:tcPr>
            <w:tcW w:w="6820" w:type="dxa"/>
            <w:vAlign w:val="bottom"/>
          </w:tcPr>
          <w:p>
            <w:pPr>
              <w:ind w:left="200"/>
              <w:spacing w:after="0"/>
              <w:rPr>
                <w:sz w:val="20"/>
                <w:szCs w:val="20"/>
                <w:color w:val="auto"/>
              </w:rPr>
            </w:pPr>
            <w:r>
              <w:rPr>
                <w:rFonts w:ascii="Arial" w:cs="Arial" w:eastAsia="Arial" w:hAnsi="Arial"/>
                <w:sz w:val="15"/>
                <w:szCs w:val="15"/>
                <w:color w:val="auto"/>
              </w:rPr>
              <w:t>Intangible assets, net</w:t>
            </w:r>
          </w:p>
        </w:tc>
        <w:tc>
          <w:tcPr>
            <w:tcW w:w="3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727,644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849,935</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Goodwill</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5,243,266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5,284,153</w:t>
            </w:r>
          </w:p>
        </w:tc>
        <w:tc>
          <w:tcPr>
            <w:tcW w:w="0" w:type="dxa"/>
            <w:vAlign w:val="bottom"/>
          </w:tcPr>
          <w:p>
            <w:pPr>
              <w:spacing w:after="0"/>
              <w:rPr>
                <w:sz w:val="1"/>
                <w:szCs w:val="1"/>
                <w:color w:val="auto"/>
              </w:rPr>
            </w:pPr>
          </w:p>
        </w:tc>
      </w:tr>
      <w:tr>
        <w:trPr>
          <w:trHeight w:val="193"/>
        </w:trPr>
        <w:tc>
          <w:tcPr>
            <w:tcW w:w="6820" w:type="dxa"/>
            <w:vAlign w:val="bottom"/>
          </w:tcPr>
          <w:p>
            <w:pPr>
              <w:ind w:left="200"/>
              <w:spacing w:after="0"/>
              <w:rPr>
                <w:sz w:val="20"/>
                <w:szCs w:val="20"/>
                <w:color w:val="auto"/>
              </w:rPr>
            </w:pPr>
            <w:r>
              <w:rPr>
                <w:rFonts w:ascii="Arial" w:cs="Arial" w:eastAsia="Arial" w:hAnsi="Arial"/>
                <w:sz w:val="15"/>
                <w:szCs w:val="15"/>
                <w:color w:val="auto"/>
              </w:rPr>
              <w:t>Other long-term assets</w:t>
            </w: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290,551</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360,899</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 assets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11,904,486</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12,564,304</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LIABILITIES AND STOCKHOLDERS'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8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200"/>
              <w:spacing w:after="0"/>
              <w:rPr>
                <w:sz w:val="20"/>
                <w:szCs w:val="20"/>
                <w:color w:val="auto"/>
              </w:rPr>
            </w:pPr>
            <w:r>
              <w:rPr>
                <w:rFonts w:ascii="Arial" w:cs="Arial" w:eastAsia="Arial" w:hAnsi="Arial"/>
                <w:sz w:val="15"/>
                <w:szCs w:val="15"/>
                <w:color w:val="auto"/>
              </w:rPr>
              <w:t>Accounts payable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780" w:type="dxa"/>
            <w:vAlign w:val="bottom"/>
          </w:tcPr>
          <w:p>
            <w:pPr>
              <w:jc w:val="right"/>
              <w:spacing w:after="0"/>
              <w:rPr>
                <w:sz w:val="20"/>
                <w:szCs w:val="20"/>
                <w:color w:val="auto"/>
              </w:rPr>
            </w:pPr>
            <w:r>
              <w:rPr>
                <w:rFonts w:ascii="Arial" w:cs="Arial" w:eastAsia="Arial" w:hAnsi="Arial"/>
                <w:sz w:val="15"/>
                <w:szCs w:val="15"/>
                <w:color w:val="auto"/>
              </w:rPr>
              <w:t>93,500</w:t>
            </w:r>
          </w:p>
        </w:tc>
        <w:tc>
          <w:tcPr>
            <w:tcW w:w="5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124,605</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Accrued expenses and other current liabilities</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448,705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490,221</w:t>
            </w:r>
          </w:p>
        </w:tc>
        <w:tc>
          <w:tcPr>
            <w:tcW w:w="0" w:type="dxa"/>
            <w:vAlign w:val="bottom"/>
          </w:tcPr>
          <w:p>
            <w:pPr>
              <w:spacing w:after="0"/>
              <w:rPr>
                <w:sz w:val="1"/>
                <w:szCs w:val="1"/>
                <w:color w:val="auto"/>
              </w:rPr>
            </w:pPr>
          </w:p>
        </w:tc>
      </w:tr>
      <w:tr>
        <w:trPr>
          <w:trHeight w:val="203"/>
        </w:trPr>
        <w:tc>
          <w:tcPr>
            <w:tcW w:w="6820" w:type="dxa"/>
            <w:vAlign w:val="bottom"/>
          </w:tcPr>
          <w:p>
            <w:pPr>
              <w:ind w:left="200"/>
              <w:spacing w:after="0"/>
              <w:rPr>
                <w:sz w:val="20"/>
                <w:szCs w:val="20"/>
                <w:color w:val="auto"/>
              </w:rPr>
            </w:pPr>
            <w:r>
              <w:rPr>
                <w:rFonts w:ascii="Arial" w:cs="Arial" w:eastAsia="Arial" w:hAnsi="Arial"/>
                <w:sz w:val="15"/>
                <w:szCs w:val="15"/>
                <w:color w:val="auto"/>
              </w:rPr>
              <w:t>Deferred revenue and customer deposits</w:t>
            </w:r>
          </w:p>
        </w:tc>
        <w:tc>
          <w:tcPr>
            <w:tcW w:w="3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139,434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139,110</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Operating lease liability, current</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53,089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54,222</w:t>
            </w:r>
          </w:p>
        </w:tc>
        <w:tc>
          <w:tcPr>
            <w:tcW w:w="0" w:type="dxa"/>
            <w:vAlign w:val="bottom"/>
          </w:tcPr>
          <w:p>
            <w:pPr>
              <w:spacing w:after="0"/>
              <w:rPr>
                <w:sz w:val="1"/>
                <w:szCs w:val="1"/>
                <w:color w:val="auto"/>
              </w:rPr>
            </w:pPr>
          </w:p>
        </w:tc>
      </w:tr>
      <w:tr>
        <w:trPr>
          <w:trHeight w:val="203"/>
        </w:trPr>
        <w:tc>
          <w:tcPr>
            <w:tcW w:w="68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Liabilities held for sale</w:t>
            </w: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25,075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 current liabilities</w:t>
            </w: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759,803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808,158</w:t>
            </w:r>
          </w:p>
        </w:tc>
        <w:tc>
          <w:tcPr>
            <w:tcW w:w="0" w:type="dxa"/>
            <w:vAlign w:val="bottom"/>
          </w:tcPr>
          <w:p>
            <w:pPr>
              <w:spacing w:after="0"/>
              <w:rPr>
                <w:sz w:val="1"/>
                <w:szCs w:val="1"/>
                <w:color w:val="auto"/>
              </w:rPr>
            </w:pPr>
          </w:p>
        </w:tc>
      </w:tr>
      <w:tr>
        <w:trPr>
          <w:trHeight w:val="203"/>
        </w:trPr>
        <w:tc>
          <w:tcPr>
            <w:tcW w:w="6820" w:type="dxa"/>
            <w:vAlign w:val="bottom"/>
          </w:tcPr>
          <w:p>
            <w:pPr>
              <w:ind w:left="200"/>
              <w:spacing w:after="0"/>
              <w:rPr>
                <w:sz w:val="20"/>
                <w:szCs w:val="20"/>
                <w:color w:val="auto"/>
              </w:rPr>
            </w:pPr>
            <w:r>
              <w:rPr>
                <w:rFonts w:ascii="Arial" w:cs="Arial" w:eastAsia="Arial" w:hAnsi="Arial"/>
                <w:sz w:val="15"/>
                <w:szCs w:val="15"/>
                <w:color w:val="auto"/>
              </w:rPr>
              <w:t>Operating lease liability, noncurrent</w:t>
            </w:r>
          </w:p>
        </w:tc>
        <w:tc>
          <w:tcPr>
            <w:tcW w:w="3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146,301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164,551</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Finance lease liability, noncurrent</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14,469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21,290</w:t>
            </w:r>
          </w:p>
        </w:tc>
        <w:tc>
          <w:tcPr>
            <w:tcW w:w="0" w:type="dxa"/>
            <w:vAlign w:val="bottom"/>
          </w:tcPr>
          <w:p>
            <w:pPr>
              <w:spacing w:after="0"/>
              <w:rPr>
                <w:sz w:val="1"/>
                <w:szCs w:val="1"/>
                <w:color w:val="auto"/>
              </w:rPr>
            </w:pPr>
          </w:p>
        </w:tc>
      </w:tr>
      <w:tr>
        <w:trPr>
          <w:trHeight w:val="203"/>
        </w:trPr>
        <w:tc>
          <w:tcPr>
            <w:tcW w:w="6820" w:type="dxa"/>
            <w:vAlign w:val="bottom"/>
          </w:tcPr>
          <w:p>
            <w:pPr>
              <w:ind w:left="200"/>
              <w:spacing w:after="0"/>
              <w:rPr>
                <w:sz w:val="20"/>
                <w:szCs w:val="20"/>
                <w:color w:val="auto"/>
              </w:rPr>
            </w:pPr>
            <w:r>
              <w:rPr>
                <w:rFonts w:ascii="Arial" w:cs="Arial" w:eastAsia="Arial" w:hAnsi="Arial"/>
                <w:sz w:val="15"/>
                <w:szCs w:val="15"/>
                <w:color w:val="auto"/>
              </w:rPr>
              <w:t>Long-term debt, net</w:t>
            </w:r>
          </w:p>
        </w:tc>
        <w:tc>
          <w:tcPr>
            <w:tcW w:w="3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988,160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987,382</w:t>
            </w:r>
          </w:p>
        </w:tc>
        <w:tc>
          <w:tcPr>
            <w:tcW w:w="0" w:type="dxa"/>
            <w:vAlign w:val="bottom"/>
          </w:tcPr>
          <w:p>
            <w:pPr>
              <w:spacing w:after="0"/>
              <w:rPr>
                <w:sz w:val="1"/>
                <w:szCs w:val="1"/>
                <w:color w:val="auto"/>
              </w:rPr>
            </w:pPr>
          </w:p>
        </w:tc>
      </w:tr>
      <w:tr>
        <w:trPr>
          <w:trHeight w:val="196"/>
        </w:trPr>
        <w:tc>
          <w:tcPr>
            <w:tcW w:w="6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Other long-term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19,194</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23,881</w:t>
            </w:r>
          </w:p>
        </w:tc>
        <w:tc>
          <w:tcPr>
            <w:tcW w:w="0" w:type="dxa"/>
            <w:vAlign w:val="bottom"/>
          </w:tcPr>
          <w:p>
            <w:pPr>
              <w:spacing w:after="0"/>
              <w:rPr>
                <w:sz w:val="1"/>
                <w:szCs w:val="1"/>
                <w:color w:val="auto"/>
              </w:rPr>
            </w:pPr>
          </w:p>
        </w:tc>
      </w:tr>
      <w:tr>
        <w:trPr>
          <w:trHeight w:val="199"/>
        </w:trPr>
        <w:tc>
          <w:tcPr>
            <w:tcW w:w="6820" w:type="dxa"/>
            <w:vAlign w:val="bottom"/>
          </w:tcPr>
          <w:p>
            <w:pPr>
              <w:ind w:left="440"/>
              <w:spacing w:after="0"/>
              <w:rPr>
                <w:sz w:val="20"/>
                <w:szCs w:val="20"/>
                <w:color w:val="auto"/>
              </w:rPr>
            </w:pPr>
            <w:r>
              <w:rPr>
                <w:rFonts w:ascii="Arial" w:cs="Arial" w:eastAsia="Arial" w:hAnsi="Arial"/>
                <w:sz w:val="15"/>
                <w:szCs w:val="15"/>
                <w:color w:val="auto"/>
              </w:rPr>
              <w:t>Total liabilities</w:t>
            </w: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1,927,927</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2,005,262</w:t>
            </w:r>
          </w:p>
        </w:tc>
        <w:tc>
          <w:tcPr>
            <w:tcW w:w="0" w:type="dxa"/>
            <w:vAlign w:val="bottom"/>
          </w:tcPr>
          <w:p>
            <w:pPr>
              <w:spacing w:after="0"/>
              <w:rPr>
                <w:sz w:val="1"/>
                <w:szCs w:val="1"/>
                <w:color w:val="auto"/>
              </w:rPr>
            </w:pPr>
          </w:p>
        </w:tc>
      </w:tr>
      <w:tr>
        <w:trPr>
          <w:trHeight w:val="199"/>
        </w:trPr>
        <w:tc>
          <w:tcPr>
            <w:tcW w:w="6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Commitments and contingencies (Note 14)</w:t>
            </w: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Preferred stock</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6820" w:type="dxa"/>
            <w:vAlign w:val="bottom"/>
          </w:tcPr>
          <w:p>
            <w:pPr>
              <w:ind w:left="200"/>
              <w:spacing w:after="0"/>
              <w:rPr>
                <w:sz w:val="20"/>
                <w:szCs w:val="20"/>
                <w:color w:val="auto"/>
              </w:rPr>
            </w:pPr>
            <w:r>
              <w:rPr>
                <w:rFonts w:ascii="Arial" w:cs="Arial" w:eastAsia="Arial" w:hAnsi="Arial"/>
                <w:sz w:val="15"/>
                <w:szCs w:val="15"/>
                <w:color w:val="auto"/>
              </w:rPr>
              <w:t>Class A and Class B common stock</w:t>
            </w:r>
          </w:p>
        </w:tc>
        <w:tc>
          <w:tcPr>
            <w:tcW w:w="3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181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186</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Additional paid-in capital</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14,418,946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14,055,853</w:t>
            </w:r>
          </w:p>
        </w:tc>
        <w:tc>
          <w:tcPr>
            <w:tcW w:w="0" w:type="dxa"/>
            <w:vAlign w:val="bottom"/>
          </w:tcPr>
          <w:p>
            <w:pPr>
              <w:spacing w:after="0"/>
              <w:rPr>
                <w:sz w:val="1"/>
                <w:szCs w:val="1"/>
                <w:color w:val="auto"/>
              </w:rPr>
            </w:pPr>
          </w:p>
        </w:tc>
      </w:tr>
      <w:tr>
        <w:trPr>
          <w:trHeight w:val="203"/>
        </w:trPr>
        <w:tc>
          <w:tcPr>
            <w:tcW w:w="6820" w:type="dxa"/>
            <w:vAlign w:val="bottom"/>
          </w:tcPr>
          <w:p>
            <w:pPr>
              <w:ind w:left="200"/>
              <w:spacing w:after="0"/>
              <w:rPr>
                <w:sz w:val="20"/>
                <w:szCs w:val="20"/>
                <w:color w:val="auto"/>
              </w:rPr>
            </w:pPr>
            <w:r>
              <w:rPr>
                <w:rFonts w:ascii="Arial" w:cs="Arial" w:eastAsia="Arial" w:hAnsi="Arial"/>
                <w:sz w:val="15"/>
                <w:szCs w:val="15"/>
                <w:color w:val="auto"/>
              </w:rPr>
              <w:t>Accumulated other comprehensive loss</w:t>
            </w:r>
          </w:p>
        </w:tc>
        <w:tc>
          <w:tcPr>
            <w:tcW w:w="3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(60,275)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(121,161)</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Accumulated deficit</w:t>
            </w:r>
          </w:p>
        </w:tc>
        <w:tc>
          <w:tcPr>
            <w:tcW w:w="3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(4,382,293)</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(3,375,836)</w:t>
            </w:r>
          </w:p>
        </w:tc>
        <w:tc>
          <w:tcPr>
            <w:tcW w:w="0" w:type="dxa"/>
            <w:vAlign w:val="bottom"/>
          </w:tcPr>
          <w:p>
            <w:pPr>
              <w:spacing w:after="0"/>
              <w:rPr>
                <w:sz w:val="1"/>
                <w:szCs w:val="1"/>
                <w:color w:val="auto"/>
              </w:rPr>
            </w:pPr>
          </w:p>
        </w:tc>
      </w:tr>
      <w:tr>
        <w:trPr>
          <w:trHeight w:val="196"/>
        </w:trPr>
        <w:tc>
          <w:tcPr>
            <w:tcW w:w="682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Total stockholders’ equity</w:t>
            </w: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9,976,559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10,559,042</w:t>
            </w:r>
          </w:p>
        </w:tc>
        <w:tc>
          <w:tcPr>
            <w:tcW w:w="0" w:type="dxa"/>
            <w:vAlign w:val="bottom"/>
          </w:tcPr>
          <w:p>
            <w:pPr>
              <w:spacing w:after="0"/>
              <w:rPr>
                <w:sz w:val="1"/>
                <w:szCs w:val="1"/>
                <w:color w:val="auto"/>
              </w:rPr>
            </w:pPr>
          </w:p>
        </w:tc>
      </w:tr>
      <w:tr>
        <w:trPr>
          <w:trHeight w:val="222"/>
        </w:trPr>
        <w:tc>
          <w:tcPr>
            <w:tcW w:w="68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 liabilities and stockholders’ equity</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11,904,486</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12,564,304</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62" w:right="37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7"/>
          <w:szCs w:val="17"/>
          <w:b w:val="1"/>
          <w:bCs w:val="1"/>
          <w:color w:val="auto"/>
        </w:rPr>
        <w:t>TWILIO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4"/>
          </w:tcPr>
          <w:p>
            <w:pPr>
              <w:jc w:val="right"/>
              <w:ind w:right="763"/>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Arial" w:cs="Arial" w:eastAsia="Arial" w:hAnsi="Arial"/>
                <w:sz w:val="15"/>
                <w:szCs w:val="15"/>
                <w:b w:val="1"/>
                <w:bCs w:val="1"/>
                <w:color w:val="auto"/>
              </w:rPr>
              <w:t>Six Months Ended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1183"/>
              <w:spacing w:after="0"/>
              <w:rPr>
                <w:sz w:val="20"/>
                <w:szCs w:val="20"/>
                <w:color w:val="auto"/>
              </w:rPr>
            </w:pPr>
            <w:r>
              <w:rPr>
                <w:rFonts w:ascii="Arial" w:cs="Arial" w:eastAsia="Arial" w:hAnsi="Arial"/>
                <w:sz w:val="15"/>
                <w:szCs w:val="15"/>
                <w:b w:val="1"/>
                <w:bCs w:val="1"/>
                <w:color w:val="auto"/>
              </w:rPr>
              <w:t>June 30,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5"/>
                <w:szCs w:val="15"/>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6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w w:val="89"/>
              </w:rPr>
              <w:t>2022</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gridSpan w:val="4"/>
          </w:tcPr>
          <w:p>
            <w:pPr>
              <w:jc w:val="right"/>
              <w:ind w:right="63"/>
              <w:spacing w:after="0"/>
              <w:rPr>
                <w:sz w:val="20"/>
                <w:szCs w:val="20"/>
                <w:color w:val="auto"/>
              </w:rPr>
            </w:pPr>
            <w:r>
              <w:rPr>
                <w:rFonts w:ascii="Arial" w:cs="Arial" w:eastAsia="Arial" w:hAnsi="Arial"/>
                <w:sz w:val="14"/>
                <w:szCs w:val="14"/>
                <w:color w:val="auto"/>
                <w:w w:val="86"/>
              </w:rPr>
              <w:t>(In thousands, except share and per share amounts)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1,037,761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943,354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2,044,325</w:t>
            </w:r>
          </w:p>
        </w:tc>
        <w:tc>
          <w:tcPr>
            <w:tcW w:w="66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1,818,717</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5"/>
                <w:szCs w:val="15"/>
                <w:color w:val="auto"/>
              </w:rPr>
              <w:t>Cost of revenue</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532,006</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498,065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1,047,880</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948,357</w:t>
            </w:r>
          </w:p>
        </w:tc>
        <w:tc>
          <w:tcPr>
            <w:tcW w:w="0" w:type="dxa"/>
            <w:vAlign w:val="bottom"/>
          </w:tcPr>
          <w:p>
            <w:pPr>
              <w:spacing w:after="0"/>
              <w:rPr>
                <w:sz w:val="1"/>
                <w:szCs w:val="1"/>
                <w:color w:val="auto"/>
              </w:rPr>
            </w:pPr>
          </w:p>
        </w:tc>
      </w:tr>
      <w:tr>
        <w:trPr>
          <w:trHeight w:val="199"/>
        </w:trPr>
        <w:tc>
          <w:tcPr>
            <w:tcW w:w="4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Gross profit</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505,755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445,289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996,445</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870,360</w:t>
            </w:r>
          </w:p>
        </w:tc>
        <w:tc>
          <w:tcPr>
            <w:tcW w:w="0" w:type="dxa"/>
            <w:vAlign w:val="bottom"/>
          </w:tcPr>
          <w:p>
            <w:pPr>
              <w:spacing w:after="0"/>
              <w:rPr>
                <w:sz w:val="1"/>
                <w:szCs w:val="1"/>
                <w:color w:val="auto"/>
              </w:rPr>
            </w:pPr>
          </w:p>
        </w:tc>
      </w:tr>
      <w:tr>
        <w:trPr>
          <w:trHeight w:val="199"/>
        </w:trPr>
        <w:tc>
          <w:tcPr>
            <w:tcW w:w="4640" w:type="dxa"/>
            <w:vAlign w:val="bottom"/>
          </w:tcPr>
          <w:p>
            <w:pPr>
              <w:spacing w:after="0"/>
              <w:rPr>
                <w:sz w:val="20"/>
                <w:szCs w:val="20"/>
                <w:color w:val="auto"/>
              </w:rPr>
            </w:pPr>
            <w:r>
              <w:rPr>
                <w:rFonts w:ascii="Arial" w:cs="Arial" w:eastAsia="Arial" w:hAnsi="Arial"/>
                <w:sz w:val="15"/>
                <w:szCs w:val="15"/>
                <w:color w:val="auto"/>
              </w:rPr>
              <w:t>Operating expenses: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Research and development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226,896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279,641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465,491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520,252</w:t>
            </w: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rPr>
                <w:sz w:val="20"/>
                <w:szCs w:val="20"/>
                <w:color w:val="auto"/>
              </w:rPr>
            </w:pPr>
            <w:r>
              <w:rPr>
                <w:rFonts w:ascii="Arial" w:cs="Arial" w:eastAsia="Arial" w:hAnsi="Arial"/>
                <w:sz w:val="15"/>
                <w:szCs w:val="15"/>
                <w:color w:val="auto"/>
              </w:rPr>
              <w:t>Sales and marketing</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261,600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334,958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521,485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622,864</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General and administrative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134,852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142,626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247,420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256,988</w:t>
            </w: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rPr>
                <w:sz w:val="20"/>
                <w:szCs w:val="20"/>
                <w:color w:val="auto"/>
              </w:rPr>
            </w:pPr>
            <w:r>
              <w:rPr>
                <w:rFonts w:ascii="Arial" w:cs="Arial" w:eastAsia="Arial" w:hAnsi="Arial"/>
                <w:sz w:val="15"/>
                <w:szCs w:val="15"/>
                <w:color w:val="auto"/>
              </w:rPr>
              <w:t>Restructuring costs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14,902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136,844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Impairment of long-lived assets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9,332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31,116</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tcPr>
          <w:p>
            <w:pPr>
              <w:ind w:left="500"/>
              <w:spacing w:after="0"/>
              <w:rPr>
                <w:sz w:val="20"/>
                <w:szCs w:val="20"/>
                <w:color w:val="auto"/>
              </w:rPr>
            </w:pPr>
            <w:r>
              <w:rPr>
                <w:rFonts w:ascii="Arial" w:cs="Arial" w:eastAsia="Arial" w:hAnsi="Arial"/>
                <w:sz w:val="15"/>
                <w:szCs w:val="15"/>
                <w:color w:val="auto"/>
              </w:rPr>
              <w:t>Total operating expenses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647,582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757,225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1,402,356</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1,400,104</w:t>
            </w:r>
          </w:p>
        </w:tc>
        <w:tc>
          <w:tcPr>
            <w:tcW w:w="0" w:type="dxa"/>
            <w:vAlign w:val="bottom"/>
          </w:tcPr>
          <w:p>
            <w:pPr>
              <w:spacing w:after="0"/>
              <w:rPr>
                <w:sz w:val="1"/>
                <w:szCs w:val="1"/>
                <w:color w:val="auto"/>
              </w:rPr>
            </w:pPr>
          </w:p>
        </w:tc>
      </w:tr>
      <w:tr>
        <w:trPr>
          <w:trHeight w:val="202"/>
        </w:trPr>
        <w:tc>
          <w:tcPr>
            <w:tcW w:w="4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Loss from operations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(141,827)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(311,936)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(405,911)</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(529,744)</w:t>
            </w:r>
          </w:p>
        </w:tc>
        <w:tc>
          <w:tcPr>
            <w:tcW w:w="0" w:type="dxa"/>
            <w:vAlign w:val="bottom"/>
          </w:tcPr>
          <w:p>
            <w:pPr>
              <w:spacing w:after="0"/>
              <w:rPr>
                <w:sz w:val="1"/>
                <w:szCs w:val="1"/>
                <w:color w:val="auto"/>
              </w:rPr>
            </w:pPr>
          </w:p>
        </w:tc>
      </w:tr>
      <w:tr>
        <w:trPr>
          <w:trHeight w:val="183"/>
        </w:trPr>
        <w:tc>
          <w:tcPr>
            <w:tcW w:w="4640" w:type="dxa"/>
            <w:vAlign w:val="bottom"/>
          </w:tcPr>
          <w:p>
            <w:pPr>
              <w:spacing w:after="0"/>
              <w:rPr>
                <w:sz w:val="20"/>
                <w:szCs w:val="20"/>
                <w:color w:val="auto"/>
              </w:rPr>
            </w:pPr>
            <w:r>
              <w:rPr>
                <w:rFonts w:ascii="Arial" w:cs="Arial" w:eastAsia="Arial" w:hAnsi="Arial"/>
                <w:sz w:val="15"/>
                <w:szCs w:val="15"/>
                <w:color w:val="auto"/>
              </w:rPr>
              <w:t>Other expenses, net:</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Share of losses from equity method investment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(62,780)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4640" w:type="dxa"/>
            <w:vAlign w:val="bottom"/>
          </w:tcPr>
          <w:p>
            <w:pPr>
              <w:ind w:left="320"/>
              <w:spacing w:after="0"/>
              <w:rPr>
                <w:sz w:val="20"/>
                <w:szCs w:val="20"/>
                <w:color w:val="auto"/>
              </w:rPr>
            </w:pPr>
            <w:r>
              <w:rPr>
                <w:rFonts w:ascii="Arial" w:cs="Arial" w:eastAsia="Arial" w:hAnsi="Arial"/>
                <w:sz w:val="15"/>
                <w:szCs w:val="15"/>
                <w:color w:val="auto"/>
              </w:rPr>
              <w:t>Impairment of strategic investments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(46,154)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4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Other income (expenses), net</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8,745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(8,239)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17,730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(14,916)</w:t>
            </w:r>
          </w:p>
        </w:tc>
        <w:tc>
          <w:tcPr>
            <w:tcW w:w="0" w:type="dxa"/>
            <w:vAlign w:val="bottom"/>
          </w:tcPr>
          <w:p>
            <w:pPr>
              <w:spacing w:after="0"/>
              <w:rPr>
                <w:sz w:val="1"/>
                <w:szCs w:val="1"/>
                <w:color w:val="auto"/>
              </w:rPr>
            </w:pPr>
          </w:p>
        </w:tc>
      </w:tr>
      <w:tr>
        <w:trPr>
          <w:trHeight w:val="199"/>
        </w:trPr>
        <w:tc>
          <w:tcPr>
            <w:tcW w:w="4640" w:type="dxa"/>
            <w:vAlign w:val="bottom"/>
          </w:tcPr>
          <w:p>
            <w:pPr>
              <w:ind w:left="500"/>
              <w:spacing w:after="0"/>
              <w:rPr>
                <w:sz w:val="20"/>
                <w:szCs w:val="20"/>
                <w:color w:val="auto"/>
              </w:rPr>
            </w:pPr>
            <w:r>
              <w:rPr>
                <w:rFonts w:ascii="Arial" w:cs="Arial" w:eastAsia="Arial" w:hAnsi="Arial"/>
                <w:sz w:val="15"/>
                <w:szCs w:val="15"/>
                <w:color w:val="auto"/>
              </w:rPr>
              <w:t>Total other expenses, net</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(23,616)</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(8,239)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(91,204)</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(14,916)</w:t>
            </w:r>
          </w:p>
        </w:tc>
        <w:tc>
          <w:tcPr>
            <w:tcW w:w="0" w:type="dxa"/>
            <w:vAlign w:val="bottom"/>
          </w:tcPr>
          <w:p>
            <w:pPr>
              <w:spacing w:after="0"/>
              <w:rPr>
                <w:sz w:val="1"/>
                <w:szCs w:val="1"/>
                <w:color w:val="auto"/>
              </w:rPr>
            </w:pPr>
          </w:p>
        </w:tc>
      </w:tr>
      <w:tr>
        <w:trPr>
          <w:trHeight w:val="202"/>
        </w:trPr>
        <w:tc>
          <w:tcPr>
            <w:tcW w:w="4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Loss before (provision for) benefit from income taxes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(165,443)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(320,175)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(497,115)</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(544,660)</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5"/>
                <w:szCs w:val="15"/>
                <w:color w:val="auto"/>
              </w:rPr>
              <w:t>(Provision for) benefit from income taxes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(11,211)</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Net loss attributable to common stockholders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(166,187)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(322,769)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(508,326)</w:t>
            </w:r>
          </w:p>
        </w:tc>
        <w:tc>
          <w:tcPr>
            <w:tcW w:w="66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(544,396)</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320"/>
              <w:spacing w:after="0" w:line="149" w:lineRule="exact"/>
              <w:rPr>
                <w:sz w:val="20"/>
                <w:szCs w:val="20"/>
                <w:color w:val="auto"/>
              </w:rPr>
            </w:pPr>
            <w:r>
              <w:rPr>
                <w:rFonts w:ascii="Arial" w:cs="Arial" w:eastAsia="Arial" w:hAnsi="Arial"/>
                <w:sz w:val="15"/>
                <w:szCs w:val="15"/>
                <w:color w:val="auto"/>
                <w:w w:val="97"/>
              </w:rPr>
              <w:t>Net loss per share attributable to common stockholders, basic and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640" w:type="dxa"/>
            <w:vAlign w:val="bottom"/>
            <w:vMerge w:val="continue"/>
          </w:tcPr>
          <w:p>
            <w:pPr>
              <w:spacing w:after="0"/>
              <w:rPr>
                <w:sz w:val="9"/>
                <w:szCs w:val="9"/>
                <w:color w:val="auto"/>
              </w:rPr>
            </w:pPr>
          </w:p>
        </w:tc>
        <w:tc>
          <w:tcPr>
            <w:tcW w:w="340" w:type="dxa"/>
            <w:vAlign w:val="bottom"/>
            <w:vMerge w:val="restart"/>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(0.91)</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5"/>
                <w:szCs w:val="15"/>
                <w:color w:val="auto"/>
              </w:rPr>
              <w:t>(1.77)</w:t>
            </w:r>
          </w:p>
        </w:tc>
        <w:tc>
          <w:tcPr>
            <w:tcW w:w="44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(2.75)</w:t>
            </w:r>
          </w:p>
        </w:tc>
        <w:tc>
          <w:tcPr>
            <w:tcW w:w="660" w:type="dxa"/>
            <w:vAlign w:val="bottom"/>
            <w:gridSpan w:val="2"/>
            <w:vMerge w:val="restart"/>
          </w:tcPr>
          <w:p>
            <w:pPr>
              <w:jc w:val="right"/>
              <w:ind w:right="480"/>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176"/>
        </w:trPr>
        <w:tc>
          <w:tcPr>
            <w:tcW w:w="4640" w:type="dxa"/>
            <w:vAlign w:val="bottom"/>
          </w:tcPr>
          <w:p>
            <w:pPr>
              <w:ind w:left="620"/>
              <w:spacing w:after="0"/>
              <w:rPr>
                <w:sz w:val="20"/>
                <w:szCs w:val="20"/>
                <w:color w:val="auto"/>
              </w:rPr>
            </w:pPr>
            <w:r>
              <w:rPr>
                <w:rFonts w:ascii="Arial" w:cs="Arial" w:eastAsia="Arial" w:hAnsi="Arial"/>
                <w:sz w:val="15"/>
                <w:szCs w:val="15"/>
                <w:color w:val="auto"/>
              </w:rPr>
              <w:t>diluted</w:t>
            </w:r>
          </w:p>
        </w:tc>
        <w:tc>
          <w:tcPr>
            <w:tcW w:w="3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640" w:type="dxa"/>
            <w:vAlign w:val="bottom"/>
            <w:shd w:val="clear" w:color="auto" w:fill="CCEEFF"/>
          </w:tcPr>
          <w:p>
            <w:pPr>
              <w:ind w:left="320"/>
              <w:spacing w:after="0" w:line="125" w:lineRule="exact"/>
              <w:rPr>
                <w:sz w:val="20"/>
                <w:szCs w:val="20"/>
                <w:color w:val="auto"/>
              </w:rPr>
            </w:pPr>
            <w:r>
              <w:rPr>
                <w:rFonts w:ascii="Arial" w:cs="Arial" w:eastAsia="Arial" w:hAnsi="Arial"/>
                <w:sz w:val="14"/>
                <w:szCs w:val="14"/>
                <w:color w:val="auto"/>
              </w:rPr>
              <w:t>Weighted-average shares used in computing net loss per share</w:t>
            </w:r>
          </w:p>
        </w:tc>
        <w:tc>
          <w:tcPr>
            <w:tcW w:w="34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183,490,982</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182,347,864</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184,926,875</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181,624,316</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5"/>
                <w:szCs w:val="15"/>
                <w:color w:val="auto"/>
              </w:rPr>
              <w:t>attributable to common stockholders, basic and diluted</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00"/>
          </w:cols>
          <w:pgMar w:left="500" w:top="856" w:right="49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TWILIO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80" w:type="dxa"/>
            <w:vAlign w:val="bottom"/>
            <w:gridSpan w:val="4"/>
          </w:tcPr>
          <w:p>
            <w:pPr>
              <w:jc w:val="right"/>
              <w:ind w:right="564"/>
              <w:spacing w:after="0"/>
              <w:rPr>
                <w:sz w:val="20"/>
                <w:szCs w:val="20"/>
                <w:color w:val="auto"/>
              </w:rPr>
            </w:pPr>
            <w:r>
              <w:rPr>
                <w:rFonts w:ascii="Arial" w:cs="Arial" w:eastAsia="Arial" w:hAnsi="Arial"/>
                <w:sz w:val="15"/>
                <w:szCs w:val="15"/>
                <w:b w:val="1"/>
                <w:bCs w:val="1"/>
                <w:color w:val="auto"/>
              </w:rPr>
              <w:t>Three Months Ended</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40" w:type="dxa"/>
            <w:vAlign w:val="bottom"/>
            <w:gridSpan w:val="4"/>
          </w:tcPr>
          <w:p>
            <w:pPr>
              <w:jc w:val="right"/>
              <w:ind w:right="643"/>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5"/>
                <w:szCs w:val="15"/>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5"/>
                <w:szCs w:val="15"/>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8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4"/>
                <w:szCs w:val="14"/>
                <w:color w:val="auto"/>
              </w:rPr>
              <w:t>(In thousands)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(166,187)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(322,769)</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(508,326)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(544,396)</w:t>
            </w: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rPr>
                <w:sz w:val="20"/>
                <w:szCs w:val="20"/>
                <w:color w:val="auto"/>
              </w:rPr>
            </w:pPr>
            <w:r>
              <w:rPr>
                <w:rFonts w:ascii="Arial" w:cs="Arial" w:eastAsia="Arial" w:hAnsi="Arial"/>
                <w:sz w:val="15"/>
                <w:szCs w:val="15"/>
                <w:color w:val="auto"/>
              </w:rPr>
              <w:t>Other comprehensive income (loss):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Unrealized gain (loss) on marketable securities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(19,022)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39,355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(81,848)</w:t>
            </w:r>
          </w:p>
        </w:tc>
        <w:tc>
          <w:tcPr>
            <w:tcW w:w="0" w:type="dxa"/>
            <w:vAlign w:val="bottom"/>
          </w:tcPr>
          <w:p>
            <w:pPr>
              <w:spacing w:after="0"/>
              <w:rPr>
                <w:sz w:val="1"/>
                <w:szCs w:val="1"/>
                <w:color w:val="auto"/>
              </w:rPr>
            </w:pPr>
          </w:p>
        </w:tc>
      </w:tr>
      <w:tr>
        <w:trPr>
          <w:trHeight w:val="203"/>
        </w:trPr>
        <w:tc>
          <w:tcPr>
            <w:tcW w:w="5820" w:type="dxa"/>
            <w:vAlign w:val="bottom"/>
          </w:tcPr>
          <w:p>
            <w:pPr>
              <w:ind w:left="320"/>
              <w:spacing w:after="0"/>
              <w:rPr>
                <w:sz w:val="20"/>
                <w:szCs w:val="20"/>
                <w:color w:val="auto"/>
              </w:rPr>
            </w:pPr>
            <w:r>
              <w:rPr>
                <w:rFonts w:ascii="Arial" w:cs="Arial" w:eastAsia="Arial" w:hAnsi="Arial"/>
                <w:sz w:val="15"/>
                <w:szCs w:val="15"/>
                <w:color w:val="auto"/>
              </w:rPr>
              <w:t>Foreign currency translation</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(2,289)</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569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(2,454)</w:t>
            </w:r>
          </w:p>
        </w:tc>
        <w:tc>
          <w:tcPr>
            <w:tcW w:w="0" w:type="dxa"/>
            <w:vAlign w:val="bottom"/>
          </w:tcPr>
          <w:p>
            <w:pPr>
              <w:spacing w:after="0"/>
              <w:rPr>
                <w:sz w:val="1"/>
                <w:szCs w:val="1"/>
                <w:color w:val="auto"/>
              </w:rPr>
            </w:pPr>
          </w:p>
        </w:tc>
      </w:tr>
      <w:tr>
        <w:trPr>
          <w:trHeight w:val="162"/>
        </w:trPr>
        <w:tc>
          <w:tcPr>
            <w:tcW w:w="582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Net change in market value of effective foreign currency</w:t>
            </w: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(2,167)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(11,106)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1,168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(14,958)</w:t>
            </w:r>
          </w:p>
        </w:tc>
        <w:tc>
          <w:tcPr>
            <w:tcW w:w="0" w:type="dxa"/>
            <w:vAlign w:val="bottom"/>
          </w:tcPr>
          <w:p>
            <w:pPr>
              <w:spacing w:after="0"/>
              <w:rPr>
                <w:sz w:val="1"/>
                <w:szCs w:val="1"/>
                <w:color w:val="auto"/>
              </w:rPr>
            </w:pPr>
          </w:p>
        </w:tc>
      </w:tr>
      <w:tr>
        <w:trPr>
          <w:trHeight w:val="201"/>
        </w:trPr>
        <w:tc>
          <w:tcPr>
            <w:tcW w:w="58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forward exchange contracts</w:t>
            </w:r>
          </w:p>
        </w:tc>
        <w:tc>
          <w:tcPr>
            <w:tcW w:w="3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20" w:type="dxa"/>
            <w:vAlign w:val="bottom"/>
          </w:tcPr>
          <w:p>
            <w:pPr>
              <w:ind w:left="320"/>
              <w:spacing w:after="0"/>
              <w:rPr>
                <w:sz w:val="20"/>
                <w:szCs w:val="20"/>
                <w:color w:val="auto"/>
              </w:rPr>
            </w:pPr>
            <w:r>
              <w:rPr>
                <w:rFonts w:ascii="Arial" w:cs="Arial" w:eastAsia="Arial" w:hAnsi="Arial"/>
                <w:sz w:val="15"/>
                <w:szCs w:val="15"/>
                <w:color w:val="auto"/>
              </w:rPr>
              <w:t>Share of other comprehensive income from equity method investment</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5,146</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19,794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5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Total other comprehensive income (loss)</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11,670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(32,417)</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60,886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(99,260)</w:t>
            </w:r>
          </w:p>
        </w:tc>
        <w:tc>
          <w:tcPr>
            <w:tcW w:w="0" w:type="dxa"/>
            <w:vAlign w:val="bottom"/>
          </w:tcPr>
          <w:p>
            <w:pPr>
              <w:spacing w:after="0"/>
              <w:rPr>
                <w:sz w:val="1"/>
                <w:szCs w:val="1"/>
                <w:color w:val="auto"/>
              </w:rPr>
            </w:pPr>
          </w:p>
        </w:tc>
      </w:tr>
      <w:tr>
        <w:trPr>
          <w:trHeight w:val="199"/>
        </w:trPr>
        <w:tc>
          <w:tcPr>
            <w:tcW w:w="5820" w:type="dxa"/>
            <w:vAlign w:val="bottom"/>
          </w:tcPr>
          <w:p>
            <w:pPr>
              <w:ind w:left="760"/>
              <w:spacing w:after="0"/>
              <w:rPr>
                <w:sz w:val="20"/>
                <w:szCs w:val="20"/>
                <w:color w:val="auto"/>
              </w:rPr>
            </w:pPr>
            <w:r>
              <w:rPr>
                <w:rFonts w:ascii="Arial" w:cs="Arial" w:eastAsia="Arial" w:hAnsi="Arial"/>
                <w:sz w:val="15"/>
                <w:szCs w:val="15"/>
                <w:color w:val="auto"/>
              </w:rPr>
              <w:t>Comprehensive loss attributable to common stockholders</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(154,517)</w:t>
            </w:r>
          </w:p>
        </w:tc>
        <w:tc>
          <w:tcPr>
            <w:tcW w:w="4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(355,186)</w:t>
            </w:r>
          </w:p>
        </w:tc>
        <w:tc>
          <w:tcPr>
            <w:tcW w:w="5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(447,440)</w:t>
            </w:r>
          </w:p>
        </w:tc>
        <w:tc>
          <w:tcPr>
            <w:tcW w:w="4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(643,656)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5"/>
          <w:szCs w:val="15"/>
          <w:b w:val="1"/>
          <w:bCs w:val="1"/>
          <w:color w:val="auto"/>
        </w:rPr>
        <w:t>TWILIO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Stockholders’ Equity</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300" w:type="dxa"/>
            <w:vAlign w:val="bottom"/>
            <w:gridSpan w:val="4"/>
            <w:vMerge w:val="restart"/>
          </w:tcPr>
          <w:p>
            <w:pPr>
              <w:jc w:val="center"/>
              <w:ind w:left="251"/>
              <w:spacing w:after="0"/>
              <w:rPr>
                <w:sz w:val="20"/>
                <w:szCs w:val="20"/>
                <w:color w:val="auto"/>
              </w:rPr>
            </w:pPr>
            <w:r>
              <w:rPr>
                <w:rFonts w:ascii="Arial" w:cs="Arial" w:eastAsia="Arial" w:hAnsi="Arial"/>
                <w:sz w:val="14"/>
                <w:szCs w:val="14"/>
                <w:b w:val="1"/>
                <w:bCs w:val="1"/>
                <w:color w:val="auto"/>
                <w:w w:val="87"/>
              </w:rPr>
              <w:t>Common Stock</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9"/>
              </w:rPr>
              <w:t>Common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1"/>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3640" w:type="dxa"/>
            <w:vAlign w:val="bottom"/>
          </w:tcPr>
          <w:p>
            <w:pPr>
              <w:spacing w:after="0"/>
              <w:rPr>
                <w:sz w:val="5"/>
                <w:szCs w:val="5"/>
                <w:color w:val="auto"/>
              </w:rPr>
            </w:pPr>
          </w:p>
        </w:tc>
        <w:tc>
          <w:tcPr>
            <w:tcW w:w="130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restart"/>
          </w:tcPr>
          <w:p>
            <w:pPr>
              <w:jc w:val="right"/>
              <w:ind w:right="52"/>
              <w:spacing w:after="0" w:line="139" w:lineRule="exact"/>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restart"/>
          </w:tcPr>
          <w:p>
            <w:pPr>
              <w:jc w:val="center"/>
              <w:ind w:right="51"/>
              <w:spacing w:after="0" w:line="13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vMerge w:val="restart"/>
          </w:tcPr>
          <w:p>
            <w:pPr>
              <w:jc w:val="center"/>
              <w:ind w:right="32"/>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4"/>
        </w:trPr>
        <w:tc>
          <w:tcPr>
            <w:tcW w:w="3640" w:type="dxa"/>
            <w:vAlign w:val="bottom"/>
          </w:tcPr>
          <w:p>
            <w:pPr>
              <w:spacing w:after="0"/>
              <w:rPr>
                <w:sz w:val="6"/>
                <w:szCs w:val="6"/>
                <w:color w:val="auto"/>
              </w:rPr>
            </w:pPr>
          </w:p>
        </w:tc>
        <w:tc>
          <w:tcPr>
            <w:tcW w:w="1020" w:type="dxa"/>
            <w:vAlign w:val="bottom"/>
            <w:gridSpan w:val="3"/>
            <w:vMerge w:val="restart"/>
          </w:tcPr>
          <w:p>
            <w:pPr>
              <w:jc w:val="center"/>
              <w:ind w:left="511"/>
              <w:spacing w:after="0"/>
              <w:rPr>
                <w:sz w:val="20"/>
                <w:szCs w:val="20"/>
                <w:color w:val="auto"/>
              </w:rPr>
            </w:pPr>
            <w:r>
              <w:rPr>
                <w:rFonts w:ascii="Arial" w:cs="Arial" w:eastAsia="Arial" w:hAnsi="Arial"/>
                <w:sz w:val="14"/>
                <w:szCs w:val="14"/>
                <w:b w:val="1"/>
                <w:bCs w:val="1"/>
                <w:color w:val="auto"/>
                <w:w w:val="85"/>
              </w:rPr>
              <w:t>Class A</w:t>
            </w: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5"/>
              </w:rPr>
              <w:t>Class B</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3640" w:type="dxa"/>
            <w:vAlign w:val="bottom"/>
          </w:tcPr>
          <w:p>
            <w:pPr>
              <w:spacing w:after="0"/>
              <w:rPr>
                <w:sz w:val="9"/>
                <w:szCs w:val="9"/>
                <w:color w:val="auto"/>
              </w:rPr>
            </w:pPr>
          </w:p>
        </w:tc>
        <w:tc>
          <w:tcPr>
            <w:tcW w:w="1020" w:type="dxa"/>
            <w:vAlign w:val="bottom"/>
            <w:tcBorders>
              <w:bottom w:val="single" w:sz="8" w:color="auto"/>
            </w:tcBorders>
            <w:gridSpan w:val="3"/>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tcBorders>
              <w:bottom w:val="single" w:sz="8" w:color="auto"/>
            </w:tcBorders>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right"/>
              <w:ind w:right="152"/>
              <w:spacing w:after="0" w:line="109" w:lineRule="exact"/>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9"/>
                <w:szCs w:val="9"/>
                <w:color w:val="auto"/>
              </w:rPr>
            </w:pPr>
          </w:p>
        </w:tc>
        <w:tc>
          <w:tcPr>
            <w:tcW w:w="1040" w:type="dxa"/>
            <w:vAlign w:val="bottom"/>
            <w:gridSpan w:val="2"/>
          </w:tcPr>
          <w:p>
            <w:pPr>
              <w:jc w:val="center"/>
              <w:spacing w:after="0" w:line="109" w:lineRule="exact"/>
              <w:rPr>
                <w:sz w:val="20"/>
                <w:szCs w:val="20"/>
                <w:color w:val="auto"/>
              </w:rPr>
            </w:pPr>
            <w:r>
              <w:rPr>
                <w:rFonts w:ascii="Arial" w:cs="Arial" w:eastAsia="Arial" w:hAnsi="Arial"/>
                <w:sz w:val="11"/>
                <w:szCs w:val="11"/>
                <w:b w:val="1"/>
                <w:bCs w:val="1"/>
                <w:color w:val="auto"/>
              </w:rPr>
              <w:t>Comprehensive</w:t>
            </w:r>
          </w:p>
        </w:tc>
        <w:tc>
          <w:tcPr>
            <w:tcW w:w="100" w:type="dxa"/>
            <w:vAlign w:val="bottom"/>
          </w:tcPr>
          <w:p>
            <w:pPr>
              <w:spacing w:after="0"/>
              <w:rPr>
                <w:sz w:val="9"/>
                <w:szCs w:val="9"/>
                <w:color w:val="auto"/>
              </w:rPr>
            </w:pPr>
          </w:p>
        </w:tc>
        <w:tc>
          <w:tcPr>
            <w:tcW w:w="840" w:type="dxa"/>
            <w:vAlign w:val="bottom"/>
            <w:gridSpan w:val="2"/>
          </w:tcPr>
          <w:p>
            <w:pPr>
              <w:ind w:left="20"/>
              <w:spacing w:after="0" w:line="109" w:lineRule="exact"/>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center"/>
              <w:ind w:right="32"/>
              <w:spacing w:after="0" w:line="109"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82"/>
        </w:trPr>
        <w:tc>
          <w:tcPr>
            <w:tcW w:w="3640" w:type="dxa"/>
            <w:vAlign w:val="bottom"/>
          </w:tcPr>
          <w:p>
            <w:pPr>
              <w:spacing w:after="0"/>
              <w:rPr>
                <w:sz w:val="15"/>
                <w:szCs w:val="15"/>
                <w:color w:val="auto"/>
              </w:rPr>
            </w:pPr>
          </w:p>
        </w:tc>
        <w:tc>
          <w:tcPr>
            <w:tcW w:w="1020" w:type="dxa"/>
            <w:vAlign w:val="bottom"/>
            <w:gridSpan w:val="3"/>
          </w:tcPr>
          <w:p>
            <w:pPr>
              <w:ind w:left="26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5"/>
                <w:szCs w:val="15"/>
                <w:color w:val="auto"/>
              </w:rPr>
            </w:pPr>
          </w:p>
        </w:tc>
        <w:tc>
          <w:tcPr>
            <w:tcW w:w="780" w:type="dxa"/>
            <w:vAlign w:val="bottom"/>
          </w:tcPr>
          <w:p>
            <w:pPr>
              <w:jc w:val="right"/>
              <w:ind w:right="111"/>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31"/>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51"/>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3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gridSpan w:val="7"/>
          </w:tcPr>
          <w:p>
            <w:pPr>
              <w:jc w:val="right"/>
              <w:ind w:right="691"/>
              <w:spacing w:after="0"/>
              <w:rPr>
                <w:sz w:val="20"/>
                <w:szCs w:val="20"/>
                <w:color w:val="auto"/>
              </w:rPr>
            </w:pPr>
            <w:r>
              <w:rPr>
                <w:rFonts w:ascii="Arial" w:cs="Arial" w:eastAsia="Arial" w:hAnsi="Arial"/>
                <w:sz w:val="12"/>
                <w:szCs w:val="12"/>
                <w:color w:val="auto"/>
                <w:w w:val="94"/>
              </w:rPr>
              <w:t>(In thousands, except share amounts)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December 31,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176,358,104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94"/>
              </w:rPr>
              <w:t>174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9,617,605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CEEFF"/>
          </w:tcPr>
          <w:p>
            <w:pPr>
              <w:jc w:val="center"/>
              <w:ind w:left="272"/>
              <w:spacing w:after="0"/>
              <w:rPr>
                <w:sz w:val="20"/>
                <w:szCs w:val="20"/>
                <w:color w:val="auto"/>
              </w:rPr>
            </w:pPr>
            <w:r>
              <w:rPr>
                <w:rFonts w:ascii="Arial" w:cs="Arial" w:eastAsia="Arial" w:hAnsi="Arial"/>
                <w:sz w:val="14"/>
                <w:szCs w:val="14"/>
                <w:b w:val="1"/>
                <w:bCs w:val="1"/>
                <w:color w:val="auto"/>
                <w:w w:val="89"/>
              </w:rPr>
              <w:t>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14,055,853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(121,161)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(3,375,836)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10,559,042</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Net loss</w:t>
            </w:r>
          </w:p>
        </w:tc>
        <w:tc>
          <w:tcPr>
            <w:tcW w:w="1020" w:type="dxa"/>
            <w:vAlign w:val="bottom"/>
            <w:tcBorders>
              <w:top w:val="single" w:sz="8" w:color="CCEEFF"/>
            </w:tcBorders>
            <w:gridSpan w:val="3"/>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640" w:type="dxa"/>
            <w:vAlign w:val="bottom"/>
            <w:tcBorders>
              <w:top w:val="single" w:sz="8" w:color="CCEEFF"/>
            </w:tcBorders>
            <w:vMerge w:val="continue"/>
          </w:tcPr>
          <w:p>
            <w:pPr>
              <w:spacing w:after="0"/>
              <w:rPr>
                <w:sz w:val="12"/>
                <w:szCs w:val="12"/>
                <w:color w:val="auto"/>
              </w:rPr>
            </w:pPr>
          </w:p>
        </w:tc>
        <w:tc>
          <w:tcPr>
            <w:tcW w:w="9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center"/>
              <w:ind w:left="272"/>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(342,139)</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(342,139)</w:t>
            </w:r>
          </w:p>
        </w:tc>
        <w:tc>
          <w:tcPr>
            <w:tcW w:w="0" w:type="dxa"/>
            <w:vAlign w:val="bottom"/>
          </w:tcPr>
          <w:p>
            <w:pPr>
              <w:spacing w:after="0"/>
              <w:rPr>
                <w:sz w:val="1"/>
                <w:szCs w:val="1"/>
                <w:color w:val="auto"/>
              </w:rPr>
            </w:pPr>
          </w:p>
        </w:tc>
      </w:tr>
      <w:tr>
        <w:trPr>
          <w:trHeight w:val="196"/>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Exercises of vested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66,968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97,199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272"/>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3,264</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20"/>
                <w:szCs w:val="20"/>
                <w:color w:val="auto"/>
              </w:rPr>
            </w:pPr>
            <w:r>
              <w:rPr>
                <w:rFonts w:ascii="Arial" w:cs="Arial" w:eastAsia="Arial" w:hAnsi="Arial"/>
                <w:sz w:val="14"/>
                <w:szCs w:val="14"/>
                <w:color w:val="auto"/>
              </w:rPr>
              <w:t>Vesting of restricted stock units</w:t>
            </w:r>
          </w:p>
        </w:tc>
        <w:tc>
          <w:tcPr>
            <w:tcW w:w="900" w:type="dxa"/>
            <w:vAlign w:val="bottom"/>
          </w:tcPr>
          <w:p>
            <w:pPr>
              <w:jc w:val="right"/>
              <w:spacing w:after="0"/>
              <w:rPr>
                <w:sz w:val="20"/>
                <w:szCs w:val="20"/>
                <w:color w:val="auto"/>
              </w:rPr>
            </w:pPr>
            <w:r>
              <w:rPr>
                <w:rFonts w:ascii="Arial" w:cs="Arial" w:eastAsia="Arial" w:hAnsi="Arial"/>
                <w:sz w:val="14"/>
                <w:szCs w:val="14"/>
                <w:color w:val="auto"/>
              </w:rPr>
              <w:t>1,516,634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jc w:val="right"/>
              <w:ind w:right="11"/>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left="272"/>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Value of equity awards withheld for tax liability</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(36,965)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72"/>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136"/>
        </w:trPr>
        <w:tc>
          <w:tcPr>
            <w:tcW w:w="3640" w:type="dxa"/>
            <w:vAlign w:val="bottom"/>
          </w:tcPr>
          <w:p>
            <w:pPr>
              <w:spacing w:after="0" w:line="137" w:lineRule="exact"/>
              <w:rPr>
                <w:sz w:val="20"/>
                <w:szCs w:val="20"/>
                <w:color w:val="auto"/>
              </w:rPr>
            </w:pPr>
            <w:r>
              <w:rPr>
                <w:rFonts w:ascii="Arial" w:cs="Arial" w:eastAsia="Arial" w:hAnsi="Arial"/>
                <w:sz w:val="14"/>
                <w:szCs w:val="14"/>
                <w:color w:val="auto"/>
                <w:w w:val="94"/>
              </w:rPr>
              <w:t>Conversion of shares of Class B common stock into shares of</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640" w:type="dxa"/>
            <w:vAlign w:val="bottom"/>
          </w:tcPr>
          <w:p>
            <w:pPr>
              <w:ind w:left="160"/>
              <w:spacing w:after="0"/>
              <w:rPr>
                <w:sz w:val="20"/>
                <w:szCs w:val="20"/>
                <w:color w:val="auto"/>
              </w:rPr>
            </w:pPr>
            <w:r>
              <w:rPr>
                <w:rFonts w:ascii="Arial" w:cs="Arial" w:eastAsia="Arial" w:hAnsi="Arial"/>
                <w:sz w:val="14"/>
                <w:szCs w:val="14"/>
                <w:color w:val="auto"/>
              </w:rPr>
              <w:t>Class A common stock</w:t>
            </w:r>
          </w:p>
        </w:tc>
        <w:tc>
          <w:tcPr>
            <w:tcW w:w="900" w:type="dxa"/>
            <w:vAlign w:val="bottom"/>
          </w:tcPr>
          <w:p>
            <w:pPr>
              <w:jc w:val="right"/>
              <w:spacing w:after="0"/>
              <w:rPr>
                <w:sz w:val="20"/>
                <w:szCs w:val="20"/>
                <w:color w:val="auto"/>
              </w:rPr>
            </w:pPr>
            <w:r>
              <w:rPr>
                <w:rFonts w:ascii="Arial" w:cs="Arial" w:eastAsia="Arial" w:hAnsi="Arial"/>
                <w:sz w:val="14"/>
                <w:szCs w:val="14"/>
                <w:color w:val="auto"/>
              </w:rPr>
              <w:t>97,199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(97,199)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left="272"/>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w w:val="92"/>
              </w:rPr>
              <w:t>Shares of Class A common stock issued and donated to charity</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22,102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center"/>
              <w:ind w:left="272"/>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20"/>
                <w:szCs w:val="20"/>
                <w:color w:val="auto"/>
              </w:rPr>
            </w:pPr>
            <w:r>
              <w:rPr>
                <w:rFonts w:ascii="Arial" w:cs="Arial" w:eastAsia="Arial" w:hAnsi="Arial"/>
                <w:sz w:val="14"/>
                <w:szCs w:val="14"/>
                <w:color w:val="auto"/>
              </w:rPr>
              <w:t>Unrealized gain on marketable securities</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left="272"/>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30,750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30,750</w:t>
            </w:r>
          </w:p>
        </w:tc>
        <w:tc>
          <w:tcPr>
            <w:tcW w:w="0" w:type="dxa"/>
            <w:vAlign w:val="bottom"/>
          </w:tcPr>
          <w:p>
            <w:pPr>
              <w:spacing w:after="0"/>
              <w:rPr>
                <w:sz w:val="1"/>
                <w:szCs w:val="1"/>
                <w:color w:val="auto"/>
              </w:rPr>
            </w:pPr>
          </w:p>
        </w:tc>
      </w:tr>
      <w:tr>
        <w:trPr>
          <w:trHeight w:val="146"/>
        </w:trPr>
        <w:tc>
          <w:tcPr>
            <w:tcW w:w="36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w w:val="99"/>
              </w:rPr>
              <w:t>Repurchases of shares of Class A common stock including</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related costs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(1,902,124)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72"/>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(124,990)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(124,992)</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left="272"/>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38"/>
        </w:trPr>
        <w:tc>
          <w:tcPr>
            <w:tcW w:w="36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Net change in market value of effective foreign currency</w:t>
            </w:r>
          </w:p>
        </w:tc>
        <w:tc>
          <w:tcPr>
            <w:tcW w:w="10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center"/>
              <w:ind w:left="272"/>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3,335</w:t>
            </w:r>
          </w:p>
        </w:tc>
        <w:tc>
          <w:tcPr>
            <w:tcW w:w="0" w:type="dxa"/>
            <w:vAlign w:val="bottom"/>
          </w:tcPr>
          <w:p>
            <w:pPr>
              <w:spacing w:after="0"/>
              <w:rPr>
                <w:sz w:val="1"/>
                <w:szCs w:val="1"/>
                <w:color w:val="auto"/>
              </w:rPr>
            </w:pPr>
          </w:p>
        </w:tc>
      </w:tr>
      <w:tr>
        <w:trPr>
          <w:trHeight w:val="193"/>
        </w:trPr>
        <w:tc>
          <w:tcPr>
            <w:tcW w:w="3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forward exchange contracts</w:t>
            </w:r>
          </w:p>
        </w:tc>
        <w:tc>
          <w:tcPr>
            <w:tcW w:w="1020" w:type="dxa"/>
            <w:vAlign w:val="bottom"/>
            <w:gridSpan w:val="3"/>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640" w:type="dxa"/>
            <w:vAlign w:val="bottom"/>
          </w:tcPr>
          <w:p>
            <w:pPr>
              <w:spacing w:after="0" w:line="137" w:lineRule="exact"/>
              <w:rPr>
                <w:sz w:val="20"/>
                <w:szCs w:val="20"/>
                <w:color w:val="auto"/>
              </w:rPr>
            </w:pPr>
            <w:r>
              <w:rPr>
                <w:rFonts w:ascii="Arial" w:cs="Arial" w:eastAsia="Arial" w:hAnsi="Arial"/>
                <w:sz w:val="14"/>
                <w:szCs w:val="14"/>
                <w:color w:val="auto"/>
              </w:rPr>
              <w:t>Share of other comprehensive income from equity method</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640" w:type="dxa"/>
            <w:vAlign w:val="bottom"/>
          </w:tcPr>
          <w:p>
            <w:pPr>
              <w:spacing w:after="0"/>
              <w:rPr>
                <w:sz w:val="20"/>
                <w:szCs w:val="20"/>
                <w:color w:val="auto"/>
              </w:rPr>
            </w:pPr>
            <w:r>
              <w:rPr>
                <w:rFonts w:ascii="Arial" w:cs="Arial" w:eastAsia="Arial" w:hAnsi="Arial"/>
                <w:sz w:val="14"/>
                <w:szCs w:val="14"/>
                <w:color w:val="auto"/>
              </w:rPr>
              <w:t>investment</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left="272"/>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14,648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14,648</w:t>
            </w: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272"/>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164,999</w:t>
            </w:r>
          </w:p>
        </w:tc>
        <w:tc>
          <w:tcPr>
            <w:tcW w:w="0" w:type="dxa"/>
            <w:vAlign w:val="bottom"/>
          </w:tcPr>
          <w:p>
            <w:pPr>
              <w:spacing w:after="0"/>
              <w:rPr>
                <w:sz w:val="1"/>
                <w:szCs w:val="1"/>
                <w:color w:val="auto"/>
              </w:rPr>
            </w:pPr>
          </w:p>
        </w:tc>
      </w:tr>
      <w:tr>
        <w:trPr>
          <w:trHeight w:val="188"/>
        </w:trPr>
        <w:tc>
          <w:tcPr>
            <w:tcW w:w="3640" w:type="dxa"/>
            <w:vAlign w:val="bottom"/>
          </w:tcPr>
          <w:p>
            <w:pPr>
              <w:spacing w:after="0"/>
              <w:rPr>
                <w:sz w:val="20"/>
                <w:szCs w:val="20"/>
                <w:color w:val="auto"/>
              </w:rPr>
            </w:pPr>
            <w:r>
              <w:rPr>
                <w:rFonts w:ascii="Arial" w:cs="Arial" w:eastAsia="Arial" w:hAnsi="Arial"/>
                <w:sz w:val="14"/>
                <w:szCs w:val="14"/>
                <w:color w:val="auto"/>
              </w:rPr>
              <w:t>Stock-based compensation - restructuring</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3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center"/>
              <w:ind w:left="272"/>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10,333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10,333</w:t>
            </w:r>
          </w:p>
        </w:tc>
        <w:tc>
          <w:tcPr>
            <w:tcW w:w="0" w:type="dxa"/>
            <w:vAlign w:val="bottom"/>
          </w:tcPr>
          <w:p>
            <w:pPr>
              <w:spacing w:after="0"/>
              <w:rPr>
                <w:sz w:val="1"/>
                <w:szCs w:val="1"/>
                <w:color w:val="auto"/>
              </w:rPr>
            </w:pPr>
          </w:p>
        </w:tc>
      </w:tr>
      <w:tr>
        <w:trPr>
          <w:trHeight w:val="204"/>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March 31,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176,121,918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w w:val="94"/>
              </w:rPr>
              <w:t>174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9,617,605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CEEFF"/>
          </w:tcPr>
          <w:p>
            <w:pPr>
              <w:jc w:val="center"/>
              <w:ind w:left="272"/>
              <w:spacing w:after="0"/>
              <w:rPr>
                <w:sz w:val="20"/>
                <w:szCs w:val="20"/>
                <w:color w:val="auto"/>
              </w:rPr>
            </w:pPr>
            <w:r>
              <w:rPr>
                <w:rFonts w:ascii="Arial" w:cs="Arial" w:eastAsia="Arial" w:hAnsi="Arial"/>
                <w:sz w:val="14"/>
                <w:szCs w:val="14"/>
                <w:b w:val="1"/>
                <w:bCs w:val="1"/>
                <w:color w:val="auto"/>
                <w:w w:val="89"/>
              </w:rPr>
              <w:t>12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14,233,590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(71,945)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(3,842,965)</w:t>
            </w:r>
          </w:p>
        </w:tc>
        <w:tc>
          <w:tcPr>
            <w:tcW w:w="80" w:type="dxa"/>
            <w:vAlign w:val="bottom"/>
            <w:tcBorders>
              <w:top w:val="single" w:sz="8" w:color="CCEEFF"/>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10,318,866</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Net loss</w:t>
            </w:r>
          </w:p>
        </w:tc>
        <w:tc>
          <w:tcPr>
            <w:tcW w:w="1020" w:type="dxa"/>
            <w:vAlign w:val="bottom"/>
            <w:tcBorders>
              <w:top w:val="single" w:sz="8" w:color="CCEEFF"/>
            </w:tcBorders>
            <w:gridSpan w:val="3"/>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40" w:type="dxa"/>
            <w:vAlign w:val="bottom"/>
            <w:tcBorders>
              <w:top w:val="single" w:sz="8" w:color="CCEEFF"/>
            </w:tcBorders>
            <w:vMerge w:val="continue"/>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center"/>
              <w:ind w:left="272"/>
              <w:spacing w:after="0" w:line="155"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(166,187)</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(166,187)</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Exercises of vested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33,438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30,783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272"/>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Arial" w:cs="Arial" w:eastAsia="Arial" w:hAnsi="Arial"/>
                <w:sz w:val="14"/>
                <w:szCs w:val="14"/>
                <w:color w:val="auto"/>
              </w:rPr>
              <w:t>Vesting of restricted stock units</w:t>
            </w:r>
          </w:p>
        </w:tc>
        <w:tc>
          <w:tcPr>
            <w:tcW w:w="900" w:type="dxa"/>
            <w:vAlign w:val="bottom"/>
          </w:tcPr>
          <w:p>
            <w:pPr>
              <w:jc w:val="right"/>
              <w:spacing w:after="0"/>
              <w:rPr>
                <w:sz w:val="20"/>
                <w:szCs w:val="20"/>
                <w:color w:val="auto"/>
              </w:rPr>
            </w:pPr>
            <w:r>
              <w:rPr>
                <w:rFonts w:ascii="Arial" w:cs="Arial" w:eastAsia="Arial" w:hAnsi="Arial"/>
                <w:sz w:val="14"/>
                <w:szCs w:val="14"/>
                <w:color w:val="auto"/>
              </w:rPr>
              <w:t>1,144,112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jc w:val="right"/>
              <w:ind w:right="11"/>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left="272"/>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Value of equity awards withheld for tax liability</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272"/>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36"/>
        </w:trPr>
        <w:tc>
          <w:tcPr>
            <w:tcW w:w="3640" w:type="dxa"/>
            <w:vAlign w:val="bottom"/>
          </w:tcPr>
          <w:p>
            <w:pPr>
              <w:spacing w:after="0" w:line="137" w:lineRule="exact"/>
              <w:rPr>
                <w:sz w:val="20"/>
                <w:szCs w:val="20"/>
                <w:color w:val="auto"/>
              </w:rPr>
            </w:pPr>
            <w:r>
              <w:rPr>
                <w:rFonts w:ascii="Arial" w:cs="Arial" w:eastAsia="Arial" w:hAnsi="Arial"/>
                <w:sz w:val="14"/>
                <w:szCs w:val="14"/>
                <w:color w:val="auto"/>
                <w:w w:val="94"/>
              </w:rPr>
              <w:t>Conversion of shares of Class B common stock into shares of</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640" w:type="dxa"/>
            <w:vAlign w:val="bottom"/>
          </w:tcPr>
          <w:p>
            <w:pPr>
              <w:ind w:left="160"/>
              <w:spacing w:after="0"/>
              <w:rPr>
                <w:sz w:val="20"/>
                <w:szCs w:val="20"/>
                <w:color w:val="auto"/>
              </w:rPr>
            </w:pPr>
            <w:r>
              <w:rPr>
                <w:rFonts w:ascii="Arial" w:cs="Arial" w:eastAsia="Arial" w:hAnsi="Arial"/>
                <w:sz w:val="14"/>
                <w:szCs w:val="14"/>
                <w:color w:val="auto"/>
              </w:rPr>
              <w:t>Class A common stock</w:t>
            </w:r>
          </w:p>
        </w:tc>
        <w:tc>
          <w:tcPr>
            <w:tcW w:w="900" w:type="dxa"/>
            <w:vAlign w:val="bottom"/>
          </w:tcPr>
          <w:p>
            <w:pPr>
              <w:jc w:val="right"/>
              <w:spacing w:after="0"/>
              <w:rPr>
                <w:sz w:val="20"/>
                <w:szCs w:val="20"/>
                <w:color w:val="auto"/>
              </w:rPr>
            </w:pPr>
            <w:r>
              <w:rPr>
                <w:rFonts w:ascii="Arial" w:cs="Arial" w:eastAsia="Arial" w:hAnsi="Arial"/>
                <w:sz w:val="14"/>
                <w:szCs w:val="14"/>
                <w:color w:val="auto"/>
              </w:rPr>
              <w:t>9,648,388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jc w:val="right"/>
              <w:ind w:right="11"/>
              <w:spacing w:after="0"/>
              <w:rPr>
                <w:sz w:val="20"/>
                <w:szCs w:val="20"/>
                <w:color w:val="auto"/>
              </w:rPr>
            </w:pPr>
            <w:r>
              <w:rPr>
                <w:rFonts w:ascii="Arial" w:cs="Arial" w:eastAsia="Arial" w:hAnsi="Arial"/>
                <w:sz w:val="14"/>
                <w:szCs w:val="14"/>
                <w:color w:val="auto"/>
              </w:rPr>
              <w:t>12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(9,648,388)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left="232"/>
              <w:spacing w:after="0"/>
              <w:rPr>
                <w:sz w:val="20"/>
                <w:szCs w:val="20"/>
                <w:color w:val="auto"/>
              </w:rPr>
            </w:pPr>
            <w:r>
              <w:rPr>
                <w:rFonts w:ascii="Arial" w:cs="Arial" w:eastAsia="Arial" w:hAnsi="Arial"/>
                <w:sz w:val="14"/>
                <w:szCs w:val="14"/>
                <w:color w:val="auto"/>
                <w:w w:val="88"/>
              </w:rPr>
              <w:t>(12)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Shares issued under ESPP</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579,857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272"/>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23,337</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20"/>
                <w:szCs w:val="20"/>
                <w:color w:val="auto"/>
              </w:rPr>
            </w:pPr>
            <w:r>
              <w:rPr>
                <w:rFonts w:ascii="Arial" w:cs="Arial" w:eastAsia="Arial" w:hAnsi="Arial"/>
                <w:sz w:val="14"/>
                <w:szCs w:val="14"/>
                <w:color w:val="auto"/>
                <w:w w:val="92"/>
              </w:rPr>
              <w:t>Shares of Class A common stock issued and donated to charity</w:t>
            </w:r>
          </w:p>
        </w:tc>
        <w:tc>
          <w:tcPr>
            <w:tcW w:w="900" w:type="dxa"/>
            <w:vAlign w:val="bottom"/>
          </w:tcPr>
          <w:p>
            <w:pPr>
              <w:jc w:val="right"/>
              <w:spacing w:after="0"/>
              <w:rPr>
                <w:sz w:val="20"/>
                <w:szCs w:val="20"/>
                <w:color w:val="auto"/>
              </w:rPr>
            </w:pPr>
            <w:r>
              <w:rPr>
                <w:rFonts w:ascii="Arial" w:cs="Arial" w:eastAsia="Arial" w:hAnsi="Arial"/>
                <w:sz w:val="14"/>
                <w:szCs w:val="14"/>
                <w:color w:val="auto"/>
              </w:rPr>
              <w:t>22,102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left="272"/>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1,047</w:t>
            </w:r>
          </w:p>
        </w:tc>
        <w:tc>
          <w:tcPr>
            <w:tcW w:w="0" w:type="dxa"/>
            <w:vAlign w:val="bottom"/>
          </w:tcPr>
          <w:p>
            <w:pPr>
              <w:spacing w:after="0"/>
              <w:rPr>
                <w:sz w:val="1"/>
                <w:szCs w:val="1"/>
                <w:color w:val="auto"/>
              </w:rPr>
            </w:pPr>
          </w:p>
        </w:tc>
      </w:tr>
      <w:tr>
        <w:trPr>
          <w:trHeight w:val="190"/>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Unrealized gain on marketable securities</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272"/>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8,605</w:t>
            </w:r>
          </w:p>
        </w:tc>
        <w:tc>
          <w:tcPr>
            <w:tcW w:w="0" w:type="dxa"/>
            <w:vAlign w:val="bottom"/>
          </w:tcPr>
          <w:p>
            <w:pPr>
              <w:spacing w:after="0"/>
              <w:rPr>
                <w:sz w:val="1"/>
                <w:szCs w:val="1"/>
                <w:color w:val="auto"/>
              </w:rPr>
            </w:pPr>
          </w:p>
        </w:tc>
      </w:tr>
      <w:tr>
        <w:trPr>
          <w:trHeight w:val="136"/>
        </w:trPr>
        <w:tc>
          <w:tcPr>
            <w:tcW w:w="3640" w:type="dxa"/>
            <w:vAlign w:val="bottom"/>
          </w:tcPr>
          <w:p>
            <w:pPr>
              <w:spacing w:after="0" w:line="137" w:lineRule="exact"/>
              <w:rPr>
                <w:sz w:val="20"/>
                <w:szCs w:val="20"/>
                <w:color w:val="auto"/>
              </w:rPr>
            </w:pPr>
            <w:r>
              <w:rPr>
                <w:rFonts w:ascii="Arial" w:cs="Arial" w:eastAsia="Arial" w:hAnsi="Arial"/>
                <w:sz w:val="14"/>
                <w:szCs w:val="14"/>
                <w:color w:val="auto"/>
                <w:w w:val="99"/>
              </w:rPr>
              <w:t>Repurchases of shares of Class A common stock including</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640" w:type="dxa"/>
            <w:vAlign w:val="bottom"/>
          </w:tcPr>
          <w:p>
            <w:pPr>
              <w:ind w:left="160"/>
              <w:spacing w:after="0"/>
              <w:rPr>
                <w:sz w:val="20"/>
                <w:szCs w:val="20"/>
                <w:color w:val="auto"/>
              </w:rPr>
            </w:pPr>
            <w:r>
              <w:rPr>
                <w:rFonts w:ascii="Arial" w:cs="Arial" w:eastAsia="Arial" w:hAnsi="Arial"/>
                <w:sz w:val="14"/>
                <w:szCs w:val="14"/>
                <w:color w:val="auto"/>
              </w:rPr>
              <w:t>related costs</w:t>
            </w:r>
          </w:p>
        </w:tc>
        <w:tc>
          <w:tcPr>
            <w:tcW w:w="900" w:type="dxa"/>
            <w:vAlign w:val="bottom"/>
          </w:tcPr>
          <w:p>
            <w:pPr>
              <w:jc w:val="right"/>
              <w:spacing w:after="0"/>
              <w:rPr>
                <w:sz w:val="20"/>
                <w:szCs w:val="20"/>
                <w:color w:val="auto"/>
              </w:rPr>
            </w:pPr>
            <w:r>
              <w:rPr>
                <w:rFonts w:ascii="Arial" w:cs="Arial" w:eastAsia="Arial" w:hAnsi="Arial"/>
                <w:sz w:val="14"/>
                <w:szCs w:val="14"/>
                <w:color w:val="auto"/>
              </w:rPr>
              <w:t>(6,374,327)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left="272"/>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(373,141)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(373,147)</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translation</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center"/>
              <w:ind w:left="272"/>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36"/>
        </w:trPr>
        <w:tc>
          <w:tcPr>
            <w:tcW w:w="3640" w:type="dxa"/>
            <w:vAlign w:val="bottom"/>
          </w:tcPr>
          <w:p>
            <w:pPr>
              <w:spacing w:after="0" w:line="137" w:lineRule="exact"/>
              <w:rPr>
                <w:sz w:val="20"/>
                <w:szCs w:val="20"/>
                <w:color w:val="auto"/>
              </w:rPr>
            </w:pPr>
            <w:r>
              <w:rPr>
                <w:rFonts w:ascii="Arial" w:cs="Arial" w:eastAsia="Arial" w:hAnsi="Arial"/>
                <w:sz w:val="14"/>
                <w:szCs w:val="14"/>
                <w:color w:val="auto"/>
              </w:rPr>
              <w:t>Net change in market value of effective foreign currency</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640" w:type="dxa"/>
            <w:vAlign w:val="bottom"/>
          </w:tcPr>
          <w:p>
            <w:pPr>
              <w:ind w:left="160"/>
              <w:spacing w:after="0"/>
              <w:rPr>
                <w:sz w:val="20"/>
                <w:szCs w:val="20"/>
                <w:color w:val="auto"/>
              </w:rPr>
            </w:pPr>
            <w:r>
              <w:rPr>
                <w:rFonts w:ascii="Arial" w:cs="Arial" w:eastAsia="Arial" w:hAnsi="Arial"/>
                <w:sz w:val="14"/>
                <w:szCs w:val="14"/>
                <w:color w:val="auto"/>
              </w:rPr>
              <w:t>forward exchange contracts</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left="272"/>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(2,167)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(2,167)</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36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Share of other comprehensive income from equity method</w:t>
            </w:r>
          </w:p>
        </w:tc>
        <w:tc>
          <w:tcPr>
            <w:tcW w:w="10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center"/>
              <w:ind w:left="272"/>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5,146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5,146</w:t>
            </w:r>
          </w:p>
        </w:tc>
        <w:tc>
          <w:tcPr>
            <w:tcW w:w="0" w:type="dxa"/>
            <w:vAlign w:val="bottom"/>
          </w:tcPr>
          <w:p>
            <w:pPr>
              <w:spacing w:after="0"/>
              <w:rPr>
                <w:sz w:val="1"/>
                <w:szCs w:val="1"/>
                <w:color w:val="auto"/>
              </w:rPr>
            </w:pPr>
          </w:p>
        </w:tc>
      </w:tr>
      <w:tr>
        <w:trPr>
          <w:trHeight w:val="193"/>
        </w:trPr>
        <w:tc>
          <w:tcPr>
            <w:tcW w:w="3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investment</w:t>
            </w:r>
          </w:p>
        </w:tc>
        <w:tc>
          <w:tcPr>
            <w:tcW w:w="1020" w:type="dxa"/>
            <w:vAlign w:val="bottom"/>
            <w:gridSpan w:val="3"/>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left="272"/>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159,253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159,253</w:t>
            </w:r>
          </w:p>
        </w:tc>
        <w:tc>
          <w:tcPr>
            <w:tcW w:w="0" w:type="dxa"/>
            <w:vAlign w:val="bottom"/>
          </w:tcPr>
          <w:p>
            <w:pPr>
              <w:spacing w:after="0"/>
              <w:rPr>
                <w:sz w:val="1"/>
                <w:szCs w:val="1"/>
                <w:color w:val="auto"/>
              </w:rPr>
            </w:pPr>
          </w:p>
        </w:tc>
      </w:tr>
      <w:tr>
        <w:trPr>
          <w:trHeight w:val="187"/>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Stock-based compensation - restructuring</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center"/>
              <w:ind w:left="272"/>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20"/>
                <w:szCs w:val="20"/>
                <w:color w:val="auto"/>
              </w:rPr>
            </w:pPr>
            <w:r>
              <w:rPr>
                <w:rFonts w:ascii="Arial" w:cs="Arial" w:eastAsia="Arial" w:hAnsi="Arial"/>
                <w:sz w:val="14"/>
                <w:szCs w:val="14"/>
                <w:b w:val="1"/>
                <w:bCs w:val="1"/>
                <w:color w:val="auto"/>
              </w:rPr>
              <w:t>Balance as of June 30, 2023</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181,174,616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jc w:val="right"/>
              <w:ind w:right="164"/>
              <w:spacing w:after="0"/>
              <w:rPr>
                <w:sz w:val="20"/>
                <w:szCs w:val="20"/>
                <w:color w:val="auto"/>
              </w:rPr>
            </w:pPr>
            <w:r>
              <w:rPr>
                <w:rFonts w:ascii="Arial" w:cs="Arial" w:eastAsia="Arial" w:hAnsi="Arial"/>
                <w:sz w:val="10"/>
                <w:szCs w:val="10"/>
                <w:b w:val="1"/>
                <w:bCs w:val="1"/>
                <w:color w:val="auto"/>
                <w:w w:val="71"/>
              </w:rPr>
              <w:t>$</w:t>
            </w:r>
          </w:p>
        </w:tc>
        <w:tc>
          <w:tcPr>
            <w:tcW w:w="320" w:type="dxa"/>
            <w:vAlign w:val="bottom"/>
          </w:tcPr>
          <w:p>
            <w:pPr>
              <w:jc w:val="right"/>
              <w:ind w:right="11"/>
              <w:spacing w:after="0"/>
              <w:rPr>
                <w:sz w:val="20"/>
                <w:szCs w:val="20"/>
                <w:color w:val="auto"/>
              </w:rPr>
            </w:pPr>
            <w:r>
              <w:rPr>
                <w:rFonts w:ascii="Arial" w:cs="Arial" w:eastAsia="Arial" w:hAnsi="Arial"/>
                <w:sz w:val="14"/>
                <w:szCs w:val="14"/>
                <w:b w:val="1"/>
                <w:bCs w:val="1"/>
                <w:color w:val="auto"/>
                <w:w w:val="94"/>
              </w:rPr>
              <w:t>181</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center"/>
              <w:ind w:left="272"/>
              <w:spacing w:after="0"/>
              <w:rPr>
                <w:sz w:val="20"/>
                <w:szCs w:val="20"/>
                <w:color w:val="auto"/>
              </w:rPr>
            </w:pPr>
            <w:r>
              <w:rPr>
                <w:rFonts w:ascii="Arial" w:cs="Arial" w:eastAsia="Arial" w:hAnsi="Arial"/>
                <w:sz w:val="14"/>
                <w:szCs w:val="14"/>
                <w:b w:val="1"/>
                <w:bCs w:val="1"/>
                <w:color w:val="auto"/>
                <w:w w:val="99"/>
              </w:rPr>
              <w:t>—</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9"/>
              </w:rPr>
              <w:t>14,418,946</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(60,275)</w:t>
            </w:r>
          </w:p>
        </w:tc>
        <w:tc>
          <w:tcPr>
            <w:tcW w:w="22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4"/>
              </w:rPr>
              <w:t>(4,382,293)</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9,976,559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440" w:top="125"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5"/>
          <w:szCs w:val="15"/>
          <w:b w:val="1"/>
          <w:bCs w:val="1"/>
          <w:color w:val="auto"/>
        </w:rPr>
        <w:t>TWILIO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Stockholders’ Equity</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300" w:type="dxa"/>
            <w:vAlign w:val="bottom"/>
            <w:gridSpan w:val="3"/>
            <w:vMerge w:val="restart"/>
          </w:tcPr>
          <w:p>
            <w:pPr>
              <w:jc w:val="center"/>
              <w:ind w:left="251"/>
              <w:spacing w:after="0"/>
              <w:rPr>
                <w:sz w:val="20"/>
                <w:szCs w:val="20"/>
                <w:color w:val="auto"/>
              </w:rPr>
            </w:pPr>
            <w:r>
              <w:rPr>
                <w:rFonts w:ascii="Arial" w:cs="Arial" w:eastAsia="Arial" w:hAnsi="Arial"/>
                <w:sz w:val="14"/>
                <w:szCs w:val="14"/>
                <w:b w:val="1"/>
                <w:bCs w:val="1"/>
                <w:color w:val="auto"/>
                <w:w w:val="87"/>
              </w:rPr>
              <w:t>Common Stock</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vMerge w:val="restart"/>
          </w:tcPr>
          <w:p>
            <w:pPr>
              <w:jc w:val="right"/>
              <w:ind w:right="252"/>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1"/>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364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restart"/>
          </w:tcPr>
          <w:p>
            <w:pPr>
              <w:jc w:val="right"/>
              <w:ind w:right="52"/>
              <w:spacing w:after="0" w:line="139" w:lineRule="exact"/>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restart"/>
          </w:tcPr>
          <w:p>
            <w:pPr>
              <w:jc w:val="center"/>
              <w:ind w:right="51"/>
              <w:spacing w:after="0" w:line="13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vMerge w:val="restart"/>
          </w:tcPr>
          <w:p>
            <w:pPr>
              <w:jc w:val="center"/>
              <w:ind w:right="32"/>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4"/>
        </w:trPr>
        <w:tc>
          <w:tcPr>
            <w:tcW w:w="3640" w:type="dxa"/>
            <w:vAlign w:val="bottom"/>
          </w:tcPr>
          <w:p>
            <w:pPr>
              <w:spacing w:after="0"/>
              <w:rPr>
                <w:sz w:val="6"/>
                <w:szCs w:val="6"/>
                <w:color w:val="auto"/>
              </w:rPr>
            </w:pPr>
          </w:p>
        </w:tc>
        <w:tc>
          <w:tcPr>
            <w:tcW w:w="1020" w:type="dxa"/>
            <w:vAlign w:val="bottom"/>
            <w:gridSpan w:val="2"/>
            <w:vMerge w:val="restart"/>
          </w:tcPr>
          <w:p>
            <w:pPr>
              <w:jc w:val="center"/>
              <w:ind w:left="511"/>
              <w:spacing w:after="0"/>
              <w:rPr>
                <w:sz w:val="20"/>
                <w:szCs w:val="20"/>
                <w:color w:val="auto"/>
              </w:rPr>
            </w:pPr>
            <w:r>
              <w:rPr>
                <w:rFonts w:ascii="Arial" w:cs="Arial" w:eastAsia="Arial" w:hAnsi="Arial"/>
                <w:sz w:val="14"/>
                <w:szCs w:val="14"/>
                <w:b w:val="1"/>
                <w:bCs w:val="1"/>
                <w:color w:val="auto"/>
                <w:w w:val="85"/>
              </w:rPr>
              <w:t>Class A</w:t>
            </w: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gridSpan w:val="4"/>
            <w:vMerge w:val="restart"/>
          </w:tcPr>
          <w:p>
            <w:pPr>
              <w:jc w:val="right"/>
              <w:ind w:right="492"/>
              <w:spacing w:after="0"/>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3640" w:type="dxa"/>
            <w:vAlign w:val="bottom"/>
          </w:tcPr>
          <w:p>
            <w:pPr>
              <w:spacing w:after="0"/>
              <w:rPr>
                <w:sz w:val="9"/>
                <w:szCs w:val="9"/>
                <w:color w:val="auto"/>
              </w:rPr>
            </w:pPr>
          </w:p>
        </w:tc>
        <w:tc>
          <w:tcPr>
            <w:tcW w:w="1020" w:type="dxa"/>
            <w:vAlign w:val="bottom"/>
            <w:tcBorders>
              <w:bottom w:val="single" w:sz="8" w:color="auto"/>
            </w:tcBorders>
            <w:gridSpan w:val="2"/>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tcBorders>
              <w:bottom w:val="single" w:sz="8" w:color="auto"/>
            </w:tcBorders>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right"/>
              <w:ind w:right="152"/>
              <w:spacing w:after="0" w:line="109" w:lineRule="exact"/>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9"/>
                <w:szCs w:val="9"/>
                <w:color w:val="auto"/>
              </w:rPr>
            </w:pPr>
          </w:p>
        </w:tc>
        <w:tc>
          <w:tcPr>
            <w:tcW w:w="1040" w:type="dxa"/>
            <w:vAlign w:val="bottom"/>
            <w:gridSpan w:val="2"/>
          </w:tcPr>
          <w:p>
            <w:pPr>
              <w:jc w:val="right"/>
              <w:spacing w:after="0" w:line="109" w:lineRule="exact"/>
              <w:rPr>
                <w:sz w:val="20"/>
                <w:szCs w:val="20"/>
                <w:color w:val="auto"/>
              </w:rPr>
            </w:pPr>
            <w:r>
              <w:rPr>
                <w:rFonts w:ascii="Arial" w:cs="Arial" w:eastAsia="Arial" w:hAnsi="Arial"/>
                <w:sz w:val="11"/>
                <w:szCs w:val="11"/>
                <w:b w:val="1"/>
                <w:bCs w:val="1"/>
                <w:color w:val="auto"/>
              </w:rPr>
              <w:t>Comprehensive</w:t>
            </w:r>
          </w:p>
        </w:tc>
        <w:tc>
          <w:tcPr>
            <w:tcW w:w="100" w:type="dxa"/>
            <w:vAlign w:val="bottom"/>
          </w:tcPr>
          <w:p>
            <w:pPr>
              <w:spacing w:after="0"/>
              <w:rPr>
                <w:sz w:val="9"/>
                <w:szCs w:val="9"/>
                <w:color w:val="auto"/>
              </w:rPr>
            </w:pPr>
          </w:p>
        </w:tc>
        <w:tc>
          <w:tcPr>
            <w:tcW w:w="840" w:type="dxa"/>
            <w:vAlign w:val="bottom"/>
            <w:gridSpan w:val="2"/>
          </w:tcPr>
          <w:p>
            <w:pPr>
              <w:ind w:left="20"/>
              <w:spacing w:after="0" w:line="109" w:lineRule="exact"/>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center"/>
              <w:ind w:right="32"/>
              <w:spacing w:after="0" w:line="109"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82"/>
        </w:trPr>
        <w:tc>
          <w:tcPr>
            <w:tcW w:w="3640" w:type="dxa"/>
            <w:vAlign w:val="bottom"/>
          </w:tcPr>
          <w:p>
            <w:pPr>
              <w:spacing w:after="0"/>
              <w:rPr>
                <w:sz w:val="15"/>
                <w:szCs w:val="15"/>
                <w:color w:val="auto"/>
              </w:rPr>
            </w:pPr>
          </w:p>
        </w:tc>
        <w:tc>
          <w:tcPr>
            <w:tcW w:w="10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5"/>
                <w:szCs w:val="15"/>
                <w:color w:val="auto"/>
              </w:rPr>
            </w:pPr>
          </w:p>
        </w:tc>
        <w:tc>
          <w:tcPr>
            <w:tcW w:w="780" w:type="dxa"/>
            <w:vAlign w:val="bottom"/>
          </w:tcPr>
          <w:p>
            <w:pPr>
              <w:jc w:val="right"/>
              <w:ind w:right="111"/>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31"/>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51"/>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3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gridSpan w:val="7"/>
          </w:tcPr>
          <w:p>
            <w:pPr>
              <w:jc w:val="right"/>
              <w:ind w:right="691"/>
              <w:spacing w:after="0"/>
              <w:rPr>
                <w:sz w:val="20"/>
                <w:szCs w:val="20"/>
                <w:color w:val="auto"/>
              </w:rPr>
            </w:pPr>
            <w:r>
              <w:rPr>
                <w:rFonts w:ascii="Arial" w:cs="Arial" w:eastAsia="Arial" w:hAnsi="Arial"/>
                <w:sz w:val="12"/>
                <w:szCs w:val="12"/>
                <w:color w:val="auto"/>
                <w:w w:val="94"/>
              </w:rPr>
              <w:t>(In thousands, except share amounts)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December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170,625,994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9,842,105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13,169,118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(18,141)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(2,119,691)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11,031,466</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Net loss</w:t>
            </w:r>
          </w:p>
        </w:tc>
        <w:tc>
          <w:tcPr>
            <w:tcW w:w="10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640" w:type="dxa"/>
            <w:vAlign w:val="bottom"/>
            <w:tcBorders>
              <w:top w:val="single" w:sz="8" w:color="CCEEFF"/>
            </w:tcBorders>
            <w:vMerge w:val="continue"/>
          </w:tcPr>
          <w:p>
            <w:pPr>
              <w:spacing w:after="0"/>
              <w:rPr>
                <w:sz w:val="12"/>
                <w:szCs w:val="12"/>
                <w:color w:val="auto"/>
              </w:rPr>
            </w:pPr>
          </w:p>
        </w:tc>
        <w:tc>
          <w:tcPr>
            <w:tcW w:w="9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(221,627)</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(221,627)</w:t>
            </w:r>
          </w:p>
        </w:tc>
        <w:tc>
          <w:tcPr>
            <w:tcW w:w="0" w:type="dxa"/>
            <w:vAlign w:val="bottom"/>
          </w:tcPr>
          <w:p>
            <w:pPr>
              <w:spacing w:after="0"/>
              <w:rPr>
                <w:sz w:val="1"/>
                <w:szCs w:val="1"/>
                <w:color w:val="auto"/>
              </w:rPr>
            </w:pPr>
          </w:p>
        </w:tc>
      </w:tr>
      <w:tr>
        <w:trPr>
          <w:trHeight w:val="196"/>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Exercises of vested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180,643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193,889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11,727</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20"/>
                <w:szCs w:val="20"/>
                <w:color w:val="auto"/>
              </w:rPr>
            </w:pPr>
            <w:r>
              <w:rPr>
                <w:rFonts w:ascii="Arial" w:cs="Arial" w:eastAsia="Arial" w:hAnsi="Arial"/>
                <w:sz w:val="14"/>
                <w:szCs w:val="14"/>
                <w:color w:val="auto"/>
              </w:rPr>
              <w:t>Vesting of restricted stock units</w:t>
            </w:r>
          </w:p>
        </w:tc>
        <w:tc>
          <w:tcPr>
            <w:tcW w:w="920" w:type="dxa"/>
            <w:vAlign w:val="bottom"/>
          </w:tcPr>
          <w:p>
            <w:pPr>
              <w:jc w:val="right"/>
              <w:spacing w:after="0"/>
              <w:rPr>
                <w:sz w:val="20"/>
                <w:szCs w:val="20"/>
                <w:color w:val="auto"/>
              </w:rPr>
            </w:pPr>
            <w:r>
              <w:rPr>
                <w:rFonts w:ascii="Arial" w:cs="Arial" w:eastAsia="Arial" w:hAnsi="Arial"/>
                <w:sz w:val="14"/>
                <w:szCs w:val="14"/>
                <w:color w:val="auto"/>
              </w:rPr>
              <w:t>877,089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Value of equity awards withheld for tax liability</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136"/>
        </w:trPr>
        <w:tc>
          <w:tcPr>
            <w:tcW w:w="3640" w:type="dxa"/>
            <w:vAlign w:val="bottom"/>
          </w:tcPr>
          <w:p>
            <w:pPr>
              <w:spacing w:after="0" w:line="137" w:lineRule="exact"/>
              <w:rPr>
                <w:sz w:val="20"/>
                <w:szCs w:val="20"/>
                <w:color w:val="auto"/>
              </w:rPr>
            </w:pPr>
            <w:r>
              <w:rPr>
                <w:rFonts w:ascii="Arial" w:cs="Arial" w:eastAsia="Arial" w:hAnsi="Arial"/>
                <w:sz w:val="14"/>
                <w:szCs w:val="14"/>
                <w:color w:val="auto"/>
                <w:w w:val="94"/>
              </w:rPr>
              <w:t>Conversion of shares of Class B common stock into shares of</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640" w:type="dxa"/>
            <w:vAlign w:val="bottom"/>
          </w:tcPr>
          <w:p>
            <w:pPr>
              <w:ind w:left="160"/>
              <w:spacing w:after="0"/>
              <w:rPr>
                <w:sz w:val="20"/>
                <w:szCs w:val="20"/>
                <w:color w:val="auto"/>
              </w:rPr>
            </w:pPr>
            <w:r>
              <w:rPr>
                <w:rFonts w:ascii="Arial" w:cs="Arial" w:eastAsia="Arial" w:hAnsi="Arial"/>
                <w:sz w:val="14"/>
                <w:szCs w:val="14"/>
                <w:color w:val="auto"/>
              </w:rPr>
              <w:t>Class A common stock</w:t>
            </w:r>
          </w:p>
        </w:tc>
        <w:tc>
          <w:tcPr>
            <w:tcW w:w="920" w:type="dxa"/>
            <w:vAlign w:val="bottom"/>
          </w:tcPr>
          <w:p>
            <w:pPr>
              <w:jc w:val="right"/>
              <w:spacing w:after="0"/>
              <w:rPr>
                <w:sz w:val="20"/>
                <w:szCs w:val="20"/>
                <w:color w:val="auto"/>
              </w:rPr>
            </w:pPr>
            <w:r>
              <w:rPr>
                <w:rFonts w:ascii="Arial" w:cs="Arial" w:eastAsia="Arial" w:hAnsi="Arial"/>
                <w:sz w:val="14"/>
                <w:szCs w:val="14"/>
                <w:color w:val="auto"/>
              </w:rPr>
              <w:t>215,389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(215,389)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w w:val="92"/>
              </w:rPr>
              <w:t>Shares of Class A common stock issued and donated to charity</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22,102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4,232</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20"/>
                <w:szCs w:val="20"/>
                <w:color w:val="auto"/>
              </w:rPr>
            </w:pPr>
            <w:r>
              <w:rPr>
                <w:rFonts w:ascii="Arial" w:cs="Arial" w:eastAsia="Arial" w:hAnsi="Arial"/>
                <w:sz w:val="14"/>
                <w:szCs w:val="14"/>
                <w:color w:val="auto"/>
              </w:rPr>
              <w:t>Shares returned from escrow</w:t>
            </w:r>
          </w:p>
        </w:tc>
        <w:tc>
          <w:tcPr>
            <w:tcW w:w="920" w:type="dxa"/>
            <w:vAlign w:val="bottom"/>
          </w:tcPr>
          <w:p>
            <w:pPr>
              <w:jc w:val="right"/>
              <w:spacing w:after="0"/>
              <w:rPr>
                <w:sz w:val="20"/>
                <w:szCs w:val="20"/>
                <w:color w:val="auto"/>
              </w:rPr>
            </w:pPr>
            <w:r>
              <w:rPr>
                <w:rFonts w:ascii="Arial" w:cs="Arial" w:eastAsia="Arial" w:hAnsi="Arial"/>
                <w:sz w:val="14"/>
                <w:szCs w:val="14"/>
                <w:color w:val="auto"/>
              </w:rPr>
              <w:t>(152,239)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Unrealized loss on marketable securities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(62,826)</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39"/>
        </w:trPr>
        <w:tc>
          <w:tcPr>
            <w:tcW w:w="36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Net change in market value of effective foreign currency</w:t>
            </w: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forward exchange contracts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(3,852)</w:t>
            </w:r>
          </w:p>
        </w:tc>
        <w:tc>
          <w:tcPr>
            <w:tcW w:w="0" w:type="dxa"/>
            <w:vAlign w:val="bottom"/>
          </w:tcPr>
          <w:p>
            <w:pPr>
              <w:spacing w:after="0"/>
              <w:rPr>
                <w:sz w:val="1"/>
                <w:szCs w:val="1"/>
                <w:color w:val="auto"/>
              </w:rPr>
            </w:pPr>
          </w:p>
        </w:tc>
      </w:tr>
      <w:tr>
        <w:trPr>
          <w:trHeight w:val="188"/>
        </w:trPr>
        <w:tc>
          <w:tcPr>
            <w:tcW w:w="36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159,930</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159,930</w:t>
            </w:r>
          </w:p>
        </w:tc>
        <w:tc>
          <w:tcPr>
            <w:tcW w:w="0" w:type="dxa"/>
            <w:vAlign w:val="bottom"/>
          </w:tcPr>
          <w:p>
            <w:pPr>
              <w:spacing w:after="0"/>
              <w:rPr>
                <w:sz w:val="1"/>
                <w:szCs w:val="1"/>
                <w:color w:val="auto"/>
              </w:rPr>
            </w:pPr>
          </w:p>
        </w:tc>
      </w:tr>
      <w:tr>
        <w:trPr>
          <w:trHeight w:val="212"/>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March 31, 2022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171,763,174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9,820,605</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13,343,554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(84,984)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(2,341,318)</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10,917,433</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4"/>
                <w:szCs w:val="14"/>
                <w:color w:val="auto"/>
              </w:rPr>
              <w:t>Net loss</w:t>
            </w: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640" w:type="dxa"/>
            <w:vAlign w:val="bottom"/>
            <w:vMerge w:val="continue"/>
          </w:tcPr>
          <w:p>
            <w:pPr>
              <w:spacing w:after="0"/>
              <w:rPr>
                <w:sz w:val="12"/>
                <w:szCs w:val="12"/>
                <w:color w:val="auto"/>
              </w:rPr>
            </w:pPr>
          </w:p>
        </w:tc>
        <w:tc>
          <w:tcPr>
            <w:tcW w:w="9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(322,769)</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(322,769)</w:t>
            </w:r>
          </w:p>
        </w:tc>
        <w:tc>
          <w:tcPr>
            <w:tcW w:w="0" w:type="dxa"/>
            <w:vAlign w:val="bottom"/>
          </w:tcPr>
          <w:p>
            <w:pPr>
              <w:spacing w:after="0"/>
              <w:rPr>
                <w:sz w:val="1"/>
                <w:szCs w:val="1"/>
                <w:color w:val="auto"/>
              </w:rPr>
            </w:pPr>
          </w:p>
        </w:tc>
      </w:tr>
      <w:tr>
        <w:trPr>
          <w:trHeight w:val="196"/>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Exercises of vested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77,732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5,649</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20"/>
                <w:szCs w:val="20"/>
                <w:color w:val="auto"/>
              </w:rPr>
            </w:pPr>
            <w:r>
              <w:rPr>
                <w:rFonts w:ascii="Arial" w:cs="Arial" w:eastAsia="Arial" w:hAnsi="Arial"/>
                <w:sz w:val="14"/>
                <w:szCs w:val="14"/>
                <w:color w:val="auto"/>
              </w:rPr>
              <w:t>Vesting of restricted stock units</w:t>
            </w:r>
          </w:p>
        </w:tc>
        <w:tc>
          <w:tcPr>
            <w:tcW w:w="920" w:type="dxa"/>
            <w:vAlign w:val="bottom"/>
          </w:tcPr>
          <w:p>
            <w:pPr>
              <w:jc w:val="right"/>
              <w:spacing w:after="0"/>
              <w:rPr>
                <w:sz w:val="20"/>
                <w:szCs w:val="20"/>
                <w:color w:val="auto"/>
              </w:rPr>
            </w:pPr>
            <w:r>
              <w:rPr>
                <w:rFonts w:ascii="Arial" w:cs="Arial" w:eastAsia="Arial" w:hAnsi="Arial"/>
                <w:sz w:val="14"/>
                <w:szCs w:val="14"/>
                <w:color w:val="auto"/>
              </w:rPr>
              <w:t>1,049,640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Value of equity awards withheld for tax liability</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6"/>
        </w:trPr>
        <w:tc>
          <w:tcPr>
            <w:tcW w:w="3640" w:type="dxa"/>
            <w:vAlign w:val="bottom"/>
          </w:tcPr>
          <w:p>
            <w:pPr>
              <w:spacing w:after="0" w:line="137" w:lineRule="exact"/>
              <w:rPr>
                <w:sz w:val="20"/>
                <w:szCs w:val="20"/>
                <w:color w:val="auto"/>
              </w:rPr>
            </w:pPr>
            <w:r>
              <w:rPr>
                <w:rFonts w:ascii="Arial" w:cs="Arial" w:eastAsia="Arial" w:hAnsi="Arial"/>
                <w:sz w:val="14"/>
                <w:szCs w:val="14"/>
                <w:color w:val="auto"/>
                <w:w w:val="94"/>
              </w:rPr>
              <w:t>Conversion of shares of Class B common stock into shares of</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640" w:type="dxa"/>
            <w:vAlign w:val="bottom"/>
          </w:tcPr>
          <w:p>
            <w:pPr>
              <w:ind w:left="160"/>
              <w:spacing w:after="0"/>
              <w:rPr>
                <w:sz w:val="20"/>
                <w:szCs w:val="20"/>
                <w:color w:val="auto"/>
              </w:rPr>
            </w:pPr>
            <w:r>
              <w:rPr>
                <w:rFonts w:ascii="Arial" w:cs="Arial" w:eastAsia="Arial" w:hAnsi="Arial"/>
                <w:sz w:val="14"/>
                <w:szCs w:val="14"/>
                <w:color w:val="auto"/>
              </w:rPr>
              <w:t>Class A common stock</w:t>
            </w:r>
          </w:p>
        </w:tc>
        <w:tc>
          <w:tcPr>
            <w:tcW w:w="920" w:type="dxa"/>
            <w:vAlign w:val="bottom"/>
          </w:tcPr>
          <w:p>
            <w:pPr>
              <w:jc w:val="right"/>
              <w:spacing w:after="0"/>
              <w:rPr>
                <w:sz w:val="20"/>
                <w:szCs w:val="20"/>
                <w:color w:val="auto"/>
              </w:rPr>
            </w:pPr>
            <w:r>
              <w:rPr>
                <w:rFonts w:ascii="Arial" w:cs="Arial" w:eastAsia="Arial" w:hAnsi="Arial"/>
                <w:sz w:val="14"/>
                <w:szCs w:val="14"/>
                <w:color w:val="auto"/>
              </w:rPr>
              <w:t>80,732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(80,732)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Shares issued under ESPP</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258,221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24,317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24,318</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20"/>
                <w:szCs w:val="20"/>
                <w:color w:val="auto"/>
              </w:rPr>
            </w:pPr>
            <w:r>
              <w:rPr>
                <w:rFonts w:ascii="Arial" w:cs="Arial" w:eastAsia="Arial" w:hAnsi="Arial"/>
                <w:sz w:val="14"/>
                <w:szCs w:val="14"/>
                <w:color w:val="auto"/>
                <w:w w:val="92"/>
              </w:rPr>
              <w:t>Shares of Class A common stock issued and donated to charity</w:t>
            </w:r>
          </w:p>
        </w:tc>
        <w:tc>
          <w:tcPr>
            <w:tcW w:w="920" w:type="dxa"/>
            <w:vAlign w:val="bottom"/>
          </w:tcPr>
          <w:p>
            <w:pPr>
              <w:jc w:val="right"/>
              <w:spacing w:after="0"/>
              <w:rPr>
                <w:sz w:val="20"/>
                <w:szCs w:val="20"/>
                <w:color w:val="auto"/>
              </w:rPr>
            </w:pPr>
            <w:r>
              <w:rPr>
                <w:rFonts w:ascii="Arial" w:cs="Arial" w:eastAsia="Arial" w:hAnsi="Arial"/>
                <w:sz w:val="14"/>
                <w:szCs w:val="14"/>
                <w:color w:val="auto"/>
              </w:rPr>
              <w:t>22,102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2,373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2,373</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Unrealized loss on marketable securities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(19,022)</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(2,289)</w:t>
            </w:r>
          </w:p>
        </w:tc>
        <w:tc>
          <w:tcPr>
            <w:tcW w:w="0" w:type="dxa"/>
            <w:vAlign w:val="bottom"/>
          </w:tcPr>
          <w:p>
            <w:pPr>
              <w:spacing w:after="0"/>
              <w:rPr>
                <w:sz w:val="1"/>
                <w:szCs w:val="1"/>
                <w:color w:val="auto"/>
              </w:rPr>
            </w:pPr>
          </w:p>
        </w:tc>
      </w:tr>
      <w:tr>
        <w:trPr>
          <w:trHeight w:val="139"/>
        </w:trPr>
        <w:tc>
          <w:tcPr>
            <w:tcW w:w="36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Net change in market value of effective foreign currency</w:t>
            </w: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forward exchange contracts</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(11,106)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(11,106)</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247,412</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247,412</w:t>
            </w: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as of June 30, 2022</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173,271,942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9,817,605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13,623,300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(117,401)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(2,664,087)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10,841,995</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440" w:top="125"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7"/>
          <w:szCs w:val="17"/>
          <w:b w:val="1"/>
          <w:bCs w:val="1"/>
          <w:color w:val="auto"/>
        </w:rPr>
        <w:t>TWILIO INC</w:t>
      </w:r>
      <w:r>
        <w:rPr>
          <w:rFonts w:ascii="Arial" w:cs="Arial" w:eastAsia="Arial" w:hAnsi="Arial"/>
          <w:sz w:val="13"/>
          <w:szCs w:val="13"/>
          <w:b w:val="1"/>
          <w:bCs w:val="1"/>
          <w:color w:val="auto"/>
        </w:rPr>
        <w:t>.</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93"/>
        </w:trPr>
        <w:tc>
          <w:tcPr>
            <w:tcW w:w="8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center"/>
              <w:ind w:left="411"/>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87"/>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center"/>
              <w:ind w:left="411"/>
              <w:spacing w:after="0"/>
              <w:rPr>
                <w:sz w:val="20"/>
                <w:szCs w:val="20"/>
                <w:color w:val="auto"/>
              </w:rPr>
            </w:pPr>
            <w:r>
              <w:rPr>
                <w:rFonts w:ascii="Arial" w:cs="Arial" w:eastAsia="Arial" w:hAnsi="Arial"/>
                <w:sz w:val="12"/>
                <w:szCs w:val="12"/>
                <w:color w:val="auto"/>
                <w:w w:val="91"/>
              </w:rPr>
              <w:t>(In thousands)</w:t>
            </w: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8500" w:type="dxa"/>
            <w:vAlign w:val="bottom"/>
          </w:tcPr>
          <w:p>
            <w:pPr>
              <w:ind w:left="20"/>
              <w:spacing w:after="0"/>
              <w:rPr>
                <w:sz w:val="20"/>
                <w:szCs w:val="20"/>
                <w:color w:val="auto"/>
              </w:rPr>
            </w:pPr>
            <w:r>
              <w:rPr>
                <w:rFonts w:ascii="Arial" w:cs="Arial" w:eastAsia="Arial" w:hAnsi="Arial"/>
                <w:sz w:val="14"/>
                <w:szCs w:val="14"/>
                <w:color w:val="auto"/>
              </w:rPr>
              <w:t>Net loss</w:t>
            </w: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(508,326)</w:t>
            </w:r>
          </w:p>
        </w:tc>
        <w:tc>
          <w:tcPr>
            <w:tcW w:w="460" w:type="dxa"/>
            <w:vAlign w:val="bottom"/>
            <w:gridSpan w:val="2"/>
          </w:tcPr>
          <w:p>
            <w:pPr>
              <w:jc w:val="right"/>
              <w:ind w:right="19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(544,396)</w:t>
            </w:r>
          </w:p>
        </w:tc>
        <w:tc>
          <w:tcPr>
            <w:tcW w:w="0" w:type="dxa"/>
            <w:vAlign w:val="bottom"/>
          </w:tcPr>
          <w:p>
            <w:pPr>
              <w:spacing w:after="0"/>
              <w:rPr>
                <w:sz w:val="1"/>
                <w:szCs w:val="1"/>
                <w:color w:val="auto"/>
              </w:rPr>
            </w:pPr>
          </w:p>
        </w:tc>
      </w:tr>
      <w:tr>
        <w:trPr>
          <w:trHeight w:val="196"/>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85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146,388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137,744</w:t>
            </w:r>
          </w:p>
        </w:tc>
        <w:tc>
          <w:tcPr>
            <w:tcW w:w="0" w:type="dxa"/>
            <w:vAlign w:val="bottom"/>
          </w:tcPr>
          <w:p>
            <w:pPr>
              <w:spacing w:after="0"/>
              <w:rPr>
                <w:sz w:val="1"/>
                <w:szCs w:val="1"/>
                <w:color w:val="auto"/>
              </w:rPr>
            </w:pPr>
          </w:p>
        </w:tc>
      </w:tr>
      <w:tr>
        <w:trPr>
          <w:trHeight w:val="196"/>
        </w:trPr>
        <w:tc>
          <w:tcPr>
            <w:tcW w:w="8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reduction to the right-of-use asset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16,074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25,539</w:t>
            </w:r>
          </w:p>
        </w:tc>
        <w:tc>
          <w:tcPr>
            <w:tcW w:w="0" w:type="dxa"/>
            <w:vAlign w:val="bottom"/>
          </w:tcPr>
          <w:p>
            <w:pPr>
              <w:spacing w:after="0"/>
              <w:rPr>
                <w:sz w:val="1"/>
                <w:szCs w:val="1"/>
                <w:color w:val="auto"/>
              </w:rPr>
            </w:pPr>
          </w:p>
        </w:tc>
      </w:tr>
      <w:tr>
        <w:trPr>
          <w:trHeight w:val="184"/>
        </w:trPr>
        <w:tc>
          <w:tcPr>
            <w:tcW w:w="8500" w:type="dxa"/>
            <w:vAlign w:val="bottom"/>
          </w:tcPr>
          <w:p>
            <w:pPr>
              <w:ind w:left="220"/>
              <w:spacing w:after="0"/>
              <w:rPr>
                <w:sz w:val="20"/>
                <w:szCs w:val="20"/>
                <w:color w:val="auto"/>
              </w:rPr>
            </w:pPr>
            <w:r>
              <w:rPr>
                <w:rFonts w:ascii="Arial" w:cs="Arial" w:eastAsia="Arial" w:hAnsi="Arial"/>
                <w:sz w:val="14"/>
                <w:szCs w:val="14"/>
                <w:color w:val="auto"/>
              </w:rPr>
              <w:t>Net amortization of investment premium and discount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5,392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20,274</w:t>
            </w:r>
          </w:p>
        </w:tc>
        <w:tc>
          <w:tcPr>
            <w:tcW w:w="0" w:type="dxa"/>
            <w:vAlign w:val="bottom"/>
          </w:tcPr>
          <w:p>
            <w:pPr>
              <w:spacing w:after="0"/>
              <w:rPr>
                <w:sz w:val="1"/>
                <w:szCs w:val="1"/>
                <w:color w:val="auto"/>
              </w:rPr>
            </w:pPr>
          </w:p>
        </w:tc>
      </w:tr>
      <w:tr>
        <w:trPr>
          <w:trHeight w:val="190"/>
        </w:trPr>
        <w:tc>
          <w:tcPr>
            <w:tcW w:w="8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of long-lived assets due to office closures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31,116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500" w:type="dxa"/>
            <w:vAlign w:val="bottom"/>
          </w:tcPr>
          <w:p>
            <w:pPr>
              <w:ind w:left="220"/>
              <w:spacing w:after="0"/>
              <w:rPr>
                <w:sz w:val="20"/>
                <w:szCs w:val="20"/>
                <w:color w:val="auto"/>
              </w:rPr>
            </w:pPr>
            <w:r>
              <w:rPr>
                <w:rFonts w:ascii="Arial" w:cs="Arial" w:eastAsia="Arial" w:hAnsi="Arial"/>
                <w:sz w:val="14"/>
                <w:szCs w:val="14"/>
                <w:color w:val="auto"/>
              </w:rPr>
              <w:t>Stock-based compensation including restructuring</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323,893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397,366</w:t>
            </w:r>
          </w:p>
        </w:tc>
        <w:tc>
          <w:tcPr>
            <w:tcW w:w="0" w:type="dxa"/>
            <w:vAlign w:val="bottom"/>
          </w:tcPr>
          <w:p>
            <w:pPr>
              <w:spacing w:after="0"/>
              <w:rPr>
                <w:sz w:val="1"/>
                <w:szCs w:val="1"/>
                <w:color w:val="auto"/>
              </w:rPr>
            </w:pPr>
          </w:p>
        </w:tc>
      </w:tr>
      <w:tr>
        <w:trPr>
          <w:trHeight w:val="203"/>
        </w:trPr>
        <w:tc>
          <w:tcPr>
            <w:tcW w:w="8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deferred commissions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36,067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26,076</w:t>
            </w:r>
          </w:p>
        </w:tc>
        <w:tc>
          <w:tcPr>
            <w:tcW w:w="0" w:type="dxa"/>
            <w:vAlign w:val="bottom"/>
          </w:tcPr>
          <w:p>
            <w:pPr>
              <w:spacing w:after="0"/>
              <w:rPr>
                <w:sz w:val="1"/>
                <w:szCs w:val="1"/>
                <w:color w:val="auto"/>
              </w:rPr>
            </w:pPr>
          </w:p>
        </w:tc>
      </w:tr>
      <w:tr>
        <w:trPr>
          <w:trHeight w:val="177"/>
        </w:trPr>
        <w:tc>
          <w:tcPr>
            <w:tcW w:w="8500" w:type="dxa"/>
            <w:vAlign w:val="bottom"/>
          </w:tcPr>
          <w:p>
            <w:pPr>
              <w:ind w:left="220"/>
              <w:spacing w:after="0"/>
              <w:rPr>
                <w:sz w:val="20"/>
                <w:szCs w:val="20"/>
                <w:color w:val="auto"/>
              </w:rPr>
            </w:pPr>
            <w:r>
              <w:rPr>
                <w:rFonts w:ascii="Arial" w:cs="Arial" w:eastAsia="Arial" w:hAnsi="Arial"/>
                <w:sz w:val="14"/>
                <w:szCs w:val="14"/>
                <w:color w:val="auto"/>
              </w:rPr>
              <w:t>Allowance for doubtful accounts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21,864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8,742</w:t>
            </w:r>
          </w:p>
        </w:tc>
        <w:tc>
          <w:tcPr>
            <w:tcW w:w="0" w:type="dxa"/>
            <w:vAlign w:val="bottom"/>
          </w:tcPr>
          <w:p>
            <w:pPr>
              <w:spacing w:after="0"/>
              <w:rPr>
                <w:sz w:val="1"/>
                <w:szCs w:val="1"/>
                <w:color w:val="auto"/>
              </w:rPr>
            </w:pPr>
          </w:p>
        </w:tc>
      </w:tr>
      <w:tr>
        <w:trPr>
          <w:trHeight w:val="196"/>
        </w:trPr>
        <w:tc>
          <w:tcPr>
            <w:tcW w:w="8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 of losses from equity method investment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62,780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500" w:type="dxa"/>
            <w:vAlign w:val="bottom"/>
          </w:tcPr>
          <w:p>
            <w:pPr>
              <w:ind w:left="220"/>
              <w:spacing w:after="0"/>
              <w:rPr>
                <w:sz w:val="20"/>
                <w:szCs w:val="20"/>
                <w:color w:val="auto"/>
              </w:rPr>
            </w:pPr>
            <w:r>
              <w:rPr>
                <w:rFonts w:ascii="Arial" w:cs="Arial" w:eastAsia="Arial" w:hAnsi="Arial"/>
                <w:sz w:val="14"/>
                <w:szCs w:val="14"/>
                <w:color w:val="auto"/>
              </w:rPr>
              <w:t>Loss on net assets divested and held for sale</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32,277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8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of strategic investments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46,154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500" w:type="dxa"/>
            <w:vAlign w:val="bottom"/>
          </w:tcPr>
          <w:p>
            <w:pPr>
              <w:ind w:left="220"/>
              <w:spacing w:after="0"/>
              <w:rPr>
                <w:sz w:val="20"/>
                <w:szCs w:val="20"/>
                <w:color w:val="auto"/>
              </w:rPr>
            </w:pPr>
            <w:r>
              <w:rPr>
                <w:rFonts w:ascii="Arial" w:cs="Arial" w:eastAsia="Arial" w:hAnsi="Arial"/>
                <w:sz w:val="14"/>
                <w:szCs w:val="14"/>
                <w:color w:val="auto"/>
              </w:rPr>
              <w:t>Other adjustments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13,275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8,503</w:t>
            </w:r>
          </w:p>
        </w:tc>
        <w:tc>
          <w:tcPr>
            <w:tcW w:w="0" w:type="dxa"/>
            <w:vAlign w:val="bottom"/>
          </w:tcPr>
          <w:p>
            <w:pPr>
              <w:spacing w:after="0"/>
              <w:rPr>
                <w:sz w:val="1"/>
                <w:szCs w:val="1"/>
                <w:color w:val="auto"/>
              </w:rPr>
            </w:pPr>
          </w:p>
        </w:tc>
      </w:tr>
      <w:tr>
        <w:trPr>
          <w:trHeight w:val="203"/>
        </w:trPr>
        <w:tc>
          <w:tcPr>
            <w:tcW w:w="8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8500" w:type="dxa"/>
            <w:vAlign w:val="bottom"/>
          </w:tcPr>
          <w:p>
            <w:pPr>
              <w:ind w:left="320"/>
              <w:spacing w:after="0"/>
              <w:rPr>
                <w:sz w:val="20"/>
                <w:szCs w:val="20"/>
                <w:color w:val="auto"/>
              </w:rPr>
            </w:pPr>
            <w:r>
              <w:rPr>
                <w:rFonts w:ascii="Arial" w:cs="Arial" w:eastAsia="Arial" w:hAnsi="Arial"/>
                <w:sz w:val="14"/>
                <w:szCs w:val="14"/>
                <w:color w:val="auto"/>
              </w:rPr>
              <w:t>Accounts receivable</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(92,130)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(91,782)</w:t>
            </w:r>
          </w:p>
        </w:tc>
        <w:tc>
          <w:tcPr>
            <w:tcW w:w="0" w:type="dxa"/>
            <w:vAlign w:val="bottom"/>
          </w:tcPr>
          <w:p>
            <w:pPr>
              <w:spacing w:after="0"/>
              <w:rPr>
                <w:sz w:val="1"/>
                <w:szCs w:val="1"/>
                <w:color w:val="auto"/>
              </w:rPr>
            </w:pPr>
          </w:p>
        </w:tc>
      </w:tr>
      <w:tr>
        <w:trPr>
          <w:trHeight w:val="196"/>
        </w:trPr>
        <w:tc>
          <w:tcPr>
            <w:tcW w:w="85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(45,116)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(57,997)</w:t>
            </w:r>
          </w:p>
        </w:tc>
        <w:tc>
          <w:tcPr>
            <w:tcW w:w="0" w:type="dxa"/>
            <w:vAlign w:val="bottom"/>
          </w:tcPr>
          <w:p>
            <w:pPr>
              <w:spacing w:after="0"/>
              <w:rPr>
                <w:sz w:val="1"/>
                <w:szCs w:val="1"/>
                <w:color w:val="auto"/>
              </w:rPr>
            </w:pPr>
          </w:p>
        </w:tc>
      </w:tr>
      <w:tr>
        <w:trPr>
          <w:trHeight w:val="184"/>
        </w:trPr>
        <w:tc>
          <w:tcPr>
            <w:tcW w:w="8500" w:type="dxa"/>
            <w:vAlign w:val="bottom"/>
          </w:tcPr>
          <w:p>
            <w:pPr>
              <w:ind w:left="320"/>
              <w:spacing w:after="0"/>
              <w:rPr>
                <w:sz w:val="20"/>
                <w:szCs w:val="20"/>
                <w:color w:val="auto"/>
              </w:rPr>
            </w:pPr>
            <w:r>
              <w:rPr>
                <w:rFonts w:ascii="Arial" w:cs="Arial" w:eastAsia="Arial" w:hAnsi="Arial"/>
                <w:sz w:val="14"/>
                <w:szCs w:val="14"/>
                <w:color w:val="auto"/>
              </w:rPr>
              <w:t>Other long-term assets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(19,180)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(52,521)</w:t>
            </w:r>
          </w:p>
        </w:tc>
        <w:tc>
          <w:tcPr>
            <w:tcW w:w="0" w:type="dxa"/>
            <w:vAlign w:val="bottom"/>
          </w:tcPr>
          <w:p>
            <w:pPr>
              <w:spacing w:after="0"/>
              <w:rPr>
                <w:sz w:val="1"/>
                <w:szCs w:val="1"/>
                <w:color w:val="auto"/>
              </w:rPr>
            </w:pPr>
          </w:p>
        </w:tc>
      </w:tr>
      <w:tr>
        <w:trPr>
          <w:trHeight w:val="190"/>
        </w:trPr>
        <w:tc>
          <w:tcPr>
            <w:tcW w:w="85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6,654</w:t>
            </w:r>
          </w:p>
        </w:tc>
        <w:tc>
          <w:tcPr>
            <w:tcW w:w="0" w:type="dxa"/>
            <w:vAlign w:val="bottom"/>
          </w:tcPr>
          <w:p>
            <w:pPr>
              <w:spacing w:after="0"/>
              <w:rPr>
                <w:sz w:val="1"/>
                <w:szCs w:val="1"/>
                <w:color w:val="auto"/>
              </w:rPr>
            </w:pPr>
          </w:p>
        </w:tc>
      </w:tr>
      <w:tr>
        <w:trPr>
          <w:trHeight w:val="184"/>
        </w:trPr>
        <w:tc>
          <w:tcPr>
            <w:tcW w:w="8500" w:type="dxa"/>
            <w:vAlign w:val="bottom"/>
          </w:tcPr>
          <w:p>
            <w:pPr>
              <w:ind w:left="320"/>
              <w:spacing w:after="0"/>
              <w:rPr>
                <w:sz w:val="20"/>
                <w:szCs w:val="20"/>
                <w:color w:val="auto"/>
              </w:rPr>
            </w:pPr>
            <w:r>
              <w:rPr>
                <w:rFonts w:ascii="Arial" w:cs="Arial" w:eastAsia="Arial" w:hAnsi="Arial"/>
                <w:sz w:val="14"/>
                <w:szCs w:val="14"/>
                <w:color w:val="auto"/>
              </w:rPr>
              <w:t>Accrued expenses and other current liabilities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(44,365)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78,430</w:t>
            </w:r>
          </w:p>
        </w:tc>
        <w:tc>
          <w:tcPr>
            <w:tcW w:w="0" w:type="dxa"/>
            <w:vAlign w:val="bottom"/>
          </w:tcPr>
          <w:p>
            <w:pPr>
              <w:spacing w:after="0"/>
              <w:rPr>
                <w:sz w:val="1"/>
                <w:szCs w:val="1"/>
                <w:color w:val="auto"/>
              </w:rPr>
            </w:pPr>
          </w:p>
        </w:tc>
      </w:tr>
      <w:tr>
        <w:trPr>
          <w:trHeight w:val="203"/>
        </w:trPr>
        <w:tc>
          <w:tcPr>
            <w:tcW w:w="85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Deferred revenue and customer deposits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(3,984)</w:t>
            </w:r>
          </w:p>
        </w:tc>
        <w:tc>
          <w:tcPr>
            <w:tcW w:w="0" w:type="dxa"/>
            <w:vAlign w:val="bottom"/>
          </w:tcPr>
          <w:p>
            <w:pPr>
              <w:spacing w:after="0"/>
              <w:rPr>
                <w:sz w:val="1"/>
                <w:szCs w:val="1"/>
                <w:color w:val="auto"/>
              </w:rPr>
            </w:pPr>
          </w:p>
        </w:tc>
      </w:tr>
      <w:tr>
        <w:trPr>
          <w:trHeight w:val="177"/>
        </w:trPr>
        <w:tc>
          <w:tcPr>
            <w:tcW w:w="8500" w:type="dxa"/>
            <w:vAlign w:val="bottom"/>
          </w:tcPr>
          <w:p>
            <w:pPr>
              <w:ind w:left="320"/>
              <w:spacing w:after="0"/>
              <w:rPr>
                <w:sz w:val="20"/>
                <w:szCs w:val="20"/>
                <w:color w:val="auto"/>
              </w:rPr>
            </w:pPr>
            <w:r>
              <w:rPr>
                <w:rFonts w:ascii="Arial" w:cs="Arial" w:eastAsia="Arial" w:hAnsi="Arial"/>
                <w:sz w:val="14"/>
                <w:szCs w:val="14"/>
                <w:color w:val="auto"/>
              </w:rPr>
              <w:t>Operating lease liabilities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(27,864)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(31,127)</w:t>
            </w:r>
          </w:p>
        </w:tc>
        <w:tc>
          <w:tcPr>
            <w:tcW w:w="0" w:type="dxa"/>
            <w:vAlign w:val="bottom"/>
          </w:tcPr>
          <w:p>
            <w:pPr>
              <w:spacing w:after="0"/>
              <w:rPr>
                <w:sz w:val="1"/>
                <w:szCs w:val="1"/>
                <w:color w:val="auto"/>
              </w:rPr>
            </w:pPr>
          </w:p>
        </w:tc>
      </w:tr>
      <w:tr>
        <w:trPr>
          <w:trHeight w:val="196"/>
        </w:trPr>
        <w:tc>
          <w:tcPr>
            <w:tcW w:w="85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long-term liabilities</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(7,662)</w:t>
            </w:r>
          </w:p>
        </w:tc>
        <w:tc>
          <w:tcPr>
            <w:tcW w:w="0" w:type="dxa"/>
            <w:vAlign w:val="bottom"/>
          </w:tcPr>
          <w:p>
            <w:pPr>
              <w:spacing w:after="0"/>
              <w:rPr>
                <w:sz w:val="1"/>
                <w:szCs w:val="1"/>
                <w:color w:val="auto"/>
              </w:rPr>
            </w:pPr>
          </w:p>
        </w:tc>
      </w:tr>
      <w:tr>
        <w:trPr>
          <w:trHeight w:val="179"/>
        </w:trPr>
        <w:tc>
          <w:tcPr>
            <w:tcW w:w="85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Net cash used in operating activities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(80,141)</w:t>
            </w:r>
          </w:p>
        </w:tc>
        <w:tc>
          <w:tcPr>
            <w:tcW w:w="0" w:type="dxa"/>
            <w:vAlign w:val="bottom"/>
          </w:tcPr>
          <w:p>
            <w:pPr>
              <w:spacing w:after="0"/>
              <w:rPr>
                <w:sz w:val="1"/>
                <w:szCs w:val="1"/>
                <w:color w:val="auto"/>
              </w:rPr>
            </w:pPr>
          </w:p>
        </w:tc>
      </w:tr>
      <w:tr>
        <w:trPr>
          <w:trHeight w:val="180"/>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500" w:type="dxa"/>
            <w:vAlign w:val="bottom"/>
          </w:tcPr>
          <w:p>
            <w:pPr>
              <w:ind w:left="220"/>
              <w:spacing w:after="0"/>
              <w:rPr>
                <w:sz w:val="20"/>
                <w:szCs w:val="20"/>
                <w:color w:val="auto"/>
              </w:rPr>
            </w:pPr>
            <w:r>
              <w:rPr>
                <w:rFonts w:ascii="Arial" w:cs="Arial" w:eastAsia="Arial" w:hAnsi="Arial"/>
                <w:sz w:val="14"/>
                <w:szCs w:val="14"/>
                <w:color w:val="auto"/>
              </w:rPr>
              <w:t>Acquisitions, net of cash acquired and other related payments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(31,697)</w:t>
            </w:r>
          </w:p>
        </w:tc>
        <w:tc>
          <w:tcPr>
            <w:tcW w:w="0" w:type="dxa"/>
            <w:vAlign w:val="bottom"/>
          </w:tcPr>
          <w:p>
            <w:pPr>
              <w:spacing w:after="0"/>
              <w:rPr>
                <w:sz w:val="1"/>
                <w:szCs w:val="1"/>
                <w:color w:val="auto"/>
              </w:rPr>
            </w:pPr>
          </w:p>
        </w:tc>
      </w:tr>
      <w:tr>
        <w:trPr>
          <w:trHeight w:val="196"/>
        </w:trPr>
        <w:tc>
          <w:tcPr>
            <w:tcW w:w="8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marketable securities and other investments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(511,734)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(1,325,366)</w:t>
            </w:r>
          </w:p>
        </w:tc>
        <w:tc>
          <w:tcPr>
            <w:tcW w:w="0" w:type="dxa"/>
            <w:vAlign w:val="bottom"/>
          </w:tcPr>
          <w:p>
            <w:pPr>
              <w:spacing w:after="0"/>
              <w:rPr>
                <w:sz w:val="1"/>
                <w:szCs w:val="1"/>
                <w:color w:val="auto"/>
              </w:rPr>
            </w:pPr>
          </w:p>
        </w:tc>
      </w:tr>
      <w:tr>
        <w:trPr>
          <w:trHeight w:val="184"/>
        </w:trPr>
        <w:tc>
          <w:tcPr>
            <w:tcW w:w="8500" w:type="dxa"/>
            <w:vAlign w:val="bottom"/>
          </w:tcPr>
          <w:p>
            <w:pPr>
              <w:ind w:left="220"/>
              <w:spacing w:after="0"/>
              <w:rPr>
                <w:sz w:val="20"/>
                <w:szCs w:val="20"/>
                <w:color w:val="auto"/>
              </w:rPr>
            </w:pPr>
            <w:r>
              <w:rPr>
                <w:rFonts w:ascii="Arial" w:cs="Arial" w:eastAsia="Arial" w:hAnsi="Arial"/>
                <w:sz w:val="14"/>
                <w:szCs w:val="14"/>
                <w:color w:val="auto"/>
              </w:rPr>
              <w:t>Proceeds from sales and maturities of marketable securities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1,050,010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754,574</w:t>
            </w:r>
          </w:p>
        </w:tc>
        <w:tc>
          <w:tcPr>
            <w:tcW w:w="0" w:type="dxa"/>
            <w:vAlign w:val="bottom"/>
          </w:tcPr>
          <w:p>
            <w:pPr>
              <w:spacing w:after="0"/>
              <w:rPr>
                <w:sz w:val="1"/>
                <w:szCs w:val="1"/>
                <w:color w:val="auto"/>
              </w:rPr>
            </w:pPr>
          </w:p>
        </w:tc>
      </w:tr>
      <w:tr>
        <w:trPr>
          <w:trHeight w:val="190"/>
        </w:trPr>
        <w:tc>
          <w:tcPr>
            <w:tcW w:w="8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Capitalized software development costs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(22,361)</w:t>
            </w:r>
          </w:p>
        </w:tc>
        <w:tc>
          <w:tcPr>
            <w:tcW w:w="0" w:type="dxa"/>
            <w:vAlign w:val="bottom"/>
          </w:tcPr>
          <w:p>
            <w:pPr>
              <w:spacing w:after="0"/>
              <w:rPr>
                <w:sz w:val="1"/>
                <w:szCs w:val="1"/>
                <w:color w:val="auto"/>
              </w:rPr>
            </w:pPr>
          </w:p>
        </w:tc>
      </w:tr>
      <w:tr>
        <w:trPr>
          <w:trHeight w:val="188"/>
        </w:trPr>
        <w:tc>
          <w:tcPr>
            <w:tcW w:w="8500" w:type="dxa"/>
            <w:vAlign w:val="bottom"/>
          </w:tcPr>
          <w:p>
            <w:pPr>
              <w:ind w:left="220"/>
              <w:spacing w:after="0"/>
              <w:rPr>
                <w:sz w:val="20"/>
                <w:szCs w:val="20"/>
                <w:color w:val="auto"/>
              </w:rPr>
            </w:pPr>
            <w:r>
              <w:rPr>
                <w:rFonts w:ascii="Arial" w:cs="Arial" w:eastAsia="Arial" w:hAnsi="Arial"/>
                <w:sz w:val="14"/>
                <w:szCs w:val="14"/>
                <w:color w:val="auto"/>
              </w:rPr>
              <w:t>Purchases of long-lived and intangible assets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(10,779)</w:t>
            </w:r>
          </w:p>
        </w:tc>
        <w:tc>
          <w:tcPr>
            <w:tcW w:w="0" w:type="dxa"/>
            <w:vAlign w:val="bottom"/>
          </w:tcPr>
          <w:p>
            <w:pPr>
              <w:spacing w:after="0"/>
              <w:rPr>
                <w:sz w:val="1"/>
                <w:szCs w:val="1"/>
                <w:color w:val="auto"/>
              </w:rPr>
            </w:pPr>
          </w:p>
        </w:tc>
      </w:tr>
      <w:tr>
        <w:trPr>
          <w:trHeight w:val="192"/>
        </w:trPr>
        <w:tc>
          <w:tcPr>
            <w:tcW w:w="85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Net cash provided by (used in) investing activities</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509,777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(635,629)</w:t>
            </w:r>
          </w:p>
        </w:tc>
        <w:tc>
          <w:tcPr>
            <w:tcW w:w="0" w:type="dxa"/>
            <w:vAlign w:val="bottom"/>
          </w:tcPr>
          <w:p>
            <w:pPr>
              <w:spacing w:after="0"/>
              <w:rPr>
                <w:sz w:val="1"/>
                <w:szCs w:val="1"/>
                <w:color w:val="auto"/>
              </w:rPr>
            </w:pPr>
          </w:p>
        </w:tc>
      </w:tr>
      <w:tr>
        <w:trPr>
          <w:trHeight w:val="164"/>
        </w:trPr>
        <w:tc>
          <w:tcPr>
            <w:tcW w:w="8500" w:type="dxa"/>
            <w:vAlign w:val="bottom"/>
          </w:tcPr>
          <w:p>
            <w:pPr>
              <w:ind w:left="20"/>
              <w:spacing w:after="0" w:line="155" w:lineRule="exact"/>
              <w:rPr>
                <w:sz w:val="20"/>
                <w:szCs w:val="20"/>
                <w:color w:val="auto"/>
              </w:rPr>
            </w:pPr>
            <w:r>
              <w:rPr>
                <w:rFonts w:ascii="Arial" w:cs="Arial" w:eastAsia="Arial" w:hAnsi="Arial"/>
                <w:sz w:val="14"/>
                <w:szCs w:val="14"/>
                <w:color w:val="auto"/>
              </w:rPr>
              <w:t>CASH FLOWS FROM FINANCING ACTIVITIES: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Payments of costs related to public offerings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7"/>
        </w:trPr>
        <w:tc>
          <w:tcPr>
            <w:tcW w:w="8500" w:type="dxa"/>
            <w:vAlign w:val="bottom"/>
          </w:tcPr>
          <w:p>
            <w:pPr>
              <w:ind w:left="220"/>
              <w:spacing w:after="0"/>
              <w:rPr>
                <w:sz w:val="20"/>
                <w:szCs w:val="20"/>
                <w:color w:val="auto"/>
              </w:rPr>
            </w:pPr>
            <w:r>
              <w:rPr>
                <w:rFonts w:ascii="Arial" w:cs="Arial" w:eastAsia="Arial" w:hAnsi="Arial"/>
                <w:sz w:val="14"/>
                <w:szCs w:val="14"/>
                <w:color w:val="auto"/>
              </w:rPr>
              <w:t>Principal payments on debt and finance leases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(9,804)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(6,188)</w:t>
            </w:r>
          </w:p>
        </w:tc>
        <w:tc>
          <w:tcPr>
            <w:tcW w:w="0" w:type="dxa"/>
            <w:vAlign w:val="bottom"/>
          </w:tcPr>
          <w:p>
            <w:pPr>
              <w:spacing w:after="0"/>
              <w:rPr>
                <w:sz w:val="1"/>
                <w:szCs w:val="1"/>
                <w:color w:val="auto"/>
              </w:rPr>
            </w:pPr>
          </w:p>
        </w:tc>
      </w:tr>
      <w:tr>
        <w:trPr>
          <w:trHeight w:val="196"/>
        </w:trPr>
        <w:tc>
          <w:tcPr>
            <w:tcW w:w="8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Value of equity awards withheld for tax liabilities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177"/>
        </w:trPr>
        <w:tc>
          <w:tcPr>
            <w:tcW w:w="8500" w:type="dxa"/>
            <w:vAlign w:val="bottom"/>
          </w:tcPr>
          <w:p>
            <w:pPr>
              <w:ind w:left="220"/>
              <w:spacing w:after="0"/>
              <w:rPr>
                <w:sz w:val="20"/>
                <w:szCs w:val="20"/>
                <w:color w:val="auto"/>
              </w:rPr>
            </w:pPr>
            <w:r>
              <w:rPr>
                <w:rFonts w:ascii="Arial" w:cs="Arial" w:eastAsia="Arial" w:hAnsi="Arial"/>
                <w:sz w:val="14"/>
                <w:szCs w:val="14"/>
                <w:color w:val="auto"/>
              </w:rPr>
              <w:t>Repurchases of shares of Class A common stock and related costs</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(485,121)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exercises of stock options and shares of Class A common stock issued under ESPP</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28,078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41,694</w:t>
            </w:r>
          </w:p>
        </w:tc>
        <w:tc>
          <w:tcPr>
            <w:tcW w:w="0" w:type="dxa"/>
            <w:vAlign w:val="bottom"/>
          </w:tcPr>
          <w:p>
            <w:pPr>
              <w:spacing w:after="0"/>
              <w:rPr>
                <w:sz w:val="1"/>
                <w:szCs w:val="1"/>
                <w:color w:val="auto"/>
              </w:rPr>
            </w:pPr>
          </w:p>
        </w:tc>
      </w:tr>
      <w:tr>
        <w:trPr>
          <w:trHeight w:val="170"/>
        </w:trPr>
        <w:tc>
          <w:tcPr>
            <w:tcW w:w="8500" w:type="dxa"/>
            <w:vAlign w:val="bottom"/>
          </w:tcPr>
          <w:p>
            <w:pPr>
              <w:ind w:left="320"/>
              <w:spacing w:after="0"/>
              <w:rPr>
                <w:sz w:val="20"/>
                <w:szCs w:val="20"/>
                <w:color w:val="auto"/>
              </w:rPr>
            </w:pPr>
            <w:r>
              <w:rPr>
                <w:rFonts w:ascii="Arial" w:cs="Arial" w:eastAsia="Arial" w:hAnsi="Arial"/>
                <w:sz w:val="14"/>
                <w:szCs w:val="14"/>
                <w:color w:val="auto"/>
              </w:rPr>
              <w:t>Net cash (used in) provided by financing activities</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(469,356)</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34,402</w:t>
            </w:r>
          </w:p>
        </w:tc>
        <w:tc>
          <w:tcPr>
            <w:tcW w:w="0" w:type="dxa"/>
            <w:vAlign w:val="bottom"/>
          </w:tcPr>
          <w:p>
            <w:pPr>
              <w:spacing w:after="0"/>
              <w:rPr>
                <w:sz w:val="1"/>
                <w:szCs w:val="1"/>
                <w:color w:val="auto"/>
              </w:rPr>
            </w:pPr>
          </w:p>
        </w:tc>
      </w:tr>
      <w:tr>
        <w:trPr>
          <w:trHeight w:val="189"/>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77"/>
        </w:trPr>
        <w:tc>
          <w:tcPr>
            <w:tcW w:w="8500" w:type="dxa"/>
            <w:vAlign w:val="bottom"/>
          </w:tcPr>
          <w:p>
            <w:pPr>
              <w:ind w:left="20"/>
              <w:spacing w:after="0"/>
              <w:rPr>
                <w:sz w:val="20"/>
                <w:szCs w:val="20"/>
                <w:color w:val="auto"/>
              </w:rPr>
            </w:pPr>
            <w:r>
              <w:rPr>
                <w:rFonts w:ascii="Arial" w:cs="Arial" w:eastAsia="Arial" w:hAnsi="Arial"/>
                <w:sz w:val="14"/>
                <w:szCs w:val="14"/>
                <w:color w:val="auto"/>
              </w:rPr>
              <w:t>NET INCREASE (DECREASE) IN CASH, CASH EQUIVALENTS AND RESTRICTED CASH, including cash classified as held for sale</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26,309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(681,055)</w:t>
            </w:r>
          </w:p>
        </w:tc>
        <w:tc>
          <w:tcPr>
            <w:tcW w:w="0" w:type="dxa"/>
            <w:vAlign w:val="bottom"/>
          </w:tcPr>
          <w:p>
            <w:pPr>
              <w:spacing w:after="0"/>
              <w:rPr>
                <w:sz w:val="1"/>
                <w:szCs w:val="1"/>
                <w:color w:val="auto"/>
              </w:rPr>
            </w:pPr>
          </w:p>
        </w:tc>
      </w:tr>
      <w:tr>
        <w:trPr>
          <w:trHeight w:val="187"/>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CLASSIFIED AS HELD FOR SALE</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500" w:type="dxa"/>
            <w:vAlign w:val="bottom"/>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19,003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(681,055)</w:t>
            </w:r>
          </w:p>
        </w:tc>
        <w:tc>
          <w:tcPr>
            <w:tcW w:w="0" w:type="dxa"/>
            <w:vAlign w:val="bottom"/>
          </w:tcPr>
          <w:p>
            <w:pPr>
              <w:spacing w:after="0"/>
              <w:rPr>
                <w:sz w:val="1"/>
                <w:szCs w:val="1"/>
                <w:color w:val="auto"/>
              </w:rPr>
            </w:pPr>
          </w:p>
        </w:tc>
      </w:tr>
      <w:tr>
        <w:trPr>
          <w:trHeight w:val="203"/>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CASH—Beginning of period</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656,078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1,481,831</w:t>
            </w:r>
          </w:p>
        </w:tc>
        <w:tc>
          <w:tcPr>
            <w:tcW w:w="0" w:type="dxa"/>
            <w:vAlign w:val="bottom"/>
          </w:tcPr>
          <w:p>
            <w:pPr>
              <w:spacing w:after="0"/>
              <w:rPr>
                <w:sz w:val="1"/>
                <w:szCs w:val="1"/>
                <w:color w:val="auto"/>
              </w:rPr>
            </w:pPr>
          </w:p>
        </w:tc>
      </w:tr>
      <w:tr>
        <w:trPr>
          <w:trHeight w:val="173"/>
        </w:trPr>
        <w:tc>
          <w:tcPr>
            <w:tcW w:w="85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675,081</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800,776</w:t>
            </w:r>
          </w:p>
        </w:tc>
        <w:tc>
          <w:tcPr>
            <w:tcW w:w="0" w:type="dxa"/>
            <w:vAlign w:val="bottom"/>
          </w:tcPr>
          <w:p>
            <w:pPr>
              <w:spacing w:after="0"/>
              <w:rPr>
                <w:sz w:val="1"/>
                <w:szCs w:val="1"/>
                <w:color w:val="auto"/>
              </w:rPr>
            </w:pP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income taxes, net</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17,578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4,147</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Cash paid for interest</w:t>
            </w: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500" w:type="dxa"/>
            <w:vAlign w:val="bottom"/>
            <w:tcBorders>
              <w:top w:val="single" w:sz="8" w:color="CCEEFF"/>
            </w:tcBorders>
            <w:vMerge w:val="continue"/>
          </w:tcPr>
          <w:p>
            <w:pPr>
              <w:spacing w:after="0"/>
              <w:rPr>
                <w:sz w:val="12"/>
                <w:szCs w:val="12"/>
                <w:color w:val="auto"/>
              </w:rPr>
            </w:pPr>
          </w:p>
        </w:tc>
        <w:tc>
          <w:tcPr>
            <w:tcW w:w="240" w:type="dxa"/>
            <w:vAlign w:val="bottom"/>
            <w:tcBorders>
              <w:top w:val="single" w:sz="8" w:color="auto"/>
              <w:bottom w:val="single" w:sz="8" w:color="auto"/>
            </w:tcBorders>
          </w:tcPr>
          <w:p>
            <w:pPr>
              <w:jc w:val="right"/>
              <w:ind w:right="91"/>
              <w:spacing w:after="0" w:line="13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19,261</w:t>
            </w:r>
          </w:p>
        </w:tc>
        <w:tc>
          <w:tcPr>
            <w:tcW w:w="10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191"/>
              <w:spacing w:after="0" w:line="139"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11"/>
              <w:spacing w:after="0" w:line="139" w:lineRule="exact"/>
              <w:rPr>
                <w:sz w:val="20"/>
                <w:szCs w:val="20"/>
                <w:color w:val="auto"/>
              </w:rPr>
            </w:pPr>
            <w:r>
              <w:rPr>
                <w:rFonts w:ascii="Arial" w:cs="Arial" w:eastAsia="Arial" w:hAnsi="Arial"/>
                <w:sz w:val="14"/>
                <w:szCs w:val="14"/>
                <w:color w:val="auto"/>
              </w:rPr>
              <w:t>18,750</w:t>
            </w:r>
          </w:p>
        </w:tc>
        <w:tc>
          <w:tcPr>
            <w:tcW w:w="0" w:type="dxa"/>
            <w:vAlign w:val="bottom"/>
          </w:tcPr>
          <w:p>
            <w:pPr>
              <w:spacing w:after="0"/>
              <w:rPr>
                <w:sz w:val="1"/>
                <w:szCs w:val="1"/>
                <w:color w:val="auto"/>
              </w:rPr>
            </w:pP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85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8500" w:type="dxa"/>
            <w:vAlign w:val="bottom"/>
          </w:tcPr>
          <w:p>
            <w:pPr>
              <w:ind w:left="20"/>
              <w:spacing w:after="0" w:line="129" w:lineRule="exact"/>
              <w:rPr>
                <w:sz w:val="20"/>
                <w:szCs w:val="20"/>
                <w:color w:val="auto"/>
              </w:rPr>
            </w:pPr>
            <w:r>
              <w:rPr>
                <w:rFonts w:ascii="Arial" w:cs="Arial" w:eastAsia="Arial" w:hAnsi="Arial"/>
                <w:sz w:val="14"/>
                <w:szCs w:val="14"/>
                <w:color w:val="auto"/>
              </w:rPr>
              <w:t>RECONCILIATION OF CASH, CASH EQUIVALENTS AND RESTRICTED CASH TO THE CONDENSED CONSOLIDATED BALANCE</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500" w:type="dxa"/>
            <w:vAlign w:val="bottom"/>
          </w:tcPr>
          <w:p>
            <w:pPr>
              <w:ind w:left="180"/>
              <w:spacing w:after="0"/>
              <w:rPr>
                <w:sz w:val="20"/>
                <w:szCs w:val="20"/>
                <w:color w:val="auto"/>
              </w:rPr>
            </w:pPr>
            <w:r>
              <w:rPr>
                <w:rFonts w:ascii="Arial" w:cs="Arial" w:eastAsia="Arial" w:hAnsi="Arial"/>
                <w:sz w:val="14"/>
                <w:szCs w:val="14"/>
                <w:color w:val="auto"/>
              </w:rPr>
              <w:t>SHEETS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675,081</w:t>
            </w:r>
          </w:p>
        </w:tc>
        <w:tc>
          <w:tcPr>
            <w:tcW w:w="460" w:type="dxa"/>
            <w:vAlign w:val="bottom"/>
            <w:gridSpan w:val="2"/>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798,625</w:t>
            </w:r>
          </w:p>
        </w:tc>
        <w:tc>
          <w:tcPr>
            <w:tcW w:w="0" w:type="dxa"/>
            <w:vAlign w:val="bottom"/>
          </w:tcPr>
          <w:p>
            <w:pPr>
              <w:spacing w:after="0"/>
              <w:rPr>
                <w:sz w:val="1"/>
                <w:szCs w:val="1"/>
                <w:color w:val="auto"/>
              </w:rPr>
            </w:pPr>
          </w:p>
        </w:tc>
      </w:tr>
      <w:tr>
        <w:trPr>
          <w:trHeight w:val="177"/>
        </w:trPr>
        <w:tc>
          <w:tcPr>
            <w:tcW w:w="85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Restricted cash in other current assets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2,151</w:t>
            </w:r>
          </w:p>
        </w:tc>
        <w:tc>
          <w:tcPr>
            <w:tcW w:w="0" w:type="dxa"/>
            <w:vAlign w:val="bottom"/>
          </w:tcPr>
          <w:p>
            <w:pPr>
              <w:spacing w:after="0"/>
              <w:rPr>
                <w:sz w:val="1"/>
                <w:szCs w:val="1"/>
                <w:color w:val="auto"/>
              </w:rPr>
            </w:pPr>
          </w:p>
        </w:tc>
      </w:tr>
      <w:tr>
        <w:trPr>
          <w:trHeight w:val="201"/>
        </w:trPr>
        <w:tc>
          <w:tcPr>
            <w:tcW w:w="8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Total cash, cash equivalents and restricted cash</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675,081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800,776</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80"/>
          </w:cols>
          <w:pgMar w:left="560" w:top="430" w:right="55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TWILIO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Description of Business</w:t>
      </w:r>
    </w:p>
    <w:p>
      <w:pPr>
        <w:spacing w:after="0" w:line="223" w:lineRule="exact"/>
        <w:rPr>
          <w:sz w:val="20"/>
          <w:szCs w:val="20"/>
          <w:color w:val="auto"/>
        </w:rPr>
      </w:pPr>
    </w:p>
    <w:p>
      <w:pPr>
        <w:ind w:firstLine="464"/>
        <w:spacing w:after="0" w:line="262" w:lineRule="auto"/>
        <w:rPr>
          <w:sz w:val="20"/>
          <w:szCs w:val="20"/>
          <w:color w:val="auto"/>
        </w:rPr>
      </w:pPr>
      <w:r>
        <w:rPr>
          <w:rFonts w:ascii="Arial" w:cs="Arial" w:eastAsia="Arial" w:hAnsi="Arial"/>
          <w:sz w:val="17"/>
          <w:szCs w:val="17"/>
          <w:color w:val="auto"/>
        </w:rPr>
        <w:t>Twilio Inc. (the “Company”) was incorporated in the state of Delaware on March 13, 2008. Today's leading companies trust Twilio's Customer Engagement Platform to build direct, personalized relationships with their customers everywhere in the world. Twilio enables companies to use communications and data to add intelligence and security to every step of their customers’ journey, from sales to marketing to growth, customer service and many more engagement use cases in a flexible, programmatic way.</w:t>
      </w:r>
    </w:p>
    <w:p>
      <w:pPr>
        <w:spacing w:after="0" w:line="178" w:lineRule="exact"/>
        <w:rPr>
          <w:sz w:val="20"/>
          <w:szCs w:val="20"/>
          <w:color w:val="auto"/>
        </w:rPr>
      </w:pPr>
    </w:p>
    <w:p>
      <w:pPr>
        <w:ind w:right="300" w:firstLine="464"/>
        <w:spacing w:after="0" w:line="279" w:lineRule="auto"/>
        <w:rPr>
          <w:sz w:val="20"/>
          <w:szCs w:val="20"/>
          <w:color w:val="auto"/>
        </w:rPr>
      </w:pPr>
      <w:r>
        <w:rPr>
          <w:rFonts w:ascii="Arial" w:cs="Arial" w:eastAsia="Arial" w:hAnsi="Arial"/>
          <w:sz w:val="17"/>
          <w:szCs w:val="17"/>
          <w:color w:val="auto"/>
        </w:rPr>
        <w:t>The Company’s headquarters are located in San Francisco, California, and the Company has subsidiaries across North America, South America, Europe, Asia and Australia.</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23" w:lineRule="exact"/>
        <w:rPr>
          <w:sz w:val="20"/>
          <w:szCs w:val="20"/>
          <w:color w:val="auto"/>
        </w:rPr>
      </w:pPr>
    </w:p>
    <w:p>
      <w:pPr>
        <w:ind w:left="1240" w:hanging="773"/>
        <w:spacing w:after="0"/>
        <w:tabs>
          <w:tab w:leader="none" w:pos="1240"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Basis of Presentation</w:t>
      </w:r>
    </w:p>
    <w:p>
      <w:pPr>
        <w:spacing w:after="0" w:line="217" w:lineRule="exact"/>
        <w:rPr>
          <w:sz w:val="20"/>
          <w:szCs w:val="20"/>
          <w:color w:val="auto"/>
        </w:rPr>
      </w:pPr>
    </w:p>
    <w:p>
      <w:pPr>
        <w:ind w:right="80" w:firstLine="464"/>
        <w:spacing w:after="0" w:line="302"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February 27, 2023 (“Annual Report”).</w:t>
      </w:r>
    </w:p>
    <w:p>
      <w:pPr>
        <w:spacing w:after="0" w:line="152" w:lineRule="exact"/>
        <w:rPr>
          <w:sz w:val="20"/>
          <w:szCs w:val="20"/>
          <w:color w:val="auto"/>
        </w:rPr>
      </w:pPr>
    </w:p>
    <w:p>
      <w:pPr>
        <w:ind w:right="140" w:firstLine="464"/>
        <w:spacing w:after="0" w:line="279" w:lineRule="auto"/>
        <w:rPr>
          <w:sz w:val="20"/>
          <w:szCs w:val="20"/>
          <w:color w:val="auto"/>
        </w:rPr>
      </w:pPr>
      <w:r>
        <w:rPr>
          <w:rFonts w:ascii="Arial" w:cs="Arial" w:eastAsia="Arial" w:hAnsi="Arial"/>
          <w:sz w:val="17"/>
          <w:szCs w:val="17"/>
          <w:color w:val="auto"/>
        </w:rPr>
        <w:t>The condensed consolidated balance sheet as of December 31, 2022, included herein, was derived from the audited financial statements as of that date, but may not include all disclosures including certain notes required by U.S. GAAP on an annual reporting basis.</w:t>
      </w:r>
    </w:p>
    <w:p>
      <w:pPr>
        <w:spacing w:after="0" w:line="164" w:lineRule="exact"/>
        <w:rPr>
          <w:sz w:val="20"/>
          <w:szCs w:val="20"/>
          <w:color w:val="auto"/>
        </w:rPr>
      </w:pPr>
    </w:p>
    <w:p>
      <w:pPr>
        <w:ind w:right="80" w:firstLine="464"/>
        <w:spacing w:after="0" w:line="266" w:lineRule="auto"/>
        <w:rPr>
          <w:sz w:val="20"/>
          <w:szCs w:val="20"/>
          <w:color w:val="auto"/>
        </w:rPr>
      </w:pPr>
      <w:r>
        <w:rPr>
          <w:rFonts w:ascii="Arial" w:cs="Arial" w:eastAsia="Arial" w:hAnsi="Arial"/>
          <w:sz w:val="17"/>
          <w:szCs w:val="17"/>
          <w:color w:val="auto"/>
        </w:rPr>
        <w:t>In the opinion of management, the accompanying condensed consolidated financial statements reflect all normal recurring adjustments necessary to present fairly the financial position, results of operations, comprehensive loss, stockholders’ equity and cash flows for the interim periods, but are not necessarily indicative of the results of operations to be anticipated for the full year 2023 or any future period.</w:t>
      </w:r>
    </w:p>
    <w:p>
      <w:pPr>
        <w:spacing w:after="0" w:line="175" w:lineRule="exact"/>
        <w:rPr>
          <w:sz w:val="20"/>
          <w:szCs w:val="20"/>
          <w:color w:val="auto"/>
        </w:rPr>
      </w:pPr>
    </w:p>
    <w:p>
      <w:pPr>
        <w:ind w:left="1240" w:hanging="773"/>
        <w:spacing w:after="0"/>
        <w:tabs>
          <w:tab w:leader="none" w:pos="1240"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Principles of Consolidation</w:t>
      </w:r>
    </w:p>
    <w:p>
      <w:pPr>
        <w:spacing w:after="0" w:line="217" w:lineRule="exact"/>
        <w:rPr>
          <w:sz w:val="20"/>
          <w:szCs w:val="20"/>
          <w:color w:val="auto"/>
        </w:rPr>
      </w:pPr>
    </w:p>
    <w:p>
      <w:pPr>
        <w:ind w:right="80" w:firstLine="464"/>
        <w:spacing w:after="0" w:line="279" w:lineRule="auto"/>
        <w:rPr>
          <w:sz w:val="20"/>
          <w:szCs w:val="20"/>
          <w:color w:val="auto"/>
        </w:rPr>
      </w:pPr>
      <w:r>
        <w:rPr>
          <w:rFonts w:ascii="Arial" w:cs="Arial" w:eastAsia="Arial" w:hAnsi="Arial"/>
          <w:sz w:val="17"/>
          <w:szCs w:val="17"/>
          <w:color w:val="auto"/>
        </w:rPr>
        <w:t>The condensed consolidated financial statements include the Company and its wholly owned subsidiaries. All intercompany balances and transactions have been eliminated.</w:t>
      </w:r>
    </w:p>
    <w:p>
      <w:pPr>
        <w:spacing w:after="0" w:line="164" w:lineRule="exact"/>
        <w:rPr>
          <w:sz w:val="20"/>
          <w:szCs w:val="20"/>
          <w:color w:val="auto"/>
        </w:rPr>
      </w:pPr>
    </w:p>
    <w:p>
      <w:pPr>
        <w:ind w:left="1240" w:hanging="773"/>
        <w:spacing w:after="0"/>
        <w:tabs>
          <w:tab w:leader="none" w:pos="1240"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Use of Estimates</w:t>
      </w:r>
    </w:p>
    <w:p>
      <w:pPr>
        <w:spacing w:after="0" w:line="217" w:lineRule="exact"/>
        <w:rPr>
          <w:sz w:val="20"/>
          <w:szCs w:val="20"/>
          <w:color w:val="auto"/>
        </w:rPr>
      </w:pPr>
    </w:p>
    <w:p>
      <w:pPr>
        <w:ind w:firstLine="464"/>
        <w:spacing w:after="0" w:line="295"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revenue allowances and sales credit reserves; recoverability of long-lived and intangible assets; allocation of goodwill to reporting units; impairment assessments of goodwill and indefinite-lived intangible assets; capitalization and useful life of the Company’s capitalized internal-use software development costs; fair value of acquired intangible assets and goodwill; accruals and contingencies. Estimates are based on historical experience and on various assumptions that the Company believes are reasonable under current circumstances. However, future events are subject to change and best estimates and judgments may require further adjustments, therefore, actual results could differ materially from those estimates. Management periodically evaluates such estimates and they are adjusted prospectively based upon such periodic evaluation.</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40" w:hanging="773"/>
        <w:spacing w:after="0"/>
        <w:tabs>
          <w:tab w:leader="none" w:pos="1240"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Remaining Performance Obligations</w:t>
      </w:r>
    </w:p>
    <w:p>
      <w:pPr>
        <w:spacing w:after="0" w:line="217" w:lineRule="exact"/>
        <w:rPr>
          <w:sz w:val="20"/>
          <w:szCs w:val="20"/>
          <w:color w:val="auto"/>
        </w:rPr>
      </w:pPr>
    </w:p>
    <w:p>
      <w:pPr>
        <w:ind w:right="360" w:firstLine="464"/>
        <w:spacing w:after="0" w:line="279" w:lineRule="auto"/>
        <w:rPr>
          <w:sz w:val="20"/>
          <w:szCs w:val="20"/>
          <w:color w:val="auto"/>
        </w:rPr>
      </w:pPr>
      <w:r>
        <w:rPr>
          <w:rFonts w:ascii="Arial" w:cs="Arial" w:eastAsia="Arial" w:hAnsi="Arial"/>
          <w:sz w:val="17"/>
          <w:szCs w:val="17"/>
          <w:color w:val="auto"/>
        </w:rPr>
        <w:t>Revenue allocated to remaining performance obligations for contracts with durations of more than one year was $123.4 million as of June 30, 2023, of which 68% is expected to be recognized over the next 12 months and 95% is expected to be recognized over the next 24 months.</w:t>
      </w:r>
    </w:p>
    <w:p>
      <w:pPr>
        <w:spacing w:after="0" w:line="164" w:lineRule="exact"/>
        <w:rPr>
          <w:sz w:val="20"/>
          <w:szCs w:val="20"/>
          <w:color w:val="auto"/>
        </w:rPr>
      </w:pPr>
    </w:p>
    <w:p>
      <w:pPr>
        <w:ind w:left="1240" w:hanging="773"/>
        <w:spacing w:after="0"/>
        <w:tabs>
          <w:tab w:leader="none" w:pos="1240"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Deferred Revenue and Customer Deposits</w:t>
      </w:r>
    </w:p>
    <w:p>
      <w:pPr>
        <w:spacing w:after="0" w:line="217" w:lineRule="exact"/>
        <w:rPr>
          <w:sz w:val="20"/>
          <w:szCs w:val="20"/>
          <w:color w:val="auto"/>
        </w:rPr>
      </w:pPr>
    </w:p>
    <w:p>
      <w:pPr>
        <w:ind w:right="60" w:firstLine="464"/>
        <w:spacing w:after="0" w:line="258" w:lineRule="auto"/>
        <w:rPr>
          <w:sz w:val="20"/>
          <w:szCs w:val="20"/>
          <w:color w:val="auto"/>
        </w:rPr>
      </w:pPr>
      <w:r>
        <w:rPr>
          <w:rFonts w:ascii="Arial" w:cs="Arial" w:eastAsia="Arial" w:hAnsi="Arial"/>
          <w:sz w:val="17"/>
          <w:szCs w:val="17"/>
          <w:color w:val="auto"/>
        </w:rPr>
        <w:t>As of June 30, 2023, and December 31, 2022, the Company recorded $139.4 million and $139.1 million as its deferred revenue and customer deposits, respectively, that are included in deferred revenue and customer deposits and other long-term liabilities in the accompanying condensed consolidated balance sheets. During the three months ended June 30, 2023 and 2022, the Company recognized $27.2 million and $29.9 million of revenue, respectively, that was included in the deferred revenue and customer deposits balances as of the end of the previous year. During the six months ended June 30, 2023 and 2022, the Company recognized $98.6 million and $94.7 million of revenue, respectively, that was included in the deferred revenue and customer deposits balances as of the end of the previous year.</w:t>
      </w:r>
    </w:p>
    <w:p>
      <w:pPr>
        <w:spacing w:after="0" w:line="183" w:lineRule="exact"/>
        <w:rPr>
          <w:sz w:val="20"/>
          <w:szCs w:val="20"/>
          <w:color w:val="auto"/>
        </w:rPr>
      </w:pPr>
    </w:p>
    <w:p>
      <w:pPr>
        <w:ind w:left="1240" w:hanging="773"/>
        <w:spacing w:after="0"/>
        <w:tabs>
          <w:tab w:leader="none" w:pos="1240" w:val="left"/>
        </w:tabs>
        <w:numPr>
          <w:ilvl w:val="0"/>
          <w:numId w:val="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Deferred Sales Commissions</w:t>
      </w:r>
    </w:p>
    <w:p>
      <w:pPr>
        <w:spacing w:after="0" w:line="217" w:lineRule="exact"/>
        <w:rPr>
          <w:sz w:val="20"/>
          <w:szCs w:val="20"/>
          <w:color w:val="auto"/>
        </w:rPr>
      </w:pPr>
    </w:p>
    <w:p>
      <w:pPr>
        <w:ind w:right="20" w:firstLine="464"/>
        <w:spacing w:after="0" w:line="212" w:lineRule="exact"/>
        <w:rPr>
          <w:sz w:val="20"/>
          <w:szCs w:val="20"/>
          <w:color w:val="auto"/>
        </w:rPr>
      </w:pPr>
      <w:r>
        <w:rPr>
          <w:rFonts w:ascii="Arial" w:cs="Arial" w:eastAsia="Arial" w:hAnsi="Arial"/>
          <w:sz w:val="16"/>
          <w:szCs w:val="16"/>
          <w:color w:val="auto"/>
        </w:rPr>
        <w:t>Total net capitalized commission costs as of June 30, 2023, and December 31, 2022, were $219.5 million and $239.1 million, respectively, and are included in prepaid expenses and other current assets and other long</w:t>
      </w:r>
      <w:r>
        <w:rPr>
          <w:rFonts w:ascii="MS PGothic" w:cs="MS PGothic" w:eastAsia="MS PGothic" w:hAnsi="MS PGothic"/>
          <w:sz w:val="16"/>
          <w:szCs w:val="16"/>
          <w:color w:val="auto"/>
        </w:rPr>
        <w:t>‑</w:t>
      </w:r>
      <w:r>
        <w:rPr>
          <w:rFonts w:ascii="Arial" w:cs="Arial" w:eastAsia="Arial" w:hAnsi="Arial"/>
          <w:sz w:val="16"/>
          <w:szCs w:val="16"/>
          <w:color w:val="auto"/>
        </w:rPr>
        <w:t>term assets in the accompanying condensed consolidated balance sheets.</w:t>
      </w:r>
    </w:p>
    <w:p>
      <w:pPr>
        <w:spacing w:after="0" w:line="196" w:lineRule="exact"/>
        <w:rPr>
          <w:sz w:val="20"/>
          <w:szCs w:val="20"/>
          <w:color w:val="auto"/>
        </w:rPr>
      </w:pPr>
    </w:p>
    <w:p>
      <w:pPr>
        <w:ind w:left="1240" w:hanging="773"/>
        <w:spacing w:after="0"/>
        <w:tabs>
          <w:tab w:leader="none" w:pos="1240" w:val="left"/>
        </w:tabs>
        <w:numPr>
          <w:ilvl w:val="0"/>
          <w:numId w:val="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Concentration of Credit Risk</w:t>
      </w:r>
    </w:p>
    <w:p>
      <w:pPr>
        <w:spacing w:after="0" w:line="217" w:lineRule="exact"/>
        <w:rPr>
          <w:sz w:val="20"/>
          <w:szCs w:val="20"/>
          <w:color w:val="auto"/>
        </w:rPr>
      </w:pPr>
    </w:p>
    <w:p>
      <w:pPr>
        <w:ind w:firstLine="464"/>
        <w:spacing w:after="0" w:line="266" w:lineRule="auto"/>
        <w:rPr>
          <w:sz w:val="20"/>
          <w:szCs w:val="20"/>
          <w:color w:val="auto"/>
        </w:rPr>
      </w:pPr>
      <w:r>
        <w:rPr>
          <w:rFonts w:ascii="Arial" w:cs="Arial" w:eastAsia="Arial" w:hAnsi="Arial"/>
          <w:sz w:val="17"/>
          <w:szCs w:val="17"/>
          <w:color w:val="auto"/>
        </w:rPr>
        <w:t>Financial instruments that potentially expose the Company to a concentration of credit risk consist primarily of cash, cash equivalents, restricted cash, marketable securities and accounts receivable. The Company maintains cash, restricted cash, cash equivalents and marketable securities with financial institutions. Certain balances held by such financial institutions exceed insured limits.</w:t>
      </w:r>
    </w:p>
    <w:p>
      <w:pPr>
        <w:spacing w:after="0" w:line="175" w:lineRule="exact"/>
        <w:rPr>
          <w:sz w:val="20"/>
          <w:szCs w:val="20"/>
          <w:color w:val="auto"/>
        </w:rPr>
      </w:pPr>
    </w:p>
    <w:p>
      <w:pPr>
        <w:ind w:right="60" w:firstLine="464"/>
        <w:spacing w:after="0" w:line="259" w:lineRule="auto"/>
        <w:rPr>
          <w:sz w:val="20"/>
          <w:szCs w:val="20"/>
          <w:color w:val="auto"/>
        </w:rPr>
      </w:pPr>
      <w:r>
        <w:rPr>
          <w:rFonts w:ascii="Arial" w:cs="Arial" w:eastAsia="Arial" w:hAnsi="Arial"/>
          <w:sz w:val="17"/>
          <w:szCs w:val="17"/>
          <w:color w:val="auto"/>
        </w:rPr>
        <w:t>The Company sells its services to a wide variety of customers. If the financial condition or results of operations of any significant customer deteriorates substantially, operating results could be adversely affected. To reduce credit risk, management performs credit evaluations of the financial condition of significant customers. The Company does not require collateral from its credit customers and maintains reserves for estimated credit losses on customer accounts when considered necessary. Actual credit losses may differ from the Company’s estimates. In the three and six months ended June 30, 2023 and 2022, no customer organization accounted for more than 10% of the Company’s total revenue.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2023, and December 31, 2022, no customer organization represented more than 10% of the Company’s gross accounts receivable.</w:t>
      </w:r>
    </w:p>
    <w:p>
      <w:pPr>
        <w:spacing w:after="0" w:line="229" w:lineRule="exact"/>
        <w:rPr>
          <w:sz w:val="20"/>
          <w:szCs w:val="20"/>
          <w:color w:val="auto"/>
        </w:rPr>
      </w:pPr>
    </w:p>
    <w:p>
      <w:pPr>
        <w:ind w:left="1240" w:hanging="773"/>
        <w:spacing w:after="0"/>
        <w:tabs>
          <w:tab w:leader="none" w:pos="1240"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Significant Accounting Policies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Segment Information</w:t>
      </w:r>
    </w:p>
    <w:p>
      <w:pPr>
        <w:spacing w:after="0" w:line="217" w:lineRule="exact"/>
        <w:rPr>
          <w:sz w:val="20"/>
          <w:szCs w:val="20"/>
          <w:color w:val="auto"/>
        </w:rPr>
      </w:pPr>
    </w:p>
    <w:p>
      <w:pPr>
        <w:ind w:right="40" w:firstLine="464"/>
        <w:spacing w:after="0" w:line="259" w:lineRule="auto"/>
        <w:rPr>
          <w:sz w:val="20"/>
          <w:szCs w:val="20"/>
          <w:color w:val="auto"/>
        </w:rPr>
      </w:pPr>
      <w:r>
        <w:rPr>
          <w:rFonts w:ascii="Arial" w:cs="Arial" w:eastAsia="Arial" w:hAnsi="Arial"/>
          <w:sz w:val="17"/>
          <w:szCs w:val="17"/>
          <w:color w:val="auto"/>
        </w:rPr>
        <w:t xml:space="preserve">The Company determines its operating and reportable segments in accordance with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(“ASC 280”), which requires financial information to be reported based on how the chief operating decision maker (“CODM”), who is the Company's Chief Executive Officer, reviews and manages the business, and establishes criteria for aggregating operating segments into reportable segments. Historically, the Company concluded that it had a single operating and reportable segment. As described in detail in Note 8, as of June 30, 2023, the Company concluded that it operated in and will report its results in two reportable segments.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Goodwill</w:t>
      </w:r>
    </w:p>
    <w:p>
      <w:pPr>
        <w:spacing w:after="0" w:line="243" w:lineRule="exact"/>
        <w:rPr>
          <w:sz w:val="20"/>
          <w:szCs w:val="20"/>
          <w:color w:val="auto"/>
        </w:rPr>
      </w:pPr>
    </w:p>
    <w:p>
      <w:pPr>
        <w:ind w:firstLine="464"/>
        <w:spacing w:after="0" w:line="290" w:lineRule="auto"/>
        <w:rPr>
          <w:sz w:val="20"/>
          <w:szCs w:val="20"/>
          <w:color w:val="auto"/>
        </w:rPr>
      </w:pPr>
      <w:r>
        <w:rPr>
          <w:rFonts w:ascii="Arial" w:cs="Arial" w:eastAsia="Arial" w:hAnsi="Arial"/>
          <w:sz w:val="16"/>
          <w:szCs w:val="16"/>
          <w:color w:val="auto"/>
        </w:rPr>
        <w:t>In connection with changes in the segment reporting structure described in Note 8, in the second quarter of 2023, the Company concluded that it had multiple reporting units. Accordingly, the Company reassigned assets and liabilities to the reporting units based on which reporting units’ operations the assets and liabilities were employed in or were related to. The Company reassigned goodwill to each reporting unit using a relative fair value allocation approach.</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have been no other changes to the Company’s significant accounting policies as described in its Annual Report.</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40" w:hanging="773"/>
        <w:spacing w:after="0"/>
        <w:tabs>
          <w:tab w:leader="none" w:pos="1240" w:val="left"/>
        </w:tabs>
        <w:numPr>
          <w:ilvl w:val="0"/>
          <w:numId w:val="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Recently Issued Accounting Guidance, Not yet Adopted</w:t>
      </w:r>
    </w:p>
    <w:p>
      <w:pPr>
        <w:spacing w:after="0" w:line="217" w:lineRule="exact"/>
        <w:rPr>
          <w:sz w:val="20"/>
          <w:szCs w:val="20"/>
          <w:color w:val="auto"/>
        </w:rPr>
      </w:pPr>
    </w:p>
    <w:p>
      <w:pPr>
        <w:ind w:right="100" w:firstLine="464"/>
        <w:spacing w:after="0" w:line="259" w:lineRule="auto"/>
        <w:rPr>
          <w:sz w:val="20"/>
          <w:szCs w:val="20"/>
          <w:color w:val="auto"/>
        </w:rPr>
      </w:pPr>
      <w:r>
        <w:rPr>
          <w:rFonts w:ascii="Arial" w:cs="Arial" w:eastAsia="Arial" w:hAnsi="Arial"/>
          <w:sz w:val="17"/>
          <w:szCs w:val="17"/>
          <w:color w:val="auto"/>
        </w:rPr>
        <w:t>In June 2022, the Financial Accounting Standards Board issued Accounting Standards Update No. 2022-03, "</w:t>
      </w:r>
      <w:r>
        <w:rPr>
          <w:rFonts w:ascii="Arial" w:cs="Arial" w:eastAsia="Arial" w:hAnsi="Arial"/>
          <w:sz w:val="17"/>
          <w:szCs w:val="17"/>
          <w:i w:val="1"/>
          <w:iCs w:val="1"/>
          <w:color w:val="auto"/>
        </w:rPr>
        <w:t>Fair Value Measurements (Topic 820):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 of Equity Securities Subject to Contractual Sale Restrictions,</w:t>
      </w:r>
      <w:r>
        <w:rPr>
          <w:rFonts w:ascii="Arial" w:cs="Arial" w:eastAsia="Arial" w:hAnsi="Arial"/>
          <w:sz w:val="17"/>
          <w:szCs w:val="17"/>
          <w:color w:val="auto"/>
        </w:rPr>
        <w:t>" which clarifies and amends the guidance of measuring the fair value of equity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subject to contractual restrictions that prohibit the sale of the equity securities. The guidance will be effective for fiscal years beginning after December 15, 2023, and interim periods within those fiscal years. The Company is evaluating the impact of the adoption of this guidance on its consolidated financial statements.</w:t>
      </w:r>
    </w:p>
    <w:p>
      <w:pPr>
        <w:spacing w:after="0" w:line="177" w:lineRule="exact"/>
        <w:rPr>
          <w:sz w:val="20"/>
          <w:szCs w:val="20"/>
          <w:color w:val="auto"/>
        </w:rPr>
      </w:pPr>
    </w:p>
    <w:p>
      <w:pPr>
        <w:ind w:left="460" w:right="9140" w:hanging="457"/>
        <w:spacing w:after="0" w:line="578" w:lineRule="auto"/>
        <w:tabs>
          <w:tab w:leader="none" w:pos="168"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Fair Value Measurements </w:t>
      </w:r>
      <w:r>
        <w:rPr>
          <w:rFonts w:ascii="Arial" w:cs="Arial" w:eastAsia="Arial" w:hAnsi="Arial"/>
          <w:sz w:val="15"/>
          <w:szCs w:val="15"/>
          <w:i w:val="1"/>
          <w:iCs w:val="1"/>
          <w:color w:val="auto"/>
        </w:rPr>
        <w:t>Financial Assets</w:t>
      </w:r>
    </w:p>
    <w:p>
      <w:pPr>
        <w:ind w:left="460"/>
        <w:spacing w:after="0"/>
        <w:rPr>
          <w:rFonts w:ascii="Arial" w:cs="Arial" w:eastAsia="Arial" w:hAnsi="Arial"/>
          <w:sz w:val="15"/>
          <w:szCs w:val="15"/>
          <w:b w:val="1"/>
          <w:bCs w:val="1"/>
          <w:color w:val="auto"/>
        </w:rPr>
      </w:pPr>
      <w:r>
        <w:rPr>
          <w:rFonts w:ascii="Arial" w:cs="Arial" w:eastAsia="Arial" w:hAnsi="Arial"/>
          <w:sz w:val="17"/>
          <w:szCs w:val="17"/>
          <w:color w:val="auto"/>
        </w:rPr>
        <w:t>The following tables provide the financial assets measured at fair value on a recurring basis:</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Gross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gridSpan w:val="10"/>
            <w:vMerge w:val="restart"/>
          </w:tcPr>
          <w:p>
            <w:pPr>
              <w:jc w:val="center"/>
              <w:ind w:left="573"/>
              <w:spacing w:after="0"/>
              <w:rPr>
                <w:sz w:val="20"/>
                <w:szCs w:val="20"/>
                <w:color w:val="auto"/>
              </w:rPr>
            </w:pPr>
            <w:r>
              <w:rPr>
                <w:rFonts w:ascii="Arial" w:cs="Arial" w:eastAsia="Arial" w:hAnsi="Arial"/>
                <w:sz w:val="12"/>
                <w:szCs w:val="12"/>
                <w:b w:val="1"/>
                <w:bCs w:val="1"/>
                <w:color w:val="auto"/>
                <w:w w:val="90"/>
              </w:rPr>
              <w:t>Fair Value Hierarchy as of</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restart"/>
          </w:tcPr>
          <w:p>
            <w:pPr>
              <w:jc w:val="center"/>
              <w:ind w:right="100"/>
              <w:spacing w:after="0" w:line="124" w:lineRule="exact"/>
              <w:rPr>
                <w:sz w:val="20"/>
                <w:szCs w:val="20"/>
                <w:color w:val="auto"/>
              </w:rPr>
            </w:pPr>
            <w:r>
              <w:rPr>
                <w:rFonts w:ascii="Arial" w:cs="Arial" w:eastAsia="Arial" w:hAnsi="Arial"/>
                <w:sz w:val="12"/>
                <w:szCs w:val="12"/>
                <w:b w:val="1"/>
                <w:bCs w:val="1"/>
                <w:color w:val="auto"/>
                <w:w w:val="95"/>
              </w:rPr>
              <w:t>Amortized</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restart"/>
          </w:tcPr>
          <w:p>
            <w:pPr>
              <w:jc w:val="center"/>
              <w:ind w:right="100"/>
              <w:spacing w:after="0" w:line="124" w:lineRule="exact"/>
              <w:rPr>
                <w:sz w:val="20"/>
                <w:szCs w:val="20"/>
                <w:color w:val="auto"/>
              </w:rPr>
            </w:pPr>
            <w:r>
              <w:rPr>
                <w:rFonts w:ascii="Arial" w:cs="Arial" w:eastAsia="Arial" w:hAnsi="Arial"/>
                <w:sz w:val="12"/>
                <w:szCs w:val="12"/>
                <w:b w:val="1"/>
                <w:bCs w:val="1"/>
                <w:color w:val="auto"/>
                <w:w w:val="86"/>
              </w:rPr>
              <w:t>Gross</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jc w:val="center"/>
              <w:ind w:right="80"/>
              <w:spacing w:after="0" w:line="124" w:lineRule="exact"/>
              <w:rPr>
                <w:sz w:val="20"/>
                <w:szCs w:val="20"/>
                <w:color w:val="auto"/>
              </w:rPr>
            </w:pPr>
            <w:r>
              <w:rPr>
                <w:rFonts w:ascii="Arial" w:cs="Arial" w:eastAsia="Arial" w:hAnsi="Arial"/>
                <w:sz w:val="12"/>
                <w:szCs w:val="12"/>
                <w:b w:val="1"/>
                <w:bCs w:val="1"/>
                <w:color w:val="auto"/>
                <w:w w:val="92"/>
              </w:rPr>
              <w:t>Unrealized</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140" w:type="dxa"/>
            <w:vAlign w:val="bottom"/>
            <w:gridSpan w:val="10"/>
            <w:vMerge w:val="continue"/>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2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89"/>
              </w:rPr>
              <w:t>June 30, 2023</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jc w:val="center"/>
              <w:ind w:right="120"/>
              <w:spacing w:after="0" w:line="101" w:lineRule="exact"/>
              <w:rPr>
                <w:sz w:val="20"/>
                <w:szCs w:val="20"/>
                <w:color w:val="auto"/>
              </w:rPr>
            </w:pPr>
            <w:r>
              <w:rPr>
                <w:rFonts w:ascii="Arial" w:cs="Arial" w:eastAsia="Arial" w:hAnsi="Arial"/>
                <w:sz w:val="11"/>
                <w:szCs w:val="11"/>
                <w:b w:val="1"/>
                <w:bCs w:val="1"/>
                <w:color w:val="auto"/>
                <w:w w:val="98"/>
              </w:rPr>
              <w:t>Cost or</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jc w:val="center"/>
              <w:ind w:right="80"/>
              <w:spacing w:after="0" w:line="101" w:lineRule="exact"/>
              <w:rPr>
                <w:sz w:val="20"/>
                <w:szCs w:val="20"/>
                <w:color w:val="auto"/>
              </w:rPr>
            </w:pPr>
            <w:r>
              <w:rPr>
                <w:rFonts w:ascii="Arial" w:cs="Arial" w:eastAsia="Arial" w:hAnsi="Arial"/>
                <w:sz w:val="11"/>
                <w:szCs w:val="11"/>
                <w:b w:val="1"/>
                <w:bCs w:val="1"/>
                <w:color w:val="auto"/>
                <w:w w:val="94"/>
              </w:rPr>
              <w:t>Gross</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120"/>
              <w:spacing w:after="0" w:line="101" w:lineRule="exact"/>
              <w:rPr>
                <w:sz w:val="20"/>
                <w:szCs w:val="20"/>
                <w:color w:val="auto"/>
              </w:rPr>
            </w:pPr>
            <w:r>
              <w:rPr>
                <w:rFonts w:ascii="Arial" w:cs="Arial" w:eastAsia="Arial" w:hAnsi="Arial"/>
                <w:sz w:val="11"/>
                <w:szCs w:val="11"/>
                <w:b w:val="1"/>
                <w:bCs w:val="1"/>
                <w:color w:val="auto"/>
              </w:rPr>
              <w:t>Unrealized</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ind w:right="80"/>
              <w:spacing w:after="0" w:line="101" w:lineRule="exact"/>
              <w:rPr>
                <w:sz w:val="20"/>
                <w:szCs w:val="20"/>
                <w:color w:val="auto"/>
              </w:rPr>
            </w:pPr>
            <w:r>
              <w:rPr>
                <w:rFonts w:ascii="Arial" w:cs="Arial" w:eastAsia="Arial" w:hAnsi="Arial"/>
                <w:sz w:val="11"/>
                <w:szCs w:val="11"/>
                <w:b w:val="1"/>
                <w:bCs w:val="1"/>
                <w:color w:val="auto"/>
                <w:w w:val="95"/>
              </w:rPr>
              <w:t>Losses More</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vMerge w:val="continue"/>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100"/>
              <w:spacing w:after="0" w:line="116" w:lineRule="exact"/>
              <w:rPr>
                <w:sz w:val="20"/>
                <w:szCs w:val="20"/>
                <w:color w:val="auto"/>
              </w:rPr>
            </w:pPr>
            <w:r>
              <w:rPr>
                <w:rFonts w:ascii="Arial" w:cs="Arial" w:eastAsia="Arial" w:hAnsi="Arial"/>
                <w:sz w:val="12"/>
                <w:szCs w:val="12"/>
                <w:b w:val="1"/>
                <w:bCs w:val="1"/>
                <w:color w:val="auto"/>
                <w:w w:val="97"/>
              </w:rPr>
              <w:t>Carrying</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100"/>
              <w:spacing w:after="0" w:line="116" w:lineRule="exact"/>
              <w:rPr>
                <w:sz w:val="20"/>
                <w:szCs w:val="20"/>
                <w:color w:val="auto"/>
              </w:rPr>
            </w:pPr>
            <w:r>
              <w:rPr>
                <w:rFonts w:ascii="Arial" w:cs="Arial" w:eastAsia="Arial" w:hAnsi="Arial"/>
                <w:sz w:val="12"/>
                <w:szCs w:val="12"/>
                <w:b w:val="1"/>
                <w:bCs w:val="1"/>
                <w:color w:val="auto"/>
                <w:w w:val="92"/>
              </w:rPr>
              <w:t>Unrealized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tcPr>
          <w:p>
            <w:pPr>
              <w:jc w:val="center"/>
              <w:spacing w:after="0" w:line="116" w:lineRule="exact"/>
              <w:rPr>
                <w:sz w:val="20"/>
                <w:szCs w:val="20"/>
                <w:color w:val="auto"/>
              </w:rPr>
            </w:pPr>
            <w:r>
              <w:rPr>
                <w:rFonts w:ascii="Arial" w:cs="Arial" w:eastAsia="Arial" w:hAnsi="Arial"/>
                <w:sz w:val="12"/>
                <w:szCs w:val="12"/>
                <w:b w:val="1"/>
                <w:bCs w:val="1"/>
                <w:color w:val="auto"/>
                <w:w w:val="86"/>
              </w:rPr>
              <w:t>Losses Less Than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00"/>
              <w:spacing w:after="0" w:line="116" w:lineRule="exact"/>
              <w:rPr>
                <w:sz w:val="20"/>
                <w:szCs w:val="20"/>
                <w:color w:val="auto"/>
              </w:rPr>
            </w:pPr>
            <w:r>
              <w:rPr>
                <w:rFonts w:ascii="Arial" w:cs="Arial" w:eastAsia="Arial" w:hAnsi="Arial"/>
                <w:sz w:val="12"/>
                <w:szCs w:val="12"/>
                <w:b w:val="1"/>
                <w:bCs w:val="1"/>
                <w:color w:val="auto"/>
                <w:w w:val="90"/>
              </w:rPr>
              <w:t>Than</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2"/>
                <w:szCs w:val="12"/>
                <w:b w:val="1"/>
                <w:bCs w:val="1"/>
                <w:color w:val="auto"/>
              </w:rPr>
              <w:t>Level 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8"/>
              </w:rPr>
              <w:t>Level 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Level 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ind w:left="100"/>
              <w:spacing w:after="0" w:line="116" w:lineRule="exact"/>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Value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Gains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12 Months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12 Months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5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Financial Assets:</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20" w:type="dxa"/>
            <w:vAlign w:val="bottom"/>
            <w:gridSpan w:val="7"/>
            <w:shd w:val="clear" w:color="auto" w:fill="CCEEFF"/>
          </w:tcPr>
          <w:p>
            <w:pPr>
              <w:jc w:val="right"/>
              <w:ind w:right="620"/>
              <w:spacing w:after="0"/>
              <w:rPr>
                <w:sz w:val="20"/>
                <w:szCs w:val="20"/>
                <w:color w:val="auto"/>
              </w:rPr>
            </w:pPr>
            <w:r>
              <w:rPr>
                <w:rFonts w:ascii="Arial" w:cs="Arial" w:eastAsia="Arial" w:hAnsi="Arial"/>
                <w:sz w:val="14"/>
                <w:szCs w:val="14"/>
                <w:color w:val="auto"/>
              </w:rPr>
              <w:t>(In thousands)</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54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shd w:val="clear" w:color="auto" w:fill="CCEEFF"/>
          </w:tcPr>
          <w:p>
            <w:pPr>
              <w:spacing w:after="0"/>
              <w:rPr>
                <w:sz w:val="16"/>
                <w:szCs w:val="16"/>
                <w:color w:val="auto"/>
              </w:rPr>
            </w:pPr>
          </w:p>
        </w:tc>
        <w:tc>
          <w:tcPr>
            <w:tcW w:w="2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Money market funds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254,065</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80" w:type="dxa"/>
            <w:vAlign w:val="bottom"/>
            <w:gridSpan w:val="3"/>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254,065</w:t>
            </w:r>
          </w:p>
        </w:tc>
        <w:tc>
          <w:tcPr>
            <w:tcW w:w="6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254,065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40" w:type="dxa"/>
            <w:vAlign w:val="bottom"/>
            <w:tcBorders>
              <w:top w:val="single" w:sz="8" w:color="CCEEFF"/>
            </w:tcBorders>
          </w:tcPr>
          <w:p>
            <w:pPr>
              <w:spacing w:after="0"/>
              <w:rPr>
                <w:sz w:val="10"/>
                <w:szCs w:val="10"/>
                <w:color w:val="auto"/>
              </w:rPr>
            </w:pPr>
          </w:p>
        </w:tc>
        <w:tc>
          <w:tcPr>
            <w:tcW w:w="2500" w:type="dxa"/>
            <w:vAlign w:val="bottom"/>
            <w:tcBorders>
              <w:top w:val="single" w:sz="8" w:color="CCEEFF"/>
            </w:tcBorders>
          </w:tcPr>
          <w:p>
            <w:pPr>
              <w:ind w:left="400"/>
              <w:spacing w:after="0" w:line="125" w:lineRule="exact"/>
              <w:rPr>
                <w:sz w:val="20"/>
                <w:szCs w:val="20"/>
                <w:color w:val="auto"/>
              </w:rPr>
            </w:pPr>
            <w:r>
              <w:rPr>
                <w:rFonts w:ascii="Arial" w:cs="Arial" w:eastAsia="Arial" w:hAnsi="Arial"/>
                <w:sz w:val="14"/>
                <w:szCs w:val="14"/>
                <w:color w:val="auto"/>
              </w:rPr>
              <w:t>Total included in cash</w:t>
            </w: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vMerge w:val="restart"/>
          </w:tcPr>
          <w:p>
            <w:pPr>
              <w:jc w:val="right"/>
              <w:ind w:right="60"/>
              <w:spacing w:after="0"/>
              <w:rPr>
                <w:sz w:val="20"/>
                <w:szCs w:val="20"/>
                <w:color w:val="auto"/>
              </w:rPr>
            </w:pPr>
            <w:r>
              <w:rPr>
                <w:rFonts w:ascii="Arial" w:cs="Arial" w:eastAsia="Arial" w:hAnsi="Arial"/>
                <w:sz w:val="14"/>
                <w:szCs w:val="14"/>
                <w:color w:val="auto"/>
              </w:rPr>
              <w:t>254,065</w:t>
            </w:r>
          </w:p>
        </w:tc>
        <w:tc>
          <w:tcPr>
            <w:tcW w:w="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254,065</w:t>
            </w: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vMerge w:val="restart"/>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254,065</w:t>
            </w:r>
          </w:p>
        </w:tc>
        <w:tc>
          <w:tcPr>
            <w:tcW w:w="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2500" w:type="dxa"/>
            <w:vAlign w:val="bottom"/>
          </w:tcPr>
          <w:p>
            <w:pPr>
              <w:ind w:left="540"/>
              <w:spacing w:after="0"/>
              <w:rPr>
                <w:sz w:val="20"/>
                <w:szCs w:val="20"/>
                <w:color w:val="auto"/>
              </w:rPr>
            </w:pPr>
            <w:r>
              <w:rPr>
                <w:rFonts w:ascii="Arial" w:cs="Arial" w:eastAsia="Arial" w:hAnsi="Arial"/>
                <w:sz w:val="14"/>
                <w:szCs w:val="14"/>
                <w:color w:val="auto"/>
              </w:rPr>
              <w:t>and cash equivalents</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Marketable securities: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2500" w:type="dxa"/>
            <w:vAlign w:val="bottom"/>
          </w:tcPr>
          <w:p>
            <w:pPr>
              <w:ind w:left="160"/>
              <w:spacing w:after="0"/>
              <w:rPr>
                <w:sz w:val="20"/>
                <w:szCs w:val="20"/>
                <w:color w:val="auto"/>
              </w:rPr>
            </w:pPr>
            <w:r>
              <w:rPr>
                <w:rFonts w:ascii="Arial" w:cs="Arial" w:eastAsia="Arial" w:hAnsi="Arial"/>
                <w:sz w:val="14"/>
                <w:szCs w:val="14"/>
                <w:color w:val="auto"/>
              </w:rPr>
              <w:t>Debt securities: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2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U.S. Treasury securities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356,379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(536)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(5,875)</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349,969</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349,969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500" w:type="dxa"/>
            <w:vAlign w:val="bottom"/>
          </w:tcPr>
          <w:p>
            <w:pPr>
              <w:ind w:left="240"/>
              <w:spacing w:after="0" w:line="137" w:lineRule="exact"/>
              <w:rPr>
                <w:sz w:val="20"/>
                <w:szCs w:val="20"/>
                <w:color w:val="auto"/>
              </w:rPr>
            </w:pPr>
            <w:r>
              <w:rPr>
                <w:rFonts w:ascii="Arial" w:cs="Arial" w:eastAsia="Arial" w:hAnsi="Arial"/>
                <w:sz w:val="14"/>
                <w:szCs w:val="14"/>
                <w:color w:val="auto"/>
              </w:rPr>
              <w:t>Non-U.S. government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500" w:type="dxa"/>
            <w:vAlign w:val="bottom"/>
          </w:tcPr>
          <w:p>
            <w:pPr>
              <w:ind w:left="340"/>
              <w:spacing w:after="0"/>
              <w:rPr>
                <w:sz w:val="20"/>
                <w:szCs w:val="20"/>
                <w:color w:val="auto"/>
              </w:rPr>
            </w:pPr>
            <w:r>
              <w:rPr>
                <w:rFonts w:ascii="Arial" w:cs="Arial" w:eastAsia="Arial" w:hAnsi="Arial"/>
                <w:sz w:val="14"/>
                <w:szCs w:val="14"/>
                <w:color w:val="auto"/>
              </w:rPr>
              <w:t>securities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166,324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(96)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(4,376)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161,852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161,852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 w:type="dxa"/>
            <w:vAlign w:val="bottom"/>
            <w:shd w:val="clear" w:color="auto" w:fill="CCEEFF"/>
          </w:tcPr>
          <w:p>
            <w:pPr>
              <w:spacing w:after="0"/>
              <w:rPr>
                <w:sz w:val="12"/>
                <w:szCs w:val="12"/>
                <w:color w:val="auto"/>
              </w:rPr>
            </w:pPr>
          </w:p>
        </w:tc>
        <w:tc>
          <w:tcPr>
            <w:tcW w:w="2500" w:type="dxa"/>
            <w:vAlign w:val="bottom"/>
            <w:shd w:val="clear" w:color="auto" w:fill="CCEEFF"/>
          </w:tcPr>
          <w:p>
            <w:pPr>
              <w:ind w:left="240"/>
              <w:spacing w:after="0" w:line="142" w:lineRule="exact"/>
              <w:rPr>
                <w:sz w:val="20"/>
                <w:szCs w:val="20"/>
                <w:color w:val="auto"/>
              </w:rPr>
            </w:pPr>
            <w:r>
              <w:rPr>
                <w:rFonts w:ascii="Arial" w:cs="Arial" w:eastAsia="Arial" w:hAnsi="Arial"/>
                <w:sz w:val="14"/>
                <w:szCs w:val="14"/>
                <w:color w:val="auto"/>
              </w:rPr>
              <w:t>Corporate debt securities and</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2,536,521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56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(10,949)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(40,762)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2,484,866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2,484,866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0" w:type="dxa"/>
            <w:vAlign w:val="bottom"/>
            <w:tcBorders>
              <w:bottom w:val="single" w:sz="8" w:color="CCEEFF"/>
            </w:tcBorders>
            <w:shd w:val="clear" w:color="auto" w:fill="CCEEFF"/>
          </w:tcPr>
          <w:p>
            <w:pPr>
              <w:spacing w:after="0"/>
              <w:rPr>
                <w:sz w:val="15"/>
                <w:szCs w:val="15"/>
                <w:color w:val="auto"/>
              </w:rPr>
            </w:pPr>
          </w:p>
        </w:tc>
        <w:tc>
          <w:tcPr>
            <w:tcW w:w="2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commercial paper</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debt securities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3,059,224</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57</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(11,581)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(51,013)</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511,821</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2,484,866</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2,996,687</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0" w:type="dxa"/>
            <w:vAlign w:val="bottom"/>
            <w:tcBorders>
              <w:bottom w:val="single" w:sz="8" w:color="CCEEFF"/>
            </w:tcBorders>
            <w:shd w:val="clear" w:color="auto" w:fill="CCEEFF"/>
          </w:tcPr>
          <w:p>
            <w:pPr>
              <w:spacing w:after="0"/>
              <w:rPr>
                <w:sz w:val="15"/>
                <w:szCs w:val="15"/>
                <w:color w:val="auto"/>
              </w:rPr>
            </w:pPr>
          </w:p>
        </w:tc>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Equity securities</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12,200</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12,200</w:t>
            </w:r>
          </w:p>
        </w:tc>
        <w:tc>
          <w:tcPr>
            <w:tcW w:w="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12,200</w:t>
            </w:r>
          </w:p>
        </w:tc>
        <w:tc>
          <w:tcPr>
            <w:tcW w:w="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bottom w:val="single" w:sz="8" w:color="CCEEFF"/>
            </w:tcBorders>
          </w:tcPr>
          <w:p>
            <w:pPr>
              <w:spacing w:after="0"/>
              <w:rPr>
                <w:sz w:val="15"/>
                <w:szCs w:val="15"/>
                <w:color w:val="auto"/>
              </w:rPr>
            </w:pPr>
          </w:p>
        </w:tc>
        <w:tc>
          <w:tcPr>
            <w:tcW w:w="25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marketable securities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3,071,424</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57</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(11,581)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(51,013)</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524,021</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2,484,866</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3,008,887</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financial assets</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3,325,489</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(11,581)</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(51,013)</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778,086</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2,484,866</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3,262,952</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6"/>
              </w:rPr>
              <w:t>Gross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5"/>
              </w:rPr>
              <w:t>Amortized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6"/>
              </w:rPr>
              <w:t>Gross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Gross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Unrealized</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gridSpan w:val="10"/>
          </w:tcPr>
          <w:p>
            <w:pPr>
              <w:jc w:val="center"/>
              <w:ind w:left="473"/>
              <w:spacing w:after="0"/>
              <w:rPr>
                <w:sz w:val="20"/>
                <w:szCs w:val="20"/>
                <w:color w:val="auto"/>
              </w:rPr>
            </w:pPr>
            <w:r>
              <w:rPr>
                <w:rFonts w:ascii="Arial" w:cs="Arial" w:eastAsia="Arial" w:hAnsi="Arial"/>
                <w:sz w:val="12"/>
                <w:szCs w:val="12"/>
                <w:b w:val="1"/>
                <w:bCs w:val="1"/>
                <w:color w:val="auto"/>
                <w:w w:val="92"/>
              </w:rPr>
              <w:t>Fair Value Hierarchy as of</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2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tcPr>
          <w:p>
            <w:pPr>
              <w:jc w:val="center"/>
              <w:ind w:right="260"/>
              <w:spacing w:after="0" w:line="78" w:lineRule="exact"/>
              <w:rPr>
                <w:sz w:val="20"/>
                <w:szCs w:val="20"/>
                <w:color w:val="auto"/>
              </w:rPr>
            </w:pPr>
            <w:r>
              <w:rPr>
                <w:rFonts w:ascii="Arial" w:cs="Arial" w:eastAsia="Arial" w:hAnsi="Arial"/>
                <w:sz w:val="8"/>
                <w:szCs w:val="8"/>
                <w:b w:val="1"/>
                <w:bCs w:val="1"/>
                <w:color w:val="auto"/>
              </w:rPr>
              <w:t>Cost or</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2"/>
          </w:tcPr>
          <w:p>
            <w:pPr>
              <w:jc w:val="center"/>
              <w:ind w:right="280"/>
              <w:spacing w:after="0" w:line="78" w:lineRule="exact"/>
              <w:rPr>
                <w:sz w:val="20"/>
                <w:szCs w:val="20"/>
                <w:color w:val="auto"/>
              </w:rPr>
            </w:pPr>
            <w:r>
              <w:rPr>
                <w:rFonts w:ascii="Arial" w:cs="Arial" w:eastAsia="Arial" w:hAnsi="Arial"/>
                <w:sz w:val="8"/>
                <w:szCs w:val="8"/>
                <w:b w:val="1"/>
                <w:bCs w:val="1"/>
                <w:color w:val="auto"/>
              </w:rPr>
              <w:t>Unrealized</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gridSpan w:val="3"/>
          </w:tcPr>
          <w:p>
            <w:pPr>
              <w:jc w:val="center"/>
              <w:ind w:right="140"/>
              <w:spacing w:after="0" w:line="78" w:lineRule="exact"/>
              <w:rPr>
                <w:sz w:val="20"/>
                <w:szCs w:val="20"/>
                <w:color w:val="auto"/>
              </w:rPr>
            </w:pPr>
            <w:r>
              <w:rPr>
                <w:rFonts w:ascii="Arial" w:cs="Arial" w:eastAsia="Arial" w:hAnsi="Arial"/>
                <w:sz w:val="8"/>
                <w:szCs w:val="8"/>
                <w:b w:val="1"/>
                <w:bCs w:val="1"/>
                <w:color w:val="auto"/>
              </w:rPr>
              <w:t>Losses More</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gridSpan w:val="5"/>
            <w:vMerge w:val="restart"/>
          </w:tcPr>
          <w:p>
            <w:pPr>
              <w:jc w:val="center"/>
              <w:ind w:right="20"/>
              <w:spacing w:after="0"/>
              <w:rPr>
                <w:sz w:val="20"/>
                <w:szCs w:val="20"/>
                <w:color w:val="auto"/>
              </w:rPr>
            </w:pPr>
            <w:r>
              <w:rPr>
                <w:rFonts w:ascii="Arial" w:cs="Arial" w:eastAsia="Arial" w:hAnsi="Arial"/>
                <w:sz w:val="12"/>
                <w:szCs w:val="12"/>
                <w:b w:val="1"/>
                <w:bCs w:val="1"/>
                <w:color w:val="auto"/>
                <w:w w:val="90"/>
              </w:rPr>
              <w:t>December 31, 2022</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jc w:val="center"/>
              <w:ind w:right="260"/>
              <w:spacing w:after="0" w:line="96" w:lineRule="exact"/>
              <w:rPr>
                <w:sz w:val="20"/>
                <w:szCs w:val="20"/>
                <w:color w:val="auto"/>
              </w:rPr>
            </w:pPr>
            <w:r>
              <w:rPr>
                <w:rFonts w:ascii="Arial" w:cs="Arial" w:eastAsia="Arial" w:hAnsi="Arial"/>
                <w:sz w:val="11"/>
                <w:szCs w:val="11"/>
                <w:b w:val="1"/>
                <w:bCs w:val="1"/>
                <w:color w:val="auto"/>
              </w:rPr>
              <w:t>Carrying</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jc w:val="center"/>
              <w:ind w:right="260"/>
              <w:spacing w:after="0" w:line="96" w:lineRule="exact"/>
              <w:rPr>
                <w:sz w:val="20"/>
                <w:szCs w:val="20"/>
                <w:color w:val="auto"/>
              </w:rPr>
            </w:pPr>
            <w:r>
              <w:rPr>
                <w:rFonts w:ascii="Arial" w:cs="Arial" w:eastAsia="Arial" w:hAnsi="Arial"/>
                <w:sz w:val="11"/>
                <w:szCs w:val="11"/>
                <w:b w:val="1"/>
                <w:bCs w:val="1"/>
                <w:color w:val="auto"/>
              </w:rPr>
              <w:t>Unrealized</w:t>
            </w:r>
          </w:p>
        </w:tc>
        <w:tc>
          <w:tcPr>
            <w:tcW w:w="40" w:type="dxa"/>
            <w:vAlign w:val="bottom"/>
          </w:tcPr>
          <w:p>
            <w:pPr>
              <w:spacing w:after="0"/>
              <w:rPr>
                <w:sz w:val="8"/>
                <w:szCs w:val="8"/>
                <w:color w:val="auto"/>
              </w:rPr>
            </w:pPr>
          </w:p>
        </w:tc>
        <w:tc>
          <w:tcPr>
            <w:tcW w:w="1060" w:type="dxa"/>
            <w:vAlign w:val="bottom"/>
            <w:gridSpan w:val="4"/>
          </w:tcPr>
          <w:p>
            <w:pPr>
              <w:jc w:val="center"/>
              <w:ind w:right="100"/>
              <w:spacing w:after="0" w:line="96" w:lineRule="exact"/>
              <w:rPr>
                <w:sz w:val="20"/>
                <w:szCs w:val="20"/>
                <w:color w:val="auto"/>
              </w:rPr>
            </w:pPr>
            <w:r>
              <w:rPr>
                <w:rFonts w:ascii="Arial" w:cs="Arial" w:eastAsia="Arial" w:hAnsi="Arial"/>
                <w:sz w:val="11"/>
                <w:szCs w:val="11"/>
                <w:b w:val="1"/>
                <w:bCs w:val="1"/>
                <w:color w:val="auto"/>
                <w:w w:val="92"/>
              </w:rPr>
              <w:t>Losses Less Than</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11"/>
                <w:szCs w:val="11"/>
                <w:b w:val="1"/>
                <w:bCs w:val="1"/>
                <w:color w:val="auto"/>
              </w:rPr>
              <w:t>Than</w:t>
            </w:r>
          </w:p>
        </w:tc>
        <w:tc>
          <w:tcPr>
            <w:tcW w:w="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5"/>
            <w:vMerge w:val="continue"/>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ind w:left="40"/>
              <w:spacing w:after="0" w:line="96" w:lineRule="exact"/>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Value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Gains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12 Months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12 Months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Level 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Level 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Level 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Financial Assets:</w:t>
            </w: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920" w:type="dxa"/>
            <w:vAlign w:val="bottom"/>
            <w:tcBorders>
              <w:top w:val="single" w:sz="8" w:color="auto"/>
            </w:tcBorders>
            <w:gridSpan w:val="7"/>
            <w:shd w:val="clear" w:color="auto" w:fill="CCEEFF"/>
          </w:tcPr>
          <w:p>
            <w:pPr>
              <w:jc w:val="right"/>
              <w:ind w:right="700"/>
              <w:spacing w:after="0"/>
              <w:rPr>
                <w:sz w:val="20"/>
                <w:szCs w:val="20"/>
                <w:color w:val="auto"/>
              </w:rPr>
            </w:pPr>
            <w:r>
              <w:rPr>
                <w:rFonts w:ascii="Arial" w:cs="Arial" w:eastAsia="Arial" w:hAnsi="Arial"/>
                <w:sz w:val="14"/>
                <w:szCs w:val="14"/>
                <w:color w:val="auto"/>
              </w:rPr>
              <w:t>(In thousands)</w:t>
            </w:r>
          </w:p>
        </w:tc>
        <w:tc>
          <w:tcPr>
            <w:tcW w:w="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250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Money market funds</w:t>
            </w:r>
          </w:p>
        </w:tc>
        <w:tc>
          <w:tcPr>
            <w:tcW w:w="20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46,610</w:t>
            </w:r>
          </w:p>
        </w:tc>
        <w:tc>
          <w:tcPr>
            <w:tcW w:w="8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CCEEFF"/>
          </w:tcPr>
          <w:p>
            <w:pPr>
              <w:jc w:val="right"/>
              <w:ind w:right="36"/>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gridSpan w:val="3"/>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46,610</w:t>
            </w:r>
          </w:p>
        </w:tc>
        <w:tc>
          <w:tcPr>
            <w:tcW w:w="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gridSpan w:val="3"/>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500" w:type="dxa"/>
            <w:vAlign w:val="bottom"/>
          </w:tcPr>
          <w:p>
            <w:pPr>
              <w:ind w:left="240"/>
              <w:spacing w:after="0" w:line="137" w:lineRule="exact"/>
              <w:rPr>
                <w:sz w:val="20"/>
                <w:szCs w:val="20"/>
                <w:color w:val="auto"/>
              </w:rPr>
            </w:pPr>
            <w:r>
              <w:rPr>
                <w:rFonts w:ascii="Arial" w:cs="Arial" w:eastAsia="Arial" w:hAnsi="Arial"/>
                <w:sz w:val="14"/>
                <w:szCs w:val="14"/>
                <w:color w:val="auto"/>
              </w:rPr>
              <w:t>Reverse repurchase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500" w:type="dxa"/>
            <w:vAlign w:val="bottom"/>
          </w:tcPr>
          <w:p>
            <w:pPr>
              <w:ind w:left="340"/>
              <w:spacing w:after="0"/>
              <w:rPr>
                <w:sz w:val="20"/>
                <w:szCs w:val="20"/>
                <w:color w:val="auto"/>
              </w:rPr>
            </w:pPr>
            <w:r>
              <w:rPr>
                <w:rFonts w:ascii="Arial" w:cs="Arial" w:eastAsia="Arial" w:hAnsi="Arial"/>
                <w:sz w:val="14"/>
                <w:szCs w:val="14"/>
                <w:color w:val="auto"/>
              </w:rPr>
              <w:t>agreements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200,000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Commercial paper</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2,249</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2,249</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2500" w:type="dxa"/>
            <w:vAlign w:val="bottom"/>
          </w:tcPr>
          <w:p>
            <w:pPr>
              <w:ind w:left="460"/>
              <w:spacing w:after="0" w:line="116" w:lineRule="exact"/>
              <w:rPr>
                <w:sz w:val="20"/>
                <w:szCs w:val="20"/>
                <w:color w:val="auto"/>
              </w:rPr>
            </w:pPr>
            <w:r>
              <w:rPr>
                <w:rFonts w:ascii="Arial" w:cs="Arial" w:eastAsia="Arial" w:hAnsi="Arial"/>
                <w:sz w:val="13"/>
                <w:szCs w:val="13"/>
                <w:color w:val="auto"/>
              </w:rPr>
              <w:t>Total included in cash</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500" w:type="dxa"/>
            <w:vAlign w:val="bottom"/>
          </w:tcPr>
          <w:p>
            <w:pPr>
              <w:ind w:left="560"/>
              <w:spacing w:after="0"/>
              <w:rPr>
                <w:sz w:val="20"/>
                <w:szCs w:val="20"/>
                <w:color w:val="auto"/>
              </w:rPr>
            </w:pPr>
            <w:r>
              <w:rPr>
                <w:rFonts w:ascii="Arial" w:cs="Arial" w:eastAsia="Arial" w:hAnsi="Arial"/>
                <w:sz w:val="14"/>
                <w:szCs w:val="14"/>
                <w:color w:val="auto"/>
              </w:rPr>
              <w:t>and cash equivalents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248,859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46,610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202,249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248,859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500" w:type="dxa"/>
            <w:vAlign w:val="bottom"/>
          </w:tcPr>
          <w:p>
            <w:pPr>
              <w:ind w:left="220"/>
              <w:spacing w:after="0"/>
              <w:rPr>
                <w:sz w:val="20"/>
                <w:szCs w:val="20"/>
                <w:color w:val="auto"/>
              </w:rPr>
            </w:pPr>
            <w:r>
              <w:rPr>
                <w:rFonts w:ascii="Arial" w:cs="Arial" w:eastAsia="Arial" w:hAnsi="Arial"/>
                <w:sz w:val="14"/>
                <w:szCs w:val="14"/>
                <w:color w:val="auto"/>
              </w:rPr>
              <w:t>U.S. Treasury securities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481,463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(1,269)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(11,347)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468,847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468,847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2500" w:type="dxa"/>
            <w:vAlign w:val="bottom"/>
            <w:shd w:val="clear" w:color="auto" w:fill="CCEEFF"/>
          </w:tcPr>
          <w:p>
            <w:pPr>
              <w:ind w:left="220"/>
              <w:spacing w:after="0" w:line="146" w:lineRule="exact"/>
              <w:rPr>
                <w:sz w:val="20"/>
                <w:szCs w:val="20"/>
                <w:color w:val="auto"/>
              </w:rPr>
            </w:pPr>
            <w:r>
              <w:rPr>
                <w:rFonts w:ascii="Arial" w:cs="Arial" w:eastAsia="Arial" w:hAnsi="Arial"/>
                <w:sz w:val="14"/>
                <w:szCs w:val="14"/>
                <w:color w:val="auto"/>
              </w:rPr>
              <w:t>Non-U.S. government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securities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149,901</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143,564</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143,564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500" w:type="dxa"/>
            <w:vAlign w:val="bottom"/>
          </w:tcPr>
          <w:p>
            <w:pPr>
              <w:ind w:left="220"/>
              <w:spacing w:after="0" w:line="137" w:lineRule="exact"/>
              <w:rPr>
                <w:sz w:val="20"/>
                <w:szCs w:val="20"/>
                <w:color w:val="auto"/>
              </w:rPr>
            </w:pPr>
            <w:r>
              <w:rPr>
                <w:rFonts w:ascii="Arial" w:cs="Arial" w:eastAsia="Arial" w:hAnsi="Arial"/>
                <w:sz w:val="14"/>
                <w:szCs w:val="14"/>
                <w:color w:val="auto"/>
              </w:rPr>
              <w:t>Corporate debt securities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2,973,844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307</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(12,202)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(71,043)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5,000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2,885,906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2,890,906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500" w:type="dxa"/>
            <w:vAlign w:val="bottom"/>
          </w:tcPr>
          <w:p>
            <w:pPr>
              <w:ind w:left="320"/>
              <w:spacing w:after="0"/>
              <w:rPr>
                <w:sz w:val="20"/>
                <w:szCs w:val="20"/>
                <w:color w:val="auto"/>
              </w:rPr>
            </w:pPr>
            <w:r>
              <w:rPr>
                <w:rFonts w:ascii="Arial" w:cs="Arial" w:eastAsia="Arial" w:hAnsi="Arial"/>
                <w:sz w:val="14"/>
                <w:szCs w:val="14"/>
                <w:color w:val="auto"/>
              </w:rPr>
              <w:t>commercial paper</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500" w:type="dxa"/>
            <w:vAlign w:val="bottom"/>
            <w:shd w:val="clear" w:color="auto" w:fill="CCEEFF"/>
          </w:tcPr>
          <w:p>
            <w:pPr>
              <w:ind w:left="460"/>
              <w:spacing w:after="0" w:line="128" w:lineRule="exact"/>
              <w:rPr>
                <w:sz w:val="20"/>
                <w:szCs w:val="20"/>
                <w:color w:val="auto"/>
              </w:rPr>
            </w:pPr>
            <w:r>
              <w:rPr>
                <w:rFonts w:ascii="Arial" w:cs="Arial" w:eastAsia="Arial" w:hAnsi="Arial"/>
                <w:sz w:val="14"/>
                <w:szCs w:val="14"/>
                <w:color w:val="auto"/>
              </w:rPr>
              <w:t>Total marketable</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3,605,208</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(13,504)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(88,694)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617,411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2,885,906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3,503,317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2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securities</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500" w:type="dxa"/>
            <w:vAlign w:val="bottom"/>
          </w:tcPr>
          <w:p>
            <w:pPr>
              <w:ind w:left="640"/>
              <w:spacing w:after="0"/>
              <w:rPr>
                <w:sz w:val="20"/>
                <w:szCs w:val="20"/>
                <w:color w:val="auto"/>
              </w:rPr>
            </w:pPr>
            <w:r>
              <w:rPr>
                <w:rFonts w:ascii="Arial" w:cs="Arial" w:eastAsia="Arial" w:hAnsi="Arial"/>
                <w:sz w:val="14"/>
                <w:szCs w:val="14"/>
                <w:color w:val="auto"/>
              </w:rPr>
              <w:t>Total financial assets</w:t>
            </w:r>
          </w:p>
        </w:tc>
        <w:tc>
          <w:tcPr>
            <w:tcW w:w="20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3,854,067</w:t>
            </w:r>
          </w:p>
        </w:tc>
        <w:tc>
          <w:tcPr>
            <w:tcW w:w="80" w:type="dxa"/>
            <w:vAlign w:val="bottom"/>
          </w:tcPr>
          <w:p>
            <w:pPr>
              <w:spacing w:after="0"/>
              <w:rPr>
                <w:sz w:val="15"/>
                <w:szCs w:val="15"/>
                <w:color w:val="auto"/>
              </w:rPr>
            </w:pPr>
          </w:p>
        </w:tc>
        <w:tc>
          <w:tcPr>
            <w:tcW w:w="220" w:type="dxa"/>
            <w:vAlign w:val="bottom"/>
            <w:gridSpan w:val="3"/>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307</w:t>
            </w:r>
          </w:p>
        </w:tc>
        <w:tc>
          <w:tcPr>
            <w:tcW w:w="80" w:type="dxa"/>
            <w:vAlign w:val="bottom"/>
          </w:tcPr>
          <w:p>
            <w:pPr>
              <w:spacing w:after="0"/>
              <w:rPr>
                <w:sz w:val="15"/>
                <w:szCs w:val="15"/>
                <w:color w:val="auto"/>
              </w:rPr>
            </w:pPr>
          </w:p>
        </w:tc>
        <w:tc>
          <w:tcPr>
            <w:tcW w:w="220" w:type="dxa"/>
            <w:vAlign w:val="bottom"/>
            <w:gridSpan w:val="3"/>
          </w:tcPr>
          <w:p>
            <w:pPr>
              <w:jc w:val="right"/>
              <w:ind w:right="36"/>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(13,504)</w:t>
            </w:r>
          </w:p>
        </w:tc>
        <w:tc>
          <w:tcPr>
            <w:tcW w:w="10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(88,694)</w:t>
            </w:r>
          </w:p>
        </w:tc>
        <w:tc>
          <w:tcPr>
            <w:tcW w:w="40" w:type="dxa"/>
            <w:vAlign w:val="bottom"/>
          </w:tcPr>
          <w:p>
            <w:pPr>
              <w:spacing w:after="0"/>
              <w:rPr>
                <w:sz w:val="15"/>
                <w:szCs w:val="15"/>
                <w:color w:val="auto"/>
              </w:rPr>
            </w:pPr>
          </w:p>
        </w:tc>
        <w:tc>
          <w:tcPr>
            <w:tcW w:w="280" w:type="dxa"/>
            <w:vAlign w:val="bottom"/>
            <w:gridSpan w:val="3"/>
          </w:tcPr>
          <w:p>
            <w:pPr>
              <w:jc w:val="right"/>
              <w:ind w:right="7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664,021</w:t>
            </w:r>
          </w:p>
        </w:tc>
        <w:tc>
          <w:tcPr>
            <w:tcW w:w="60" w:type="dxa"/>
            <w:vAlign w:val="bottom"/>
          </w:tcPr>
          <w:p>
            <w:pPr>
              <w:spacing w:after="0"/>
              <w:rPr>
                <w:sz w:val="15"/>
                <w:szCs w:val="15"/>
                <w:color w:val="auto"/>
              </w:rPr>
            </w:pPr>
          </w:p>
        </w:tc>
        <w:tc>
          <w:tcPr>
            <w:tcW w:w="220" w:type="dxa"/>
            <w:vAlign w:val="bottom"/>
            <w:gridSpan w:val="3"/>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3,088,155</w:t>
            </w:r>
          </w:p>
        </w:tc>
        <w:tc>
          <w:tcPr>
            <w:tcW w:w="60" w:type="dxa"/>
            <w:vAlign w:val="bottom"/>
          </w:tcPr>
          <w:p>
            <w:pPr>
              <w:spacing w:after="0"/>
              <w:rPr>
                <w:sz w:val="15"/>
                <w:szCs w:val="15"/>
                <w:color w:val="auto"/>
              </w:rPr>
            </w:pPr>
          </w:p>
        </w:tc>
        <w:tc>
          <w:tcPr>
            <w:tcW w:w="260" w:type="dxa"/>
            <w:vAlign w:val="bottom"/>
            <w:gridSpan w:val="3"/>
          </w:tcPr>
          <w:p>
            <w:pPr>
              <w:jc w:val="right"/>
              <w:ind w:right="51"/>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20" w:type="dxa"/>
            <w:vAlign w:val="bottom"/>
            <w:gridSpan w:val="3"/>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3,752,176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Debt Securities</w:t>
      </w:r>
    </w:p>
    <w:p>
      <w:pPr>
        <w:spacing w:after="0" w:line="217" w:lineRule="exact"/>
        <w:rPr>
          <w:sz w:val="20"/>
          <w:szCs w:val="20"/>
          <w:color w:val="auto"/>
        </w:rPr>
      </w:pPr>
    </w:p>
    <w:p>
      <w:pPr>
        <w:ind w:right="140" w:firstLine="464"/>
        <w:spacing w:after="0" w:line="259" w:lineRule="auto"/>
        <w:rPr>
          <w:sz w:val="20"/>
          <w:szCs w:val="20"/>
          <w:color w:val="auto"/>
        </w:rPr>
      </w:pPr>
      <w:r>
        <w:rPr>
          <w:rFonts w:ascii="Arial" w:cs="Arial" w:eastAsia="Arial" w:hAnsi="Arial"/>
          <w:sz w:val="17"/>
          <w:szCs w:val="17"/>
          <w:color w:val="auto"/>
        </w:rPr>
        <w:t>The aggregate fair value of the corporate debt securities with unrealized losses was $2.3 billion as of June 30, 2023, of which $1.6 billion were in an unrealized loss position for more than 12 months and $777.5 million were in an unrealized loss position for less than 12 months. The aggregate fair value of corporate debt securities with unrealized losses was $2.7 billion as of December 31, 2022, of which $2.0 billion were in an unrealized loss position for more than 12 months and $620.5 million were in an unrealized loss position for less than 12 months. Unrealized losses related to other investments as of June 30, 2023 and December 31, 2022 were not significant.</w:t>
      </w:r>
    </w:p>
    <w:p>
      <w:pPr>
        <w:spacing w:after="0" w:line="183" w:lineRule="exact"/>
        <w:rPr>
          <w:sz w:val="20"/>
          <w:szCs w:val="20"/>
          <w:color w:val="auto"/>
        </w:rPr>
      </w:pPr>
    </w:p>
    <w:p>
      <w:pPr>
        <w:ind w:right="20" w:firstLine="464"/>
        <w:spacing w:after="0" w:line="299" w:lineRule="auto"/>
        <w:rPr>
          <w:sz w:val="20"/>
          <w:szCs w:val="20"/>
          <w:color w:val="auto"/>
        </w:rPr>
      </w:pPr>
      <w:r>
        <w:rPr>
          <w:rFonts w:ascii="Arial" w:cs="Arial" w:eastAsia="Arial" w:hAnsi="Arial"/>
          <w:sz w:val="15"/>
          <w:szCs w:val="15"/>
          <w:color w:val="auto"/>
        </w:rPr>
        <w:t>The Company’s primary objective when investing excess cash is preservation of capital, hence the Company’s debt securities primarily consist of U.S. Treasury Securities, non-U.S government securities, high credit quality corporate debt securities and commercial paper. Because the Company views its debt securities as available to support current operations, it has classified all available for sale securities as short-term. As of June 30, 2023, and December 31, 2022, for all debt securities that were in unrealized loss positions, the Company has determined that (i) it does not have the intent to sell any of these investments, and (ii) it is not more likely than not that it will be required to sell any of these investments before recovery of the entire amortized cost basis. In addition, as of June 30, 2023 and December 31, 2022, the Company anticipates that it will recover the entire amortized cost basis of such debt securities before maturity.</w:t>
      </w:r>
    </w:p>
    <w:p>
      <w:pPr>
        <w:spacing w:after="0" w:line="155" w:lineRule="exact"/>
        <w:rPr>
          <w:sz w:val="20"/>
          <w:szCs w:val="20"/>
          <w:color w:val="auto"/>
        </w:rPr>
      </w:pPr>
    </w:p>
    <w:p>
      <w:pPr>
        <w:ind w:right="100" w:firstLine="464"/>
        <w:spacing w:after="0" w:line="266" w:lineRule="auto"/>
        <w:rPr>
          <w:sz w:val="20"/>
          <w:szCs w:val="20"/>
          <w:color w:val="auto"/>
        </w:rPr>
      </w:pPr>
      <w:r>
        <w:rPr>
          <w:rFonts w:ascii="Arial" w:cs="Arial" w:eastAsia="Arial" w:hAnsi="Arial"/>
          <w:sz w:val="17"/>
          <w:szCs w:val="17"/>
          <w:color w:val="auto"/>
        </w:rPr>
        <w:t>Interest earned on debt securities was $16.7 million and $33.9 million in the three and six months ended June 30, 2023, respectively, and $15.6 million and $31.2 million in the three and six months ended June 30, 2022, respectively. The interest is recorded as other income (expenses), net, in the accompanying condensed consolidated statements of operations.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contractual maturities of debt securities:</w:t>
      </w:r>
    </w:p>
    <w:p>
      <w:pPr>
        <w:spacing w:after="0" w:line="254" w:lineRule="exact"/>
        <w:rPr>
          <w:sz w:val="20"/>
          <w:szCs w:val="20"/>
          <w:color w:val="auto"/>
        </w:rPr>
      </w:pPr>
    </w:p>
    <w:tbl>
      <w:tblPr>
        <w:tblLayout w:type="fixed"/>
        <w:tblInd w:w="960" w:type="dxa"/>
        <w:tblCellMar>
          <w:top w:w="0" w:type="dxa"/>
          <w:left w:w="0" w:type="dxa"/>
          <w:bottom w:w="0" w:type="dxa"/>
          <w:right w:w="0" w:type="dxa"/>
        </w:tblCellMar>
      </w:tblPr>
      <w:tr>
        <w:trPr>
          <w:trHeight w:val="205"/>
        </w:trPr>
        <w:tc>
          <w:tcPr>
            <w:tcW w:w="4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5"/>
                <w:szCs w:val="15"/>
                <w:b w:val="1"/>
                <w:bCs w:val="1"/>
                <w:color w:val="auto"/>
              </w:rPr>
              <w:t>As of June 30, 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5"/>
                <w:szCs w:val="15"/>
                <w:b w:val="1"/>
                <w:bCs w:val="1"/>
                <w:color w:val="auto"/>
              </w:rPr>
              <w:t>As of December 31, 2022</w:t>
            </w:r>
          </w:p>
        </w:tc>
      </w:tr>
      <w:tr>
        <w:trPr>
          <w:trHeight w:val="150"/>
        </w:trPr>
        <w:tc>
          <w:tcPr>
            <w:tcW w:w="4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83"/>
              <w:spacing w:after="0" w:line="151" w:lineRule="exact"/>
              <w:rPr>
                <w:sz w:val="20"/>
                <w:szCs w:val="20"/>
                <w:color w:val="auto"/>
              </w:rPr>
            </w:pPr>
            <w:r>
              <w:rPr>
                <w:rFonts w:ascii="Arial" w:cs="Arial" w:eastAsia="Arial" w:hAnsi="Arial"/>
                <w:sz w:val="15"/>
                <w:szCs w:val="15"/>
                <w:b w:val="1"/>
                <w:bCs w:val="1"/>
                <w:color w:val="auto"/>
              </w:rPr>
              <w:t>Amortized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184"/>
              <w:spacing w:after="0" w:line="151" w:lineRule="exact"/>
              <w:rPr>
                <w:sz w:val="20"/>
                <w:szCs w:val="20"/>
                <w:color w:val="auto"/>
              </w:rPr>
            </w:pPr>
            <w:r>
              <w:rPr>
                <w:rFonts w:ascii="Arial" w:cs="Arial" w:eastAsia="Arial" w:hAnsi="Arial"/>
                <w:sz w:val="15"/>
                <w:szCs w:val="15"/>
                <w:b w:val="1"/>
                <w:bCs w:val="1"/>
                <w:color w:val="auto"/>
                <w:w w:val="99"/>
              </w:rPr>
              <w:t>Aggregate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163"/>
              <w:spacing w:after="0" w:line="151" w:lineRule="exact"/>
              <w:rPr>
                <w:sz w:val="20"/>
                <w:szCs w:val="20"/>
                <w:color w:val="auto"/>
              </w:rPr>
            </w:pPr>
            <w:r>
              <w:rPr>
                <w:rFonts w:ascii="Arial" w:cs="Arial" w:eastAsia="Arial" w:hAnsi="Arial"/>
                <w:sz w:val="15"/>
                <w:szCs w:val="15"/>
                <w:b w:val="1"/>
                <w:bCs w:val="1"/>
                <w:color w:val="auto"/>
              </w:rPr>
              <w:t>Amortized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183"/>
              <w:spacing w:after="0" w:line="151" w:lineRule="exact"/>
              <w:rPr>
                <w:sz w:val="20"/>
                <w:szCs w:val="20"/>
                <w:color w:val="auto"/>
              </w:rPr>
            </w:pPr>
            <w:r>
              <w:rPr>
                <w:rFonts w:ascii="Arial" w:cs="Arial" w:eastAsia="Arial" w:hAnsi="Arial"/>
                <w:sz w:val="15"/>
                <w:szCs w:val="15"/>
                <w:b w:val="1"/>
                <w:bCs w:val="1"/>
                <w:color w:val="auto"/>
                <w:w w:val="99"/>
              </w:rPr>
              <w:t>Aggregate</w:t>
            </w:r>
          </w:p>
        </w:tc>
      </w:tr>
      <w:tr>
        <w:trPr>
          <w:trHeight w:val="204"/>
        </w:trPr>
        <w:tc>
          <w:tcPr>
            <w:tcW w:w="4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Cost</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Fair Value</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Cost</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Fair Value</w:t>
            </w:r>
          </w:p>
        </w:tc>
      </w:tr>
      <w:tr>
        <w:trPr>
          <w:trHeight w:val="201"/>
        </w:trPr>
        <w:tc>
          <w:tcPr>
            <w:tcW w:w="42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Financial Assets: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20" w:type="dxa"/>
            <w:vAlign w:val="bottom"/>
            <w:gridSpan w:val="4"/>
            <w:shd w:val="clear" w:color="auto" w:fill="CCEEFF"/>
          </w:tcPr>
          <w:p>
            <w:pPr>
              <w:jc w:val="right"/>
              <w:ind w:right="763"/>
              <w:spacing w:after="0"/>
              <w:rPr>
                <w:sz w:val="20"/>
                <w:szCs w:val="20"/>
                <w:color w:val="auto"/>
              </w:rPr>
            </w:pPr>
            <w:r>
              <w:rPr>
                <w:rFonts w:ascii="Arial" w:cs="Arial" w:eastAsia="Arial" w:hAnsi="Arial"/>
                <w:sz w:val="14"/>
                <w:szCs w:val="14"/>
                <w:color w:val="auto"/>
              </w:rPr>
              <w:t>(In thousands)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4220" w:type="dxa"/>
            <w:vAlign w:val="bottom"/>
          </w:tcPr>
          <w:p>
            <w:pPr>
              <w:spacing w:after="0"/>
              <w:rPr>
                <w:sz w:val="20"/>
                <w:szCs w:val="20"/>
                <w:color w:val="auto"/>
              </w:rPr>
            </w:pPr>
            <w:r>
              <w:rPr>
                <w:rFonts w:ascii="Arial" w:cs="Arial" w:eastAsia="Arial" w:hAnsi="Arial"/>
                <w:sz w:val="15"/>
                <w:szCs w:val="15"/>
                <w:color w:val="auto"/>
              </w:rPr>
              <w:t>Less than one year</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2,061,380</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2,021,972</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1,943,836</w:t>
            </w:r>
          </w:p>
        </w:tc>
        <w:tc>
          <w:tcPr>
            <w:tcW w:w="3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1,909,218</w:t>
            </w: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One to three years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997,844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974,715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1,661,372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1,594,099</w:t>
            </w:r>
          </w:p>
        </w:tc>
      </w:tr>
      <w:tr>
        <w:trPr>
          <w:trHeight w:val="196"/>
        </w:trPr>
        <w:tc>
          <w:tcPr>
            <w:tcW w:w="4220" w:type="dxa"/>
            <w:vAlign w:val="bottom"/>
          </w:tcPr>
          <w:p>
            <w:pPr>
              <w:ind w:left="200"/>
              <w:spacing w:after="0"/>
              <w:rPr>
                <w:sz w:val="20"/>
                <w:szCs w:val="20"/>
                <w:color w:val="auto"/>
              </w:rPr>
            </w:pPr>
            <w:r>
              <w:rPr>
                <w:rFonts w:ascii="Arial" w:cs="Arial" w:eastAsia="Arial" w:hAnsi="Arial"/>
                <w:sz w:val="15"/>
                <w:szCs w:val="15"/>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3,059,224</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2,996,687</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3,605,208</w:t>
            </w:r>
          </w:p>
        </w:tc>
        <w:tc>
          <w:tcPr>
            <w:tcW w:w="3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3,503,317</w:t>
            </w:r>
          </w:p>
        </w:tc>
      </w:tr>
      <w:tr>
        <w:trPr>
          <w:trHeight w:val="21"/>
        </w:trPr>
        <w:tc>
          <w:tcPr>
            <w:tcW w:w="4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Equity Securities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equity securities consist of shares of a publicly traded company that were received as consideration in a divestiture transaction described further in Note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5.</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Strategic Investments</w:t>
      </w:r>
    </w:p>
    <w:p>
      <w:pPr>
        <w:spacing w:after="0" w:line="217" w:lineRule="exact"/>
        <w:rPr>
          <w:sz w:val="20"/>
          <w:szCs w:val="20"/>
          <w:color w:val="auto"/>
        </w:rPr>
      </w:pPr>
    </w:p>
    <w:p>
      <w:pPr>
        <w:ind w:firstLine="464"/>
        <w:spacing w:after="0" w:line="275" w:lineRule="auto"/>
        <w:rPr>
          <w:sz w:val="20"/>
          <w:szCs w:val="20"/>
          <w:color w:val="auto"/>
        </w:rPr>
      </w:pPr>
      <w:r>
        <w:rPr>
          <w:rFonts w:ascii="Arial" w:cs="Arial" w:eastAsia="Arial" w:hAnsi="Arial"/>
          <w:sz w:val="16"/>
          <w:szCs w:val="16"/>
          <w:color w:val="auto"/>
        </w:rPr>
        <w:t>As of June 30, 2023 and December 31, 2022, the Company held strategic investments with a carrying value of $30.7 million and $76.9 million, respectively, recorded as other long-term assets in the accompanying condensed consolidated balance sheets. The carrying value of these securities is determined under the measurement alternative on a non-recurring basis and adjusted for observable changes in fair value or impairment. In the six months ended June 30, 2023, the Company remeasured one of its strategic investments that it acquired in 2021 to fair value due to an assessed impairment. The fair value measurement of the strategic investment is classified as Level 2 in the fair value hierarchy and the primary input used in the fair value measurement was the publicly available stock price of the issuer’s unrestricted security of the same class. The impairment loss of $46.2 million is recorded in other expenses, net, in the accompanying condensed consolidated statement of operations for the six months ended June 30, 2023. There were no other impairments or adjustments recorded in the three and six months ended June 30, 2023 and 2022, related to these securities.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Financial Liabilities</w:t>
      </w:r>
    </w:p>
    <w:p>
      <w:pPr>
        <w:spacing w:after="0" w:line="217" w:lineRule="exact"/>
        <w:rPr>
          <w:sz w:val="20"/>
          <w:szCs w:val="20"/>
          <w:color w:val="auto"/>
        </w:rPr>
      </w:pPr>
    </w:p>
    <w:p>
      <w:pPr>
        <w:ind w:firstLine="464"/>
        <w:spacing w:after="0" w:line="266" w:lineRule="auto"/>
        <w:rPr>
          <w:sz w:val="20"/>
          <w:szCs w:val="20"/>
          <w:color w:val="auto"/>
        </w:rPr>
      </w:pPr>
      <w:r>
        <w:rPr>
          <w:rFonts w:ascii="Arial" w:cs="Arial" w:eastAsia="Arial" w:hAnsi="Arial"/>
          <w:sz w:val="17"/>
          <w:szCs w:val="17"/>
          <w:color w:val="auto"/>
        </w:rPr>
        <w:t>The Company’s financial liabilities that are measured at fair value on a recurring basis consist of foreign currency derivative liabilities and are classified as Level 2 financial instruments in the fair value hierarchy. As of June 30, 2023 and December 31, 2022, the aggregate fair value of these liabilities and the associated unrealized losses were not significant.</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0" w:firstLine="464"/>
        <w:spacing w:after="0" w:line="290" w:lineRule="auto"/>
        <w:rPr>
          <w:sz w:val="20"/>
          <w:szCs w:val="20"/>
          <w:color w:val="auto"/>
        </w:rPr>
      </w:pPr>
      <w:r>
        <w:rPr>
          <w:rFonts w:ascii="Arial" w:cs="Arial" w:eastAsia="Arial" w:hAnsi="Arial"/>
          <w:sz w:val="16"/>
          <w:szCs w:val="16"/>
          <w:color w:val="auto"/>
        </w:rPr>
        <w:t>The Company’s financial liabilities that are not measured at fair value on a recurring basis are its Senior Notes due 2029 (“2029 Notes”) and its Senior Notes due 2031 (“2031 Notes”). As of June 30, 2023, the fair value of the 2029 Notes and 2031 Notes were $433.3 million and $424.1 million, respectively. As of December 31, 2022, the fair value of the 2029 Notes and 2031 Notes were $410.9 million and $399.4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Property and Equipment</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Property and equipment consisted of the following:</w:t>
      </w:r>
    </w:p>
    <w:p>
      <w:pPr>
        <w:spacing w:after="0" w:line="254" w:lineRule="exact"/>
        <w:rPr>
          <w:sz w:val="20"/>
          <w:szCs w:val="20"/>
          <w:color w:val="auto"/>
        </w:rPr>
      </w:pPr>
    </w:p>
    <w:tbl>
      <w:tblPr>
        <w:tblLayout w:type="fixed"/>
        <w:tblInd w:w="1520" w:type="dxa"/>
        <w:tblCellMar>
          <w:top w:w="0" w:type="dxa"/>
          <w:left w:w="0" w:type="dxa"/>
          <w:bottom w:w="0" w:type="dxa"/>
          <w:right w:w="0" w:type="dxa"/>
        </w:tblCellMar>
      </w:tblPr>
      <w:tr>
        <w:trPr>
          <w:trHeight w:val="205"/>
        </w:trPr>
        <w:tc>
          <w:tcPr>
            <w:tcW w:w="48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3"/>
              </w:rPr>
              <w:t>As of June 30, 2023</w:t>
            </w: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91"/>
              </w:rPr>
              <w:t>As of December 31, 2022</w:t>
            </w:r>
          </w:p>
        </w:tc>
      </w:tr>
      <w:tr>
        <w:trPr>
          <w:trHeight w:val="180"/>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3"/>
          </w:tcPr>
          <w:p>
            <w:pPr>
              <w:ind w:left="1160"/>
              <w:spacing w:after="0"/>
              <w:rPr>
                <w:sz w:val="20"/>
                <w:szCs w:val="20"/>
                <w:color w:val="auto"/>
              </w:rPr>
            </w:pPr>
            <w:r>
              <w:rPr>
                <w:rFonts w:ascii="Arial" w:cs="Arial" w:eastAsia="Arial" w:hAnsi="Arial"/>
                <w:sz w:val="14"/>
                <w:szCs w:val="14"/>
                <w:color w:val="auto"/>
              </w:rPr>
              <w:t>(In thousands)</w:t>
            </w:r>
          </w:p>
        </w:tc>
        <w:tc>
          <w:tcPr>
            <w:tcW w:w="960" w:type="dxa"/>
            <w:vAlign w:val="bottom"/>
          </w:tcPr>
          <w:p>
            <w:pPr>
              <w:spacing w:after="0"/>
              <w:rPr>
                <w:sz w:val="15"/>
                <w:szCs w:val="15"/>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Capitalized internal-use software developments costs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274,994</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257,983</w:t>
            </w:r>
          </w:p>
        </w:tc>
      </w:tr>
      <w:tr>
        <w:trPr>
          <w:trHeight w:val="206"/>
        </w:trPr>
        <w:tc>
          <w:tcPr>
            <w:tcW w:w="4820" w:type="dxa"/>
            <w:vAlign w:val="bottom"/>
          </w:tcPr>
          <w:p>
            <w:pPr>
              <w:spacing w:after="0" w:line="207" w:lineRule="exact"/>
              <w:rPr>
                <w:sz w:val="20"/>
                <w:szCs w:val="20"/>
                <w:color w:val="auto"/>
              </w:rPr>
            </w:pPr>
            <w:r>
              <w:rPr>
                <w:rFonts w:ascii="Arial" w:cs="Arial" w:eastAsia="Arial" w:hAnsi="Arial"/>
                <w:sz w:val="15"/>
                <w:szCs w:val="15"/>
                <w:color w:val="auto"/>
              </w:rPr>
              <w:t xml:space="preserve">Data center equipment </w:t>
            </w:r>
            <w:r>
              <w:rPr>
                <w:rFonts w:ascii="Arial" w:cs="Arial" w:eastAsia="Arial" w:hAnsi="Arial"/>
                <w:sz w:val="20"/>
                <w:szCs w:val="20"/>
                <w:color w:val="auto"/>
                <w:vertAlign w:val="superscript"/>
              </w:rPr>
              <w:t>(1)</w:t>
            </w:r>
          </w:p>
        </w:tc>
        <w:tc>
          <w:tcPr>
            <w:tcW w:w="140" w:type="dxa"/>
            <w:vAlign w:val="bottom"/>
          </w:tcPr>
          <w:p>
            <w:pPr>
              <w:spacing w:after="0"/>
              <w:rPr>
                <w:sz w:val="17"/>
                <w:szCs w:val="17"/>
                <w:color w:val="auto"/>
              </w:rPr>
            </w:pPr>
          </w:p>
        </w:tc>
        <w:tc>
          <w:tcPr>
            <w:tcW w:w="1500" w:type="dxa"/>
            <w:vAlign w:val="bottom"/>
          </w:tcPr>
          <w:p>
            <w:pPr>
              <w:jc w:val="right"/>
              <w:ind w:right="3"/>
              <w:spacing w:after="0"/>
              <w:rPr>
                <w:sz w:val="20"/>
                <w:szCs w:val="20"/>
                <w:color w:val="auto"/>
              </w:rPr>
            </w:pPr>
            <w:r>
              <w:rPr>
                <w:rFonts w:ascii="Arial" w:cs="Arial" w:eastAsia="Arial" w:hAnsi="Arial"/>
                <w:sz w:val="15"/>
                <w:szCs w:val="15"/>
                <w:color w:val="auto"/>
              </w:rPr>
              <w:t>104,956</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100,207</w:t>
            </w:r>
          </w:p>
        </w:tc>
      </w:tr>
      <w:tr>
        <w:trPr>
          <w:trHeight w:val="206"/>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Leasehold improvements</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92,610</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91,660</w:t>
            </w:r>
          </w:p>
        </w:tc>
      </w:tr>
      <w:tr>
        <w:trPr>
          <w:trHeight w:val="203"/>
        </w:trPr>
        <w:tc>
          <w:tcPr>
            <w:tcW w:w="4820" w:type="dxa"/>
            <w:vAlign w:val="bottom"/>
          </w:tcPr>
          <w:p>
            <w:pPr>
              <w:spacing w:after="0"/>
              <w:rPr>
                <w:sz w:val="20"/>
                <w:szCs w:val="20"/>
                <w:color w:val="auto"/>
              </w:rPr>
            </w:pPr>
            <w:r>
              <w:rPr>
                <w:rFonts w:ascii="Arial" w:cs="Arial" w:eastAsia="Arial" w:hAnsi="Arial"/>
                <w:sz w:val="15"/>
                <w:szCs w:val="15"/>
                <w:color w:val="auto"/>
              </w:rPr>
              <w:t>Office equipment</w:t>
            </w:r>
          </w:p>
        </w:tc>
        <w:tc>
          <w:tcPr>
            <w:tcW w:w="140" w:type="dxa"/>
            <w:vAlign w:val="bottom"/>
          </w:tcPr>
          <w:p>
            <w:pPr>
              <w:spacing w:after="0"/>
              <w:rPr>
                <w:sz w:val="17"/>
                <w:szCs w:val="17"/>
                <w:color w:val="auto"/>
              </w:rPr>
            </w:pPr>
          </w:p>
        </w:tc>
        <w:tc>
          <w:tcPr>
            <w:tcW w:w="1500" w:type="dxa"/>
            <w:vAlign w:val="bottom"/>
          </w:tcPr>
          <w:p>
            <w:pPr>
              <w:jc w:val="right"/>
              <w:ind w:right="3"/>
              <w:spacing w:after="0"/>
              <w:rPr>
                <w:sz w:val="20"/>
                <w:szCs w:val="20"/>
                <w:color w:val="auto"/>
              </w:rPr>
            </w:pPr>
            <w:r>
              <w:rPr>
                <w:rFonts w:ascii="Arial" w:cs="Arial" w:eastAsia="Arial" w:hAnsi="Arial"/>
                <w:sz w:val="15"/>
                <w:szCs w:val="15"/>
                <w:color w:val="auto"/>
              </w:rPr>
              <w:t>60,771</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70,815</w:t>
            </w:r>
          </w:p>
        </w:tc>
      </w:tr>
      <w:tr>
        <w:trPr>
          <w:trHeight w:val="209"/>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Furniture and fixtures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14,696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14,935</w:t>
            </w:r>
          </w:p>
        </w:tc>
      </w:tr>
      <w:tr>
        <w:trPr>
          <w:trHeight w:val="203"/>
        </w:trPr>
        <w:tc>
          <w:tcPr>
            <w:tcW w:w="48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Software</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14,639</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14,675</w:t>
            </w:r>
          </w:p>
        </w:tc>
      </w:tr>
      <w:tr>
        <w:trPr>
          <w:trHeight w:val="202"/>
        </w:trPr>
        <w:tc>
          <w:tcPr>
            <w:tcW w:w="4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property and equipment</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562,666</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550,275</w:t>
            </w:r>
          </w:p>
        </w:tc>
      </w:tr>
      <w:tr>
        <w:trPr>
          <w:trHeight w:val="206"/>
        </w:trPr>
        <w:tc>
          <w:tcPr>
            <w:tcW w:w="4820" w:type="dxa"/>
            <w:vAlign w:val="bottom"/>
            <w:tcBorders>
              <w:bottom w:val="single" w:sz="8" w:color="CCEEFF"/>
            </w:tcBorders>
          </w:tcPr>
          <w:p>
            <w:pPr>
              <w:spacing w:after="0" w:line="207" w:lineRule="exact"/>
              <w:rPr>
                <w:sz w:val="20"/>
                <w:szCs w:val="20"/>
                <w:color w:val="auto"/>
              </w:rPr>
            </w:pPr>
            <w:r>
              <w:rPr>
                <w:rFonts w:ascii="Arial" w:cs="Arial" w:eastAsia="Arial" w:hAnsi="Arial"/>
                <w:sz w:val="15"/>
                <w:szCs w:val="15"/>
                <w:color w:val="auto"/>
              </w:rPr>
              <w:t xml:space="preserve">Less: accumulated depreciation and amortization </w:t>
            </w:r>
            <w:r>
              <w:rPr>
                <w:rFonts w:ascii="Arial" w:cs="Arial" w:eastAsia="Arial" w:hAnsi="Arial"/>
                <w:sz w:val="20"/>
                <w:szCs w:val="20"/>
                <w:color w:val="auto"/>
                <w:vertAlign w:val="superscript"/>
              </w:rPr>
              <w:t>(1)</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(327,274)</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(286,296)</w:t>
            </w:r>
          </w:p>
        </w:tc>
      </w:tr>
      <w:tr>
        <w:trPr>
          <w:trHeight w:val="219"/>
        </w:trPr>
        <w:tc>
          <w:tcPr>
            <w:tcW w:w="4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property and equipment,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235,392</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263,979</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____________________________________</w:t>
      </w:r>
    </w:p>
    <w:p>
      <w:pPr>
        <w:spacing w:after="0" w:line="22" w:lineRule="exact"/>
        <w:rPr>
          <w:sz w:val="20"/>
          <w:szCs w:val="20"/>
          <w:color w:val="auto"/>
        </w:rPr>
      </w:pPr>
    </w:p>
    <w:p>
      <w:pPr>
        <w:ind w:left="460" w:right="100"/>
        <w:spacing w:after="0" w:line="300" w:lineRule="auto"/>
        <w:rPr>
          <w:sz w:val="20"/>
          <w:szCs w:val="20"/>
          <w:color w:val="auto"/>
        </w:rPr>
      </w:pPr>
      <w:r>
        <w:rPr>
          <w:rFonts w:ascii="Arial" w:cs="Arial" w:eastAsia="Arial" w:hAnsi="Arial"/>
          <w:sz w:val="8"/>
          <w:szCs w:val="8"/>
          <w:color w:val="auto"/>
        </w:rPr>
        <w:t>(</w:t>
      </w:r>
      <w:r>
        <w:rPr>
          <w:rFonts w:ascii="Arial" w:cs="Arial" w:eastAsia="Arial" w:hAnsi="Arial"/>
          <w:sz w:val="17"/>
          <w:szCs w:val="17"/>
          <w:color w:val="auto"/>
          <w:vertAlign w:val="superscript"/>
        </w:rPr>
        <w:t>1</w:t>
      </w:r>
      <w:r>
        <w:rPr>
          <w:rFonts w:ascii="Arial" w:cs="Arial" w:eastAsia="Arial" w:hAnsi="Arial"/>
          <w:sz w:val="8"/>
          <w:szCs w:val="8"/>
          <w:color w:val="auto"/>
        </w:rPr>
        <w:t xml:space="preserve">) </w:t>
      </w:r>
      <w:r>
        <w:rPr>
          <w:rFonts w:ascii="Arial" w:cs="Arial" w:eastAsia="Arial" w:hAnsi="Arial"/>
          <w:sz w:val="13"/>
          <w:szCs w:val="13"/>
          <w:color w:val="auto"/>
        </w:rPr>
        <w:t>Data center equipment contains $72.4 million in assets held under finance leases as of June 30, 2023 and December 31, 2022. Accumulated depreciation and amortization</w:t>
      </w:r>
      <w:r>
        <w:rPr>
          <w:rFonts w:ascii="Arial" w:cs="Arial" w:eastAsia="Arial" w:hAnsi="Arial"/>
          <w:sz w:val="8"/>
          <w:szCs w:val="8"/>
          <w:color w:val="auto"/>
        </w:rPr>
        <w:t xml:space="preserve"> </w:t>
      </w:r>
      <w:r>
        <w:rPr>
          <w:rFonts w:ascii="Arial" w:cs="Arial" w:eastAsia="Arial" w:hAnsi="Arial"/>
          <w:sz w:val="13"/>
          <w:szCs w:val="13"/>
          <w:color w:val="auto"/>
        </w:rPr>
        <w:t>includes $48.7 million and $41.2 million of accumulated depreciation for assets held under finance leases as of June 30, 2023 and December 31, 2022, respectively.</w:t>
      </w:r>
    </w:p>
    <w:p>
      <w:pPr>
        <w:spacing w:after="0" w:line="138" w:lineRule="exact"/>
        <w:rPr>
          <w:sz w:val="20"/>
          <w:szCs w:val="20"/>
          <w:color w:val="auto"/>
        </w:rPr>
      </w:pPr>
    </w:p>
    <w:p>
      <w:pPr>
        <w:ind w:right="800" w:firstLine="464"/>
        <w:spacing w:after="0" w:line="279" w:lineRule="auto"/>
        <w:rPr>
          <w:sz w:val="20"/>
          <w:szCs w:val="20"/>
          <w:color w:val="auto"/>
        </w:rPr>
      </w:pPr>
      <w:r>
        <w:rPr>
          <w:rFonts w:ascii="Arial" w:cs="Arial" w:eastAsia="Arial" w:hAnsi="Arial"/>
          <w:sz w:val="17"/>
          <w:szCs w:val="17"/>
          <w:color w:val="auto"/>
        </w:rPr>
        <w:t>Depreciation and amortization expense was $24.3 million and $17.4 million in the three months ended June 30, 2023 and 2022, respectively, and $44.3 million and $34.0 million in the six months ended June 30, 2023 and 2022, respectively.</w:t>
      </w:r>
    </w:p>
    <w:p>
      <w:pPr>
        <w:spacing w:after="0" w:line="164" w:lineRule="exact"/>
        <w:rPr>
          <w:sz w:val="20"/>
          <w:szCs w:val="20"/>
          <w:color w:val="auto"/>
        </w:rPr>
      </w:pPr>
    </w:p>
    <w:p>
      <w:pPr>
        <w:ind w:right="240" w:firstLine="464"/>
        <w:spacing w:after="0" w:line="211" w:lineRule="exact"/>
        <w:rPr>
          <w:sz w:val="20"/>
          <w:szCs w:val="20"/>
          <w:color w:val="auto"/>
        </w:rPr>
      </w:pPr>
      <w:r>
        <w:rPr>
          <w:rFonts w:ascii="Arial" w:cs="Arial" w:eastAsia="Arial" w:hAnsi="Arial"/>
          <w:sz w:val="17"/>
          <w:szCs w:val="17"/>
          <w:color w:val="auto"/>
        </w:rPr>
        <w:t>The Company capitalized $14.8 million and $17.2 million in internal</w:t>
      </w:r>
      <w:r>
        <w:rPr>
          <w:rFonts w:ascii="MS PGothic" w:cs="MS PGothic" w:eastAsia="MS PGothic" w:hAnsi="MS PGothic"/>
          <w:sz w:val="17"/>
          <w:szCs w:val="17"/>
          <w:color w:val="auto"/>
        </w:rPr>
        <w:t>‑</w:t>
      </w:r>
      <w:r>
        <w:rPr>
          <w:rFonts w:ascii="Arial" w:cs="Arial" w:eastAsia="Arial" w:hAnsi="Arial"/>
          <w:sz w:val="17"/>
          <w:szCs w:val="17"/>
          <w:color w:val="auto"/>
        </w:rPr>
        <w:t>use software development costs in the three months ended June 30, 2023 and 2022, respectively, and $29.0 million and $31.9 million in the six months ended June 30, 2023 and 2022,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Net Assets Held for Sale and Divested</w:t>
      </w:r>
    </w:p>
    <w:p>
      <w:pPr>
        <w:spacing w:after="0" w:line="223" w:lineRule="exact"/>
        <w:rPr>
          <w:sz w:val="20"/>
          <w:szCs w:val="20"/>
          <w:color w:val="auto"/>
        </w:rPr>
      </w:pPr>
    </w:p>
    <w:p>
      <w:pPr>
        <w:ind w:right="160" w:firstLine="464"/>
        <w:spacing w:after="0" w:line="262" w:lineRule="auto"/>
        <w:rPr>
          <w:sz w:val="20"/>
          <w:szCs w:val="20"/>
          <w:color w:val="auto"/>
        </w:rPr>
      </w:pPr>
      <w:r>
        <w:rPr>
          <w:rFonts w:ascii="Arial" w:cs="Arial" w:eastAsia="Arial" w:hAnsi="Arial"/>
          <w:sz w:val="17"/>
          <w:szCs w:val="17"/>
          <w:color w:val="auto"/>
        </w:rPr>
        <w:t xml:space="preserve">The Company classifies assets and liabilities as held for sale (the “disposal group”) when management commits to a plan to sell the disposal group and meets all required criteria in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Assets held for sale are measured at the lower of their carrying amount or fair value less costs to sell. Any loss resulting from this measurement is recognized in the period the held for sale criteria are met. Gains are not recognized until realized on the date of sale. Long-lived assets classified as held for sale are not depreciated or amortized.</w:t>
      </w:r>
    </w:p>
    <w:p>
      <w:pPr>
        <w:spacing w:after="0" w:line="204" w:lineRule="exact"/>
        <w:rPr>
          <w:sz w:val="20"/>
          <w:szCs w:val="20"/>
          <w:color w:val="auto"/>
        </w:rPr>
      </w:pPr>
    </w:p>
    <w:p>
      <w:pPr>
        <w:ind w:firstLine="464"/>
        <w:spacing w:after="0" w:line="283" w:lineRule="auto"/>
        <w:rPr>
          <w:sz w:val="20"/>
          <w:szCs w:val="20"/>
          <w:color w:val="auto"/>
        </w:rPr>
      </w:pPr>
      <w:r>
        <w:rPr>
          <w:rFonts w:ascii="Arial" w:cs="Arial" w:eastAsia="Arial" w:hAnsi="Arial"/>
          <w:sz w:val="16"/>
          <w:szCs w:val="16"/>
          <w:color w:val="auto"/>
        </w:rPr>
        <w:t>In June 2023, the Company entered into an agreement to sell its ValueFirst business, which operates an enterprise communications platform in India. The sale was subsequently completed in July 2023, and the Company received $45.5 million in cash. This divestiture allowed allocation of Company resources to other strategic priorities with a greater impact on the Company’s business. The divestiture did not represent a strategic shift in operations that would have a major effect on the Company's business and financial results, and therefore, is not presented as a discontinued operation.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880" w:firstLine="464"/>
        <w:spacing w:after="0" w:line="279" w:lineRule="auto"/>
        <w:rPr>
          <w:sz w:val="20"/>
          <w:szCs w:val="20"/>
          <w:color w:val="auto"/>
        </w:rPr>
      </w:pPr>
      <w:r>
        <w:rPr>
          <w:rFonts w:ascii="Arial" w:cs="Arial" w:eastAsia="Arial" w:hAnsi="Arial"/>
          <w:sz w:val="17"/>
          <w:szCs w:val="17"/>
          <w:color w:val="auto"/>
        </w:rPr>
        <w:t>The following table presents the major classes of assets and liabilities of the disposal group classified as held for sale as of June 30, 2023, in the accompanying condensed consolidated balance sheet:</w:t>
      </w:r>
    </w:p>
    <w:p>
      <w:pPr>
        <w:spacing w:after="0" w:line="185" w:lineRule="exact"/>
        <w:rPr>
          <w:sz w:val="20"/>
          <w:szCs w:val="20"/>
          <w:color w:val="auto"/>
        </w:rPr>
      </w:pPr>
    </w:p>
    <w:tbl>
      <w:tblPr>
        <w:tblLayout w:type="fixed"/>
        <w:tblInd w:w="2660" w:type="dxa"/>
        <w:tblCellMar>
          <w:top w:w="0" w:type="dxa"/>
          <w:left w:w="0" w:type="dxa"/>
          <w:bottom w:w="0" w:type="dxa"/>
          <w:right w:w="0" w:type="dxa"/>
        </w:tblCellMar>
      </w:tblPr>
      <w:tr>
        <w:trPr>
          <w:trHeight w:val="172"/>
        </w:trPr>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ind w:right="284"/>
              <w:spacing w:after="0"/>
              <w:rPr>
                <w:sz w:val="20"/>
                <w:szCs w:val="20"/>
                <w:color w:val="auto"/>
              </w:rPr>
            </w:pPr>
            <w:r>
              <w:rPr>
                <w:rFonts w:ascii="Arial" w:cs="Arial" w:eastAsia="Arial" w:hAnsi="Arial"/>
                <w:sz w:val="15"/>
                <w:szCs w:val="15"/>
                <w:b w:val="1"/>
                <w:bCs w:val="1"/>
                <w:color w:val="auto"/>
                <w:w w:val="90"/>
              </w:rPr>
              <w:t>As of June 30,</w:t>
            </w:r>
          </w:p>
        </w:tc>
      </w:tr>
      <w:tr>
        <w:trPr>
          <w:trHeight w:val="204"/>
        </w:trPr>
        <w:tc>
          <w:tcPr>
            <w:tcW w:w="4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center"/>
              <w:ind w:right="284"/>
              <w:spacing w:after="0"/>
              <w:rPr>
                <w:sz w:val="20"/>
                <w:szCs w:val="20"/>
                <w:color w:val="auto"/>
              </w:rPr>
            </w:pPr>
            <w:r>
              <w:rPr>
                <w:rFonts w:ascii="Arial" w:cs="Arial" w:eastAsia="Arial" w:hAnsi="Arial"/>
                <w:sz w:val="15"/>
                <w:szCs w:val="15"/>
                <w:b w:val="1"/>
                <w:bCs w:val="1"/>
                <w:color w:val="auto"/>
                <w:w w:val="95"/>
              </w:rPr>
              <w:t>2023</w:t>
            </w:r>
          </w:p>
        </w:tc>
      </w:tr>
      <w:tr>
        <w:trPr>
          <w:trHeight w:val="201"/>
        </w:trPr>
        <w:tc>
          <w:tcPr>
            <w:tcW w:w="4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Assets held for sale:</w:t>
            </w: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ind w:right="284"/>
              <w:spacing w:after="0"/>
              <w:rPr>
                <w:sz w:val="20"/>
                <w:szCs w:val="20"/>
                <w:color w:val="auto"/>
              </w:rPr>
            </w:pPr>
            <w:r>
              <w:rPr>
                <w:rFonts w:ascii="Arial" w:cs="Arial" w:eastAsia="Arial" w:hAnsi="Arial"/>
                <w:sz w:val="14"/>
                <w:szCs w:val="14"/>
                <w:color w:val="auto"/>
                <w:w w:val="89"/>
              </w:rPr>
              <w:t>(In thousands)</w:t>
            </w:r>
          </w:p>
        </w:tc>
      </w:tr>
      <w:tr>
        <w:trPr>
          <w:trHeight w:val="204"/>
        </w:trPr>
        <w:tc>
          <w:tcPr>
            <w:tcW w:w="4260" w:type="dxa"/>
            <w:vAlign w:val="bottom"/>
          </w:tcPr>
          <w:p>
            <w:pPr>
              <w:ind w:left="140"/>
              <w:spacing w:after="0"/>
              <w:rPr>
                <w:sz w:val="20"/>
                <w:szCs w:val="20"/>
                <w:color w:val="auto"/>
              </w:rPr>
            </w:pPr>
            <w:r>
              <w:rPr>
                <w:rFonts w:ascii="Arial" w:cs="Arial" w:eastAsia="Arial" w:hAnsi="Arial"/>
                <w:sz w:val="15"/>
                <w:szCs w:val="15"/>
                <w:color w:val="auto"/>
              </w:rPr>
              <w:t>Total tangible assets</w:t>
            </w:r>
          </w:p>
        </w:tc>
        <w:tc>
          <w:tcPr>
            <w:tcW w:w="340" w:type="dxa"/>
            <w:vAlign w:val="bottom"/>
          </w:tcPr>
          <w:p>
            <w:pPr>
              <w:jc w:val="right"/>
              <w:ind w:right="183"/>
              <w:spacing w:after="0"/>
              <w:rPr>
                <w:sz w:val="20"/>
                <w:szCs w:val="20"/>
                <w:color w:val="auto"/>
              </w:rPr>
            </w:pPr>
            <w:r>
              <w:rPr>
                <w:rFonts w:ascii="Arial" w:cs="Arial" w:eastAsia="Arial" w:hAnsi="Arial"/>
                <w:sz w:val="15"/>
                <w:szCs w:val="15"/>
                <w:b w:val="1"/>
                <w:bCs w:val="1"/>
                <w:color w:val="auto"/>
                <w:w w:val="71"/>
              </w:rPr>
              <w:t>$</w:t>
            </w:r>
          </w:p>
        </w:tc>
        <w:tc>
          <w:tcPr>
            <w:tcW w:w="1800" w:type="dxa"/>
            <w:vAlign w:val="bottom"/>
          </w:tcPr>
          <w:p>
            <w:pPr>
              <w:jc w:val="center"/>
              <w:ind w:left="1144"/>
              <w:spacing w:after="0"/>
              <w:rPr>
                <w:sz w:val="20"/>
                <w:szCs w:val="20"/>
                <w:color w:val="auto"/>
              </w:rPr>
            </w:pPr>
            <w:r>
              <w:rPr>
                <w:rFonts w:ascii="Arial" w:cs="Arial" w:eastAsia="Arial" w:hAnsi="Arial"/>
                <w:sz w:val="15"/>
                <w:szCs w:val="15"/>
                <w:b w:val="1"/>
                <w:bCs w:val="1"/>
                <w:color w:val="auto"/>
                <w:w w:val="91"/>
              </w:rPr>
              <w:t>42,546</w:t>
            </w:r>
          </w:p>
        </w:tc>
      </w:tr>
      <w:tr>
        <w:trPr>
          <w:trHeight w:val="208"/>
        </w:trPr>
        <w:tc>
          <w:tcPr>
            <w:tcW w:w="4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Intangible assets, net</w:t>
            </w: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ind w:left="1144"/>
              <w:spacing w:after="0"/>
              <w:rPr>
                <w:sz w:val="20"/>
                <w:szCs w:val="20"/>
                <w:color w:val="auto"/>
              </w:rPr>
            </w:pPr>
            <w:r>
              <w:rPr>
                <w:rFonts w:ascii="Arial" w:cs="Arial" w:eastAsia="Arial" w:hAnsi="Arial"/>
                <w:sz w:val="15"/>
                <w:szCs w:val="15"/>
                <w:color w:val="auto"/>
                <w:w w:val="91"/>
              </w:rPr>
              <w:t>17,294</w:t>
            </w:r>
          </w:p>
        </w:tc>
      </w:tr>
      <w:tr>
        <w:trPr>
          <w:trHeight w:val="203"/>
        </w:trPr>
        <w:tc>
          <w:tcPr>
            <w:tcW w:w="4260" w:type="dxa"/>
            <w:vAlign w:val="bottom"/>
          </w:tcPr>
          <w:p>
            <w:pPr>
              <w:ind w:left="140"/>
              <w:spacing w:after="0"/>
              <w:rPr>
                <w:sz w:val="20"/>
                <w:szCs w:val="20"/>
                <w:color w:val="auto"/>
              </w:rPr>
            </w:pPr>
            <w:r>
              <w:rPr>
                <w:rFonts w:ascii="Arial" w:cs="Arial" w:eastAsia="Arial" w:hAnsi="Arial"/>
                <w:sz w:val="15"/>
                <w:szCs w:val="15"/>
                <w:color w:val="auto"/>
              </w:rPr>
              <w:t>Goodwill</w:t>
            </w:r>
          </w:p>
        </w:tc>
        <w:tc>
          <w:tcPr>
            <w:tcW w:w="340" w:type="dxa"/>
            <w:vAlign w:val="bottom"/>
          </w:tcPr>
          <w:p>
            <w:pPr>
              <w:spacing w:after="0"/>
              <w:rPr>
                <w:sz w:val="17"/>
                <w:szCs w:val="17"/>
                <w:color w:val="auto"/>
              </w:rPr>
            </w:pPr>
          </w:p>
        </w:tc>
        <w:tc>
          <w:tcPr>
            <w:tcW w:w="1800" w:type="dxa"/>
            <w:vAlign w:val="bottom"/>
          </w:tcPr>
          <w:p>
            <w:pPr>
              <w:jc w:val="center"/>
              <w:ind w:left="1144"/>
              <w:spacing w:after="0"/>
              <w:rPr>
                <w:sz w:val="20"/>
                <w:szCs w:val="20"/>
                <w:color w:val="auto"/>
              </w:rPr>
            </w:pPr>
            <w:r>
              <w:rPr>
                <w:rFonts w:ascii="Arial" w:cs="Arial" w:eastAsia="Arial" w:hAnsi="Arial"/>
                <w:sz w:val="15"/>
                <w:szCs w:val="15"/>
                <w:color w:val="auto"/>
                <w:w w:val="91"/>
              </w:rPr>
              <w:t>34,604</w:t>
            </w:r>
          </w:p>
        </w:tc>
      </w:tr>
      <w:tr>
        <w:trPr>
          <w:trHeight w:val="206"/>
        </w:trPr>
        <w:tc>
          <w:tcPr>
            <w:tcW w:w="4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Valuation allowance</w:t>
            </w:r>
          </w:p>
        </w:tc>
        <w:tc>
          <w:tcPr>
            <w:tcW w:w="3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center"/>
              <w:ind w:left="1124"/>
              <w:spacing w:after="0"/>
              <w:rPr>
                <w:sz w:val="20"/>
                <w:szCs w:val="20"/>
                <w:color w:val="auto"/>
              </w:rPr>
            </w:pPr>
            <w:r>
              <w:rPr>
                <w:rFonts w:ascii="Arial" w:cs="Arial" w:eastAsia="Arial" w:hAnsi="Arial"/>
                <w:sz w:val="15"/>
                <w:szCs w:val="15"/>
                <w:color w:val="auto"/>
                <w:w w:val="93"/>
              </w:rPr>
              <w:t>(28,777)</w:t>
            </w:r>
          </w:p>
        </w:tc>
      </w:tr>
      <w:tr>
        <w:trPr>
          <w:trHeight w:val="202"/>
        </w:trPr>
        <w:tc>
          <w:tcPr>
            <w:tcW w:w="4260" w:type="dxa"/>
            <w:vAlign w:val="bottom"/>
          </w:tcPr>
          <w:p>
            <w:pPr>
              <w:ind w:left="20"/>
              <w:spacing w:after="0"/>
              <w:rPr>
                <w:sz w:val="20"/>
                <w:szCs w:val="20"/>
                <w:color w:val="auto"/>
              </w:rPr>
            </w:pPr>
            <w:r>
              <w:rPr>
                <w:rFonts w:ascii="Arial" w:cs="Arial" w:eastAsia="Arial" w:hAnsi="Arial"/>
                <w:sz w:val="15"/>
                <w:szCs w:val="15"/>
                <w:color w:val="auto"/>
              </w:rPr>
              <w:t>Total assets held for sale</w:t>
            </w: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tcPr>
          <w:p>
            <w:pPr>
              <w:jc w:val="center"/>
              <w:ind w:left="1144"/>
              <w:spacing w:after="0"/>
              <w:rPr>
                <w:sz w:val="20"/>
                <w:szCs w:val="20"/>
                <w:color w:val="auto"/>
              </w:rPr>
            </w:pPr>
            <w:r>
              <w:rPr>
                <w:rFonts w:ascii="Arial" w:cs="Arial" w:eastAsia="Arial" w:hAnsi="Arial"/>
                <w:sz w:val="15"/>
                <w:szCs w:val="15"/>
                <w:color w:val="auto"/>
                <w:w w:val="91"/>
              </w:rPr>
              <w:t>65,667</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120"/>
        </w:trPr>
        <w:tc>
          <w:tcPr>
            <w:tcW w:w="42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0" w:type="dxa"/>
            <w:vAlign w:val="bottom"/>
            <w:shd w:val="clear" w:color="auto" w:fill="CCEEFF"/>
          </w:tcPr>
          <w:p>
            <w:pPr>
              <w:spacing w:after="0"/>
              <w:rPr>
                <w:sz w:val="10"/>
                <w:szCs w:val="10"/>
                <w:color w:val="auto"/>
              </w:rPr>
            </w:pPr>
          </w:p>
        </w:tc>
      </w:tr>
      <w:tr>
        <w:trPr>
          <w:trHeight w:val="206"/>
        </w:trPr>
        <w:tc>
          <w:tcPr>
            <w:tcW w:w="4260" w:type="dxa"/>
            <w:vAlign w:val="bottom"/>
          </w:tcPr>
          <w:p>
            <w:pPr>
              <w:ind w:left="20"/>
              <w:spacing w:after="0"/>
              <w:rPr>
                <w:sz w:val="20"/>
                <w:szCs w:val="20"/>
                <w:color w:val="auto"/>
              </w:rPr>
            </w:pPr>
            <w:r>
              <w:rPr>
                <w:rFonts w:ascii="Arial" w:cs="Arial" w:eastAsia="Arial" w:hAnsi="Arial"/>
                <w:sz w:val="15"/>
                <w:szCs w:val="15"/>
                <w:color w:val="auto"/>
              </w:rPr>
              <w:t>Total liabilities held for sale</w:t>
            </w: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tcPr>
          <w:p>
            <w:pPr>
              <w:jc w:val="center"/>
              <w:ind w:left="1144"/>
              <w:spacing w:after="0"/>
              <w:rPr>
                <w:sz w:val="20"/>
                <w:szCs w:val="20"/>
                <w:color w:val="auto"/>
              </w:rPr>
            </w:pPr>
            <w:r>
              <w:rPr>
                <w:rFonts w:ascii="Arial" w:cs="Arial" w:eastAsia="Arial" w:hAnsi="Arial"/>
                <w:sz w:val="15"/>
                <w:szCs w:val="15"/>
                <w:color w:val="auto"/>
                <w:w w:val="91"/>
              </w:rPr>
              <w:t>25,075</w:t>
            </w:r>
          </w:p>
        </w:tc>
      </w:tr>
      <w:tr>
        <w:trPr>
          <w:trHeight w:val="20"/>
        </w:trPr>
        <w:tc>
          <w:tcPr>
            <w:tcW w:w="4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firstLine="464"/>
        <w:spacing w:after="0" w:line="283" w:lineRule="auto"/>
        <w:rPr>
          <w:sz w:val="20"/>
          <w:szCs w:val="20"/>
          <w:color w:val="auto"/>
        </w:rPr>
      </w:pPr>
      <w:r>
        <w:rPr>
          <w:rFonts w:ascii="Arial" w:cs="Arial" w:eastAsia="Arial" w:hAnsi="Arial"/>
          <w:sz w:val="16"/>
          <w:szCs w:val="16"/>
          <w:color w:val="auto"/>
        </w:rPr>
        <w:t>The measurement of assets held for sale to fair value less costs to sell resulted in a loss of $28.8 million, which is recorded within general and administrative expenses in the accompanying condensed consolidated statements of operations for the three and six months ended June 30, 2023. The Company recorded a valuation allowance to reduce the carrying amount of the disposal group to its fair value less costs to sell in the accompanying condensed consolidated balance sheet. The Company also recorded an additional $3.1 million of divestiture expenses in the same period.</w:t>
      </w:r>
    </w:p>
    <w:p>
      <w:pPr>
        <w:spacing w:after="0" w:line="164" w:lineRule="exact"/>
        <w:rPr>
          <w:sz w:val="20"/>
          <w:szCs w:val="20"/>
          <w:color w:val="auto"/>
        </w:rPr>
      </w:pPr>
    </w:p>
    <w:p>
      <w:pPr>
        <w:ind w:right="100" w:firstLine="464"/>
        <w:spacing w:after="0" w:line="279" w:lineRule="auto"/>
        <w:rPr>
          <w:sz w:val="20"/>
          <w:szCs w:val="20"/>
          <w:color w:val="auto"/>
        </w:rPr>
      </w:pPr>
      <w:r>
        <w:rPr>
          <w:rFonts w:ascii="Arial" w:cs="Arial" w:eastAsia="Arial" w:hAnsi="Arial"/>
          <w:sz w:val="17"/>
          <w:szCs w:val="17"/>
          <w:color w:val="auto"/>
        </w:rPr>
        <w:t>Separately, in the second quarter of 2023, the Company sold its Internet of Things (“IoT”) disposal group for stock consideration of $15.8 million. The loss on divestiture and related expenses recorded in the three and six months ended June 30, 2023 were not significant.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Impairment</w:t>
      </w:r>
    </w:p>
    <w:p>
      <w:pPr>
        <w:spacing w:after="0" w:line="223" w:lineRule="exact"/>
        <w:rPr>
          <w:sz w:val="20"/>
          <w:szCs w:val="20"/>
          <w:color w:val="auto"/>
        </w:rPr>
      </w:pPr>
    </w:p>
    <w:p>
      <w:pPr>
        <w:ind w:right="80" w:firstLine="464"/>
        <w:spacing w:after="0" w:line="262" w:lineRule="auto"/>
        <w:rPr>
          <w:sz w:val="20"/>
          <w:szCs w:val="20"/>
          <w:color w:val="auto"/>
        </w:rPr>
      </w:pPr>
      <w:r>
        <w:rPr>
          <w:rFonts w:ascii="Arial" w:cs="Arial" w:eastAsia="Arial" w:hAnsi="Arial"/>
          <w:sz w:val="17"/>
          <w:szCs w:val="17"/>
          <w:color w:val="auto"/>
        </w:rPr>
        <w:t>In February 2023, the Company announced plans to close additional offices as part of its 2022 strategy to become a remote-first company. The Company regularly assesses recoverability of all impacted right-of-use (“ROU”) assets and the related leasehold improvements and property and equipment for indicators of impairment. In the three and six months ended June 30, 2023, the Company recorded a $9.3 million and $31.1 million impairment, respectively, related to its permanently closed offices.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 other significant impairments were recorded in the three or six months ended June 30, 2023 or 2022.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Restructuring Activities</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February 2023, the Company announced a workforce reduction plan (the “February 2023 Plan”) that eliminated approximately 17% of the Company’s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workforce. The execution of the February 2023 Plan was substantially complete in the first quarter of 2023. In the three months ended June 30, 2023, the Company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recorded additional restructuring charges of $14.9 million, which consisted of $14.6 million related to employee severance, benefits and facilitation costs and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$0.3 million relating to vesting of stock-based awards of the impacted employees. In the six months ended June 30, 2023, the cumulative restructuring charges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$136.8 million consisted of $126.2 million related to employee severance, benefits and facilitation costs, and $10.6 million related to vesting of employee stock</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based compensation awards. The $10.6 million expense related to vesting of the employee stock-based compensation awards is recorded in additional-paid-in-</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capital in the accompanying condensed consolidated statement of stockholders’ equity. The estimated remaining expenses related to the February 2023 Plan are not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expected to be significant.</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20" w:firstLine="464"/>
        <w:spacing w:after="0" w:line="279" w:lineRule="auto"/>
        <w:rPr>
          <w:sz w:val="20"/>
          <w:szCs w:val="20"/>
          <w:color w:val="auto"/>
        </w:rPr>
      </w:pPr>
      <w:r>
        <w:rPr>
          <w:rFonts w:ascii="Arial" w:cs="Arial" w:eastAsia="Arial" w:hAnsi="Arial"/>
          <w:sz w:val="17"/>
          <w:szCs w:val="17"/>
          <w:color w:val="auto"/>
        </w:rPr>
        <w:t>The following table summarizes the Company’s restructuring liability related to the February 2023 Plan that is included in accrued expenses and other current liabilities in the accompanying condensed consolidated balance sheet:</w:t>
      </w:r>
    </w:p>
    <w:p>
      <w:pPr>
        <w:spacing w:after="0" w:line="185" w:lineRule="exact"/>
        <w:rPr>
          <w:sz w:val="20"/>
          <w:szCs w:val="20"/>
          <w:color w:val="auto"/>
        </w:rPr>
      </w:pPr>
    </w:p>
    <w:tbl>
      <w:tblPr>
        <w:tblLayout w:type="fixed"/>
        <w:tblInd w:w="740" w:type="dxa"/>
        <w:tblCellMar>
          <w:top w:w="0" w:type="dxa"/>
          <w:left w:w="0" w:type="dxa"/>
          <w:bottom w:w="0" w:type="dxa"/>
          <w:right w:w="0" w:type="dxa"/>
        </w:tblCellMar>
      </w:tblPr>
      <w:tr>
        <w:trPr>
          <w:trHeight w:val="172"/>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203"/>
              <w:spacing w:after="0"/>
              <w:rPr>
                <w:sz w:val="20"/>
                <w:szCs w:val="20"/>
                <w:color w:val="auto"/>
              </w:rPr>
            </w:pPr>
            <w:r>
              <w:rPr>
                <w:rFonts w:ascii="Arial" w:cs="Arial" w:eastAsia="Arial" w:hAnsi="Arial"/>
                <w:sz w:val="15"/>
                <w:szCs w:val="15"/>
                <w:b w:val="1"/>
                <w:bCs w:val="1"/>
                <w:color w:val="auto"/>
              </w:rPr>
              <w:t>Workforce</w:t>
            </w:r>
          </w:p>
        </w:tc>
        <w:tc>
          <w:tcPr>
            <w:tcW w:w="120" w:type="dxa"/>
            <w:vAlign w:val="bottom"/>
          </w:tcPr>
          <w:p>
            <w:pPr>
              <w:spacing w:after="0"/>
              <w:rPr>
                <w:sz w:val="14"/>
                <w:szCs w:val="14"/>
                <w:color w:val="auto"/>
              </w:rPr>
            </w:pPr>
          </w:p>
        </w:tc>
        <w:tc>
          <w:tcPr>
            <w:tcW w:w="130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w w:val="95"/>
              </w:rPr>
              <w:t>Facilitation Costs</w:t>
            </w:r>
          </w:p>
        </w:tc>
        <w:tc>
          <w:tcPr>
            <w:tcW w:w="300" w:type="dxa"/>
            <w:vAlign w:val="bottom"/>
          </w:tcPr>
          <w:p>
            <w:pPr>
              <w:spacing w:after="0"/>
              <w:rPr>
                <w:sz w:val="14"/>
                <w:szCs w:val="14"/>
                <w:color w:val="auto"/>
              </w:rPr>
            </w:pPr>
          </w:p>
        </w:tc>
        <w:tc>
          <w:tcPr>
            <w:tcW w:w="1000" w:type="dxa"/>
            <w:vAlign w:val="bottom"/>
            <w:vMerge w:val="restart"/>
          </w:tcPr>
          <w:p>
            <w:pPr>
              <w:jc w:val="right"/>
              <w:ind w:right="38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4"/>
        </w:trPr>
        <w:tc>
          <w:tcPr>
            <w:tcW w:w="6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88"/>
              </w:rPr>
              <w:t>Reduction Costs</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224"/>
              <w:spacing w:after="0"/>
              <w:rPr>
                <w:sz w:val="20"/>
                <w:szCs w:val="20"/>
                <w:color w:val="auto"/>
              </w:rPr>
            </w:pPr>
            <w:r>
              <w:rPr>
                <w:rFonts w:ascii="Arial" w:cs="Arial" w:eastAsia="Arial" w:hAnsi="Arial"/>
                <w:sz w:val="14"/>
                <w:szCs w:val="14"/>
                <w:color w:val="auto"/>
                <w:w w:val="93"/>
              </w:rPr>
              <w:t>(In thousands)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5"/>
                <w:szCs w:val="15"/>
                <w:color w:val="auto"/>
              </w:rPr>
              <w:t>Balance as of December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gridSpan w:val="2"/>
            <w:shd w:val="clear" w:color="auto" w:fill="CCEEFF"/>
          </w:tcPr>
          <w:p>
            <w:pPr>
              <w:jc w:val="right"/>
              <w:ind w:right="123"/>
              <w:spacing w:after="0"/>
              <w:rPr>
                <w:sz w:val="20"/>
                <w:szCs w:val="20"/>
                <w:color w:val="auto"/>
              </w:rPr>
            </w:pPr>
            <w:r>
              <w:rPr>
                <w:rFonts w:ascii="Arial" w:cs="Arial" w:eastAsia="Arial" w:hAnsi="Arial"/>
                <w:sz w:val="15"/>
                <w:szCs w:val="15"/>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6360" w:type="dxa"/>
            <w:vAlign w:val="bottom"/>
          </w:tcPr>
          <w:p>
            <w:pPr>
              <w:ind w:left="120"/>
              <w:spacing w:after="0"/>
              <w:rPr>
                <w:sz w:val="20"/>
                <w:szCs w:val="20"/>
                <w:color w:val="auto"/>
              </w:rPr>
            </w:pPr>
            <w:r>
              <w:rPr>
                <w:rFonts w:ascii="Arial" w:cs="Arial" w:eastAsia="Arial" w:hAnsi="Arial"/>
                <w:sz w:val="15"/>
                <w:szCs w:val="15"/>
                <w:color w:val="auto"/>
              </w:rPr>
              <w:t>Restructuring charges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117,368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8,847</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126,215</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Cash payments</w:t>
            </w: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(99,888)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(8,613)</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(108,501)</w:t>
            </w:r>
          </w:p>
        </w:tc>
        <w:tc>
          <w:tcPr>
            <w:tcW w:w="0" w:type="dxa"/>
            <w:vAlign w:val="bottom"/>
          </w:tcPr>
          <w:p>
            <w:pPr>
              <w:spacing w:after="0"/>
              <w:rPr>
                <w:sz w:val="1"/>
                <w:szCs w:val="1"/>
                <w:color w:val="auto"/>
              </w:rPr>
            </w:pPr>
          </w:p>
        </w:tc>
      </w:tr>
      <w:tr>
        <w:trPr>
          <w:trHeight w:val="202"/>
        </w:trPr>
        <w:tc>
          <w:tcPr>
            <w:tcW w:w="6360" w:type="dxa"/>
            <w:vAlign w:val="bottom"/>
          </w:tcPr>
          <w:p>
            <w:pPr>
              <w:spacing w:after="0"/>
              <w:rPr>
                <w:sz w:val="20"/>
                <w:szCs w:val="20"/>
                <w:color w:val="auto"/>
              </w:rPr>
            </w:pPr>
            <w:r>
              <w:rPr>
                <w:rFonts w:ascii="Arial" w:cs="Arial" w:eastAsia="Arial" w:hAnsi="Arial"/>
                <w:sz w:val="15"/>
                <w:szCs w:val="15"/>
                <w:color w:val="auto"/>
              </w:rPr>
              <w:t>Balance as of June 30, 2023</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17,480</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234</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17,714</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activity and the remaining amounts related to the restructuring plan effected in September 2022 (the “September 2022 Plan”) were not significant.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Reorganization and Segment Reporting</w:t>
      </w:r>
    </w:p>
    <w:p>
      <w:pPr>
        <w:spacing w:after="0" w:line="223" w:lineRule="exact"/>
        <w:rPr>
          <w:sz w:val="20"/>
          <w:szCs w:val="20"/>
          <w:color w:val="auto"/>
        </w:rPr>
      </w:pPr>
    </w:p>
    <w:p>
      <w:pPr>
        <w:ind w:firstLine="464"/>
        <w:spacing w:after="0" w:line="266" w:lineRule="auto"/>
        <w:rPr>
          <w:sz w:val="20"/>
          <w:szCs w:val="20"/>
          <w:color w:val="auto"/>
        </w:rPr>
      </w:pPr>
      <w:r>
        <w:rPr>
          <w:rFonts w:ascii="Arial" w:cs="Arial" w:eastAsia="Arial" w:hAnsi="Arial"/>
          <w:sz w:val="17"/>
          <w:szCs w:val="17"/>
          <w:color w:val="auto"/>
        </w:rPr>
        <w:t>In February 2023, the Company announced a reorganization of its business into two business units, Twilio Communications and Twilio Data &amp; Applications (the “Reorganization”). With the Reorganization, the Company changed the organizational structure of its business, including the way management operates the business.</w:t>
      </w:r>
    </w:p>
    <w:p>
      <w:pPr>
        <w:spacing w:after="0" w:line="175" w:lineRule="exact"/>
        <w:rPr>
          <w:sz w:val="20"/>
          <w:szCs w:val="20"/>
          <w:color w:val="auto"/>
        </w:rPr>
      </w:pPr>
    </w:p>
    <w:p>
      <w:pPr>
        <w:ind w:right="40" w:firstLine="464"/>
        <w:spacing w:after="0" w:line="262" w:lineRule="auto"/>
        <w:rPr>
          <w:sz w:val="20"/>
          <w:szCs w:val="20"/>
          <w:color w:val="auto"/>
        </w:rPr>
      </w:pPr>
      <w:r>
        <w:rPr>
          <w:rFonts w:ascii="Arial" w:cs="Arial" w:eastAsia="Arial" w:hAnsi="Arial"/>
          <w:sz w:val="17"/>
          <w:szCs w:val="17"/>
          <w:color w:val="auto"/>
        </w:rPr>
        <w:t>The Company’s Chief Executive Officer is its CODM. In the second quarter of 2023, the Company began regularly providing the CODM with discrete financial information for each business unit, as presented below, which required a reevaluation of the Company’s operating and reportable segments in accordance with ASC 280. The Company concluded that as of June 30, 2023, it had two operating and reportable segments: Twilio Communications and Twilio Data &amp; Applications.</w:t>
      </w:r>
    </w:p>
    <w:p>
      <w:pPr>
        <w:spacing w:after="0" w:line="178" w:lineRule="exact"/>
        <w:rPr>
          <w:sz w:val="20"/>
          <w:szCs w:val="20"/>
          <w:color w:val="auto"/>
        </w:rPr>
      </w:pPr>
    </w:p>
    <w:p>
      <w:pPr>
        <w:ind w:right="140" w:firstLine="464"/>
        <w:spacing w:after="0" w:line="266" w:lineRule="auto"/>
        <w:rPr>
          <w:sz w:val="20"/>
          <w:szCs w:val="20"/>
          <w:color w:val="auto"/>
        </w:rPr>
      </w:pPr>
      <w:r>
        <w:rPr>
          <w:rFonts w:ascii="Arial" w:cs="Arial" w:eastAsia="Arial" w:hAnsi="Arial"/>
          <w:sz w:val="17"/>
          <w:szCs w:val="17"/>
          <w:u w:val="single" w:color="auto"/>
          <w:color w:val="auto"/>
        </w:rPr>
        <w:t>Twilio Communications</w:t>
      </w:r>
      <w:r>
        <w:rPr>
          <w:rFonts w:ascii="Arial" w:cs="Arial" w:eastAsia="Arial" w:hAnsi="Arial"/>
          <w:sz w:val="17"/>
          <w:szCs w:val="17"/>
          <w:color w:val="auto"/>
        </w:rPr>
        <w:t>: The Communications segment consists of a variety of application programming interfaces (“APIs”) and software solutions to optimize communications between Twilio customers and their end users. The key products from which the segment derives its revenue are Messaging, Voice and Email.</w:t>
      </w:r>
    </w:p>
    <w:p>
      <w:pPr>
        <w:spacing w:after="0" w:line="175" w:lineRule="exact"/>
        <w:rPr>
          <w:sz w:val="20"/>
          <w:szCs w:val="20"/>
          <w:color w:val="auto"/>
        </w:rPr>
      </w:pPr>
    </w:p>
    <w:p>
      <w:pPr>
        <w:ind w:right="360" w:firstLine="464"/>
        <w:spacing w:after="0" w:line="266" w:lineRule="auto"/>
        <w:rPr>
          <w:sz w:val="20"/>
          <w:szCs w:val="20"/>
          <w:color w:val="auto"/>
        </w:rPr>
      </w:pPr>
      <w:r>
        <w:rPr>
          <w:rFonts w:ascii="Arial" w:cs="Arial" w:eastAsia="Arial" w:hAnsi="Arial"/>
          <w:sz w:val="17"/>
          <w:szCs w:val="17"/>
          <w:u w:val="single" w:color="auto"/>
          <w:color w:val="auto"/>
        </w:rPr>
        <w:t>Twilio Data &amp; Applications</w:t>
      </w:r>
      <w:r>
        <w:rPr>
          <w:rFonts w:ascii="Arial" w:cs="Arial" w:eastAsia="Arial" w:hAnsi="Arial"/>
          <w:sz w:val="17"/>
          <w:szCs w:val="17"/>
          <w:color w:val="auto"/>
        </w:rPr>
        <w:t>: The Data &amp; Applications segment consists of software products that enable businesses to achieve more effective customer engagement by providing the tools necessary for customers to build direct, personalized relationships with their end users. The key products from which the segment derives its revenue are Segment, Engage, Flex and Marketing Campaigns.</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20" w:firstLine="464"/>
        <w:spacing w:after="0" w:line="259" w:lineRule="auto"/>
        <w:rPr>
          <w:sz w:val="20"/>
          <w:szCs w:val="20"/>
          <w:color w:val="auto"/>
        </w:rPr>
      </w:pPr>
      <w:r>
        <w:rPr>
          <w:rFonts w:ascii="Arial" w:cs="Arial" w:eastAsia="Arial" w:hAnsi="Arial"/>
          <w:sz w:val="17"/>
          <w:szCs w:val="17"/>
          <w:color w:val="auto"/>
        </w:rPr>
        <w:t>Presented below is the discrete financial information by reportable segment for the three and six months ended June 30, 2023 and 2022, that is regularly reviewed by the CODM for performance assessment and resource allocation decisions. Asset information is not presented below since it is not reviewed by the CODM on a segment by segment basis. Revenue and costs of revenue are generally directly attributable to each segment. Certain costs of revenue are allocated based on methodologies that best reflect the patterns of consumption of these costs. Prior period comparative financial information presented below was restated to conform to the current period presentation.</w:t>
      </w:r>
    </w:p>
    <w:p>
      <w:pPr>
        <w:spacing w:after="0" w:line="229" w:lineRule="exact"/>
        <w:rPr>
          <w:sz w:val="20"/>
          <w:szCs w:val="20"/>
          <w:color w:val="auto"/>
        </w:rPr>
      </w:pPr>
    </w:p>
    <w:tbl>
      <w:tblPr>
        <w:tblLayout w:type="fixed"/>
        <w:tblInd w:w="1460" w:type="dxa"/>
        <w:tblCellMar>
          <w:top w:w="0" w:type="dxa"/>
          <w:left w:w="0" w:type="dxa"/>
          <w:bottom w:w="0" w:type="dxa"/>
          <w:right w:w="0" w:type="dxa"/>
        </w:tblCellMar>
      </w:tblPr>
      <w:tr>
        <w:trPr>
          <w:trHeight w:val="172"/>
        </w:trPr>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4"/>
          </w:tcPr>
          <w:p>
            <w:pPr>
              <w:jc w:val="right"/>
              <w:ind w:right="563"/>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gridSpan w:val="4"/>
            <w:vMerge w:val="restart"/>
          </w:tcPr>
          <w:p>
            <w:pPr>
              <w:jc w:val="right"/>
              <w:ind w:right="303"/>
              <w:spacing w:after="0"/>
              <w:rPr>
                <w:sz w:val="20"/>
                <w:szCs w:val="20"/>
                <w:color w:val="auto"/>
              </w:rPr>
            </w:pPr>
            <w:r>
              <w:rPr>
                <w:rFonts w:ascii="Arial" w:cs="Arial" w:eastAsia="Arial" w:hAnsi="Arial"/>
                <w:sz w:val="15"/>
                <w:szCs w:val="15"/>
                <w:b w:val="1"/>
                <w:bCs w:val="1"/>
                <w:color w:val="auto"/>
                <w:w w:val="94"/>
              </w:rPr>
              <w:t>Six Months Ended June 30,</w:t>
            </w:r>
          </w:p>
        </w:tc>
        <w:tc>
          <w:tcPr>
            <w:tcW w:w="0" w:type="dxa"/>
            <w:vAlign w:val="bottom"/>
          </w:tcPr>
          <w:p>
            <w:pPr>
              <w:spacing w:after="0"/>
              <w:rPr>
                <w:sz w:val="1"/>
                <w:szCs w:val="1"/>
                <w:color w:val="auto"/>
              </w:rPr>
            </w:pPr>
          </w:p>
        </w:tc>
      </w:tr>
      <w:tr>
        <w:trPr>
          <w:trHeight w:val="204"/>
        </w:trPr>
        <w:tc>
          <w:tcPr>
            <w:tcW w:w="3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5"/>
                <w:szCs w:val="15"/>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188"/>
        </w:trPr>
        <w:tc>
          <w:tcPr>
            <w:tcW w:w="3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(In thousands)</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20"/>
              <w:spacing w:after="0"/>
              <w:rPr>
                <w:sz w:val="20"/>
                <w:szCs w:val="20"/>
                <w:color w:val="auto"/>
              </w:rPr>
            </w:pPr>
            <w:r>
              <w:rPr>
                <w:rFonts w:ascii="Arial" w:cs="Arial" w:eastAsia="Arial" w:hAnsi="Arial"/>
                <w:sz w:val="15"/>
                <w:szCs w:val="15"/>
                <w:color w:val="auto"/>
              </w:rPr>
              <w:t>Revenue:</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Communications</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913,135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832,305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1,796,365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1,604,158</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Data &amp; Applications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124,626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111,049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247,960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214,559</w:t>
            </w:r>
          </w:p>
        </w:tc>
        <w:tc>
          <w:tcPr>
            <w:tcW w:w="0" w:type="dxa"/>
            <w:vAlign w:val="bottom"/>
          </w:tcPr>
          <w:p>
            <w:pPr>
              <w:spacing w:after="0"/>
              <w:rPr>
                <w:sz w:val="1"/>
                <w:szCs w:val="1"/>
                <w:color w:val="auto"/>
              </w:rPr>
            </w:pPr>
          </w:p>
        </w:tc>
      </w:tr>
      <w:tr>
        <w:trPr>
          <w:trHeight w:val="201"/>
        </w:trPr>
        <w:tc>
          <w:tcPr>
            <w:tcW w:w="34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5"/>
                <w:szCs w:val="15"/>
                <w:color w:val="auto"/>
              </w:rPr>
              <w:t>Total</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1,037,761</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943,354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2,044,325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1,818,717</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Non-GAAP gross profit: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4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Communications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440,071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387,294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865,211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759,448</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Data &amp; Applications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101,810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93,469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202,806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181,543</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Total</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541,881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480,763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1,068,017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940,991</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20" w:type="dxa"/>
            <w:vAlign w:val="bottom"/>
            <w:shd w:val="clear" w:color="auto" w:fill="CCEEFF"/>
          </w:tcPr>
          <w:p>
            <w:pPr>
              <w:ind w:left="20"/>
              <w:spacing w:after="0" w:line="160" w:lineRule="exact"/>
              <w:rPr>
                <w:sz w:val="20"/>
                <w:szCs w:val="20"/>
                <w:color w:val="auto"/>
              </w:rPr>
            </w:pPr>
            <w:r>
              <w:rPr>
                <w:rFonts w:ascii="Arial" w:cs="Arial" w:eastAsia="Arial" w:hAnsi="Arial"/>
                <w:sz w:val="15"/>
                <w:szCs w:val="15"/>
                <w:color w:val="auto"/>
              </w:rPr>
              <w:t>Reconciliation of non-GAAP gross profit to gross</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4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profit: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180"/>
              <w:spacing w:after="0"/>
              <w:rPr>
                <w:sz w:val="20"/>
                <w:szCs w:val="20"/>
                <w:color w:val="auto"/>
              </w:rPr>
            </w:pPr>
            <w:r>
              <w:rPr>
                <w:rFonts w:ascii="Arial" w:cs="Arial" w:eastAsia="Arial" w:hAnsi="Arial"/>
                <w:sz w:val="15"/>
                <w:szCs w:val="15"/>
                <w:color w:val="auto"/>
              </w:rPr>
              <w:t>Total non-GAAP gross profit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541,881</w:t>
            </w:r>
          </w:p>
        </w:tc>
        <w:tc>
          <w:tcPr>
            <w:tcW w:w="4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480,763</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3"/>
              <w:spacing w:after="0"/>
              <w:rPr>
                <w:sz w:val="20"/>
                <w:szCs w:val="20"/>
                <w:color w:val="auto"/>
              </w:rPr>
            </w:pPr>
            <w:r>
              <w:rPr>
                <w:rFonts w:ascii="Arial" w:cs="Arial" w:eastAsia="Arial" w:hAnsi="Arial"/>
                <w:sz w:val="15"/>
                <w:szCs w:val="15"/>
                <w:color w:val="auto"/>
              </w:rPr>
              <w:t>1,068,017</w:t>
            </w:r>
          </w:p>
        </w:tc>
        <w:tc>
          <w:tcPr>
            <w:tcW w:w="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940,991</w:t>
            </w: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Stock-based compensation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(6,334)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(8,517)</w:t>
            </w:r>
          </w:p>
        </w:tc>
        <w:tc>
          <w:tcPr>
            <w:tcW w:w="0" w:type="dxa"/>
            <w:vAlign w:val="bottom"/>
          </w:tcPr>
          <w:p>
            <w:pPr>
              <w:spacing w:after="0"/>
              <w:rPr>
                <w:sz w:val="1"/>
                <w:szCs w:val="1"/>
                <w:color w:val="auto"/>
              </w:rPr>
            </w:pPr>
          </w:p>
        </w:tc>
      </w:tr>
      <w:tr>
        <w:trPr>
          <w:trHeight w:val="203"/>
        </w:trPr>
        <w:tc>
          <w:tcPr>
            <w:tcW w:w="3420" w:type="dxa"/>
            <w:vAlign w:val="bottom"/>
          </w:tcPr>
          <w:p>
            <w:pPr>
              <w:ind w:left="180"/>
              <w:spacing w:after="0"/>
              <w:rPr>
                <w:sz w:val="20"/>
                <w:szCs w:val="20"/>
                <w:color w:val="auto"/>
              </w:rPr>
            </w:pPr>
            <w:r>
              <w:rPr>
                <w:rFonts w:ascii="Arial" w:cs="Arial" w:eastAsia="Arial" w:hAnsi="Arial"/>
                <w:sz w:val="15"/>
                <w:szCs w:val="15"/>
                <w:color w:val="auto"/>
              </w:rPr>
              <w:t>Amortization of acquired intangibles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(29,669)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(31,236)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(59,630)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(61,872)</w:t>
            </w: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6"/>
              </w:rPr>
              <w:t>Payroll taxes related to stock-based compensation</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CCEEFF"/>
            </w:tcBorders>
          </w:tcPr>
          <w:p>
            <w:pPr>
              <w:ind w:left="400"/>
              <w:spacing w:after="0"/>
              <w:rPr>
                <w:sz w:val="20"/>
                <w:szCs w:val="20"/>
                <w:color w:val="auto"/>
              </w:rPr>
            </w:pPr>
            <w:r>
              <w:rPr>
                <w:rFonts w:ascii="Arial" w:cs="Arial" w:eastAsia="Arial" w:hAnsi="Arial"/>
                <w:sz w:val="15"/>
                <w:szCs w:val="15"/>
                <w:color w:val="auto"/>
              </w:rPr>
              <w:t>Gross profit</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505,755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445,289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996,445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870,360</w:t>
            </w: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Operating expenses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(647,582)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(757,225)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(1,402,356)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(1,400,104)</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Other expenses, net</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(23,616)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(8,239)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(91,204)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(14,916)</w:t>
            </w:r>
          </w:p>
        </w:tc>
        <w:tc>
          <w:tcPr>
            <w:tcW w:w="0" w:type="dxa"/>
            <w:vAlign w:val="bottom"/>
          </w:tcPr>
          <w:p>
            <w:pPr>
              <w:spacing w:after="0"/>
              <w:rPr>
                <w:sz w:val="1"/>
                <w:szCs w:val="1"/>
                <w:color w:val="auto"/>
              </w:rPr>
            </w:pPr>
          </w:p>
        </w:tc>
      </w:tr>
      <w:tr>
        <w:trPr>
          <w:trHeight w:val="219"/>
        </w:trPr>
        <w:tc>
          <w:tcPr>
            <w:tcW w:w="34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Loss before provision for income taxes</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(165,443)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(320,175)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(497,115)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(544,660)</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jc w:val="both"/>
        <w:ind w:right="120" w:firstLine="464"/>
        <w:spacing w:after="0" w:line="349" w:lineRule="auto"/>
        <w:rPr>
          <w:sz w:val="20"/>
          <w:szCs w:val="20"/>
          <w:color w:val="auto"/>
        </w:rPr>
      </w:pPr>
      <w:r>
        <w:rPr>
          <w:rFonts w:ascii="Arial" w:cs="Arial" w:eastAsia="Arial" w:hAnsi="Arial"/>
          <w:sz w:val="15"/>
          <w:szCs w:val="15"/>
          <w:color w:val="auto"/>
        </w:rPr>
        <w:t>Depreciation and amortization expenses included in non-GAAP gross profit for the Communications reportable segment was $13.9 million and $7.0 million in the three months ended June 30, 2023 and 2022, respectively, and $23.1 million and $13.8 million in the six months ended June 30, 2023 and 2022,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Depreciation and amortization expenses included in non-GAAP gross profit for the Data &amp; Applications reportable segment was $3.5 million and</w:t>
      </w:r>
    </w:p>
    <w:p>
      <w:pPr>
        <w:spacing w:after="0" w:line="22"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$1.5 million in the three months ended June 30, 2023 and 2022, respectively, and $6.6 million and $2.8 million in the six months ended June 30, 2023 and 2022,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Derivatives and Hedging</w:t>
      </w:r>
    </w:p>
    <w:p>
      <w:pPr>
        <w:spacing w:after="0" w:line="223" w:lineRule="exact"/>
        <w:rPr>
          <w:sz w:val="20"/>
          <w:szCs w:val="20"/>
          <w:color w:val="auto"/>
        </w:rPr>
      </w:pPr>
    </w:p>
    <w:p>
      <w:pPr>
        <w:ind w:right="420" w:firstLine="464"/>
        <w:spacing w:after="0" w:line="266" w:lineRule="auto"/>
        <w:rPr>
          <w:sz w:val="20"/>
          <w:szCs w:val="20"/>
          <w:color w:val="auto"/>
        </w:rPr>
      </w:pPr>
      <w:r>
        <w:rPr>
          <w:rFonts w:ascii="Arial" w:cs="Arial" w:eastAsia="Arial" w:hAnsi="Arial"/>
          <w:sz w:val="17"/>
          <w:szCs w:val="17"/>
          <w:color w:val="auto"/>
        </w:rPr>
        <w:t>As of June 30, 2023, the Company had outstanding foreign currency forward contracts designated as cash flow hedges with a total sell notional value of $261.0 million. The notional value represents the amount that will be sold upon maturity of the forward contract. As of June 30, 2023, these contracts had maturities of up to seventeen months.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Gains and losses associated with these foreign currency forward contracts were as follows:</w:t>
      </w:r>
    </w:p>
    <w:p>
      <w:pPr>
        <w:spacing w:after="0" w:line="200" w:lineRule="exact"/>
        <w:rPr>
          <w:sz w:val="20"/>
          <w:szCs w:val="20"/>
          <w:color w:val="auto"/>
        </w:rPr>
      </w:pP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100" w:type="dxa"/>
            <w:vAlign w:val="bottom"/>
          </w:tcPr>
          <w:p>
            <w:pPr>
              <w:spacing w:after="0"/>
              <w:rPr>
                <w:sz w:val="18"/>
                <w:szCs w:val="18"/>
                <w:color w:val="auto"/>
              </w:rPr>
            </w:pPr>
          </w:p>
        </w:tc>
        <w:tc>
          <w:tcPr>
            <w:tcW w:w="3720" w:type="dxa"/>
            <w:vAlign w:val="bottom"/>
            <w:gridSpan w:val="2"/>
          </w:tcPr>
          <w:p>
            <w:pPr>
              <w:ind w:left="20"/>
              <w:spacing w:after="0"/>
              <w:rPr>
                <w:sz w:val="20"/>
                <w:szCs w:val="20"/>
                <w:color w:val="auto"/>
              </w:rPr>
            </w:pPr>
            <w:r>
              <w:rPr>
                <w:rFonts w:ascii="Arial" w:cs="Arial" w:eastAsia="Arial" w:hAnsi="Arial"/>
                <w:sz w:val="15"/>
                <w:szCs w:val="15"/>
                <w:b w:val="1"/>
                <w:bCs w:val="1"/>
                <w:color w:val="auto"/>
                <w:w w:val="94"/>
              </w:rPr>
              <w:t>Condensed Consolidated Statement of Operations and</w:t>
            </w:r>
          </w:p>
        </w:tc>
        <w:tc>
          <w:tcPr>
            <w:tcW w:w="21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5"/>
                <w:szCs w:val="15"/>
                <w:b w:val="1"/>
                <w:bCs w:val="1"/>
                <w:color w:val="auto"/>
                <w:w w:val="96"/>
              </w:rPr>
              <w:t>Three Months Ended June 30,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4"/>
              </w:rPr>
              <w:t>Six Months Ended June</w:t>
            </w:r>
          </w:p>
        </w:tc>
      </w:tr>
      <w:tr>
        <w:trPr>
          <w:trHeight w:val="197"/>
        </w:trPr>
        <w:tc>
          <w:tcPr>
            <w:tcW w:w="3100" w:type="dxa"/>
            <w:vAlign w:val="bottom"/>
          </w:tcPr>
          <w:p>
            <w:pPr>
              <w:spacing w:after="0"/>
              <w:rPr>
                <w:sz w:val="17"/>
                <w:szCs w:val="17"/>
                <w:color w:val="auto"/>
              </w:rPr>
            </w:pPr>
          </w:p>
        </w:tc>
        <w:tc>
          <w:tcPr>
            <w:tcW w:w="3720" w:type="dxa"/>
            <w:vAlign w:val="bottom"/>
            <w:gridSpan w:val="2"/>
          </w:tcPr>
          <w:p>
            <w:pPr>
              <w:ind w:left="680"/>
              <w:spacing w:after="0"/>
              <w:rPr>
                <w:sz w:val="20"/>
                <w:szCs w:val="20"/>
                <w:color w:val="auto"/>
              </w:rPr>
            </w:pPr>
            <w:r>
              <w:rPr>
                <w:rFonts w:ascii="Arial" w:cs="Arial" w:eastAsia="Arial" w:hAnsi="Arial"/>
                <w:sz w:val="15"/>
                <w:szCs w:val="15"/>
                <w:b w:val="1"/>
                <w:bCs w:val="1"/>
                <w:color w:val="auto"/>
              </w:rPr>
              <w:t>Statement of Comprehensive Loss</w:t>
            </w:r>
          </w:p>
        </w:tc>
        <w:tc>
          <w:tcPr>
            <w:tcW w:w="240" w:type="dxa"/>
            <w:vAlign w:val="bottom"/>
          </w:tcPr>
          <w:p>
            <w:pPr>
              <w:spacing w:after="0"/>
              <w:rPr>
                <w:sz w:val="17"/>
                <w:szCs w:val="17"/>
                <w:color w:val="auto"/>
              </w:rPr>
            </w:pPr>
          </w:p>
        </w:tc>
        <w:tc>
          <w:tcPr>
            <w:tcW w:w="840" w:type="dxa"/>
            <w:vAlign w:val="bottom"/>
          </w:tcPr>
          <w:p>
            <w:pPr>
              <w:jc w:val="right"/>
              <w:ind w:right="323"/>
              <w:spacing w:after="0"/>
              <w:rPr>
                <w:sz w:val="20"/>
                <w:szCs w:val="20"/>
                <w:color w:val="auto"/>
              </w:rPr>
            </w:pPr>
            <w:r>
              <w:rPr>
                <w:rFonts w:ascii="Arial" w:cs="Arial" w:eastAsia="Arial" w:hAnsi="Arial"/>
                <w:sz w:val="15"/>
                <w:szCs w:val="15"/>
                <w:b w:val="1"/>
                <w:bCs w:val="1"/>
                <w:color w:val="auto"/>
              </w:rPr>
              <w:t>2023</w:t>
            </w:r>
          </w:p>
        </w:tc>
        <w:tc>
          <w:tcPr>
            <w:tcW w:w="280" w:type="dxa"/>
            <w:vAlign w:val="bottom"/>
          </w:tcPr>
          <w:p>
            <w:pPr>
              <w:spacing w:after="0"/>
              <w:rPr>
                <w:sz w:val="17"/>
                <w:szCs w:val="17"/>
                <w:color w:val="auto"/>
              </w:rPr>
            </w:pPr>
          </w:p>
        </w:tc>
        <w:tc>
          <w:tcPr>
            <w:tcW w:w="800" w:type="dxa"/>
            <w:vAlign w:val="bottom"/>
          </w:tcPr>
          <w:p>
            <w:pPr>
              <w:jc w:val="right"/>
              <w:ind w:right="285"/>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323"/>
              <w:spacing w:after="0"/>
              <w:rPr>
                <w:sz w:val="20"/>
                <w:szCs w:val="20"/>
                <w:color w:val="auto"/>
              </w:rPr>
            </w:pPr>
            <w:r>
              <w:rPr>
                <w:rFonts w:ascii="Arial" w:cs="Arial" w:eastAsia="Arial" w:hAnsi="Arial"/>
                <w:sz w:val="15"/>
                <w:szCs w:val="15"/>
                <w:b w:val="1"/>
                <w:bCs w:val="1"/>
                <w:color w:val="auto"/>
              </w:rPr>
              <w:t>2023</w:t>
            </w:r>
          </w:p>
        </w:tc>
        <w:tc>
          <w:tcPr>
            <w:tcW w:w="3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b w:val="1"/>
                <w:bCs w:val="1"/>
                <w:color w:val="auto"/>
              </w:rPr>
              <w:t>2022</w:t>
            </w:r>
          </w:p>
        </w:tc>
      </w:tr>
      <w:tr>
        <w:trPr>
          <w:trHeight w:val="173"/>
        </w:trPr>
        <w:tc>
          <w:tcPr>
            <w:tcW w:w="3100" w:type="dxa"/>
            <w:vAlign w:val="bottom"/>
          </w:tcPr>
          <w:p>
            <w:pPr>
              <w:spacing w:after="0"/>
              <w:rPr>
                <w:sz w:val="15"/>
                <w:szCs w:val="15"/>
                <w:color w:val="auto"/>
              </w:rPr>
            </w:pPr>
          </w:p>
        </w:tc>
        <w:tc>
          <w:tcPr>
            <w:tcW w:w="3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gridSpan w:val="4"/>
          </w:tcPr>
          <w:p>
            <w:pPr>
              <w:jc w:val="right"/>
              <w:ind w:right="643"/>
              <w:spacing w:after="0"/>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r>
      <w:tr>
        <w:trPr>
          <w:trHeight w:val="163"/>
        </w:trPr>
        <w:tc>
          <w:tcPr>
            <w:tcW w:w="3100" w:type="dxa"/>
            <w:vAlign w:val="bottom"/>
            <w:shd w:val="clear" w:color="auto" w:fill="CCEEFF"/>
          </w:tcPr>
          <w:p>
            <w:pPr>
              <w:ind w:left="20"/>
              <w:spacing w:after="0" w:line="163" w:lineRule="exact"/>
              <w:rPr>
                <w:sz w:val="20"/>
                <w:szCs w:val="20"/>
                <w:color w:val="auto"/>
              </w:rPr>
            </w:pPr>
            <w:r>
              <w:rPr>
                <w:rFonts w:ascii="Arial" w:cs="Arial" w:eastAsia="Arial" w:hAnsi="Arial"/>
                <w:sz w:val="15"/>
                <w:szCs w:val="15"/>
                <w:color w:val="auto"/>
              </w:rPr>
              <w:t>(Losses) gains recognized in OCI</w:t>
            </w:r>
          </w:p>
        </w:tc>
        <w:tc>
          <w:tcPr>
            <w:tcW w:w="372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5"/>
                <w:szCs w:val="15"/>
                <w:color w:val="auto"/>
                <w:w w:val="99"/>
              </w:rPr>
              <w:t>Net change in market value of effective foreign currency</w:t>
            </w:r>
          </w:p>
        </w:tc>
        <w:tc>
          <w:tcPr>
            <w:tcW w:w="240" w:type="dxa"/>
            <w:vAlign w:val="bottom"/>
            <w:shd w:val="clear" w:color="auto" w:fill="CCEEFF"/>
          </w:tcPr>
          <w:p>
            <w:pPr>
              <w:jc w:val="right"/>
              <w:ind w:right="63"/>
              <w:spacing w:after="0" w:line="163" w:lineRule="exact"/>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3"/>
              <w:spacing w:after="0" w:line="163" w:lineRule="exact"/>
              <w:rPr>
                <w:sz w:val="20"/>
                <w:szCs w:val="20"/>
                <w:color w:val="auto"/>
              </w:rPr>
            </w:pPr>
            <w:r>
              <w:rPr>
                <w:rFonts w:ascii="Arial" w:cs="Arial" w:eastAsia="Arial" w:hAnsi="Arial"/>
                <w:sz w:val="15"/>
                <w:szCs w:val="15"/>
                <w:color w:val="auto"/>
              </w:rPr>
              <w:t>(2,167)</w:t>
            </w:r>
          </w:p>
        </w:tc>
        <w:tc>
          <w:tcPr>
            <w:tcW w:w="280" w:type="dxa"/>
            <w:vAlign w:val="bottom"/>
            <w:shd w:val="clear" w:color="auto" w:fill="CCEEFF"/>
          </w:tcPr>
          <w:p>
            <w:pPr>
              <w:jc w:val="right"/>
              <w:ind w:right="43"/>
              <w:spacing w:after="0" w:line="163"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(11,106)</w:t>
            </w:r>
          </w:p>
        </w:tc>
        <w:tc>
          <w:tcPr>
            <w:tcW w:w="240" w:type="dxa"/>
            <w:vAlign w:val="bottom"/>
            <w:gridSpan w:val="2"/>
            <w:shd w:val="clear" w:color="auto" w:fill="CCEEFF"/>
          </w:tcPr>
          <w:p>
            <w:pPr>
              <w:jc w:val="right"/>
              <w:ind w:right="40"/>
              <w:spacing w:after="0" w:line="163"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23"/>
              <w:spacing w:after="0" w:line="163" w:lineRule="exact"/>
              <w:rPr>
                <w:sz w:val="20"/>
                <w:szCs w:val="20"/>
                <w:color w:val="auto"/>
              </w:rPr>
            </w:pPr>
            <w:r>
              <w:rPr>
                <w:rFonts w:ascii="Arial" w:cs="Arial" w:eastAsia="Arial" w:hAnsi="Arial"/>
                <w:sz w:val="15"/>
                <w:szCs w:val="15"/>
                <w:color w:val="auto"/>
              </w:rPr>
              <w:t>1,168</w:t>
            </w:r>
          </w:p>
        </w:tc>
        <w:tc>
          <w:tcPr>
            <w:tcW w:w="300" w:type="dxa"/>
            <w:vAlign w:val="bottom"/>
            <w:shd w:val="clear" w:color="auto" w:fill="CCEEFF"/>
          </w:tcPr>
          <w:p>
            <w:pPr>
              <w:jc w:val="right"/>
              <w:ind w:right="63"/>
              <w:spacing w:after="0" w:line="163"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(14</w:t>
            </w:r>
          </w:p>
        </w:tc>
      </w:tr>
      <w:tr>
        <w:trPr>
          <w:trHeight w:val="201"/>
        </w:trPr>
        <w:tc>
          <w:tcPr>
            <w:tcW w:w="3100" w:type="dxa"/>
            <w:vAlign w:val="bottom"/>
            <w:shd w:val="clear" w:color="auto" w:fill="CCEEFF"/>
          </w:tcPr>
          <w:p>
            <w:pPr>
              <w:spacing w:after="0"/>
              <w:rPr>
                <w:sz w:val="17"/>
                <w:szCs w:val="17"/>
                <w:color w:val="auto"/>
              </w:rPr>
            </w:pPr>
          </w:p>
        </w:tc>
        <w:tc>
          <w:tcPr>
            <w:tcW w:w="37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forward exchange contracts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160"/>
        </w:trPr>
        <w:tc>
          <w:tcPr>
            <w:tcW w:w="3100" w:type="dxa"/>
            <w:vAlign w:val="bottom"/>
          </w:tcPr>
          <w:p>
            <w:pPr>
              <w:ind w:left="20"/>
              <w:spacing w:after="0" w:line="160" w:lineRule="exact"/>
              <w:rPr>
                <w:sz w:val="20"/>
                <w:szCs w:val="20"/>
                <w:color w:val="auto"/>
              </w:rPr>
            </w:pPr>
            <w:r>
              <w:rPr>
                <w:rFonts w:ascii="Arial" w:cs="Arial" w:eastAsia="Arial" w:hAnsi="Arial"/>
                <w:sz w:val="15"/>
                <w:szCs w:val="15"/>
                <w:color w:val="auto"/>
              </w:rPr>
              <w:t>Gains (losses) recognized in income due to</w:t>
            </w:r>
          </w:p>
        </w:tc>
        <w:tc>
          <w:tcPr>
            <w:tcW w:w="3720" w:type="dxa"/>
            <w:vAlign w:val="bottom"/>
            <w:gridSpan w:val="2"/>
          </w:tcPr>
          <w:p>
            <w:pPr>
              <w:ind w:left="20"/>
              <w:spacing w:after="0" w:line="160" w:lineRule="exact"/>
              <w:rPr>
                <w:sz w:val="20"/>
                <w:szCs w:val="20"/>
                <w:color w:val="auto"/>
              </w:rPr>
            </w:pPr>
            <w:r>
              <w:rPr>
                <w:rFonts w:ascii="Arial" w:cs="Arial" w:eastAsia="Arial" w:hAnsi="Arial"/>
                <w:sz w:val="15"/>
                <w:szCs w:val="15"/>
                <w:color w:val="auto"/>
              </w:rPr>
              <w:t>Cost of revenue</w:t>
            </w:r>
          </w:p>
        </w:tc>
        <w:tc>
          <w:tcPr>
            <w:tcW w:w="240" w:type="dxa"/>
            <w:vAlign w:val="bottom"/>
          </w:tcPr>
          <w:p>
            <w:pPr>
              <w:jc w:val="right"/>
              <w:ind w:right="63"/>
              <w:spacing w:after="0" w:line="160" w:lineRule="exact"/>
              <w:rPr>
                <w:sz w:val="20"/>
                <w:szCs w:val="20"/>
                <w:color w:val="auto"/>
              </w:rPr>
            </w:pPr>
            <w:r>
              <w:rPr>
                <w:rFonts w:ascii="Arial" w:cs="Arial" w:eastAsia="Arial" w:hAnsi="Arial"/>
                <w:sz w:val="15"/>
                <w:szCs w:val="15"/>
                <w:color w:val="auto"/>
                <w:w w:val="95"/>
              </w:rPr>
              <w:t>$</w:t>
            </w:r>
          </w:p>
        </w:tc>
        <w:tc>
          <w:tcPr>
            <w:tcW w:w="840" w:type="dxa"/>
            <w:vAlign w:val="bottom"/>
          </w:tcPr>
          <w:p>
            <w:pPr>
              <w:jc w:val="right"/>
              <w:ind w:right="43"/>
              <w:spacing w:after="0" w:line="160" w:lineRule="exact"/>
              <w:rPr>
                <w:sz w:val="20"/>
                <w:szCs w:val="20"/>
                <w:color w:val="auto"/>
              </w:rPr>
            </w:pPr>
            <w:r>
              <w:rPr>
                <w:rFonts w:ascii="Arial" w:cs="Arial" w:eastAsia="Arial" w:hAnsi="Arial"/>
                <w:sz w:val="15"/>
                <w:szCs w:val="15"/>
                <w:color w:val="auto"/>
              </w:rPr>
              <w:t>2,161</w:t>
            </w:r>
          </w:p>
        </w:tc>
        <w:tc>
          <w:tcPr>
            <w:tcW w:w="280" w:type="dxa"/>
            <w:vAlign w:val="bottom"/>
          </w:tcPr>
          <w:p>
            <w:pPr>
              <w:jc w:val="right"/>
              <w:ind w:right="43"/>
              <w:spacing w:after="0" w:line="160" w:lineRule="exact"/>
              <w:rPr>
                <w:sz w:val="20"/>
                <w:szCs w:val="20"/>
                <w:color w:val="auto"/>
              </w:rPr>
            </w:pPr>
            <w:r>
              <w:rPr>
                <w:rFonts w:ascii="Arial" w:cs="Arial" w:eastAsia="Arial" w:hAnsi="Arial"/>
                <w:sz w:val="15"/>
                <w:szCs w:val="15"/>
                <w:color w:val="auto"/>
              </w:rPr>
              <w:t>$</w:t>
            </w:r>
          </w:p>
        </w:tc>
        <w:tc>
          <w:tcPr>
            <w:tcW w:w="800" w:type="dxa"/>
            <w:vAlign w:val="bottom"/>
          </w:tcPr>
          <w:p>
            <w:pPr>
              <w:jc w:val="right"/>
              <w:spacing w:after="0" w:line="160" w:lineRule="exact"/>
              <w:rPr>
                <w:sz w:val="20"/>
                <w:szCs w:val="20"/>
                <w:color w:val="auto"/>
              </w:rPr>
            </w:pPr>
            <w:r>
              <w:rPr>
                <w:rFonts w:ascii="Arial" w:cs="Arial" w:eastAsia="Arial" w:hAnsi="Arial"/>
                <w:sz w:val="15"/>
                <w:szCs w:val="15"/>
                <w:color w:val="auto"/>
              </w:rPr>
              <w:t>(7,566)</w:t>
            </w:r>
          </w:p>
        </w:tc>
        <w:tc>
          <w:tcPr>
            <w:tcW w:w="240" w:type="dxa"/>
            <w:vAlign w:val="bottom"/>
            <w:gridSpan w:val="2"/>
          </w:tcPr>
          <w:p>
            <w:pPr>
              <w:jc w:val="right"/>
              <w:ind w:right="40"/>
              <w:spacing w:after="0" w:line="160"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23"/>
              <w:spacing w:after="0" w:line="160" w:lineRule="exact"/>
              <w:rPr>
                <w:sz w:val="20"/>
                <w:szCs w:val="20"/>
                <w:color w:val="auto"/>
              </w:rPr>
            </w:pPr>
            <w:r>
              <w:rPr>
                <w:rFonts w:ascii="Arial" w:cs="Arial" w:eastAsia="Arial" w:hAnsi="Arial"/>
                <w:sz w:val="15"/>
                <w:szCs w:val="15"/>
                <w:color w:val="auto"/>
              </w:rPr>
              <w:t>2,895</w:t>
            </w:r>
          </w:p>
        </w:tc>
        <w:tc>
          <w:tcPr>
            <w:tcW w:w="300" w:type="dxa"/>
            <w:vAlign w:val="bottom"/>
          </w:tcPr>
          <w:p>
            <w:pPr>
              <w:jc w:val="right"/>
              <w:ind w:right="63"/>
              <w:spacing w:after="0" w:line="160" w:lineRule="exact"/>
              <w:rPr>
                <w:sz w:val="20"/>
                <w:szCs w:val="20"/>
                <w:color w:val="auto"/>
              </w:rPr>
            </w:pPr>
            <w:r>
              <w:rPr>
                <w:rFonts w:ascii="Arial" w:cs="Arial" w:eastAsia="Arial" w:hAnsi="Arial"/>
                <w:sz w:val="15"/>
                <w:szCs w:val="15"/>
                <w:color w:val="auto"/>
              </w:rPr>
              <w:t>$</w:t>
            </w:r>
          </w:p>
        </w:tc>
        <w:tc>
          <w:tcPr>
            <w:tcW w:w="440" w:type="dxa"/>
            <w:vAlign w:val="bottom"/>
          </w:tcPr>
          <w:p>
            <w:pPr>
              <w:jc w:val="right"/>
              <w:spacing w:after="0" w:line="160" w:lineRule="exact"/>
              <w:rPr>
                <w:sz w:val="20"/>
                <w:szCs w:val="20"/>
                <w:color w:val="auto"/>
              </w:rPr>
            </w:pPr>
            <w:r>
              <w:rPr>
                <w:rFonts w:ascii="Arial" w:cs="Arial" w:eastAsia="Arial" w:hAnsi="Arial"/>
                <w:sz w:val="15"/>
                <w:szCs w:val="15"/>
                <w:color w:val="auto"/>
              </w:rPr>
              <w:t>(9</w:t>
            </w:r>
          </w:p>
        </w:tc>
      </w:tr>
      <w:tr>
        <w:trPr>
          <w:trHeight w:val="196"/>
        </w:trPr>
        <w:tc>
          <w:tcPr>
            <w:tcW w:w="3100" w:type="dxa"/>
            <w:vAlign w:val="bottom"/>
          </w:tcPr>
          <w:p>
            <w:pPr>
              <w:ind w:left="180"/>
              <w:spacing w:after="0"/>
              <w:rPr>
                <w:sz w:val="20"/>
                <w:szCs w:val="20"/>
                <w:color w:val="auto"/>
              </w:rPr>
            </w:pPr>
            <w:r>
              <w:rPr>
                <w:rFonts w:ascii="Arial" w:cs="Arial" w:eastAsia="Arial" w:hAnsi="Arial"/>
                <w:sz w:val="15"/>
                <w:szCs w:val="15"/>
                <w:color w:val="auto"/>
              </w:rPr>
              <w:t>instruments maturing</w:t>
            </w: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00" w:firstLine="464"/>
        <w:spacing w:after="0" w:line="279" w:lineRule="auto"/>
        <w:rPr>
          <w:sz w:val="20"/>
          <w:szCs w:val="20"/>
          <w:color w:val="auto"/>
        </w:rPr>
      </w:pPr>
      <w:r>
        <w:rPr>
          <w:rFonts w:ascii="Arial" w:cs="Arial" w:eastAsia="Arial" w:hAnsi="Arial"/>
          <w:sz w:val="16"/>
          <w:szCs w:val="16"/>
          <w:color w:val="auto"/>
        </w:rPr>
        <w:t>The Company is subject to master netting agreements with certain counterparties of the foreign exchange contracts, under which it is permitted to net settle transactions of the same currency with a single net amount payable by one party to the other. It is the Company’s policy to present the derivatives at gross in its condensed consolidated balance sheets. The Company’s foreign currency forward contracts are not subject to any credit contingent features or collateral requirements. The Company manages its exposure to counterparty risk by entering into contracts with a diversified group of major financial institutions and by actively monitoring its outstanding positions. As of June 30, 2023, the Company did not have any offsetting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Goodwill and Intangible Assets</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Goodwill</w:t>
      </w:r>
    </w:p>
    <w:p>
      <w:pPr>
        <w:spacing w:after="0" w:line="165" w:lineRule="exact"/>
        <w:rPr>
          <w:sz w:val="20"/>
          <w:szCs w:val="20"/>
          <w:color w:val="auto"/>
        </w:rPr>
      </w:pPr>
    </w:p>
    <w:p>
      <w:pPr>
        <w:ind w:firstLine="464"/>
        <w:spacing w:after="0" w:line="318" w:lineRule="auto"/>
        <w:rPr>
          <w:sz w:val="20"/>
          <w:szCs w:val="20"/>
          <w:color w:val="auto"/>
        </w:rPr>
      </w:pPr>
      <w:r>
        <w:rPr>
          <w:rFonts w:ascii="Arial" w:cs="Arial" w:eastAsia="Arial" w:hAnsi="Arial"/>
          <w:sz w:val="15"/>
          <w:szCs w:val="15"/>
          <w:color w:val="auto"/>
        </w:rPr>
        <w:t>As described in Note 8, beginning in the second quarter of 2023, the Company concluded it had two operating and reportable segments. In connection with the shift from one operating and reportable segment to two operating and reportable segments, the Company reevaluated its reporting unit structure and determined that it had multiple reporting units. As such, during the second quarter of 2023, the Company reallocated goodwill to its newly formed reporting units.</w:t>
      </w:r>
    </w:p>
    <w:p>
      <w:pPr>
        <w:spacing w:after="0" w:line="165" w:lineRule="exact"/>
        <w:rPr>
          <w:sz w:val="20"/>
          <w:szCs w:val="20"/>
          <w:color w:val="auto"/>
        </w:rPr>
      </w:pPr>
    </w:p>
    <w:p>
      <w:pPr>
        <w:ind w:firstLine="464"/>
        <w:spacing w:after="0" w:line="295" w:lineRule="auto"/>
        <w:rPr>
          <w:sz w:val="20"/>
          <w:szCs w:val="20"/>
          <w:color w:val="auto"/>
        </w:rPr>
      </w:pPr>
      <w:r>
        <w:rPr>
          <w:rFonts w:ascii="Arial" w:cs="Arial" w:eastAsia="Arial" w:hAnsi="Arial"/>
          <w:sz w:val="15"/>
          <w:szCs w:val="15"/>
          <w:color w:val="auto"/>
        </w:rPr>
        <w:t>The Company estimates the fair value of its reporting units using a weighting of fair values derived from an income and a market approach. Estimating the fair value by these methods involves the use of a number of key assumptions including forecasted revenues and related growth rates, forecasted operating cash flows, the discount rate, and the selection of relevant market multiples of comparable publicly-traded companies with similar characteristics to the reporting unit. Under the income approach, the Company determined the fair value of a reporting unit based on the present value of estimated future cash flows. Cash flow projections are based on the Company’s best estimates of forecasted economic and market conditions over the period including growth rates and expected changes in operating cash flows. The discount rate used is based on a weighted average cost of capital adjusted for the relevant risk associated with the characteristics of the business and the projected cash flows. The market approach estimates fair value based on market multiples of current and forward 12-month revenue or adjusted EBITDA, as applicable, derived from comparable publicly traded companies with similar operating and investment characteristics as the reporting unit.</w:t>
      </w:r>
    </w:p>
    <w:p>
      <w:pPr>
        <w:spacing w:after="0" w:line="186" w:lineRule="exact"/>
        <w:rPr>
          <w:sz w:val="20"/>
          <w:szCs w:val="20"/>
          <w:color w:val="auto"/>
        </w:rPr>
      </w:pPr>
    </w:p>
    <w:p>
      <w:pPr>
        <w:ind w:right="220" w:firstLine="464"/>
        <w:spacing w:after="0" w:line="279" w:lineRule="auto"/>
        <w:rPr>
          <w:sz w:val="20"/>
          <w:szCs w:val="20"/>
          <w:color w:val="auto"/>
        </w:rPr>
      </w:pPr>
      <w:r>
        <w:rPr>
          <w:rFonts w:ascii="Arial" w:cs="Arial" w:eastAsia="Arial" w:hAnsi="Arial"/>
          <w:sz w:val="17"/>
          <w:szCs w:val="17"/>
          <w:color w:val="auto"/>
        </w:rPr>
        <w:t>While these assumptions reflect management’s best estimates of future performance at the time, these estimates are inherently complex and uncertain and the Company’s actual results could differ materially from these estimates.</w:t>
      </w:r>
    </w:p>
    <w:p>
      <w:pPr>
        <w:spacing w:after="0" w:line="190" w:lineRule="exact"/>
        <w:rPr>
          <w:sz w:val="20"/>
          <w:szCs w:val="20"/>
          <w:color w:val="auto"/>
        </w:rPr>
      </w:pPr>
    </w:p>
    <w:p>
      <w:pPr>
        <w:ind w:right="20" w:firstLine="464"/>
        <w:spacing w:after="0" w:line="266" w:lineRule="auto"/>
        <w:rPr>
          <w:sz w:val="20"/>
          <w:szCs w:val="20"/>
          <w:color w:val="auto"/>
        </w:rPr>
      </w:pPr>
      <w:r>
        <w:rPr>
          <w:rFonts w:ascii="Arial" w:cs="Arial" w:eastAsia="Arial" w:hAnsi="Arial"/>
          <w:sz w:val="17"/>
          <w:szCs w:val="17"/>
          <w:color w:val="auto"/>
        </w:rPr>
        <w:t>In connection with the goodwill reallocation, the Company assessed goodwill for impairment immediately before and immediately after the change in the reporting unit structure and related goodwill reallocation. Both assessments concluded that the fair value of the reporting units were above their respective carrying amounts.</w:t>
      </w:r>
    </w:p>
    <w:p>
      <w:pPr>
        <w:spacing w:after="0" w:line="201" w:lineRule="exact"/>
        <w:rPr>
          <w:sz w:val="20"/>
          <w:szCs w:val="20"/>
          <w:color w:val="auto"/>
        </w:rPr>
      </w:pPr>
    </w:p>
    <w:p>
      <w:pPr>
        <w:ind w:right="280" w:firstLine="464"/>
        <w:spacing w:after="0" w:line="279" w:lineRule="auto"/>
        <w:rPr>
          <w:sz w:val="20"/>
          <w:szCs w:val="20"/>
          <w:color w:val="auto"/>
        </w:rPr>
      </w:pPr>
      <w:r>
        <w:rPr>
          <w:rFonts w:ascii="Arial" w:cs="Arial" w:eastAsia="Arial" w:hAnsi="Arial"/>
          <w:sz w:val="17"/>
          <w:szCs w:val="17"/>
          <w:color w:val="auto"/>
        </w:rPr>
        <w:t>The following table presents the goodwill allocated to the Company’s reportable segments as of June 30, 2023, and December 31, 2022, and the changes during the period:</w:t>
      </w:r>
    </w:p>
    <w:p>
      <w:pPr>
        <w:spacing w:after="0" w:line="211"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4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ind w:right="643"/>
              <w:spacing w:after="0"/>
              <w:rPr>
                <w:sz w:val="20"/>
                <w:szCs w:val="20"/>
                <w:color w:val="auto"/>
              </w:rPr>
            </w:pPr>
            <w:r>
              <w:rPr>
                <w:rFonts w:ascii="Arial" w:cs="Arial" w:eastAsia="Arial" w:hAnsi="Arial"/>
                <w:sz w:val="15"/>
                <w:szCs w:val="15"/>
                <w:b w:val="1"/>
                <w:bCs w:val="1"/>
                <w:color w:val="auto"/>
              </w:rPr>
              <w:t>Twilio</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jc w:val="right"/>
              <w:ind w:right="664"/>
              <w:spacing w:after="0"/>
              <w:rPr>
                <w:sz w:val="20"/>
                <w:szCs w:val="20"/>
                <w:color w:val="auto"/>
              </w:rPr>
            </w:pPr>
            <w:r>
              <w:rPr>
                <w:rFonts w:ascii="Arial" w:cs="Arial" w:eastAsia="Arial" w:hAnsi="Arial"/>
                <w:sz w:val="15"/>
                <w:szCs w:val="15"/>
                <w:b w:val="1"/>
                <w:bCs w:val="1"/>
                <w:color w:val="auto"/>
              </w:rPr>
              <w:t>Twilio</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vMerge w:val="restart"/>
          </w:tcPr>
          <w:p>
            <w:pPr>
              <w:jc w:val="right"/>
              <w:ind w:right="58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4"/>
        </w:trPr>
        <w:tc>
          <w:tcPr>
            <w:tcW w:w="4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Communications</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Data &amp; Applications</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jc w:val="right"/>
              <w:ind w:right="564"/>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as of December 31, 2022</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5,284,153</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5"/>
                <w:szCs w:val="15"/>
                <w:color w:val="auto"/>
              </w:rPr>
              <w:t>Foreign currency adjustments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3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ind w:left="180"/>
              <w:spacing w:after="0" w:line="209" w:lineRule="exact"/>
              <w:rPr>
                <w:sz w:val="20"/>
                <w:szCs w:val="20"/>
                <w:color w:val="auto"/>
              </w:rPr>
            </w:pPr>
            <w:r>
              <w:rPr>
                <w:rFonts w:ascii="Arial" w:cs="Arial" w:eastAsia="Arial" w:hAnsi="Arial"/>
                <w:sz w:val="15"/>
                <w:szCs w:val="15"/>
                <w:color w:val="auto"/>
              </w:rPr>
              <w:t>Reallocation to segments in the second quarter of 2023</w:t>
            </w:r>
            <w:r>
              <w:rPr>
                <w:rFonts w:ascii="Arial" w:cs="Arial" w:eastAsia="Arial" w:hAnsi="Arial"/>
                <w:sz w:val="20"/>
                <w:szCs w:val="20"/>
                <w:color w:val="auto"/>
                <w:vertAlign w:val="superscript"/>
              </w:rPr>
              <w:t>(1)</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4,321,130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963,049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4380" w:type="dxa"/>
            <w:vAlign w:val="bottom"/>
          </w:tcPr>
          <w:p>
            <w:pPr>
              <w:ind w:left="180"/>
              <w:spacing w:after="0"/>
              <w:rPr>
                <w:sz w:val="20"/>
                <w:szCs w:val="20"/>
                <w:color w:val="auto"/>
              </w:rPr>
            </w:pPr>
            <w:r>
              <w:rPr>
                <w:rFonts w:ascii="Arial" w:cs="Arial" w:eastAsia="Arial" w:hAnsi="Arial"/>
                <w:sz w:val="15"/>
                <w:szCs w:val="15"/>
                <w:color w:val="auto"/>
              </w:rPr>
              <w:t>Foreign currency adjustments</w:t>
            </w: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251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251</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5"/>
                <w:szCs w:val="15"/>
                <w:color w:val="auto"/>
              </w:rPr>
              <w:t>Goodwill divested or included in disposal group</w:t>
            </w:r>
            <w:r>
              <w:rPr>
                <w:rFonts w:ascii="Arial" w:cs="Arial" w:eastAsia="Arial" w:hAnsi="Arial"/>
                <w:sz w:val="20"/>
                <w:szCs w:val="20"/>
                <w:color w:val="auto"/>
                <w:vertAlign w:val="superscript"/>
              </w:rPr>
              <w:t>(2)</w:t>
            </w: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(41,164)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(41,164)</w:t>
            </w:r>
          </w:p>
        </w:tc>
        <w:tc>
          <w:tcPr>
            <w:tcW w:w="0" w:type="dxa"/>
            <w:vAlign w:val="bottom"/>
          </w:tcPr>
          <w:p>
            <w:pPr>
              <w:spacing w:after="0"/>
              <w:rPr>
                <w:sz w:val="1"/>
                <w:szCs w:val="1"/>
                <w:color w:val="auto"/>
              </w:rPr>
            </w:pPr>
          </w:p>
        </w:tc>
      </w:tr>
      <w:tr>
        <w:trPr>
          <w:trHeight w:val="199"/>
        </w:trPr>
        <w:tc>
          <w:tcPr>
            <w:tcW w:w="4380" w:type="dxa"/>
            <w:vAlign w:val="bottom"/>
          </w:tcPr>
          <w:p>
            <w:pPr>
              <w:ind w:left="20"/>
              <w:spacing w:after="0"/>
              <w:rPr>
                <w:sz w:val="20"/>
                <w:szCs w:val="20"/>
                <w:color w:val="auto"/>
              </w:rPr>
            </w:pPr>
            <w:r>
              <w:rPr>
                <w:rFonts w:ascii="Arial" w:cs="Arial" w:eastAsia="Arial" w:hAnsi="Arial"/>
                <w:sz w:val="15"/>
                <w:szCs w:val="15"/>
                <w:color w:val="auto"/>
              </w:rPr>
              <w:t>Balance as of June 30, 2023</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4,280,217</w:t>
            </w:r>
          </w:p>
        </w:tc>
        <w:tc>
          <w:tcPr>
            <w:tcW w:w="2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963,049</w:t>
            </w:r>
          </w:p>
        </w:tc>
        <w:tc>
          <w:tcPr>
            <w:tcW w:w="4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5,243,266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ind w:left="460"/>
        <w:spacing w:after="0" w:line="185" w:lineRule="auto"/>
        <w:rPr>
          <w:sz w:val="20"/>
          <w:szCs w:val="20"/>
          <w:color w:val="auto"/>
        </w:rPr>
      </w:pPr>
      <w:r>
        <w:rPr>
          <w:rFonts w:ascii="Arial" w:cs="Arial" w:eastAsia="Arial" w:hAnsi="Arial"/>
          <w:sz w:val="17"/>
          <w:szCs w:val="17"/>
          <w:color w:val="auto"/>
          <w:vertAlign w:val="superscript"/>
        </w:rPr>
        <w:t>(</w:t>
      </w:r>
      <w:r>
        <w:rPr>
          <w:rFonts w:ascii="Arial" w:cs="Arial" w:eastAsia="Arial" w:hAnsi="Arial"/>
          <w:sz w:val="20"/>
          <w:szCs w:val="20"/>
          <w:color w:val="auto"/>
          <w:vertAlign w:val="superscript"/>
        </w:rPr>
        <w:t>1</w:t>
      </w:r>
      <w:r>
        <w:rPr>
          <w:rFonts w:ascii="Arial" w:cs="Arial" w:eastAsia="Arial" w:hAnsi="Arial"/>
          <w:sz w:val="17"/>
          <w:szCs w:val="17"/>
          <w:color w:val="auto"/>
          <w:vertAlign w:val="superscript"/>
        </w:rPr>
        <w:t>)</w:t>
      </w:r>
      <w:r>
        <w:rPr>
          <w:rFonts w:ascii="Arial" w:cs="Arial" w:eastAsia="Arial" w:hAnsi="Arial"/>
          <w:sz w:val="14"/>
          <w:szCs w:val="14"/>
          <w:color w:val="auto"/>
        </w:rPr>
        <w:t xml:space="preserve"> Represents reallocation of goodwill as a result of changes in segment structure in the second quarter of 2023.</w:t>
      </w:r>
    </w:p>
    <w:p>
      <w:pPr>
        <w:ind w:left="600" w:hanging="133"/>
        <w:spacing w:after="0" w:line="223" w:lineRule="auto"/>
        <w:tabs>
          <w:tab w:leader="none" w:pos="60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Represents goodwill related to the assets held for sale of the ValueFirst business and the divestiture of IoT. See Note 5 for further details.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Intangible assets consisted of the following:</w:t>
      </w:r>
    </w:p>
    <w:p>
      <w:pPr>
        <w:spacing w:after="0" w:line="267" w:lineRule="exact"/>
        <w:rPr>
          <w:sz w:val="20"/>
          <w:szCs w:val="20"/>
          <w:color w:val="auto"/>
        </w:rPr>
      </w:pPr>
    </w:p>
    <w:tbl>
      <w:tblPr>
        <w:tblLayout w:type="fixed"/>
        <w:tblInd w:w="620" w:type="dxa"/>
        <w:tblCellMar>
          <w:top w:w="0" w:type="dxa"/>
          <w:left w:w="0" w:type="dxa"/>
          <w:bottom w:w="0" w:type="dxa"/>
          <w:right w:w="0" w:type="dxa"/>
        </w:tblCellMar>
      </w:tblPr>
      <w:tr>
        <w:trPr>
          <w:trHeight w:val="213"/>
        </w:trPr>
        <w:tc>
          <w:tcPr>
            <w:tcW w:w="6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1"/>
              </w:rPr>
              <w:t>As of June 30, 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43"/>
              <w:spacing w:after="0"/>
              <w:rPr>
                <w:sz w:val="20"/>
                <w:szCs w:val="20"/>
                <w:color w:val="auto"/>
              </w:rPr>
            </w:pPr>
            <w:r>
              <w:rPr>
                <w:rFonts w:ascii="Arial" w:cs="Arial" w:eastAsia="Arial" w:hAnsi="Arial"/>
                <w:sz w:val="15"/>
                <w:szCs w:val="15"/>
                <w:b w:val="1"/>
                <w:bCs w:val="1"/>
                <w:color w:val="auto"/>
              </w:rPr>
              <w:t>Cost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103"/>
              <w:spacing w:after="0" w:line="155" w:lineRule="exact"/>
              <w:rPr>
                <w:sz w:val="20"/>
                <w:szCs w:val="20"/>
                <w:color w:val="auto"/>
              </w:rPr>
            </w:pPr>
            <w:r>
              <w:rPr>
                <w:rFonts w:ascii="Arial" w:cs="Arial" w:eastAsia="Arial" w:hAnsi="Arial"/>
                <w:sz w:val="15"/>
                <w:szCs w:val="15"/>
                <w:b w:val="1"/>
                <w:bCs w:val="1"/>
                <w:color w:val="auto"/>
                <w:w w:val="93"/>
              </w:rPr>
              <w:t>Accumulated</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83"/>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204"/>
        </w:trPr>
        <w:tc>
          <w:tcPr>
            <w:tcW w:w="6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b w:val="1"/>
                <w:bCs w:val="1"/>
                <w:color w:val="auto"/>
                <w:w w:val="95"/>
              </w:rPr>
              <w:t>Amortization</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Amortizable intangible 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right="103"/>
              <w:spacing w:after="0"/>
              <w:rPr>
                <w:sz w:val="20"/>
                <w:szCs w:val="20"/>
                <w:color w:val="auto"/>
              </w:rPr>
            </w:pPr>
            <w:r>
              <w:rPr>
                <w:rFonts w:ascii="Arial" w:cs="Arial" w:eastAsia="Arial" w:hAnsi="Arial"/>
                <w:sz w:val="14"/>
                <w:szCs w:val="14"/>
                <w:color w:val="auto"/>
                <w:w w:val="89"/>
              </w:rPr>
              <w:t>(In thousands)</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5"/>
                <w:szCs w:val="15"/>
                <w:color w:val="auto"/>
              </w:rPr>
              <w:t>Developed technology</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782,519</w:t>
            </w:r>
          </w:p>
        </w:tc>
        <w:tc>
          <w:tcPr>
            <w:tcW w:w="280" w:type="dxa"/>
            <w:vAlign w:val="bottom"/>
            <w:gridSpan w:val="2"/>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(385,161)</w:t>
            </w: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397,358</w:t>
            </w: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Customer relationships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523,664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(234,647)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289,017</w:t>
            </w: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5"/>
                <w:szCs w:val="15"/>
                <w:color w:val="auto"/>
              </w:rPr>
              <w:t>Supplier relationships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49,756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(21,776)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27,980</w:t>
            </w: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Trade names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4,908</w:t>
            </w: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5"/>
                <w:szCs w:val="15"/>
                <w:color w:val="auto"/>
              </w:rPr>
              <w:t>Order backlog</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Patent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3,969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3,166</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tcPr>
          <w:p>
            <w:pPr>
              <w:ind w:left="480"/>
              <w:spacing w:after="0"/>
              <w:rPr>
                <w:sz w:val="20"/>
                <w:szCs w:val="20"/>
                <w:color w:val="auto"/>
              </w:rPr>
            </w:pPr>
            <w:r>
              <w:rPr>
                <w:rFonts w:ascii="Arial" w:cs="Arial" w:eastAsia="Arial" w:hAnsi="Arial"/>
                <w:sz w:val="15"/>
                <w:szCs w:val="15"/>
                <w:color w:val="auto"/>
              </w:rPr>
              <w:t>Total amortizable intangible assets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1,395,876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(673,447)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722,429</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Non-amortizable intangible assets: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80"/>
              <w:spacing w:after="0"/>
              <w:rPr>
                <w:sz w:val="20"/>
                <w:szCs w:val="20"/>
                <w:color w:val="auto"/>
              </w:rPr>
            </w:pPr>
            <w:r>
              <w:rPr>
                <w:rFonts w:ascii="Arial" w:cs="Arial" w:eastAsia="Arial" w:hAnsi="Arial"/>
                <w:sz w:val="15"/>
                <w:szCs w:val="15"/>
                <w:color w:val="auto"/>
              </w:rPr>
              <w:t>Telecommunication licenses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4,920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4,920</w:t>
            </w:r>
          </w:p>
        </w:tc>
        <w:tc>
          <w:tcPr>
            <w:tcW w:w="0" w:type="dxa"/>
            <w:vAlign w:val="bottom"/>
          </w:tcPr>
          <w:p>
            <w:pPr>
              <w:spacing w:after="0"/>
              <w:rPr>
                <w:sz w:val="1"/>
                <w:szCs w:val="1"/>
                <w:color w:val="auto"/>
              </w:rPr>
            </w:pPr>
          </w:p>
        </w:tc>
      </w:tr>
      <w:tr>
        <w:trPr>
          <w:trHeight w:val="209"/>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Trademarks and other</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295</w:t>
            </w:r>
          </w:p>
        </w:tc>
        <w:tc>
          <w:tcPr>
            <w:tcW w:w="0" w:type="dxa"/>
            <w:vAlign w:val="bottom"/>
          </w:tcPr>
          <w:p>
            <w:pPr>
              <w:spacing w:after="0"/>
              <w:rPr>
                <w:sz w:val="1"/>
                <w:szCs w:val="1"/>
                <w:color w:val="auto"/>
              </w:rPr>
            </w:pPr>
          </w:p>
        </w:tc>
      </w:tr>
      <w:tr>
        <w:trPr>
          <w:trHeight w:val="199"/>
        </w:trPr>
        <w:tc>
          <w:tcPr>
            <w:tcW w:w="6380" w:type="dxa"/>
            <w:vAlign w:val="bottom"/>
          </w:tcPr>
          <w:p>
            <w:pPr>
              <w:ind w:left="480"/>
              <w:spacing w:after="0"/>
              <w:rPr>
                <w:sz w:val="20"/>
                <w:szCs w:val="20"/>
                <w:color w:val="auto"/>
              </w:rPr>
            </w:pPr>
            <w:r>
              <w:rPr>
                <w:rFonts w:ascii="Arial" w:cs="Arial" w:eastAsia="Arial" w:hAnsi="Arial"/>
                <w:sz w:val="15"/>
                <w:szCs w:val="15"/>
                <w:color w:val="auto"/>
              </w:rPr>
              <w:t>Total</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1,401,091</w:t>
            </w:r>
          </w:p>
        </w:tc>
        <w:tc>
          <w:tcPr>
            <w:tcW w:w="280" w:type="dxa"/>
            <w:vAlign w:val="bottom"/>
            <w:gridSpan w:val="2"/>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(673,447)</w:t>
            </w: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727,644</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tbl>
      <w:tblPr>
        <w:tblLayout w:type="fixed"/>
        <w:tblInd w:w="26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5"/>
                <w:szCs w:val="15"/>
                <w:b w:val="1"/>
                <w:bCs w:val="1"/>
                <w:color w:val="auto"/>
                <w:w w:val="91"/>
              </w:rPr>
              <w:t>As of December 31, 2022</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463"/>
              <w:spacing w:after="0"/>
              <w:rPr>
                <w:sz w:val="20"/>
                <w:szCs w:val="20"/>
                <w:color w:val="auto"/>
              </w:rPr>
            </w:pPr>
            <w:r>
              <w:rPr>
                <w:rFonts w:ascii="Arial" w:cs="Arial" w:eastAsia="Arial" w:hAnsi="Arial"/>
                <w:sz w:val="15"/>
                <w:szCs w:val="15"/>
                <w:b w:val="1"/>
                <w:bCs w:val="1"/>
                <w:color w:val="auto"/>
              </w:rPr>
              <w:t>Cost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jc w:val="center"/>
              <w:ind w:right="280"/>
              <w:spacing w:after="0" w:line="155" w:lineRule="exact"/>
              <w:rPr>
                <w:sz w:val="20"/>
                <w:szCs w:val="20"/>
                <w:color w:val="auto"/>
              </w:rPr>
            </w:pPr>
            <w:r>
              <w:rPr>
                <w:rFonts w:ascii="Arial" w:cs="Arial" w:eastAsia="Arial" w:hAnsi="Arial"/>
                <w:sz w:val="15"/>
                <w:szCs w:val="15"/>
                <w:b w:val="1"/>
                <w:bCs w:val="1"/>
                <w:color w:val="auto"/>
                <w:w w:val="93"/>
              </w:rPr>
              <w:t>Accumulated</w:t>
            </w:r>
          </w:p>
        </w:tc>
        <w:tc>
          <w:tcPr>
            <w:tcW w:w="320" w:type="dxa"/>
            <w:vAlign w:val="bottom"/>
          </w:tcPr>
          <w:p>
            <w:pPr>
              <w:spacing w:after="0"/>
              <w:rPr>
                <w:sz w:val="13"/>
                <w:szCs w:val="13"/>
                <w:color w:val="auto"/>
              </w:rPr>
            </w:pPr>
          </w:p>
        </w:tc>
        <w:tc>
          <w:tcPr>
            <w:tcW w:w="1020" w:type="dxa"/>
            <w:vAlign w:val="bottom"/>
            <w:vMerge w:val="restart"/>
          </w:tcPr>
          <w:p>
            <w:pPr>
              <w:jc w:val="right"/>
              <w:ind w:right="483"/>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204"/>
        </w:trPr>
        <w:tc>
          <w:tcPr>
            <w:tcW w:w="6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5"/>
                <w:szCs w:val="15"/>
                <w:b w:val="1"/>
                <w:bCs w:val="1"/>
                <w:color w:val="auto"/>
                <w:w w:val="95"/>
              </w:rPr>
              <w:t>Amortization</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Amortizable intangible assets: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center"/>
              <w:ind w:right="300"/>
              <w:spacing w:after="0"/>
              <w:rPr>
                <w:sz w:val="20"/>
                <w:szCs w:val="20"/>
                <w:color w:val="auto"/>
              </w:rPr>
            </w:pPr>
            <w:r>
              <w:rPr>
                <w:rFonts w:ascii="Arial" w:cs="Arial" w:eastAsia="Arial" w:hAnsi="Arial"/>
                <w:sz w:val="14"/>
                <w:szCs w:val="14"/>
                <w:color w:val="auto"/>
                <w:w w:val="87"/>
              </w:rPr>
              <w:t>(In thousands)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60"/>
              <w:spacing w:after="0"/>
              <w:rPr>
                <w:sz w:val="20"/>
                <w:szCs w:val="20"/>
                <w:color w:val="auto"/>
              </w:rPr>
            </w:pPr>
            <w:r>
              <w:rPr>
                <w:rFonts w:ascii="Arial" w:cs="Arial" w:eastAsia="Arial" w:hAnsi="Arial"/>
                <w:sz w:val="15"/>
                <w:szCs w:val="15"/>
                <w:color w:val="auto"/>
              </w:rPr>
              <w:t>Developed technology</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795,753</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(335,893)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459,860</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Customer relationships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538,466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(204,241)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334,225</w:t>
            </w:r>
          </w:p>
        </w:tc>
        <w:tc>
          <w:tcPr>
            <w:tcW w:w="0" w:type="dxa"/>
            <w:vAlign w:val="bottom"/>
          </w:tcPr>
          <w:p>
            <w:pPr>
              <w:spacing w:after="0"/>
              <w:rPr>
                <w:sz w:val="1"/>
                <w:szCs w:val="1"/>
                <w:color w:val="auto"/>
              </w:rPr>
            </w:pPr>
          </w:p>
        </w:tc>
      </w:tr>
      <w:tr>
        <w:trPr>
          <w:trHeight w:val="203"/>
        </w:trPr>
        <w:tc>
          <w:tcPr>
            <w:tcW w:w="6360" w:type="dxa"/>
            <w:vAlign w:val="bottom"/>
          </w:tcPr>
          <w:p>
            <w:pPr>
              <w:ind w:left="160"/>
              <w:spacing w:after="0"/>
              <w:rPr>
                <w:sz w:val="20"/>
                <w:szCs w:val="20"/>
                <w:color w:val="auto"/>
              </w:rPr>
            </w:pPr>
            <w:r>
              <w:rPr>
                <w:rFonts w:ascii="Arial" w:cs="Arial" w:eastAsia="Arial" w:hAnsi="Arial"/>
                <w:sz w:val="15"/>
                <w:szCs w:val="15"/>
                <w:color w:val="auto"/>
              </w:rPr>
              <w:t>Supplier relationships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56,922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(19,846)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37,076</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Trade names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(20,106)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10,236</w:t>
            </w:r>
          </w:p>
        </w:tc>
        <w:tc>
          <w:tcPr>
            <w:tcW w:w="0" w:type="dxa"/>
            <w:vAlign w:val="bottom"/>
          </w:tcPr>
          <w:p>
            <w:pPr>
              <w:spacing w:after="0"/>
              <w:rPr>
                <w:sz w:val="1"/>
                <w:szCs w:val="1"/>
                <w:color w:val="auto"/>
              </w:rPr>
            </w:pPr>
          </w:p>
        </w:tc>
      </w:tr>
      <w:tr>
        <w:trPr>
          <w:trHeight w:val="203"/>
        </w:trPr>
        <w:tc>
          <w:tcPr>
            <w:tcW w:w="6360" w:type="dxa"/>
            <w:vAlign w:val="bottom"/>
          </w:tcPr>
          <w:p>
            <w:pPr>
              <w:ind w:left="160"/>
              <w:spacing w:after="0"/>
              <w:rPr>
                <w:sz w:val="20"/>
                <w:szCs w:val="20"/>
                <w:color w:val="auto"/>
              </w:rPr>
            </w:pPr>
            <w:r>
              <w:rPr>
                <w:rFonts w:ascii="Arial" w:cs="Arial" w:eastAsia="Arial" w:hAnsi="Arial"/>
                <w:sz w:val="15"/>
                <w:szCs w:val="15"/>
                <w:color w:val="auto"/>
              </w:rPr>
              <w:t>Order backlog</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Patent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4,028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(705)</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3,323</w:t>
            </w:r>
          </w:p>
        </w:tc>
        <w:tc>
          <w:tcPr>
            <w:tcW w:w="0" w:type="dxa"/>
            <w:vAlign w:val="bottom"/>
          </w:tcPr>
          <w:p>
            <w:pPr>
              <w:spacing w:after="0"/>
              <w:rPr>
                <w:sz w:val="1"/>
                <w:szCs w:val="1"/>
                <w:color w:val="auto"/>
              </w:rPr>
            </w:pPr>
          </w:p>
        </w:tc>
      </w:tr>
      <w:tr>
        <w:trPr>
          <w:trHeight w:val="196"/>
        </w:trPr>
        <w:tc>
          <w:tcPr>
            <w:tcW w:w="6360" w:type="dxa"/>
            <w:vAlign w:val="bottom"/>
            <w:tcBorders>
              <w:bottom w:val="single" w:sz="8" w:color="CCEEFF"/>
            </w:tcBorders>
          </w:tcPr>
          <w:p>
            <w:pPr>
              <w:ind w:left="480"/>
              <w:spacing w:after="0"/>
              <w:rPr>
                <w:sz w:val="20"/>
                <w:szCs w:val="20"/>
                <w:color w:val="auto"/>
              </w:rPr>
            </w:pPr>
            <w:r>
              <w:rPr>
                <w:rFonts w:ascii="Arial" w:cs="Arial" w:eastAsia="Arial" w:hAnsi="Arial"/>
                <w:sz w:val="15"/>
                <w:szCs w:val="15"/>
                <w:color w:val="auto"/>
              </w:rPr>
              <w:t>Total amortizable intangible assets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1,435,511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(590,791)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844,720</w:t>
            </w:r>
          </w:p>
        </w:tc>
        <w:tc>
          <w:tcPr>
            <w:tcW w:w="0" w:type="dxa"/>
            <w:vAlign w:val="bottom"/>
          </w:tcPr>
          <w:p>
            <w:pPr>
              <w:spacing w:after="0"/>
              <w:rPr>
                <w:sz w:val="1"/>
                <w:szCs w:val="1"/>
                <w:color w:val="auto"/>
              </w:rPr>
            </w:pPr>
          </w:p>
        </w:tc>
      </w:tr>
      <w:tr>
        <w:trPr>
          <w:trHeight w:val="189"/>
        </w:trPr>
        <w:tc>
          <w:tcPr>
            <w:tcW w:w="6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Non-amortizable intangible assets: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60"/>
              <w:spacing w:after="0"/>
              <w:rPr>
                <w:sz w:val="20"/>
                <w:szCs w:val="20"/>
                <w:color w:val="auto"/>
              </w:rPr>
            </w:pPr>
            <w:r>
              <w:rPr>
                <w:rFonts w:ascii="Arial" w:cs="Arial" w:eastAsia="Arial" w:hAnsi="Arial"/>
                <w:sz w:val="15"/>
                <w:szCs w:val="15"/>
                <w:color w:val="auto"/>
              </w:rPr>
              <w:t>Telecommunication licenses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4,920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3"/>
          </w:tcPr>
          <w:p>
            <w:pPr>
              <w:ind w:left="10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4,920</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Trademarks and other</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295</w:t>
            </w:r>
          </w:p>
        </w:tc>
        <w:tc>
          <w:tcPr>
            <w:tcW w:w="0" w:type="dxa"/>
            <w:vAlign w:val="bottom"/>
          </w:tcPr>
          <w:p>
            <w:pPr>
              <w:spacing w:after="0"/>
              <w:rPr>
                <w:sz w:val="1"/>
                <w:szCs w:val="1"/>
                <w:color w:val="auto"/>
              </w:rPr>
            </w:pPr>
          </w:p>
        </w:tc>
      </w:tr>
      <w:tr>
        <w:trPr>
          <w:trHeight w:val="199"/>
        </w:trPr>
        <w:tc>
          <w:tcPr>
            <w:tcW w:w="6360" w:type="dxa"/>
            <w:vAlign w:val="bottom"/>
          </w:tcPr>
          <w:p>
            <w:pPr>
              <w:ind w:left="480"/>
              <w:spacing w:after="0"/>
              <w:rPr>
                <w:sz w:val="20"/>
                <w:szCs w:val="20"/>
                <w:color w:val="auto"/>
              </w:rPr>
            </w:pPr>
            <w:r>
              <w:rPr>
                <w:rFonts w:ascii="Arial" w:cs="Arial" w:eastAsia="Arial" w:hAnsi="Arial"/>
                <w:sz w:val="15"/>
                <w:szCs w:val="15"/>
                <w:color w:val="auto"/>
              </w:rPr>
              <w:t>Total</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1,440,726</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(590,791)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849,935</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660" w:firstLine="464"/>
        <w:spacing w:after="0" w:line="279" w:lineRule="auto"/>
        <w:rPr>
          <w:sz w:val="20"/>
          <w:szCs w:val="20"/>
          <w:color w:val="auto"/>
        </w:rPr>
      </w:pPr>
      <w:r>
        <w:rPr>
          <w:rFonts w:ascii="Arial" w:cs="Arial" w:eastAsia="Arial" w:hAnsi="Arial"/>
          <w:sz w:val="17"/>
          <w:szCs w:val="17"/>
          <w:color w:val="auto"/>
        </w:rPr>
        <w:t>Amortization expense was $50.2 million and $52.2 million for the three months ended June 30, 2023 and 2022, respectively, and $101.1 million and $103.7 million for the six months ended June 30, 2023 and 2022, respectively.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Total estimated future amortization expense is as follows:</w:t>
      </w:r>
    </w:p>
    <w:p>
      <w:pPr>
        <w:spacing w:after="0" w:line="267" w:lineRule="exact"/>
        <w:rPr>
          <w:sz w:val="20"/>
          <w:szCs w:val="20"/>
          <w:color w:val="auto"/>
        </w:rPr>
      </w:pPr>
    </w:p>
    <w:tbl>
      <w:tblPr>
        <w:tblLayout w:type="fixed"/>
        <w:tblInd w:w="2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93"/>
              </w:rPr>
              <w:t>As of June 30, 2023</w:t>
            </w:r>
          </w:p>
        </w:tc>
      </w:tr>
      <w:tr>
        <w:trPr>
          <w:trHeight w:val="177"/>
        </w:trPr>
        <w:tc>
          <w:tcPr>
            <w:tcW w:w="20" w:type="dxa"/>
            <w:vAlign w:val="bottom"/>
          </w:tcPr>
          <w:p>
            <w:pPr>
              <w:spacing w:after="0"/>
              <w:rPr>
                <w:sz w:val="15"/>
                <w:szCs w:val="15"/>
                <w:color w:val="auto"/>
              </w:rPr>
            </w:pPr>
          </w:p>
        </w:tc>
        <w:tc>
          <w:tcPr>
            <w:tcW w:w="5360" w:type="dxa"/>
            <w:vAlign w:val="bottom"/>
            <w:gridSpan w:val="2"/>
          </w:tcPr>
          <w:p>
            <w:pPr>
              <w:spacing w:after="0" w:line="168" w:lineRule="exact"/>
              <w:rPr>
                <w:sz w:val="20"/>
                <w:szCs w:val="20"/>
                <w:color w:val="auto"/>
              </w:rPr>
            </w:pPr>
            <w:r>
              <w:rPr>
                <w:rFonts w:ascii="Arial" w:cs="Arial" w:eastAsia="Arial" w:hAnsi="Arial"/>
                <w:sz w:val="15"/>
                <w:szCs w:val="15"/>
                <w:color w:val="auto"/>
              </w:rPr>
              <w:t>Year Ended December 31,</w:t>
            </w:r>
          </w:p>
        </w:tc>
        <w:tc>
          <w:tcPr>
            <w:tcW w:w="140" w:type="dxa"/>
            <w:vAlign w:val="bottom"/>
          </w:tcPr>
          <w:p>
            <w:pPr>
              <w:spacing w:after="0"/>
              <w:rPr>
                <w:sz w:val="15"/>
                <w:szCs w:val="15"/>
                <w:color w:val="auto"/>
              </w:rPr>
            </w:pPr>
          </w:p>
        </w:tc>
        <w:tc>
          <w:tcPr>
            <w:tcW w:w="1500" w:type="dxa"/>
            <w:vAlign w:val="bottom"/>
          </w:tcPr>
          <w:p>
            <w:pPr>
              <w:jc w:val="right"/>
              <w:ind w:right="364"/>
              <w:spacing w:after="0"/>
              <w:rPr>
                <w:sz w:val="20"/>
                <w:szCs w:val="20"/>
                <w:color w:val="auto"/>
              </w:rPr>
            </w:pPr>
            <w:r>
              <w:rPr>
                <w:rFonts w:ascii="Arial" w:cs="Arial" w:eastAsia="Arial" w:hAnsi="Arial"/>
                <w:sz w:val="14"/>
                <w:szCs w:val="14"/>
                <w:color w:val="auto"/>
              </w:rPr>
              <w:t>(In thousands)</w:t>
            </w:r>
          </w:p>
        </w:tc>
      </w:tr>
      <w:tr>
        <w:trPr>
          <w:trHeight w:val="216"/>
        </w:trPr>
        <w:tc>
          <w:tcPr>
            <w:tcW w:w="2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2023</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97,845</w:t>
            </w:r>
          </w:p>
        </w:tc>
      </w:tr>
      <w:tr>
        <w:trPr>
          <w:trHeight w:val="203"/>
        </w:trPr>
        <w:tc>
          <w:tcPr>
            <w:tcW w:w="1640" w:type="dxa"/>
            <w:vAlign w:val="bottom"/>
            <w:gridSpan w:val="2"/>
          </w:tcPr>
          <w:p>
            <w:pPr>
              <w:ind w:left="20"/>
              <w:spacing w:after="0"/>
              <w:rPr>
                <w:sz w:val="20"/>
                <w:szCs w:val="20"/>
                <w:color w:val="auto"/>
              </w:rPr>
            </w:pPr>
            <w:r>
              <w:rPr>
                <w:rFonts w:ascii="Arial" w:cs="Arial" w:eastAsia="Arial" w:hAnsi="Arial"/>
                <w:sz w:val="15"/>
                <w:szCs w:val="15"/>
                <w:color w:val="auto"/>
              </w:rPr>
              <w:t>2024</w:t>
            </w:r>
          </w:p>
        </w:tc>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191,486</w:t>
            </w:r>
          </w:p>
        </w:tc>
      </w:tr>
      <w:tr>
        <w:trPr>
          <w:trHeight w:val="209"/>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187,912</w:t>
            </w:r>
          </w:p>
        </w:tc>
      </w:tr>
      <w:tr>
        <w:trPr>
          <w:trHeight w:val="203"/>
        </w:trPr>
        <w:tc>
          <w:tcPr>
            <w:tcW w:w="1640" w:type="dxa"/>
            <w:vAlign w:val="bottom"/>
            <w:gridSpan w:val="2"/>
          </w:tcPr>
          <w:p>
            <w:pPr>
              <w:ind w:left="20"/>
              <w:spacing w:after="0"/>
              <w:rPr>
                <w:sz w:val="20"/>
                <w:szCs w:val="20"/>
                <w:color w:val="auto"/>
              </w:rPr>
            </w:pPr>
            <w:r>
              <w:rPr>
                <w:rFonts w:ascii="Arial" w:cs="Arial" w:eastAsia="Arial" w:hAnsi="Arial"/>
                <w:sz w:val="15"/>
                <w:szCs w:val="15"/>
                <w:color w:val="auto"/>
              </w:rPr>
              <w:t>2026</w:t>
            </w:r>
          </w:p>
        </w:tc>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117,416</w:t>
            </w:r>
          </w:p>
        </w:tc>
      </w:tr>
      <w:tr>
        <w:trPr>
          <w:trHeight w:val="209"/>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2027</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69,871</w:t>
            </w:r>
          </w:p>
        </w:tc>
      </w:tr>
      <w:tr>
        <w:trPr>
          <w:trHeight w:val="203"/>
        </w:trPr>
        <w:tc>
          <w:tcPr>
            <w:tcW w:w="20" w:type="dxa"/>
            <w:vAlign w:val="bottom"/>
            <w:tcBorders>
              <w:bottom w:val="single" w:sz="8" w:color="CCEEFF"/>
            </w:tcBorders>
          </w:tcPr>
          <w:p>
            <w:pPr>
              <w:spacing w:after="0"/>
              <w:rPr>
                <w:sz w:val="17"/>
                <w:szCs w:val="17"/>
                <w:color w:val="auto"/>
              </w:rPr>
            </w:pPr>
          </w:p>
        </w:tc>
        <w:tc>
          <w:tcPr>
            <w:tcW w:w="536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Thereafter</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57,899</w:t>
            </w: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5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722,429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20"/>
          </w:cols>
          <w:pgMar w:left="320" w:top="127" w:right="25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Accrued Expenses and Other Current Liabilities</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Accrued expenses and other current liabilities consisted of the following:</w:t>
      </w:r>
    </w:p>
    <w:p>
      <w:pPr>
        <w:spacing w:after="0" w:line="61" w:lineRule="exact"/>
        <w:rPr>
          <w:sz w:val="20"/>
          <w:szCs w:val="20"/>
          <w:color w:val="auto"/>
        </w:rPr>
      </w:pPr>
    </w:p>
    <w:tbl>
      <w:tblPr>
        <w:tblLayout w:type="fixed"/>
        <w:tblInd w:w="620" w:type="dxa"/>
        <w:tblCellMar>
          <w:top w:w="0" w:type="dxa"/>
          <w:left w:w="0" w:type="dxa"/>
          <w:bottom w:w="0" w:type="dxa"/>
          <w:right w:w="0" w:type="dxa"/>
        </w:tblCellMar>
      </w:tblPr>
      <w:tr>
        <w:trPr>
          <w:trHeight w:val="213"/>
        </w:trPr>
        <w:tc>
          <w:tcPr>
            <w:tcW w:w="6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94"/>
              </w:rPr>
              <w:t>As of June 30, 2023</w:t>
            </w: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b w:val="1"/>
                <w:bCs w:val="1"/>
                <w:color w:val="auto"/>
                <w:w w:val="93"/>
              </w:rPr>
              <w:t>As of December 31, 2022</w:t>
            </w:r>
          </w:p>
        </w:tc>
      </w:tr>
      <w:tr>
        <w:trPr>
          <w:trHeight w:val="184"/>
        </w:trPr>
        <w:tc>
          <w:tcPr>
            <w:tcW w:w="6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3"/>
          </w:tcPr>
          <w:p>
            <w:pPr>
              <w:jc w:val="right"/>
              <w:ind w:right="343"/>
              <w:spacing w:after="0"/>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5"/>
                <w:szCs w:val="15"/>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payroll and related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83,028</w:t>
            </w:r>
          </w:p>
        </w:tc>
        <w:tc>
          <w:tcPr>
            <w:tcW w:w="880" w:type="dxa"/>
            <w:vAlign w:val="bottom"/>
            <w:gridSpan w:val="2"/>
            <w:shd w:val="clear" w:color="auto" w:fill="CCEEFF"/>
          </w:tcPr>
          <w:p>
            <w:pPr>
              <w:jc w:val="right"/>
              <w:ind w:right="60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79,703</w:t>
            </w:r>
          </w:p>
        </w:tc>
      </w:tr>
      <w:tr>
        <w:trPr>
          <w:trHeight w:val="203"/>
        </w:trPr>
        <w:tc>
          <w:tcPr>
            <w:tcW w:w="6040" w:type="dxa"/>
            <w:vAlign w:val="bottom"/>
          </w:tcPr>
          <w:p>
            <w:pPr>
              <w:ind w:left="20"/>
              <w:spacing w:after="0"/>
              <w:rPr>
                <w:sz w:val="20"/>
                <w:szCs w:val="20"/>
                <w:color w:val="auto"/>
              </w:rPr>
            </w:pPr>
            <w:r>
              <w:rPr>
                <w:rFonts w:ascii="Arial" w:cs="Arial" w:eastAsia="Arial" w:hAnsi="Arial"/>
                <w:sz w:val="15"/>
                <w:szCs w:val="15"/>
                <w:color w:val="auto"/>
              </w:rPr>
              <w:t>Accrued bonus and commission</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15,476</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35,449</w:t>
            </w:r>
          </w:p>
        </w:tc>
      </w:tr>
      <w:tr>
        <w:trPr>
          <w:trHeight w:val="209"/>
        </w:trPr>
        <w:tc>
          <w:tcPr>
            <w:tcW w:w="6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cost of revenue</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155,744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161,455</w:t>
            </w:r>
          </w:p>
        </w:tc>
      </w:tr>
      <w:tr>
        <w:trPr>
          <w:trHeight w:val="203"/>
        </w:trPr>
        <w:tc>
          <w:tcPr>
            <w:tcW w:w="6040" w:type="dxa"/>
            <w:vAlign w:val="bottom"/>
          </w:tcPr>
          <w:p>
            <w:pPr>
              <w:ind w:left="20"/>
              <w:spacing w:after="0"/>
              <w:rPr>
                <w:sz w:val="20"/>
                <w:szCs w:val="20"/>
                <w:color w:val="auto"/>
              </w:rPr>
            </w:pPr>
            <w:r>
              <w:rPr>
                <w:rFonts w:ascii="Arial" w:cs="Arial" w:eastAsia="Arial" w:hAnsi="Arial"/>
                <w:sz w:val="15"/>
                <w:szCs w:val="15"/>
                <w:color w:val="auto"/>
              </w:rPr>
              <w:t>Sales and other taxes payable</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78,533</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92,319</w:t>
            </w:r>
          </w:p>
        </w:tc>
      </w:tr>
      <w:tr>
        <w:trPr>
          <w:trHeight w:val="209"/>
        </w:trPr>
        <w:tc>
          <w:tcPr>
            <w:tcW w:w="6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Finance lease liability</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9,541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11,871</w:t>
            </w:r>
          </w:p>
        </w:tc>
      </w:tr>
      <w:tr>
        <w:trPr>
          <w:trHeight w:val="203"/>
        </w:trPr>
        <w:tc>
          <w:tcPr>
            <w:tcW w:w="6040" w:type="dxa"/>
            <w:vAlign w:val="bottom"/>
          </w:tcPr>
          <w:p>
            <w:pPr>
              <w:ind w:left="20"/>
              <w:spacing w:after="0"/>
              <w:rPr>
                <w:sz w:val="20"/>
                <w:szCs w:val="20"/>
                <w:color w:val="auto"/>
              </w:rPr>
            </w:pPr>
            <w:r>
              <w:rPr>
                <w:rFonts w:ascii="Arial" w:cs="Arial" w:eastAsia="Arial" w:hAnsi="Arial"/>
                <w:sz w:val="15"/>
                <w:szCs w:val="15"/>
                <w:color w:val="auto"/>
              </w:rPr>
              <w:t>Restructuring liability</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17,714</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1,066</w:t>
            </w:r>
          </w:p>
        </w:tc>
      </w:tr>
      <w:tr>
        <w:trPr>
          <w:trHeight w:val="209"/>
        </w:trPr>
        <w:tc>
          <w:tcPr>
            <w:tcW w:w="6040" w:type="dxa"/>
            <w:vAlign w:val="bottom"/>
            <w:shd w:val="clear" w:color="auto" w:fill="CCEEFF"/>
          </w:tcPr>
          <w:p>
            <w:pPr>
              <w:ind w:left="20"/>
              <w:spacing w:after="0" w:line="209" w:lineRule="exact"/>
              <w:rPr>
                <w:sz w:val="20"/>
                <w:szCs w:val="20"/>
                <w:color w:val="auto"/>
              </w:rPr>
            </w:pPr>
            <w:r>
              <w:rPr>
                <w:rFonts w:ascii="Arial" w:cs="Arial" w:eastAsia="Arial" w:hAnsi="Arial"/>
                <w:sz w:val="15"/>
                <w:szCs w:val="15"/>
                <w:color w:val="auto"/>
              </w:rPr>
              <w:t>Employee sabbatical benefit accrual</w:t>
            </w:r>
            <w:r>
              <w:rPr>
                <w:rFonts w:ascii="Arial" w:cs="Arial" w:eastAsia="Arial" w:hAnsi="Arial"/>
                <w:sz w:val="20"/>
                <w:szCs w:val="20"/>
                <w:color w:val="auto"/>
                <w:vertAlign w:val="superscript"/>
              </w:rPr>
              <w:t>(1)</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12,558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30,683</w:t>
            </w:r>
          </w:p>
        </w:tc>
      </w:tr>
      <w:tr>
        <w:trPr>
          <w:trHeight w:val="206"/>
        </w:trPr>
        <w:tc>
          <w:tcPr>
            <w:tcW w:w="6040" w:type="dxa"/>
            <w:vAlign w:val="bottom"/>
          </w:tcPr>
          <w:p>
            <w:pPr>
              <w:ind w:left="20"/>
              <w:spacing w:after="0"/>
              <w:rPr>
                <w:sz w:val="20"/>
                <w:szCs w:val="20"/>
                <w:color w:val="auto"/>
              </w:rPr>
            </w:pPr>
            <w:r>
              <w:rPr>
                <w:rFonts w:ascii="Arial" w:cs="Arial" w:eastAsia="Arial" w:hAnsi="Arial"/>
                <w:sz w:val="15"/>
                <w:szCs w:val="15"/>
                <w:color w:val="auto"/>
              </w:rPr>
              <w:t>Accrued other expense</w:t>
            </w: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76,111</w:t>
            </w:r>
          </w:p>
        </w:tc>
        <w:tc>
          <w:tcPr>
            <w:tcW w:w="1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77,675</w:t>
            </w:r>
          </w:p>
        </w:tc>
      </w:tr>
      <w:tr>
        <w:trPr>
          <w:trHeight w:val="219"/>
        </w:trPr>
        <w:tc>
          <w:tcPr>
            <w:tcW w:w="60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accrued expenses and other current liabilities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448,705</w:t>
            </w:r>
          </w:p>
        </w:tc>
        <w:tc>
          <w:tcPr>
            <w:tcW w:w="880" w:type="dxa"/>
            <w:vAlign w:val="bottom"/>
            <w:gridSpan w:val="2"/>
            <w:shd w:val="clear" w:color="auto" w:fill="CCEEFF"/>
          </w:tcPr>
          <w:p>
            <w:pPr>
              <w:jc w:val="right"/>
              <w:ind w:right="60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490,221</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spacing w:after="0" w:line="22" w:lineRule="exact"/>
        <w:rPr>
          <w:sz w:val="20"/>
          <w:szCs w:val="20"/>
          <w:color w:val="auto"/>
        </w:rPr>
      </w:pPr>
    </w:p>
    <w:p>
      <w:pPr>
        <w:ind w:left="460"/>
        <w:spacing w:after="0" w:line="220" w:lineRule="auto"/>
        <w:rPr>
          <w:sz w:val="20"/>
          <w:szCs w:val="20"/>
          <w:color w:val="auto"/>
        </w:rPr>
      </w:pPr>
      <w:r>
        <w:rPr>
          <w:rFonts w:ascii="Arial" w:cs="Arial" w:eastAsia="Arial" w:hAnsi="Arial"/>
          <w:sz w:val="9"/>
          <w:szCs w:val="9"/>
          <w:color w:val="auto"/>
        </w:rPr>
        <w:t>(</w:t>
      </w:r>
      <w:r>
        <w:rPr>
          <w:rFonts w:ascii="Arial" w:cs="Arial" w:eastAsia="Arial" w:hAnsi="Arial"/>
          <w:sz w:val="20"/>
          <w:szCs w:val="20"/>
          <w:color w:val="auto"/>
          <w:vertAlign w:val="superscript"/>
        </w:rPr>
        <w:t>1</w:t>
      </w:r>
      <w:r>
        <w:rPr>
          <w:rFonts w:ascii="Arial" w:cs="Arial" w:eastAsia="Arial" w:hAnsi="Arial"/>
          <w:sz w:val="9"/>
          <w:szCs w:val="9"/>
          <w:color w:val="auto"/>
        </w:rPr>
        <w:t xml:space="preserve">) </w:t>
      </w:r>
      <w:r>
        <w:rPr>
          <w:rFonts w:ascii="Arial" w:cs="Arial" w:eastAsia="Arial" w:hAnsi="Arial"/>
          <w:sz w:val="15"/>
          <w:szCs w:val="15"/>
          <w:color w:val="auto"/>
        </w:rPr>
        <w:t>In February 2023, the Company announced that it will sunset its employee sabbatical program as of December 31, 2023. The accrued liability as of June 30, 2023,</w:t>
      </w:r>
      <w:r>
        <w:rPr>
          <w:rFonts w:ascii="Arial" w:cs="Arial" w:eastAsia="Arial" w:hAnsi="Arial"/>
          <w:sz w:val="9"/>
          <w:szCs w:val="9"/>
          <w:color w:val="auto"/>
        </w:rPr>
        <w:t xml:space="preserve"> </w:t>
      </w:r>
      <w:r>
        <w:rPr>
          <w:rFonts w:ascii="Arial" w:cs="Arial" w:eastAsia="Arial" w:hAnsi="Arial"/>
          <w:sz w:val="15"/>
          <w:szCs w:val="15"/>
          <w:color w:val="auto"/>
        </w:rPr>
        <w:t>represents the accumulated benefit balance for the employees who remain eligible under this program through its termination date.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Long-Term Debt</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Long-term debt, net, consisted of the following:</w:t>
      </w:r>
    </w:p>
    <w:p>
      <w:pPr>
        <w:spacing w:after="0" w:line="267" w:lineRule="exact"/>
        <w:rPr>
          <w:sz w:val="20"/>
          <w:szCs w:val="20"/>
          <w:color w:val="auto"/>
        </w:rPr>
      </w:pPr>
    </w:p>
    <w:tbl>
      <w:tblPr>
        <w:tblLayout w:type="fixed"/>
        <w:tblInd w:w="1740" w:type="dxa"/>
        <w:tblCellMar>
          <w:top w:w="0" w:type="dxa"/>
          <w:left w:w="0" w:type="dxa"/>
          <w:bottom w:w="0" w:type="dxa"/>
          <w:right w:w="0" w:type="dxa"/>
        </w:tblCellMar>
      </w:tblPr>
      <w:tr>
        <w:trPr>
          <w:trHeight w:val="202"/>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43"/>
              <w:spacing w:after="0"/>
              <w:rPr>
                <w:sz w:val="20"/>
                <w:szCs w:val="20"/>
                <w:color w:val="auto"/>
              </w:rPr>
            </w:pPr>
            <w:r>
              <w:rPr>
                <w:rFonts w:ascii="Arial" w:cs="Arial" w:eastAsia="Arial" w:hAnsi="Arial"/>
                <w:sz w:val="15"/>
                <w:szCs w:val="15"/>
                <w:b w:val="1"/>
                <w:bCs w:val="1"/>
                <w:color w:val="auto"/>
                <w:w w:val="90"/>
              </w:rPr>
              <w:t>As of June 30, 2023</w:t>
            </w:r>
          </w:p>
        </w:tc>
        <w:tc>
          <w:tcPr>
            <w:tcW w:w="12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Arial" w:cs="Arial" w:eastAsia="Arial" w:hAnsi="Arial"/>
                <w:sz w:val="15"/>
                <w:szCs w:val="15"/>
                <w:b w:val="1"/>
                <w:bCs w:val="1"/>
                <w:color w:val="auto"/>
                <w:w w:val="91"/>
              </w:rPr>
              <w:t>As of December 31, 2022</w:t>
            </w:r>
          </w:p>
        </w:tc>
      </w:tr>
      <w:tr>
        <w:trPr>
          <w:trHeight w:val="31"/>
        </w:trPr>
        <w:tc>
          <w:tcPr>
            <w:tcW w:w="5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7"/>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3"/>
          </w:tcPr>
          <w:p>
            <w:pPr>
              <w:jc w:val="right"/>
              <w:ind w:right="283"/>
              <w:spacing w:after="0"/>
              <w:rPr>
                <w:sz w:val="20"/>
                <w:szCs w:val="20"/>
                <w:color w:val="auto"/>
              </w:rPr>
            </w:pPr>
            <w:r>
              <w:rPr>
                <w:rFonts w:ascii="Arial" w:cs="Arial" w:eastAsia="Arial" w:hAnsi="Arial"/>
                <w:sz w:val="14"/>
                <w:szCs w:val="14"/>
                <w:color w:val="auto"/>
              </w:rPr>
              <w:t>(In thousands)</w:t>
            </w:r>
          </w:p>
        </w:tc>
        <w:tc>
          <w:tcPr>
            <w:tcW w:w="900" w:type="dxa"/>
            <w:vAlign w:val="bottom"/>
          </w:tcPr>
          <w:p>
            <w:pPr>
              <w:spacing w:after="0"/>
              <w:rPr>
                <w:sz w:val="15"/>
                <w:szCs w:val="15"/>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5"/>
                <w:szCs w:val="15"/>
                <w:b w:val="1"/>
                <w:bCs w:val="1"/>
                <w:color w:val="auto"/>
              </w:rPr>
              <w:t>2029 Senior Notes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3"/>
        </w:trPr>
        <w:tc>
          <w:tcPr>
            <w:tcW w:w="5080" w:type="dxa"/>
            <w:vAlign w:val="bottom"/>
          </w:tcPr>
          <w:p>
            <w:pPr>
              <w:ind w:left="320"/>
              <w:spacing w:after="0"/>
              <w:rPr>
                <w:sz w:val="20"/>
                <w:szCs w:val="20"/>
                <w:color w:val="auto"/>
              </w:rPr>
            </w:pPr>
            <w:r>
              <w:rPr>
                <w:rFonts w:ascii="Arial" w:cs="Arial" w:eastAsia="Arial" w:hAnsi="Arial"/>
                <w:sz w:val="15"/>
                <w:szCs w:val="15"/>
                <w:color w:val="auto"/>
              </w:rPr>
              <w:t>Principal</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500,000</w:t>
            </w:r>
          </w:p>
        </w:tc>
        <w:tc>
          <w:tcPr>
            <w:tcW w:w="880" w:type="dxa"/>
            <w:vAlign w:val="bottom"/>
            <w:gridSpan w:val="2"/>
          </w:tcPr>
          <w:p>
            <w:pPr>
              <w:jc w:val="right"/>
              <w:ind w:right="583"/>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500,000</w:t>
            </w:r>
          </w:p>
        </w:tc>
      </w:tr>
      <w:tr>
        <w:trPr>
          <w:trHeight w:val="209"/>
        </w:trPr>
        <w:tc>
          <w:tcPr>
            <w:tcW w:w="50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Unamortized discount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(5,001)</w:t>
            </w:r>
          </w:p>
        </w:tc>
      </w:tr>
      <w:tr>
        <w:trPr>
          <w:trHeight w:val="203"/>
        </w:trPr>
        <w:tc>
          <w:tcPr>
            <w:tcW w:w="50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Unamortized issuance costs</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(1,044)</w:t>
            </w: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(1,126)</w:t>
            </w:r>
          </w:p>
        </w:tc>
      </w:tr>
      <w:tr>
        <w:trPr>
          <w:trHeight w:val="202"/>
        </w:trPr>
        <w:tc>
          <w:tcPr>
            <w:tcW w:w="5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Net carrying amount</w:t>
            </w:r>
          </w:p>
        </w:tc>
        <w:tc>
          <w:tcPr>
            <w:tcW w:w="1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494,315</w:t>
            </w:r>
          </w:p>
        </w:tc>
        <w:tc>
          <w:tcPr>
            <w:tcW w:w="1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493,873</w:t>
            </w:r>
          </w:p>
        </w:tc>
      </w:tr>
      <w:tr>
        <w:trPr>
          <w:trHeight w:val="184"/>
        </w:trPr>
        <w:tc>
          <w:tcPr>
            <w:tcW w:w="5080" w:type="dxa"/>
            <w:vAlign w:val="bottom"/>
          </w:tcPr>
          <w:p>
            <w:pPr>
              <w:ind w:left="220"/>
              <w:spacing w:after="0"/>
              <w:rPr>
                <w:sz w:val="20"/>
                <w:szCs w:val="20"/>
                <w:color w:val="auto"/>
              </w:rPr>
            </w:pPr>
            <w:r>
              <w:rPr>
                <w:rFonts w:ascii="Arial" w:cs="Arial" w:eastAsia="Arial" w:hAnsi="Arial"/>
                <w:sz w:val="15"/>
                <w:szCs w:val="15"/>
                <w:b w:val="1"/>
                <w:bCs w:val="1"/>
                <w:color w:val="auto"/>
              </w:rPr>
              <w:t>2031 Senior Notes</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8"/>
        </w:trPr>
        <w:tc>
          <w:tcPr>
            <w:tcW w:w="50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Principal</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w:t>
            </w:r>
          </w:p>
        </w:tc>
      </w:tr>
      <w:tr>
        <w:trPr>
          <w:trHeight w:val="203"/>
        </w:trPr>
        <w:tc>
          <w:tcPr>
            <w:tcW w:w="5080" w:type="dxa"/>
            <w:vAlign w:val="bottom"/>
          </w:tcPr>
          <w:p>
            <w:pPr>
              <w:ind w:left="320"/>
              <w:spacing w:after="0"/>
              <w:rPr>
                <w:sz w:val="20"/>
                <w:szCs w:val="20"/>
                <w:color w:val="auto"/>
              </w:rPr>
            </w:pPr>
            <w:r>
              <w:rPr>
                <w:rFonts w:ascii="Arial" w:cs="Arial" w:eastAsia="Arial" w:hAnsi="Arial"/>
                <w:sz w:val="15"/>
                <w:szCs w:val="15"/>
                <w:color w:val="auto"/>
              </w:rPr>
              <w:t>Unamortized discount</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(5,024)</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(5,299)</w:t>
            </w:r>
          </w:p>
        </w:tc>
      </w:tr>
      <w:tr>
        <w:trPr>
          <w:trHeight w:val="209"/>
        </w:trPr>
        <w:tc>
          <w:tcPr>
            <w:tcW w:w="5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Unamortized issuance costs</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(1,131)</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(1,192)</w:t>
            </w:r>
          </w:p>
        </w:tc>
      </w:tr>
      <w:tr>
        <w:trPr>
          <w:trHeight w:val="199"/>
        </w:trPr>
        <w:tc>
          <w:tcPr>
            <w:tcW w:w="5080" w:type="dxa"/>
            <w:vAlign w:val="bottom"/>
          </w:tcPr>
          <w:p>
            <w:pPr>
              <w:ind w:left="540"/>
              <w:spacing w:after="0"/>
              <w:rPr>
                <w:sz w:val="20"/>
                <w:szCs w:val="20"/>
                <w:color w:val="auto"/>
              </w:rPr>
            </w:pPr>
            <w:r>
              <w:rPr>
                <w:rFonts w:ascii="Arial" w:cs="Arial" w:eastAsia="Arial" w:hAnsi="Arial"/>
                <w:sz w:val="15"/>
                <w:szCs w:val="15"/>
                <w:color w:val="auto"/>
              </w:rPr>
              <w:t>Net carrying amount</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493,845</w:t>
            </w:r>
          </w:p>
        </w:tc>
        <w:tc>
          <w:tcPr>
            <w:tcW w:w="1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493,509</w:t>
            </w:r>
          </w:p>
        </w:tc>
      </w:tr>
      <w:tr>
        <w:trPr>
          <w:trHeight w:val="219"/>
        </w:trPr>
        <w:tc>
          <w:tcPr>
            <w:tcW w:w="5080" w:type="dxa"/>
            <w:vAlign w:val="bottom"/>
            <w:shd w:val="clear" w:color="auto" w:fill="CCEEFF"/>
          </w:tcPr>
          <w:p>
            <w:pPr>
              <w:ind w:left="640"/>
              <w:spacing w:after="0"/>
              <w:rPr>
                <w:sz w:val="20"/>
                <w:szCs w:val="20"/>
                <w:color w:val="auto"/>
              </w:rPr>
            </w:pPr>
            <w:r>
              <w:rPr>
                <w:rFonts w:ascii="Arial" w:cs="Arial" w:eastAsia="Arial" w:hAnsi="Arial"/>
                <w:sz w:val="15"/>
                <w:szCs w:val="15"/>
                <w:color w:val="auto"/>
              </w:rPr>
              <w:t>Total long-term debt,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988,160</w:t>
            </w:r>
          </w:p>
        </w:tc>
        <w:tc>
          <w:tcPr>
            <w:tcW w:w="880" w:type="dxa"/>
            <w:vAlign w:val="bottom"/>
            <w:gridSpan w:val="2"/>
            <w:shd w:val="clear" w:color="auto" w:fill="CCEEFF"/>
          </w:tcPr>
          <w:p>
            <w:pPr>
              <w:jc w:val="right"/>
              <w:ind w:right="583"/>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987,382</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2023, the Company was in compliance with all of its covenants under the related indentures.</w:t>
      </w:r>
    </w:p>
    <w:p>
      <w:pPr>
        <w:spacing w:after="0" w:line="200" w:lineRule="exact"/>
        <w:rPr>
          <w:sz w:val="20"/>
          <w:szCs w:val="20"/>
          <w:color w:val="auto"/>
        </w:rPr>
      </w:pPr>
    </w:p>
    <w:p>
      <w:pPr>
        <w:spacing w:after="0" w:line="33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60"/>
          </w:cols>
          <w:pgMar w:left="320" w:top="127" w:right="91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Revenue by Geographic Area</w:t>
      </w:r>
    </w:p>
    <w:p>
      <w:pPr>
        <w:spacing w:after="0" w:line="223" w:lineRule="exact"/>
        <w:rPr>
          <w:sz w:val="20"/>
          <w:szCs w:val="20"/>
          <w:color w:val="auto"/>
        </w:rPr>
      </w:pPr>
    </w:p>
    <w:p>
      <w:pPr>
        <w:ind w:right="680" w:firstLine="464"/>
        <w:spacing w:after="0" w:line="279" w:lineRule="auto"/>
        <w:rPr>
          <w:sz w:val="20"/>
          <w:szCs w:val="20"/>
          <w:color w:val="auto"/>
        </w:rPr>
      </w:pPr>
      <w:r>
        <w:rPr>
          <w:rFonts w:ascii="Arial" w:cs="Arial" w:eastAsia="Arial" w:hAnsi="Arial"/>
          <w:sz w:val="17"/>
          <w:szCs w:val="17"/>
          <w:color w:val="auto"/>
        </w:rPr>
        <w:t>Revenue by geographic area is based on the IP address or the mailing address at the time of registration. The following table sets forth revenue by geographic area:</w:t>
      </w:r>
    </w:p>
    <w:p>
      <w:pPr>
        <w:spacing w:after="0" w:line="185" w:lineRule="exact"/>
        <w:rPr>
          <w:sz w:val="20"/>
          <w:szCs w:val="20"/>
          <w:color w:val="auto"/>
        </w:rPr>
      </w:pPr>
    </w:p>
    <w:tbl>
      <w:tblPr>
        <w:tblLayout w:type="fixed"/>
        <w:tblInd w:w="1580" w:type="dxa"/>
        <w:tblCellMar>
          <w:top w:w="0" w:type="dxa"/>
          <w:left w:w="0" w:type="dxa"/>
          <w:bottom w:w="0" w:type="dxa"/>
          <w:right w:w="0" w:type="dxa"/>
        </w:tblCellMar>
      </w:tblPr>
      <w:tr>
        <w:trPr>
          <w:trHeight w:val="172"/>
        </w:trPr>
        <w:tc>
          <w:tcPr>
            <w:tcW w:w="3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4"/>
          </w:tcPr>
          <w:p>
            <w:pPr>
              <w:jc w:val="right"/>
              <w:ind w:right="484"/>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gridSpan w:val="4"/>
          </w:tcPr>
          <w:p>
            <w:pPr>
              <w:jc w:val="right"/>
              <w:ind w:right="604"/>
              <w:spacing w:after="0"/>
              <w:rPr>
                <w:sz w:val="20"/>
                <w:szCs w:val="20"/>
                <w:color w:val="auto"/>
              </w:rPr>
            </w:pPr>
            <w:r>
              <w:rPr>
                <w:rFonts w:ascii="Arial" w:cs="Arial" w:eastAsia="Arial" w:hAnsi="Arial"/>
                <w:sz w:val="15"/>
                <w:szCs w:val="15"/>
                <w:b w:val="1"/>
                <w:bCs w:val="1"/>
                <w:color w:val="auto"/>
              </w:rPr>
              <w:t>Six Months Ended</w:t>
            </w:r>
          </w:p>
        </w:tc>
      </w:tr>
      <w:tr>
        <w:trPr>
          <w:trHeight w:val="204"/>
        </w:trPr>
        <w:tc>
          <w:tcPr>
            <w:tcW w:w="3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5"/>
                <w:szCs w:val="15"/>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5"/>
                <w:szCs w:val="15"/>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199"/>
        </w:trPr>
        <w:tc>
          <w:tcPr>
            <w:tcW w:w="3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2022</w:t>
            </w:r>
          </w:p>
        </w:tc>
      </w:tr>
      <w:tr>
        <w:trPr>
          <w:trHeight w:val="201"/>
        </w:trPr>
        <w:tc>
          <w:tcPr>
            <w:tcW w:w="3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 by geographic area:</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(In thousands)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3460" w:type="dxa"/>
            <w:vAlign w:val="bottom"/>
          </w:tcPr>
          <w:p>
            <w:pPr>
              <w:ind w:left="200"/>
              <w:spacing w:after="0"/>
              <w:rPr>
                <w:sz w:val="20"/>
                <w:szCs w:val="20"/>
                <w:color w:val="auto"/>
              </w:rPr>
            </w:pPr>
            <w:r>
              <w:rPr>
                <w:rFonts w:ascii="Arial" w:cs="Arial" w:eastAsia="Arial" w:hAnsi="Arial"/>
                <w:sz w:val="15"/>
                <w:szCs w:val="15"/>
                <w:color w:val="auto"/>
              </w:rPr>
              <w:t>United States</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692,646</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616,306</w:t>
            </w:r>
          </w:p>
        </w:tc>
        <w:tc>
          <w:tcPr>
            <w:tcW w:w="5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1,354,736</w:t>
            </w:r>
          </w:p>
        </w:tc>
        <w:tc>
          <w:tcPr>
            <w:tcW w:w="4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1,186,687</w:t>
            </w:r>
          </w:p>
        </w:tc>
      </w:tr>
      <w:tr>
        <w:trPr>
          <w:trHeight w:val="209"/>
        </w:trPr>
        <w:tc>
          <w:tcPr>
            <w:tcW w:w="34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International</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345,115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327,048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689,589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632,030</w:t>
            </w:r>
          </w:p>
        </w:tc>
      </w:tr>
      <w:tr>
        <w:trPr>
          <w:trHeight w:val="196"/>
        </w:trPr>
        <w:tc>
          <w:tcPr>
            <w:tcW w:w="3460" w:type="dxa"/>
            <w:vAlign w:val="bottom"/>
          </w:tcPr>
          <w:p>
            <w:pPr>
              <w:ind w:left="440"/>
              <w:spacing w:after="0"/>
              <w:rPr>
                <w:sz w:val="20"/>
                <w:szCs w:val="20"/>
                <w:color w:val="auto"/>
              </w:rPr>
            </w:pPr>
            <w:r>
              <w:rPr>
                <w:rFonts w:ascii="Arial" w:cs="Arial" w:eastAsia="Arial" w:hAnsi="Arial"/>
                <w:sz w:val="15"/>
                <w:szCs w:val="15"/>
                <w:color w:val="auto"/>
              </w:rPr>
              <w:t>Total</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1,037,761</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943,354</w:t>
            </w:r>
          </w:p>
        </w:tc>
        <w:tc>
          <w:tcPr>
            <w:tcW w:w="5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2,044,325</w:t>
            </w:r>
          </w:p>
        </w:tc>
        <w:tc>
          <w:tcPr>
            <w:tcW w:w="4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1,818,717</w:t>
            </w:r>
          </w:p>
        </w:tc>
      </w:tr>
      <w:tr>
        <w:trPr>
          <w:trHeight w:val="21"/>
        </w:trPr>
        <w:tc>
          <w:tcPr>
            <w:tcW w:w="3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96"/>
        </w:trPr>
        <w:tc>
          <w:tcPr>
            <w:tcW w:w="3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06"/>
        </w:trPr>
        <w:tc>
          <w:tcPr>
            <w:tcW w:w="3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Percentage of revenue by geographic area:</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3460" w:type="dxa"/>
            <w:vAlign w:val="bottom"/>
          </w:tcPr>
          <w:p>
            <w:pPr>
              <w:ind w:left="200"/>
              <w:spacing w:after="0"/>
              <w:rPr>
                <w:sz w:val="20"/>
                <w:szCs w:val="20"/>
                <w:color w:val="auto"/>
              </w:rPr>
            </w:pPr>
            <w:r>
              <w:rPr>
                <w:rFonts w:ascii="Arial" w:cs="Arial" w:eastAsia="Arial" w:hAnsi="Arial"/>
                <w:sz w:val="15"/>
                <w:szCs w:val="15"/>
                <w:color w:val="auto"/>
              </w:rPr>
              <w:t>United States</w:t>
            </w:r>
          </w:p>
        </w:tc>
        <w:tc>
          <w:tcPr>
            <w:tcW w:w="28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67 %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65 %</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66 %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65 %</w:t>
            </w:r>
          </w:p>
        </w:tc>
      </w:tr>
      <w:tr>
        <w:trPr>
          <w:trHeight w:val="209"/>
        </w:trPr>
        <w:tc>
          <w:tcPr>
            <w:tcW w:w="34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International</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33 %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35 %</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35 %</w:t>
            </w:r>
          </w:p>
        </w:tc>
      </w:tr>
    </w:tbl>
    <w:p>
      <w:pPr>
        <w:spacing w:after="0" w:line="2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Long-lived assets outside of the United States were $45.0 million and $54.5 million as of June 30, 2023, and December 31, 2022,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Commitments and Contingencies</w:t>
      </w:r>
    </w:p>
    <w:p>
      <w:pPr>
        <w:spacing w:after="0" w:line="249" w:lineRule="exact"/>
        <w:rPr>
          <w:sz w:val="20"/>
          <w:szCs w:val="20"/>
          <w:color w:val="auto"/>
        </w:rPr>
      </w:pPr>
    </w:p>
    <w:p>
      <w:pPr>
        <w:ind w:left="1240" w:hanging="773"/>
        <w:spacing w:after="0"/>
        <w:tabs>
          <w:tab w:leader="none" w:pos="1240" w:val="left"/>
        </w:tabs>
        <w:numPr>
          <w:ilvl w:val="0"/>
          <w:numId w:val="1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Lease and Other Commitments</w:t>
      </w:r>
    </w:p>
    <w:p>
      <w:pPr>
        <w:spacing w:after="0" w:line="217" w:lineRule="exact"/>
        <w:rPr>
          <w:sz w:val="20"/>
          <w:szCs w:val="20"/>
          <w:color w:val="auto"/>
        </w:rPr>
      </w:pPr>
    </w:p>
    <w:p>
      <w:pPr>
        <w:ind w:right="260" w:firstLine="464"/>
        <w:spacing w:after="0" w:line="279" w:lineRule="auto"/>
        <w:rPr>
          <w:sz w:val="20"/>
          <w:szCs w:val="20"/>
          <w:color w:val="auto"/>
        </w:rPr>
      </w:pPr>
      <w:r>
        <w:rPr>
          <w:rFonts w:ascii="Arial" w:cs="Arial" w:eastAsia="Arial" w:hAnsi="Arial"/>
          <w:sz w:val="17"/>
          <w:szCs w:val="17"/>
          <w:color w:val="auto"/>
        </w:rPr>
        <w:t>The Company has entered into various non-cancelable operating lease agreements for its facilities. In the three and six months ended June 30, 2023, the Company did not enter into any significant new lease agreements.</w:t>
      </w:r>
    </w:p>
    <w:p>
      <w:pPr>
        <w:spacing w:after="0" w:line="164" w:lineRule="exact"/>
        <w:rPr>
          <w:sz w:val="20"/>
          <w:szCs w:val="20"/>
          <w:color w:val="auto"/>
        </w:rPr>
      </w:pPr>
    </w:p>
    <w:p>
      <w:pPr>
        <w:ind w:firstLine="464"/>
        <w:spacing w:after="0" w:line="266" w:lineRule="auto"/>
        <w:rPr>
          <w:sz w:val="20"/>
          <w:szCs w:val="20"/>
          <w:color w:val="auto"/>
        </w:rPr>
      </w:pPr>
      <w:r>
        <w:rPr>
          <w:rFonts w:ascii="Arial" w:cs="Arial" w:eastAsia="Arial" w:hAnsi="Arial"/>
          <w:sz w:val="17"/>
          <w:szCs w:val="17"/>
          <w:color w:val="auto"/>
        </w:rPr>
        <w:t>The Company has non-cancelable contractual commitments with its cloud infrastructure provider, network service providers and other vendors. In the three and six months ended June 30, 2023, the Company entered into several such agreements with terms up to four years for a total purchase commitment of $19.3 million and $66.9 million, respectively.</w:t>
      </w:r>
    </w:p>
    <w:p>
      <w:pPr>
        <w:spacing w:after="0" w:line="175" w:lineRule="exact"/>
        <w:rPr>
          <w:sz w:val="20"/>
          <w:szCs w:val="20"/>
          <w:color w:val="auto"/>
        </w:rPr>
      </w:pPr>
    </w:p>
    <w:p>
      <w:pPr>
        <w:ind w:left="1240" w:hanging="773"/>
        <w:spacing w:after="0"/>
        <w:tabs>
          <w:tab w:leader="none" w:pos="1240" w:val="left"/>
        </w:tabs>
        <w:numPr>
          <w:ilvl w:val="0"/>
          <w:numId w:val="1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Legal Matters</w:t>
      </w:r>
    </w:p>
    <w:p>
      <w:pPr>
        <w:spacing w:after="0" w:line="243" w:lineRule="exact"/>
        <w:rPr>
          <w:sz w:val="20"/>
          <w:szCs w:val="20"/>
          <w:color w:val="auto"/>
        </w:rPr>
      </w:pPr>
    </w:p>
    <w:p>
      <w:pPr>
        <w:ind w:firstLine="464"/>
        <w:spacing w:after="0" w:line="266" w:lineRule="auto"/>
        <w:rPr>
          <w:sz w:val="20"/>
          <w:szCs w:val="20"/>
          <w:color w:val="auto"/>
        </w:rPr>
      </w:pPr>
      <w:r>
        <w:rPr>
          <w:rFonts w:ascii="Arial" w:cs="Arial" w:eastAsia="Arial" w:hAnsi="Arial"/>
          <w:sz w:val="17"/>
          <w:szCs w:val="17"/>
          <w:color w:val="auto"/>
        </w:rPr>
        <w:t>The City and County of San Francisco (“San Francisco”) has assessed the Company for additional Telephone Users Tax (“TUT”) and Access Line Tax on certain of the Company’s services for the years 2009 through 2018. The assessments totaled $38.8 million, including interest and penalties. The Company paid the assessments under protest in the third quarter of 2020.</w:t>
      </w:r>
    </w:p>
    <w:p>
      <w:pPr>
        <w:spacing w:after="0" w:line="201" w:lineRule="exact"/>
        <w:rPr>
          <w:sz w:val="20"/>
          <w:szCs w:val="20"/>
          <w:color w:val="auto"/>
        </w:rPr>
      </w:pPr>
    </w:p>
    <w:p>
      <w:pPr>
        <w:ind w:right="60" w:firstLine="464"/>
        <w:spacing w:after="0" w:line="302" w:lineRule="auto"/>
        <w:rPr>
          <w:sz w:val="20"/>
          <w:szCs w:val="20"/>
          <w:color w:val="auto"/>
        </w:rPr>
      </w:pPr>
      <w:r>
        <w:rPr>
          <w:rFonts w:ascii="Arial" w:cs="Arial" w:eastAsia="Arial" w:hAnsi="Arial"/>
          <w:sz w:val="15"/>
          <w:szCs w:val="15"/>
          <w:color w:val="auto"/>
        </w:rPr>
        <w:t>On May 27, 2021, the Company filed a lawsuit against San Francisco in San Francisco Superior Court challenging the assessments. The Company raised numerous defenses to the assessments including that its services are not telecommunications services, application of the taxes to the Company’s services violates the Internet Tax Freedom Act and San Francisco does not have jurisdiction to impose tax on services provided outside of San Francisco. The Company is seeking refunds of the taxes paid, waivers of interest and penalties, cost of suit and reasonable attorneys’ fees, and other legal and equitable relief as the court deems appropriate. The previously set trial date remains vacated, and the parties expect to file an update with the Court on the status of the case in October 2023.</w:t>
      </w:r>
    </w:p>
    <w:p>
      <w:pPr>
        <w:spacing w:after="0" w:line="152" w:lineRule="exact"/>
        <w:rPr>
          <w:sz w:val="20"/>
          <w:szCs w:val="20"/>
          <w:color w:val="auto"/>
        </w:rPr>
      </w:pPr>
    </w:p>
    <w:p>
      <w:pPr>
        <w:ind w:right="20" w:firstLine="464"/>
        <w:spacing w:after="0" w:line="259" w:lineRule="auto"/>
        <w:rPr>
          <w:sz w:val="20"/>
          <w:szCs w:val="20"/>
          <w:color w:val="auto"/>
        </w:rPr>
      </w:pPr>
      <w:r>
        <w:rPr>
          <w:rFonts w:ascii="Arial" w:cs="Arial" w:eastAsia="Arial" w:hAnsi="Arial"/>
          <w:sz w:val="17"/>
          <w:szCs w:val="17"/>
          <w:color w:val="auto"/>
        </w:rPr>
        <w:t>The Company believes it has strong arguments against the assessments, but litigation is uncertain and there is no assurance that it will prevail in court. Should the Company lose on one or more of its arguments, it could incur additional losses associated with taxes, interest, and penalties that together, in aggregate, could be material. The Company regularly assesses the likelihood of adverse outcomes resulting from tax disputes such as this and examines all open years to determine the necessity and adequacy of any tax reserves. The Company’s tax reserves are further discussed in Note 14(d) of these condensed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80" w:firstLine="464"/>
        <w:spacing w:after="0" w:line="208" w:lineRule="exact"/>
        <w:rPr>
          <w:sz w:val="20"/>
          <w:szCs w:val="20"/>
          <w:color w:val="auto"/>
        </w:rPr>
      </w:pPr>
      <w:r>
        <w:rPr>
          <w:rFonts w:ascii="Arial" w:cs="Arial" w:eastAsia="Arial" w:hAnsi="Arial"/>
          <w:sz w:val="17"/>
          <w:szCs w:val="17"/>
          <w:color w:val="auto"/>
        </w:rPr>
        <w:t>In addition to the litigation discussed above, from time to time, the Company may be subject to legal actions and claims in the ordinary course of business. The Company has received, and may in the future continue to receive, claims from third parties asserting, among other things, infringement of their intellectual property rights. Future litigation may be necessary to defend the Company, its partners and its customers by determining the scope, enforceability and validity of third</w:t>
      </w:r>
      <w:r>
        <w:rPr>
          <w:rFonts w:ascii="MS PGothic" w:cs="MS PGothic" w:eastAsia="MS PGothic" w:hAnsi="MS PGothic"/>
          <w:sz w:val="17"/>
          <w:szCs w:val="17"/>
          <w:color w:val="auto"/>
        </w:rPr>
        <w:t>‑</w:t>
      </w:r>
      <w:r>
        <w:rPr>
          <w:rFonts w:ascii="Arial" w:cs="Arial" w:eastAsia="Arial" w:hAnsi="Arial"/>
          <w:sz w:val="17"/>
          <w:szCs w:val="17"/>
          <w:color w:val="auto"/>
        </w:rPr>
        <w:t>party proprietary rights, or to establish our proprietary rights. The results of any current or future litigation cannot be predicted with certainty, and regardless of the outcome, litigation can have an adverse impact on the Company because of defense and settlement costs, diversion of management resources and other factors.</w:t>
      </w:r>
    </w:p>
    <w:p>
      <w:pPr>
        <w:spacing w:after="0" w:line="198" w:lineRule="exact"/>
        <w:rPr>
          <w:sz w:val="20"/>
          <w:szCs w:val="20"/>
          <w:color w:val="auto"/>
        </w:rPr>
      </w:pPr>
    </w:p>
    <w:p>
      <w:pPr>
        <w:ind w:right="60" w:firstLine="464"/>
        <w:spacing w:after="0" w:line="279" w:lineRule="auto"/>
        <w:rPr>
          <w:sz w:val="20"/>
          <w:szCs w:val="20"/>
          <w:color w:val="auto"/>
        </w:rPr>
      </w:pPr>
      <w:r>
        <w:rPr>
          <w:rFonts w:ascii="Arial" w:cs="Arial" w:eastAsia="Arial" w:hAnsi="Arial"/>
          <w:sz w:val="17"/>
          <w:szCs w:val="17"/>
          <w:color w:val="auto"/>
        </w:rPr>
        <w:t>Legal fees and other costs related to litigation and other legal proceedings are expensed as incurred and are included in general and administrative expenses in the accompanying condensed consolidated statements of operations.</w:t>
      </w:r>
    </w:p>
    <w:p>
      <w:pPr>
        <w:spacing w:after="0" w:line="164" w:lineRule="exact"/>
        <w:rPr>
          <w:sz w:val="20"/>
          <w:szCs w:val="20"/>
          <w:color w:val="auto"/>
        </w:rPr>
      </w:pPr>
    </w:p>
    <w:p>
      <w:pPr>
        <w:ind w:left="1240" w:hanging="773"/>
        <w:spacing w:after="0"/>
        <w:tabs>
          <w:tab w:leader="none" w:pos="1240" w:val="left"/>
        </w:tabs>
        <w:numPr>
          <w:ilvl w:val="0"/>
          <w:numId w:val="1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Indemnification Agreements</w:t>
      </w:r>
    </w:p>
    <w:p>
      <w:pPr>
        <w:spacing w:after="0" w:line="217" w:lineRule="exact"/>
        <w:rPr>
          <w:sz w:val="20"/>
          <w:szCs w:val="20"/>
          <w:color w:val="auto"/>
        </w:rPr>
      </w:pPr>
    </w:p>
    <w:p>
      <w:pPr>
        <w:ind w:firstLine="464"/>
        <w:spacing w:after="0" w:line="283" w:lineRule="auto"/>
        <w:rPr>
          <w:sz w:val="20"/>
          <w:szCs w:val="20"/>
          <w:color w:val="auto"/>
        </w:rPr>
      </w:pPr>
      <w:r>
        <w:rPr>
          <w:rFonts w:ascii="Arial" w:cs="Arial" w:eastAsia="Arial" w:hAnsi="Arial"/>
          <w:sz w:val="16"/>
          <w:szCs w:val="16"/>
          <w:color w:val="auto"/>
        </w:rPr>
        <w:t>The Company has signed indemnification agreements with all of its board members and executive officers. The agreements indemnify the board members and executive officers from claims and expenses on actions brought against the individuals separately or jointly with the Company for certain indemnifiable events. Indemnifiable events generally mean any event or occurrence related to the fact that the board member or the executive officer was or is acting in his or her capacity as a board member or an executive officer for the Company or was or is acting or representing the interests of the Company.</w:t>
      </w:r>
    </w:p>
    <w:p>
      <w:pPr>
        <w:spacing w:after="0" w:line="164" w:lineRule="exact"/>
        <w:rPr>
          <w:sz w:val="20"/>
          <w:szCs w:val="20"/>
          <w:color w:val="auto"/>
        </w:rPr>
      </w:pPr>
    </w:p>
    <w:p>
      <w:pPr>
        <w:ind w:right="20" w:firstLine="464"/>
        <w:spacing w:after="0" w:line="257" w:lineRule="auto"/>
        <w:rPr>
          <w:sz w:val="20"/>
          <w:szCs w:val="20"/>
          <w:color w:val="auto"/>
        </w:rPr>
      </w:pPr>
      <w:r>
        <w:rPr>
          <w:rFonts w:ascii="Arial" w:cs="Arial" w:eastAsia="Arial" w:hAnsi="Arial"/>
          <w:sz w:val="17"/>
          <w:szCs w:val="17"/>
          <w:color w:val="auto"/>
        </w:rPr>
        <w:t>In the ordinary course of business and in connection with its financing and business combinations transactions, the Company enters into contractual arrangements under which it agrees to provide indemnification of varying scope and terms to business partners, customers and other parties with respect to certain matters, including, but not limited to, losses arising out of the breach of such agreements, intellectual property infringement claims made by third parties and other liabilities relating to or arising from the Company’s various products, or its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 The terms of such obligations may vary.</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2023, and December 31, 2022, no amounts were accrued related to any outstanding indemnification agreements.</w:t>
      </w:r>
    </w:p>
    <w:p>
      <w:pPr>
        <w:spacing w:after="0" w:line="217" w:lineRule="exact"/>
        <w:rPr>
          <w:sz w:val="20"/>
          <w:szCs w:val="20"/>
          <w:color w:val="auto"/>
        </w:rPr>
      </w:pPr>
    </w:p>
    <w:p>
      <w:pPr>
        <w:ind w:left="1240" w:hanging="773"/>
        <w:spacing w:after="0"/>
        <w:tabs>
          <w:tab w:leader="none" w:pos="1240"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Other Taxes</w:t>
      </w:r>
    </w:p>
    <w:p>
      <w:pPr>
        <w:spacing w:after="0" w:line="217" w:lineRule="exact"/>
        <w:rPr>
          <w:sz w:val="20"/>
          <w:szCs w:val="20"/>
          <w:color w:val="auto"/>
        </w:rPr>
      </w:pPr>
    </w:p>
    <w:p>
      <w:pPr>
        <w:ind w:right="40" w:firstLine="464"/>
        <w:spacing w:after="0" w:line="279" w:lineRule="auto"/>
        <w:rPr>
          <w:sz w:val="20"/>
          <w:szCs w:val="20"/>
          <w:color w:val="auto"/>
        </w:rPr>
      </w:pPr>
      <w:r>
        <w:rPr>
          <w:rFonts w:ascii="Arial" w:cs="Arial" w:eastAsia="Arial" w:hAnsi="Arial"/>
          <w:sz w:val="16"/>
          <w:szCs w:val="16"/>
          <w:color w:val="auto"/>
        </w:rPr>
        <w:t>The Company conducts operations in multiple tax jurisdictions within and outside of the United States. In many of these jurisdictions, non-income-based taxes, such as sales, use, telecommunications and other local taxes are assessed on the Company’s operations. The Company carries reserves for certain of its non-income-based tax exposures in certain jurisdictions when it is both probable that a liability was incurred and the amount of the exposure could be reasonably estimated. These reserves are based on estimates which include several key assumptions including, but not limited to, the taxability of the Company’s services, the jurisdictions in which its management believes it had nexus and the sourcing of revenues to those jurisdictions.</w:t>
      </w:r>
    </w:p>
    <w:p>
      <w:pPr>
        <w:spacing w:after="0" w:line="168" w:lineRule="exact"/>
        <w:rPr>
          <w:sz w:val="20"/>
          <w:szCs w:val="20"/>
          <w:color w:val="auto"/>
        </w:rPr>
      </w:pPr>
    </w:p>
    <w:p>
      <w:pPr>
        <w:ind w:firstLine="464"/>
        <w:spacing w:after="0" w:line="258" w:lineRule="auto"/>
        <w:rPr>
          <w:sz w:val="20"/>
          <w:szCs w:val="20"/>
          <w:color w:val="auto"/>
        </w:rPr>
      </w:pPr>
      <w:r>
        <w:rPr>
          <w:rFonts w:ascii="Arial" w:cs="Arial" w:eastAsia="Arial" w:hAnsi="Arial"/>
          <w:sz w:val="17"/>
          <w:szCs w:val="17"/>
          <w:color w:val="auto"/>
        </w:rPr>
        <w:t>The Company continues to remain in discussions with certain jurisdictions regarding its prior sales and other taxes that it may owe. In the event any of these jurisdictions disagree with management’s assumptions and analysis, the assessment of the Company’s tax exposure could differ materially from management’s current estimates. For example, as described in Note 14(b), the Company is currently involved in legal proceedings with the City and County of San Francisco challenging their assessment of the Company’s estimated tax liability for a specific period. The $38.8 million assessment of taxes, including interest and penalties, that the Company paid as required in 2020, net of the $11.5 million reserve the Company had accrued for the same period, was recorded as a deposit in other assets in the accompanying condensed consolidated balance sheets.</w:t>
      </w:r>
    </w:p>
    <w:p>
      <w:pPr>
        <w:spacing w:after="0" w:line="183"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As of June 30, 2023, the liabilities recorded for the non-income-based taxes were $31.8 million for domestic jurisdictions and $20.5 million for jurisdictions outside of the United States. As of December 31, 2022, these liabilities were $29.1 million and $20.6 million, respectively.</w:t>
      </w:r>
    </w:p>
    <w:p>
      <w:pPr>
        <w:spacing w:after="0" w:line="158" w:lineRule="exact"/>
        <w:rPr>
          <w:sz w:val="20"/>
          <w:szCs w:val="20"/>
          <w:color w:val="auto"/>
        </w:rPr>
      </w:pPr>
    </w:p>
    <w:p>
      <w:pPr>
        <w:jc w:val="center"/>
        <w:ind w:left="460" w:right="9420" w:hanging="457"/>
        <w:spacing w:after="0" w:line="578" w:lineRule="auto"/>
        <w:tabs>
          <w:tab w:leader="none" w:pos="254" w:val="left"/>
        </w:tabs>
        <w:numPr>
          <w:ilvl w:val="0"/>
          <w:numId w:val="1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Stockholders' Equity </w:t>
      </w:r>
      <w:r>
        <w:rPr>
          <w:rFonts w:ascii="Arial" w:cs="Arial" w:eastAsia="Arial" w:hAnsi="Arial"/>
          <w:sz w:val="15"/>
          <w:szCs w:val="15"/>
          <w:b w:val="1"/>
          <w:bCs w:val="1"/>
          <w:i w:val="1"/>
          <w:iCs w:val="1"/>
          <w:color w:val="auto"/>
        </w:rPr>
        <w:t>Preferred Stock</w:t>
      </w:r>
    </w:p>
    <w:p>
      <w:pPr>
        <w:ind w:right="320" w:firstLine="464"/>
        <w:spacing w:after="0" w:line="279" w:lineRule="auto"/>
        <w:rPr>
          <w:sz w:val="20"/>
          <w:szCs w:val="20"/>
          <w:color w:val="auto"/>
        </w:rPr>
      </w:pPr>
      <w:r>
        <w:rPr>
          <w:rFonts w:ascii="Arial" w:cs="Arial" w:eastAsia="Arial" w:hAnsi="Arial"/>
          <w:sz w:val="17"/>
          <w:szCs w:val="17"/>
          <w:color w:val="auto"/>
        </w:rPr>
        <w:t>As of June 30, 2023, and December 31, 2022, the Company had authorized 100,000,000 shares of preferred stock, par value $0.001, of which no shares were issued and outstanding.</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Common Stock</w:t>
      </w:r>
    </w:p>
    <w:p>
      <w:pPr>
        <w:spacing w:after="0" w:line="217" w:lineRule="exact"/>
        <w:rPr>
          <w:sz w:val="20"/>
          <w:szCs w:val="20"/>
          <w:color w:val="auto"/>
        </w:rPr>
      </w:pPr>
    </w:p>
    <w:p>
      <w:pPr>
        <w:ind w:right="240" w:firstLine="464"/>
        <w:spacing w:after="0" w:line="259" w:lineRule="auto"/>
        <w:rPr>
          <w:sz w:val="20"/>
          <w:szCs w:val="20"/>
          <w:color w:val="auto"/>
        </w:rPr>
      </w:pPr>
      <w:r>
        <w:rPr>
          <w:rFonts w:ascii="Arial" w:cs="Arial" w:eastAsia="Arial" w:hAnsi="Arial"/>
          <w:sz w:val="17"/>
          <w:szCs w:val="17"/>
          <w:color w:val="auto"/>
        </w:rPr>
        <w:t>As of June 30, 2023, the Company had authorized 1,000,000,000 shares of Class A common stock and 3,170,181 shares of Class B common stock, each with a par value of $0.001 per share. As of December 31, 2022, the Company had authorized 1,000,000,000 shares of Class A common stock and 100,000,000 shares of Class B common stock, each with a par value of $0.001 per share. As of June 30, 2023, 181,174,616 shares of Class A common stock and no shares of Class B common stock were issued and outstanding. As of December 31, 2022, 176,358,104 shares of Class A common stock and 9,617,605 shares of Class B common stock were issued and outstanding.</w:t>
      </w:r>
    </w:p>
    <w:p>
      <w:pPr>
        <w:spacing w:after="0" w:line="183" w:lineRule="exact"/>
        <w:rPr>
          <w:sz w:val="20"/>
          <w:szCs w:val="20"/>
          <w:color w:val="auto"/>
        </w:rPr>
      </w:pPr>
    </w:p>
    <w:p>
      <w:pPr>
        <w:ind w:right="60" w:firstLine="464"/>
        <w:spacing w:after="0" w:line="259" w:lineRule="auto"/>
        <w:rPr>
          <w:sz w:val="20"/>
          <w:szCs w:val="20"/>
          <w:color w:val="auto"/>
        </w:rPr>
      </w:pPr>
      <w:r>
        <w:rPr>
          <w:rFonts w:ascii="Arial" w:cs="Arial" w:eastAsia="Arial" w:hAnsi="Arial"/>
          <w:sz w:val="17"/>
          <w:szCs w:val="17"/>
          <w:color w:val="auto"/>
        </w:rPr>
        <w:t>On June 28, 2023, each outstanding share of the Company’s Class B common stock automatically converted (the “Conversion”) into one share of the Company’s Class A common stock pursuant to the terms of the Company’s amended and restated certificate of incorporation. In addition, upon the Conversion, outstanding stock options that were exercisable for shares of Class B common stock prior to the Conversion became exercisable for shares of Class A common stock. The Company filed a Certificate of Retirement with the Secretary of State of the State of Delaware effecting the retirement of all of the shares of its Class B common stock that were issued but not outstanding following the Conversion.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had reserved shares of common stock for issuance as follows:</w:t>
      </w:r>
    </w:p>
    <w:p>
      <w:pPr>
        <w:spacing w:after="0" w:line="254" w:lineRule="exact"/>
        <w:rPr>
          <w:sz w:val="20"/>
          <w:szCs w:val="20"/>
          <w:color w:val="auto"/>
        </w:rPr>
      </w:pPr>
    </w:p>
    <w:tbl>
      <w:tblPr>
        <w:tblLayout w:type="fixed"/>
        <w:tblInd w:w="980" w:type="dxa"/>
        <w:tblCellMar>
          <w:top w:w="0" w:type="dxa"/>
          <w:left w:w="0" w:type="dxa"/>
          <w:bottom w:w="0" w:type="dxa"/>
          <w:right w:w="0" w:type="dxa"/>
        </w:tblCellMar>
      </w:tblPr>
      <w:tr>
        <w:trPr>
          <w:trHeight w:val="205"/>
        </w:trPr>
        <w:tc>
          <w:tcPr>
            <w:tcW w:w="5940" w:type="dxa"/>
            <w:vAlign w:val="bottom"/>
          </w:tcPr>
          <w:p>
            <w:pPr>
              <w:spacing w:after="0"/>
              <w:rPr>
                <w:sz w:val="17"/>
                <w:szCs w:val="17"/>
                <w:color w:val="auto"/>
              </w:rPr>
            </w:pPr>
          </w:p>
        </w:tc>
        <w:tc>
          <w:tcPr>
            <w:tcW w:w="17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As of June 30, 2023</w:t>
            </w:r>
          </w:p>
        </w:tc>
        <w:tc>
          <w:tcPr>
            <w:tcW w:w="100" w:type="dxa"/>
            <w:vAlign w:val="bottom"/>
          </w:tcPr>
          <w:p>
            <w:pPr>
              <w:spacing w:after="0"/>
              <w:rPr>
                <w:sz w:val="17"/>
                <w:szCs w:val="17"/>
                <w:color w:val="auto"/>
              </w:rPr>
            </w:pPr>
          </w:p>
        </w:tc>
        <w:tc>
          <w:tcPr>
            <w:tcW w:w="18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96"/>
              </w:rPr>
              <w:t>As of December 31, 2022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 options issued and outstanding</w:t>
            </w: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1,907,102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2,277,379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rPr>
                <w:sz w:val="20"/>
                <w:szCs w:val="20"/>
                <w:color w:val="auto"/>
              </w:rPr>
            </w:pPr>
            <w:r>
              <w:rPr>
                <w:rFonts w:ascii="Arial" w:cs="Arial" w:eastAsia="Arial" w:hAnsi="Arial"/>
                <w:sz w:val="15"/>
                <w:szCs w:val="15"/>
                <w:color w:val="auto"/>
              </w:rPr>
              <w:t>Unvested restricted stock units issued and outstanding</w:t>
            </w:r>
          </w:p>
        </w:tc>
        <w:tc>
          <w:tcPr>
            <w:tcW w:w="1740" w:type="dxa"/>
            <w:vAlign w:val="bottom"/>
          </w:tcPr>
          <w:p>
            <w:pPr>
              <w:jc w:val="right"/>
              <w:spacing w:after="0"/>
              <w:rPr>
                <w:sz w:val="20"/>
                <w:szCs w:val="20"/>
                <w:color w:val="auto"/>
              </w:rPr>
            </w:pPr>
            <w:r>
              <w:rPr>
                <w:rFonts w:ascii="Arial" w:cs="Arial" w:eastAsia="Arial" w:hAnsi="Arial"/>
                <w:sz w:val="15"/>
                <w:szCs w:val="15"/>
                <w:color w:val="auto"/>
              </w:rPr>
              <w:t>22,092,462</w:t>
            </w:r>
          </w:p>
        </w:tc>
        <w:tc>
          <w:tcPr>
            <w:tcW w:w="1900" w:type="dxa"/>
            <w:vAlign w:val="bottom"/>
            <w:gridSpan w:val="2"/>
          </w:tcPr>
          <w:p>
            <w:pPr>
              <w:jc w:val="right"/>
              <w:spacing w:after="0"/>
              <w:rPr>
                <w:sz w:val="20"/>
                <w:szCs w:val="20"/>
                <w:color w:val="auto"/>
              </w:rPr>
            </w:pPr>
            <w:r>
              <w:rPr>
                <w:rFonts w:ascii="Arial" w:cs="Arial" w:eastAsia="Arial" w:hAnsi="Arial"/>
                <w:sz w:val="15"/>
                <w:szCs w:val="15"/>
                <w:color w:val="auto"/>
              </w:rPr>
              <w:t>15,414,997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Shares of Class A common stock reserved for Twilio.org</w:t>
            </w: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486,245</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530,449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rPr>
                <w:sz w:val="20"/>
                <w:szCs w:val="20"/>
                <w:color w:val="auto"/>
              </w:rPr>
            </w:pPr>
            <w:r>
              <w:rPr>
                <w:rFonts w:ascii="Arial" w:cs="Arial" w:eastAsia="Arial" w:hAnsi="Arial"/>
                <w:sz w:val="15"/>
                <w:szCs w:val="15"/>
                <w:color w:val="auto"/>
              </w:rPr>
              <w:t>Stock-based awards available for grant under 2016 Plan</w:t>
            </w:r>
          </w:p>
        </w:tc>
        <w:tc>
          <w:tcPr>
            <w:tcW w:w="1740" w:type="dxa"/>
            <w:vAlign w:val="bottom"/>
          </w:tcPr>
          <w:p>
            <w:pPr>
              <w:jc w:val="right"/>
              <w:spacing w:after="0"/>
              <w:rPr>
                <w:sz w:val="20"/>
                <w:szCs w:val="20"/>
                <w:color w:val="auto"/>
              </w:rPr>
            </w:pPr>
            <w:r>
              <w:rPr>
                <w:rFonts w:ascii="Arial" w:cs="Arial" w:eastAsia="Arial" w:hAnsi="Arial"/>
                <w:sz w:val="15"/>
                <w:szCs w:val="15"/>
                <w:color w:val="auto"/>
              </w:rPr>
              <w:t>20,268,133</w:t>
            </w:r>
          </w:p>
        </w:tc>
        <w:tc>
          <w:tcPr>
            <w:tcW w:w="1900" w:type="dxa"/>
            <w:vAlign w:val="bottom"/>
            <w:gridSpan w:val="2"/>
          </w:tcPr>
          <w:p>
            <w:pPr>
              <w:jc w:val="right"/>
              <w:spacing w:after="0"/>
              <w:rPr>
                <w:sz w:val="20"/>
                <w:szCs w:val="20"/>
                <w:color w:val="auto"/>
              </w:rPr>
            </w:pPr>
            <w:r>
              <w:rPr>
                <w:rFonts w:ascii="Arial" w:cs="Arial" w:eastAsia="Arial" w:hAnsi="Arial"/>
                <w:sz w:val="15"/>
                <w:szCs w:val="15"/>
                <w:color w:val="auto"/>
              </w:rPr>
              <w:t>19,851,399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Shares of Class A common stock reserved for issuance pursuant to ESPP</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8,868,572</w:t>
            </w: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7,648,429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40" w:type="dxa"/>
            <w:vAlign w:val="bottom"/>
          </w:tcPr>
          <w:p>
            <w:pPr>
              <w:ind w:left="200"/>
              <w:spacing w:after="0"/>
              <w:rPr>
                <w:sz w:val="20"/>
                <w:szCs w:val="20"/>
                <w:color w:val="auto"/>
              </w:rPr>
            </w:pPr>
            <w:r>
              <w:rPr>
                <w:rFonts w:ascii="Arial" w:cs="Arial" w:eastAsia="Arial" w:hAnsi="Arial"/>
                <w:sz w:val="15"/>
                <w:szCs w:val="15"/>
                <w:color w:val="auto"/>
              </w:rPr>
              <w:t>Total</w:t>
            </w:r>
          </w:p>
        </w:tc>
        <w:tc>
          <w:tcPr>
            <w:tcW w:w="1740" w:type="dxa"/>
            <w:vAlign w:val="bottom"/>
          </w:tcPr>
          <w:p>
            <w:pPr>
              <w:jc w:val="right"/>
              <w:spacing w:after="0"/>
              <w:rPr>
                <w:sz w:val="20"/>
                <w:szCs w:val="20"/>
                <w:color w:val="auto"/>
              </w:rPr>
            </w:pPr>
            <w:r>
              <w:rPr>
                <w:rFonts w:ascii="Arial" w:cs="Arial" w:eastAsia="Arial" w:hAnsi="Arial"/>
                <w:sz w:val="15"/>
                <w:szCs w:val="15"/>
                <w:color w:val="auto"/>
              </w:rPr>
              <w:t>53,622,514</w:t>
            </w:r>
          </w:p>
        </w:tc>
        <w:tc>
          <w:tcPr>
            <w:tcW w:w="1900" w:type="dxa"/>
            <w:vAlign w:val="bottom"/>
            <w:gridSpan w:val="2"/>
          </w:tcPr>
          <w:p>
            <w:pPr>
              <w:jc w:val="right"/>
              <w:spacing w:after="0"/>
              <w:rPr>
                <w:sz w:val="20"/>
                <w:szCs w:val="20"/>
                <w:color w:val="auto"/>
              </w:rPr>
            </w:pPr>
            <w:r>
              <w:rPr>
                <w:rFonts w:ascii="Arial" w:cs="Arial" w:eastAsia="Arial" w:hAnsi="Arial"/>
                <w:sz w:val="15"/>
                <w:szCs w:val="15"/>
                <w:color w:val="auto"/>
              </w:rPr>
              <w:t>45,722,653</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__</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59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February 2023, the Board of Directors of the Company authorized a share repurchase program pursuant to which the Company may repurchase up to</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$1.0 billion in aggregate value of its outstanding Class A common stock. Repurchases under this program can be made through open market, private transactions or</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other means, in compliance with applicable federal securities laws, and could include repurchases pursuant to Rule 10b5-1 trading plans. The Company has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discretion in determining the conditions under which shares may be repurchased from time to time. The program expires on December 31, 2024.</w:t>
      </w:r>
    </w:p>
    <w:p>
      <w:pPr>
        <w:spacing w:after="0" w:line="232" w:lineRule="exact"/>
        <w:rPr>
          <w:sz w:val="20"/>
          <w:szCs w:val="20"/>
          <w:color w:val="auto"/>
        </w:rPr>
      </w:pPr>
    </w:p>
    <w:p>
      <w:pPr>
        <w:ind w:right="20" w:firstLine="464"/>
        <w:spacing w:after="0" w:line="266" w:lineRule="auto"/>
        <w:rPr>
          <w:sz w:val="20"/>
          <w:szCs w:val="20"/>
          <w:color w:val="auto"/>
        </w:rPr>
      </w:pPr>
      <w:r>
        <w:rPr>
          <w:rFonts w:ascii="Arial" w:cs="Arial" w:eastAsia="Arial" w:hAnsi="Arial"/>
          <w:sz w:val="17"/>
          <w:szCs w:val="17"/>
          <w:color w:val="auto"/>
        </w:rPr>
        <w:t>In the three and six months ended June 30, 2023, the Company repurchased 6.4 million and 8.3 million shares of its Class A common stock, respectively, for an aggregate purchase price of $370.0 million and $495.0 million, respectively. As of June 30, 2023, approximately $505.0 million of the originally authorized amount remained available for future repurchases.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Stock-Based Compensation</w:t>
      </w:r>
    </w:p>
    <w:p>
      <w:pPr>
        <w:spacing w:after="0" w:line="223" w:lineRule="exact"/>
        <w:rPr>
          <w:sz w:val="20"/>
          <w:szCs w:val="20"/>
          <w:color w:val="auto"/>
        </w:rPr>
      </w:pPr>
    </w:p>
    <w:p>
      <w:pPr>
        <w:ind w:right="100" w:firstLine="464"/>
        <w:spacing w:after="0" w:line="262" w:lineRule="auto"/>
        <w:rPr>
          <w:sz w:val="20"/>
          <w:szCs w:val="20"/>
          <w:color w:val="auto"/>
        </w:rPr>
      </w:pPr>
      <w:r>
        <w:rPr>
          <w:rFonts w:ascii="Arial" w:cs="Arial" w:eastAsia="Arial" w:hAnsi="Arial"/>
          <w:sz w:val="17"/>
          <w:szCs w:val="17"/>
          <w:color w:val="auto"/>
        </w:rPr>
        <w:t>The Company’s 2016 Stock Option and Incentive Plan (the “2016 Plan”) provides for granting stock options, restricted stock units, restricted stock awards, stock appreciation rights, unrestricted stock awards, performance share awards, dividend equivalent rights and cash-based awards to its employees, directors and consultants. Certain of the Company’s outstanding equity awards were granted under equity incentive plans that are no longer active but continue to govern the outstanding equity awards granted thereunder.</w:t>
      </w:r>
    </w:p>
    <w:p>
      <w:pPr>
        <w:spacing w:after="0" w:line="178" w:lineRule="exact"/>
        <w:rPr>
          <w:sz w:val="20"/>
          <w:szCs w:val="20"/>
          <w:color w:val="auto"/>
        </w:rPr>
      </w:pPr>
    </w:p>
    <w:p>
      <w:pPr>
        <w:ind w:right="140" w:firstLine="464"/>
        <w:spacing w:after="0" w:line="266" w:lineRule="auto"/>
        <w:rPr>
          <w:sz w:val="20"/>
          <w:szCs w:val="20"/>
          <w:color w:val="auto"/>
        </w:rPr>
      </w:pPr>
      <w:r>
        <w:rPr>
          <w:rFonts w:ascii="Arial" w:cs="Arial" w:eastAsia="Arial" w:hAnsi="Arial"/>
          <w:sz w:val="17"/>
          <w:szCs w:val="17"/>
          <w:color w:val="auto"/>
        </w:rPr>
        <w:t>In addition, pursuant to the Company’s 2016 Employee Stock Purchase Plan (“ESPP”), eligible employees may purchase shares of the Company’s Class A common stock at a discount of 15% through payroll deductions of their eligible compensation. The ESPP provides for separate six-month offering periods beginning in May and November of each year.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2023, total unrecognized compensation cost related to all outstanding equity awards was as follows: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5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3"/>
          </w:tcPr>
          <w:p>
            <w:pPr>
              <w:ind w:left="1080"/>
              <w:spacing w:after="0"/>
              <w:rPr>
                <w:sz w:val="20"/>
                <w:szCs w:val="20"/>
                <w:color w:val="auto"/>
              </w:rPr>
            </w:pPr>
            <w:r>
              <w:rPr>
                <w:rFonts w:ascii="Arial" w:cs="Arial" w:eastAsia="Arial" w:hAnsi="Arial"/>
                <w:sz w:val="15"/>
                <w:szCs w:val="15"/>
                <w:b w:val="1"/>
                <w:bCs w:val="1"/>
                <w:color w:val="auto"/>
              </w:rPr>
              <w:t>As of June 30, 2023</w:t>
            </w:r>
          </w:p>
        </w:tc>
      </w:tr>
      <w:tr>
        <w:trPr>
          <w:trHeight w:val="150"/>
        </w:trPr>
        <w:tc>
          <w:tcPr>
            <w:tcW w:w="5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jc w:val="center"/>
              <w:ind w:right="124"/>
              <w:spacing w:after="0" w:line="151" w:lineRule="exact"/>
              <w:rPr>
                <w:sz w:val="20"/>
                <w:szCs w:val="20"/>
                <w:color w:val="auto"/>
              </w:rPr>
            </w:pPr>
            <w:r>
              <w:rPr>
                <w:rFonts w:ascii="Arial" w:cs="Arial" w:eastAsia="Arial" w:hAnsi="Arial"/>
                <w:sz w:val="15"/>
                <w:szCs w:val="15"/>
                <w:b w:val="1"/>
                <w:bCs w:val="1"/>
                <w:color w:val="auto"/>
                <w:w w:val="92"/>
              </w:rPr>
              <w:t>Unrecognized</w:t>
            </w:r>
          </w:p>
        </w:tc>
        <w:tc>
          <w:tcPr>
            <w:tcW w:w="80" w:type="dxa"/>
            <w:vAlign w:val="bottom"/>
          </w:tcPr>
          <w:p>
            <w:pPr>
              <w:spacing w:after="0"/>
              <w:rPr>
                <w:sz w:val="13"/>
                <w:szCs w:val="13"/>
                <w:color w:val="auto"/>
              </w:rPr>
            </w:pPr>
          </w:p>
        </w:tc>
        <w:tc>
          <w:tcPr>
            <w:tcW w:w="184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w w:val="92"/>
              </w:rPr>
              <w:t>Weighted-average</w:t>
            </w:r>
          </w:p>
        </w:tc>
      </w:tr>
      <w:tr>
        <w:trPr>
          <w:trHeight w:val="204"/>
        </w:trPr>
        <w:tc>
          <w:tcPr>
            <w:tcW w:w="5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90"/>
              </w:rPr>
              <w:t>Compensation Cost</w:t>
            </w:r>
          </w:p>
        </w:tc>
        <w:tc>
          <w:tcPr>
            <w:tcW w:w="8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remaining period</w:t>
            </w:r>
          </w:p>
        </w:tc>
      </w:tr>
      <w:tr>
        <w:trPr>
          <w:trHeight w:val="179"/>
        </w:trPr>
        <w:tc>
          <w:tcPr>
            <w:tcW w:w="5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center"/>
              <w:ind w:right="124"/>
              <w:spacing w:after="0"/>
              <w:rPr>
                <w:sz w:val="20"/>
                <w:szCs w:val="20"/>
                <w:color w:val="auto"/>
              </w:rPr>
            </w:pPr>
            <w:r>
              <w:rPr>
                <w:rFonts w:ascii="Arial" w:cs="Arial" w:eastAsia="Arial" w:hAnsi="Arial"/>
                <w:sz w:val="14"/>
                <w:szCs w:val="14"/>
                <w:color w:val="auto"/>
                <w:w w:val="89"/>
              </w:rPr>
              <w:t>(In thousands)</w:t>
            </w:r>
          </w:p>
        </w:tc>
        <w:tc>
          <w:tcPr>
            <w:tcW w:w="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1"/>
              </w:rPr>
              <w:t>(In years)</w:t>
            </w: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Unvested stock options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24,471</w:t>
            </w:r>
          </w:p>
        </w:tc>
        <w:tc>
          <w:tcPr>
            <w:tcW w:w="1920" w:type="dxa"/>
            <w:vAlign w:val="bottom"/>
            <w:gridSpan w:val="2"/>
            <w:shd w:val="clear" w:color="auto" w:fill="CCEEFF"/>
          </w:tcPr>
          <w:p>
            <w:pPr>
              <w:jc w:val="center"/>
              <w:ind w:left="3"/>
              <w:spacing w:after="0"/>
              <w:rPr>
                <w:sz w:val="20"/>
                <w:szCs w:val="20"/>
                <w:color w:val="auto"/>
              </w:rPr>
            </w:pPr>
            <w:r>
              <w:rPr>
                <w:rFonts w:ascii="Arial" w:cs="Arial" w:eastAsia="Arial" w:hAnsi="Arial"/>
                <w:sz w:val="15"/>
                <w:szCs w:val="15"/>
                <w:color w:val="auto"/>
                <w:w w:val="95"/>
              </w:rPr>
              <w:t>1.7</w:t>
            </w: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Unvested restricted stock units and awards</w:t>
            </w:r>
          </w:p>
        </w:tc>
        <w:tc>
          <w:tcPr>
            <w:tcW w:w="180" w:type="dxa"/>
            <w:vAlign w:val="bottom"/>
          </w:tcPr>
          <w:p>
            <w:pPr>
              <w:spacing w:after="0"/>
              <w:rPr>
                <w:sz w:val="17"/>
                <w:szCs w:val="17"/>
                <w:color w:val="auto"/>
              </w:rPr>
            </w:pPr>
          </w:p>
        </w:tc>
        <w:tc>
          <w:tcPr>
            <w:tcW w:w="1680" w:type="dxa"/>
            <w:vAlign w:val="bottom"/>
          </w:tcPr>
          <w:p>
            <w:pPr>
              <w:jc w:val="right"/>
              <w:ind w:right="4"/>
              <w:spacing w:after="0"/>
              <w:rPr>
                <w:sz w:val="20"/>
                <w:szCs w:val="20"/>
                <w:color w:val="auto"/>
              </w:rPr>
            </w:pPr>
            <w:r>
              <w:rPr>
                <w:rFonts w:ascii="Arial" w:cs="Arial" w:eastAsia="Arial" w:hAnsi="Arial"/>
                <w:sz w:val="15"/>
                <w:szCs w:val="15"/>
                <w:color w:val="auto"/>
              </w:rPr>
              <w:t>1,901,440</w:t>
            </w:r>
          </w:p>
        </w:tc>
        <w:tc>
          <w:tcPr>
            <w:tcW w:w="1920" w:type="dxa"/>
            <w:vAlign w:val="bottom"/>
            <w:gridSpan w:val="2"/>
          </w:tcPr>
          <w:p>
            <w:pPr>
              <w:jc w:val="center"/>
              <w:ind w:left="3"/>
              <w:spacing w:after="0"/>
              <w:rPr>
                <w:sz w:val="20"/>
                <w:szCs w:val="20"/>
                <w:color w:val="auto"/>
              </w:rPr>
            </w:pPr>
            <w:r>
              <w:rPr>
                <w:rFonts w:ascii="Arial" w:cs="Arial" w:eastAsia="Arial" w:hAnsi="Arial"/>
                <w:sz w:val="15"/>
                <w:szCs w:val="15"/>
                <w:color w:val="auto"/>
                <w:w w:val="95"/>
              </w:rPr>
              <w:t>3.1</w:t>
            </w:r>
          </w:p>
        </w:tc>
      </w:tr>
      <w:tr>
        <w:trPr>
          <w:trHeight w:val="209"/>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ESPP</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4,181</w:t>
            </w:r>
          </w:p>
        </w:tc>
        <w:tc>
          <w:tcPr>
            <w:tcW w:w="1920" w:type="dxa"/>
            <w:vAlign w:val="bottom"/>
            <w:gridSpan w:val="2"/>
            <w:shd w:val="clear" w:color="auto" w:fill="CCEEFF"/>
          </w:tcPr>
          <w:p>
            <w:pPr>
              <w:jc w:val="center"/>
              <w:ind w:left="3"/>
              <w:spacing w:after="0"/>
              <w:rPr>
                <w:sz w:val="20"/>
                <w:szCs w:val="20"/>
                <w:color w:val="auto"/>
              </w:rPr>
            </w:pPr>
            <w:r>
              <w:rPr>
                <w:rFonts w:ascii="Arial" w:cs="Arial" w:eastAsia="Arial" w:hAnsi="Arial"/>
                <w:sz w:val="15"/>
                <w:szCs w:val="15"/>
                <w:color w:val="auto"/>
                <w:w w:val="95"/>
              </w:rPr>
              <w:t>0.4</w:t>
            </w:r>
          </w:p>
        </w:tc>
      </w:tr>
      <w:tr>
        <w:trPr>
          <w:trHeight w:val="20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Shares of Class A common stock in escrow subject to future vesting</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1,469</w:t>
            </w:r>
          </w:p>
        </w:tc>
        <w:tc>
          <w:tcPr>
            <w:tcW w:w="1920" w:type="dxa"/>
            <w:vAlign w:val="bottom"/>
            <w:tcBorders>
              <w:bottom w:val="single" w:sz="8" w:color="CCEEFF"/>
            </w:tcBorders>
            <w:gridSpan w:val="2"/>
          </w:tcPr>
          <w:p>
            <w:pPr>
              <w:jc w:val="center"/>
              <w:ind w:left="3"/>
              <w:spacing w:after="0"/>
              <w:rPr>
                <w:sz w:val="20"/>
                <w:szCs w:val="20"/>
                <w:color w:val="auto"/>
              </w:rPr>
            </w:pPr>
            <w:r>
              <w:rPr>
                <w:rFonts w:ascii="Arial" w:cs="Arial" w:eastAsia="Arial" w:hAnsi="Arial"/>
                <w:sz w:val="15"/>
                <w:szCs w:val="15"/>
                <w:color w:val="auto"/>
                <w:w w:val="95"/>
              </w:rPr>
              <w:t>1</w:t>
            </w:r>
          </w:p>
        </w:tc>
      </w:tr>
      <w:tr>
        <w:trPr>
          <w:trHeight w:val="227"/>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1,931,561</w:t>
            </w:r>
          </w:p>
        </w:tc>
        <w:tc>
          <w:tcPr>
            <w:tcW w:w="8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r>
    </w:tbl>
    <w:p>
      <w:pPr>
        <w:spacing w:after="0" w:line="2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recorded total stock-based compensation expense as follows:</w:t>
      </w:r>
    </w:p>
    <w:p>
      <w:pPr>
        <w:spacing w:after="0" w:line="22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4"/>
          </w:tcPr>
          <w:p>
            <w:pPr>
              <w:jc w:val="right"/>
              <w:ind w:right="745"/>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Pr>
          <w:p>
            <w:pPr>
              <w:spacing w:after="0"/>
              <w:rPr>
                <w:sz w:val="14"/>
                <w:szCs w:val="14"/>
                <w:color w:val="auto"/>
              </w:rPr>
            </w:pPr>
          </w:p>
        </w:tc>
      </w:tr>
      <w:tr>
        <w:trPr>
          <w:trHeight w:val="178"/>
        </w:trPr>
        <w:tc>
          <w:tcPr>
            <w:tcW w:w="4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5"/>
                <w:szCs w:val="15"/>
                <w:color w:val="auto"/>
              </w:rPr>
            </w:pPr>
          </w:p>
        </w:tc>
      </w:tr>
      <w:tr>
        <w:trPr>
          <w:trHeight w:val="24"/>
        </w:trPr>
        <w:tc>
          <w:tcPr>
            <w:tcW w:w="4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72"/>
        </w:trPr>
        <w:tc>
          <w:tcPr>
            <w:tcW w:w="48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w w:val="89"/>
              </w:rPr>
              <w:t>2022</w:t>
            </w:r>
          </w:p>
        </w:tc>
      </w:tr>
      <w:tr>
        <w:trPr>
          <w:trHeight w:val="178"/>
        </w:trPr>
        <w:tc>
          <w:tcPr>
            <w:tcW w:w="4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4"/>
                <w:szCs w:val="14"/>
                <w:color w:val="auto"/>
              </w:rPr>
              <w:t>(In thousands)</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revenue</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6,334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3,996</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11,624</w:t>
            </w:r>
          </w:p>
        </w:tc>
        <w:tc>
          <w:tcPr>
            <w:tcW w:w="62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r>
      <w:tr>
        <w:trPr>
          <w:trHeight w:val="203"/>
        </w:trPr>
        <w:tc>
          <w:tcPr>
            <w:tcW w:w="4860" w:type="dxa"/>
            <w:vAlign w:val="bottom"/>
          </w:tcPr>
          <w:p>
            <w:pPr>
              <w:ind w:left="20"/>
              <w:spacing w:after="0"/>
              <w:rPr>
                <w:sz w:val="20"/>
                <w:szCs w:val="20"/>
                <w:color w:val="auto"/>
              </w:rPr>
            </w:pPr>
            <w:r>
              <w:rPr>
                <w:rFonts w:ascii="Arial" w:cs="Arial" w:eastAsia="Arial" w:hAnsi="Arial"/>
                <w:sz w:val="15"/>
                <w:szCs w:val="15"/>
                <w:color w:val="auto"/>
              </w:rPr>
              <w:t>Research and development</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74,576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5"/>
              <w:spacing w:after="0"/>
              <w:rPr>
                <w:sz w:val="20"/>
                <w:szCs w:val="20"/>
                <w:color w:val="auto"/>
              </w:rPr>
            </w:pPr>
            <w:r>
              <w:rPr>
                <w:rFonts w:ascii="Arial" w:cs="Arial" w:eastAsia="Arial" w:hAnsi="Arial"/>
                <w:sz w:val="15"/>
                <w:szCs w:val="15"/>
                <w:color w:val="auto"/>
              </w:rPr>
              <w:t>109,524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152,669</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Sales and marketing</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78,492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90,998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203"/>
        </w:trPr>
        <w:tc>
          <w:tcPr>
            <w:tcW w:w="4860" w:type="dxa"/>
            <w:vAlign w:val="bottom"/>
          </w:tcPr>
          <w:p>
            <w:pPr>
              <w:ind w:left="20"/>
              <w:spacing w:after="0"/>
              <w:rPr>
                <w:sz w:val="20"/>
                <w:szCs w:val="20"/>
                <w:color w:val="auto"/>
              </w:rPr>
            </w:pPr>
            <w:r>
              <w:rPr>
                <w:rFonts w:ascii="Arial" w:cs="Arial" w:eastAsia="Arial" w:hAnsi="Arial"/>
                <w:sz w:val="15"/>
                <w:szCs w:val="15"/>
                <w:color w:val="auto"/>
              </w:rPr>
              <w:t>General and administrative</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29,019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5"/>
              <w:spacing w:after="0"/>
              <w:rPr>
                <w:sz w:val="20"/>
                <w:szCs w:val="20"/>
                <w:color w:val="auto"/>
              </w:rPr>
            </w:pPr>
            <w:r>
              <w:rPr>
                <w:rFonts w:ascii="Arial" w:cs="Arial" w:eastAsia="Arial" w:hAnsi="Arial"/>
                <w:sz w:val="15"/>
                <w:szCs w:val="15"/>
                <w:color w:val="auto"/>
              </w:rPr>
              <w:t>50,078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57,973</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Restructuring costs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10,629</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r>
      <w:tr>
        <w:trPr>
          <w:trHeight w:val="196"/>
        </w:trPr>
        <w:tc>
          <w:tcPr>
            <w:tcW w:w="4860" w:type="dxa"/>
            <w:vAlign w:val="bottom"/>
          </w:tcPr>
          <w:p>
            <w:pPr>
              <w:ind w:left="220"/>
              <w:spacing w:after="0"/>
              <w:rPr>
                <w:sz w:val="20"/>
                <w:szCs w:val="20"/>
                <w:color w:val="auto"/>
              </w:rPr>
            </w:pPr>
            <w:r>
              <w:rPr>
                <w:rFonts w:ascii="Arial" w:cs="Arial" w:eastAsia="Arial" w:hAnsi="Arial"/>
                <w:sz w:val="15"/>
                <w:szCs w:val="15"/>
                <w:color w:val="auto"/>
              </w:rPr>
              <w:t>Total</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153,094</w:t>
            </w:r>
          </w:p>
        </w:tc>
        <w:tc>
          <w:tcPr>
            <w:tcW w:w="4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5"/>
              <w:spacing w:after="0"/>
              <w:rPr>
                <w:sz w:val="20"/>
                <w:szCs w:val="20"/>
                <w:color w:val="auto"/>
              </w:rPr>
            </w:pPr>
            <w:r>
              <w:rPr>
                <w:rFonts w:ascii="Arial" w:cs="Arial" w:eastAsia="Arial" w:hAnsi="Arial"/>
                <w:sz w:val="15"/>
                <w:szCs w:val="15"/>
                <w:color w:val="auto"/>
              </w:rPr>
              <w:t>242,090</w:t>
            </w:r>
          </w:p>
        </w:tc>
        <w:tc>
          <w:tcPr>
            <w:tcW w:w="54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323,893</w:t>
            </w:r>
          </w:p>
        </w:tc>
        <w:tc>
          <w:tcPr>
            <w:tcW w:w="62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21"/>
        </w:trPr>
        <w:tc>
          <w:tcPr>
            <w:tcW w:w="4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Net Loss Per Share Attributable to Common Stockholders</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calculation of basic and diluted net loss per share attributable to common stockholders during the periods presented:</w:t>
      </w:r>
    </w:p>
    <w:p>
      <w:pPr>
        <w:spacing w:after="0" w:line="235"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4"/>
          </w:tcPr>
          <w:p>
            <w:pPr>
              <w:jc w:val="right"/>
              <w:ind w:right="60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attributable to common stockholders (in thousands)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(166,187)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(322,769)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(508,326)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line="146" w:lineRule="exact"/>
              <w:rPr>
                <w:sz w:val="20"/>
                <w:szCs w:val="20"/>
                <w:color w:val="auto"/>
              </w:rPr>
            </w:pPr>
            <w:r>
              <w:rPr>
                <w:rFonts w:ascii="Arial" w:cs="Arial" w:eastAsia="Arial" w:hAnsi="Arial"/>
                <w:sz w:val="15"/>
                <w:szCs w:val="15"/>
                <w:color w:val="auto"/>
              </w:rPr>
              <w:t>Weighted-average shares used to compute net loss per share attributable to</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59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183,490,982</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182,347,864</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184,926,875</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181,6</w:t>
            </w:r>
          </w:p>
        </w:tc>
        <w:tc>
          <w:tcPr>
            <w:tcW w:w="0" w:type="dxa"/>
            <w:vAlign w:val="bottom"/>
          </w:tcPr>
          <w:p>
            <w:pPr>
              <w:spacing w:after="0"/>
              <w:rPr>
                <w:sz w:val="1"/>
                <w:szCs w:val="1"/>
                <w:color w:val="auto"/>
              </w:rPr>
            </w:pPr>
          </w:p>
        </w:tc>
      </w:tr>
      <w:tr>
        <w:trPr>
          <w:trHeight w:val="176"/>
        </w:trPr>
        <w:tc>
          <w:tcPr>
            <w:tcW w:w="5980" w:type="dxa"/>
            <w:vAlign w:val="bottom"/>
          </w:tcPr>
          <w:p>
            <w:pPr>
              <w:ind w:left="220"/>
              <w:spacing w:after="0"/>
              <w:rPr>
                <w:sz w:val="20"/>
                <w:szCs w:val="20"/>
                <w:color w:val="auto"/>
              </w:rPr>
            </w:pPr>
            <w:r>
              <w:rPr>
                <w:rFonts w:ascii="Arial" w:cs="Arial" w:eastAsia="Arial" w:hAnsi="Arial"/>
                <w:sz w:val="15"/>
                <w:szCs w:val="15"/>
                <w:color w:val="auto"/>
              </w:rPr>
              <w:t>common stockholders, basic and diluted</w:t>
            </w: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per share attributable to common stockholders, basic and diluted</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220" w:firstLine="464"/>
        <w:spacing w:after="0" w:line="279" w:lineRule="auto"/>
        <w:rPr>
          <w:sz w:val="20"/>
          <w:szCs w:val="20"/>
          <w:color w:val="auto"/>
        </w:rPr>
      </w:pPr>
      <w:r>
        <w:rPr>
          <w:rFonts w:ascii="Arial" w:cs="Arial" w:eastAsia="Arial" w:hAnsi="Arial"/>
          <w:sz w:val="17"/>
          <w:szCs w:val="17"/>
          <w:color w:val="auto"/>
        </w:rPr>
        <w:t>The following outstanding shares of common stock equivalents were excluded from the calculation of the diluted net loss per share attributable to common stockholders because their effect would have been anti-dilutive:</w:t>
      </w:r>
    </w:p>
    <w:p>
      <w:pPr>
        <w:spacing w:after="0" w:line="193" w:lineRule="exact"/>
        <w:rPr>
          <w:sz w:val="20"/>
          <w:szCs w:val="20"/>
          <w:color w:val="auto"/>
        </w:rPr>
      </w:pPr>
    </w:p>
    <w:tbl>
      <w:tblPr>
        <w:tblLayout w:type="fixed"/>
        <w:tblInd w:w="1180" w:type="dxa"/>
        <w:tblCellMar>
          <w:top w:w="0" w:type="dxa"/>
          <w:left w:w="0" w:type="dxa"/>
          <w:bottom w:w="0" w:type="dxa"/>
          <w:right w:w="0" w:type="dxa"/>
        </w:tblCellMar>
      </w:tblPr>
      <w:tr>
        <w:trPr>
          <w:trHeight w:val="184"/>
        </w:trPr>
        <w:tc>
          <w:tcPr>
            <w:tcW w:w="6960" w:type="dxa"/>
            <w:vAlign w:val="bottom"/>
          </w:tcPr>
          <w:p>
            <w:pPr>
              <w:spacing w:after="0"/>
              <w:rPr>
                <w:sz w:val="16"/>
                <w:szCs w:val="16"/>
                <w:color w:val="auto"/>
              </w:rPr>
            </w:pPr>
          </w:p>
        </w:tc>
        <w:tc>
          <w:tcPr>
            <w:tcW w:w="172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88"/>
              </w:rPr>
              <w:t>As of June 30,</w:t>
            </w:r>
          </w:p>
        </w:tc>
        <w:tc>
          <w:tcPr>
            <w:tcW w:w="820" w:type="dxa"/>
            <w:vAlign w:val="bottom"/>
            <w:tcBorders>
              <w:bottom w:val="single" w:sz="8" w:color="auto"/>
            </w:tcBorders>
          </w:tcPr>
          <w:p>
            <w:pPr>
              <w:spacing w:after="0"/>
              <w:rPr>
                <w:sz w:val="16"/>
                <w:szCs w:val="16"/>
                <w:color w:val="auto"/>
              </w:rPr>
            </w:pPr>
          </w:p>
        </w:tc>
      </w:tr>
      <w:tr>
        <w:trPr>
          <w:trHeight w:val="185"/>
        </w:trPr>
        <w:tc>
          <w:tcPr>
            <w:tcW w:w="6960" w:type="dxa"/>
            <w:vAlign w:val="bottom"/>
          </w:tcPr>
          <w:p>
            <w:pPr>
              <w:spacing w:after="0"/>
              <w:rPr>
                <w:sz w:val="16"/>
                <w:szCs w:val="16"/>
                <w:color w:val="auto"/>
              </w:rPr>
            </w:pPr>
          </w:p>
        </w:tc>
        <w:tc>
          <w:tcPr>
            <w:tcW w:w="120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2022</w:t>
            </w:r>
          </w:p>
        </w:tc>
      </w:tr>
      <w:tr>
        <w:trPr>
          <w:trHeight w:val="206"/>
        </w:trPr>
        <w:tc>
          <w:tcPr>
            <w:tcW w:w="6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 options issued and outstanding</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1,907,102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2,654,461</w:t>
            </w:r>
          </w:p>
        </w:tc>
      </w:tr>
      <w:tr>
        <w:trPr>
          <w:trHeight w:val="203"/>
        </w:trPr>
        <w:tc>
          <w:tcPr>
            <w:tcW w:w="6960" w:type="dxa"/>
            <w:vAlign w:val="bottom"/>
          </w:tcPr>
          <w:p>
            <w:pPr>
              <w:ind w:left="20"/>
              <w:spacing w:after="0"/>
              <w:rPr>
                <w:sz w:val="20"/>
                <w:szCs w:val="20"/>
                <w:color w:val="auto"/>
              </w:rPr>
            </w:pPr>
            <w:r>
              <w:rPr>
                <w:rFonts w:ascii="Arial" w:cs="Arial" w:eastAsia="Arial" w:hAnsi="Arial"/>
                <w:sz w:val="15"/>
                <w:szCs w:val="15"/>
                <w:color w:val="auto"/>
              </w:rPr>
              <w:t>Unvested restricted stock units issued and outstanding</w:t>
            </w:r>
          </w:p>
        </w:tc>
        <w:tc>
          <w:tcPr>
            <w:tcW w:w="1200" w:type="dxa"/>
            <w:vAlign w:val="bottom"/>
          </w:tcPr>
          <w:p>
            <w:pPr>
              <w:jc w:val="right"/>
              <w:spacing w:after="0"/>
              <w:rPr>
                <w:sz w:val="20"/>
                <w:szCs w:val="20"/>
                <w:color w:val="auto"/>
              </w:rPr>
            </w:pPr>
            <w:r>
              <w:rPr>
                <w:rFonts w:ascii="Arial" w:cs="Arial" w:eastAsia="Arial" w:hAnsi="Arial"/>
                <w:sz w:val="15"/>
                <w:szCs w:val="15"/>
                <w:color w:val="auto"/>
              </w:rPr>
              <w:t>22,092,462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w w:val="95"/>
              </w:rPr>
              <w:t>14,496,487</w:t>
            </w:r>
          </w:p>
        </w:tc>
      </w:tr>
      <w:tr>
        <w:trPr>
          <w:trHeight w:val="209"/>
        </w:trPr>
        <w:tc>
          <w:tcPr>
            <w:tcW w:w="6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Shares of Class A common stock reserved for Twilio.org</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486,245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574,653</w:t>
            </w:r>
          </w:p>
        </w:tc>
      </w:tr>
      <w:tr>
        <w:trPr>
          <w:trHeight w:val="203"/>
        </w:trPr>
        <w:tc>
          <w:tcPr>
            <w:tcW w:w="6960" w:type="dxa"/>
            <w:vAlign w:val="bottom"/>
          </w:tcPr>
          <w:p>
            <w:pPr>
              <w:ind w:left="20"/>
              <w:spacing w:after="0"/>
              <w:rPr>
                <w:sz w:val="20"/>
                <w:szCs w:val="20"/>
                <w:color w:val="auto"/>
              </w:rPr>
            </w:pPr>
            <w:r>
              <w:rPr>
                <w:rFonts w:ascii="Arial" w:cs="Arial" w:eastAsia="Arial" w:hAnsi="Arial"/>
                <w:sz w:val="15"/>
                <w:szCs w:val="15"/>
                <w:color w:val="auto"/>
              </w:rPr>
              <w:t>Shares of Class A common stock committed under ESPP</w:t>
            </w:r>
          </w:p>
        </w:tc>
        <w:tc>
          <w:tcPr>
            <w:tcW w:w="1200" w:type="dxa"/>
            <w:vAlign w:val="bottom"/>
          </w:tcPr>
          <w:p>
            <w:pPr>
              <w:jc w:val="right"/>
              <w:spacing w:after="0"/>
              <w:rPr>
                <w:sz w:val="20"/>
                <w:szCs w:val="20"/>
                <w:color w:val="auto"/>
              </w:rPr>
            </w:pPr>
            <w:r>
              <w:rPr>
                <w:rFonts w:ascii="Arial" w:cs="Arial" w:eastAsia="Arial" w:hAnsi="Arial"/>
                <w:sz w:val="15"/>
                <w:szCs w:val="15"/>
                <w:color w:val="auto"/>
              </w:rPr>
              <w:t>396,717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226,082</w:t>
            </w:r>
          </w:p>
        </w:tc>
      </w:tr>
      <w:tr>
        <w:trPr>
          <w:trHeight w:val="209"/>
        </w:trPr>
        <w:tc>
          <w:tcPr>
            <w:tcW w:w="6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Shares of Class A common stock in escrow</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31,503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31,503</w:t>
            </w:r>
          </w:p>
        </w:tc>
      </w:tr>
      <w:tr>
        <w:trPr>
          <w:trHeight w:val="206"/>
        </w:trPr>
        <w:tc>
          <w:tcPr>
            <w:tcW w:w="6960" w:type="dxa"/>
            <w:vAlign w:val="bottom"/>
          </w:tcPr>
          <w:p>
            <w:pPr>
              <w:ind w:left="20"/>
              <w:spacing w:after="0"/>
              <w:rPr>
                <w:sz w:val="20"/>
                <w:szCs w:val="20"/>
                <w:color w:val="auto"/>
              </w:rPr>
            </w:pPr>
            <w:r>
              <w:rPr>
                <w:rFonts w:ascii="Arial" w:cs="Arial" w:eastAsia="Arial" w:hAnsi="Arial"/>
                <w:sz w:val="15"/>
                <w:szCs w:val="15"/>
                <w:color w:val="auto"/>
              </w:rPr>
              <w:t>Shares of Class A common stock in escrow and restricted stock awards subject to future vesting</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15,936</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76,080</w:t>
            </w:r>
          </w:p>
        </w:tc>
      </w:tr>
      <w:tr>
        <w:trPr>
          <w:trHeight w:val="224"/>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24,929,965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18,059,266</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Income Taxes</w:t>
      </w:r>
    </w:p>
    <w:p>
      <w:pPr>
        <w:spacing w:after="0" w:line="223" w:lineRule="exact"/>
        <w:rPr>
          <w:sz w:val="20"/>
          <w:szCs w:val="20"/>
          <w:color w:val="auto"/>
        </w:rPr>
      </w:pPr>
    </w:p>
    <w:p>
      <w:pPr>
        <w:ind w:right="40" w:firstLine="464"/>
        <w:spacing w:after="0" w:line="258" w:lineRule="auto"/>
        <w:rPr>
          <w:sz w:val="20"/>
          <w:szCs w:val="20"/>
          <w:color w:val="auto"/>
        </w:rPr>
      </w:pPr>
      <w:r>
        <w:rPr>
          <w:rFonts w:ascii="Arial" w:cs="Arial" w:eastAsia="Arial" w:hAnsi="Arial"/>
          <w:sz w:val="17"/>
          <w:szCs w:val="17"/>
          <w:color w:val="auto"/>
        </w:rPr>
        <w:t>The Company computes its provision for income taxes for interim periods using an estimated annual effective tax rate based on anticipated annual pretax income or loss. The estimated annual effective tax rate is applied to the Company’s year to date income or loss, and is adjusted for discrete items recorded in the period. The primary difference between the Company’s effective tax rate and the federal statutory rate is the full valuation allowance the Company has established on its federal, state and certain foreign net operating losses and credits. The Company recorded an income tax provision of $0.7 million and $11.2 million for the three and six months ended June 30, 2023, respectively, and an income tax provision of $2.6 million and an income tax benefit of $0.3 million for the three and six months ended June 30, 2022, respectively.</w:t>
      </w:r>
    </w:p>
    <w:p>
      <w:pPr>
        <w:spacing w:after="0" w:line="183" w:lineRule="exact"/>
        <w:rPr>
          <w:sz w:val="20"/>
          <w:szCs w:val="20"/>
          <w:color w:val="auto"/>
        </w:rPr>
      </w:pPr>
    </w:p>
    <w:p>
      <w:pPr>
        <w:ind w:firstLine="464"/>
        <w:spacing w:after="0" w:line="279" w:lineRule="auto"/>
        <w:rPr>
          <w:sz w:val="20"/>
          <w:szCs w:val="20"/>
          <w:color w:val="auto"/>
        </w:rPr>
      </w:pPr>
      <w:r>
        <w:rPr>
          <w:rFonts w:ascii="Arial" w:cs="Arial" w:eastAsia="Arial" w:hAnsi="Arial"/>
          <w:sz w:val="16"/>
          <w:szCs w:val="16"/>
          <w:color w:val="auto"/>
        </w:rPr>
        <w:t>The provision for income taxes recorded in the three and six months ended June 30, 2023, consists primarily of income taxes and withholding taxes, partially offset by an income tax benefit from the release of tax liabilities related to uncertain tax positions for which the statute of limitation had lapsed. The provision for income taxes recorded in the three months ended June 30, 2022 and the benefit for income taxes recorded in the six months ended June 30, 2022, consists primarily of income taxes and withholding taxes in foreign jurisdictions in which the Company conducts business, partially offset by an income tax benefit from the reversal of U.S. deferred tax liabilities related to the acquired intangibles from business combinations.</w:t>
      </w:r>
    </w:p>
    <w:p>
      <w:pPr>
        <w:spacing w:after="0" w:line="168" w:lineRule="exact"/>
        <w:rPr>
          <w:sz w:val="20"/>
          <w:szCs w:val="20"/>
          <w:color w:val="auto"/>
        </w:rPr>
      </w:pPr>
    </w:p>
    <w:p>
      <w:pPr>
        <w:ind w:right="80" w:firstLine="464"/>
        <w:spacing w:after="0" w:line="279" w:lineRule="auto"/>
        <w:rPr>
          <w:sz w:val="20"/>
          <w:szCs w:val="20"/>
          <w:color w:val="auto"/>
        </w:rPr>
      </w:pPr>
      <w:r>
        <w:rPr>
          <w:rFonts w:ascii="Arial" w:cs="Arial" w:eastAsia="Arial" w:hAnsi="Arial"/>
          <w:sz w:val="17"/>
          <w:szCs w:val="17"/>
          <w:color w:val="auto"/>
        </w:rPr>
        <w:t>The Company is subject to taxation in the U.S. and various other state and foreign jurisdictions. Because the Company has net operating loss carryforwards for U.S. federal and state jurisdictions, the statute of limitations is open for all tax years.</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Related Party Transactions</w:t>
      </w:r>
    </w:p>
    <w:p>
      <w:pPr>
        <w:spacing w:after="0" w:line="210" w:lineRule="exact"/>
        <w:rPr>
          <w:sz w:val="20"/>
          <w:szCs w:val="20"/>
          <w:color w:val="auto"/>
        </w:rPr>
      </w:pPr>
    </w:p>
    <w:p>
      <w:pPr>
        <w:ind w:right="100" w:firstLine="464"/>
        <w:spacing w:after="0" w:line="242" w:lineRule="auto"/>
        <w:rPr>
          <w:sz w:val="20"/>
          <w:szCs w:val="20"/>
          <w:color w:val="auto"/>
        </w:rPr>
      </w:pPr>
      <w:r>
        <w:rPr>
          <w:rFonts w:ascii="Arial" w:cs="Arial" w:eastAsia="Arial" w:hAnsi="Arial"/>
          <w:sz w:val="17"/>
          <w:szCs w:val="17"/>
          <w:color w:val="auto"/>
        </w:rPr>
        <w:t>In May 2022, the Company and Syniverse Corporation (“Syniverse”), an equity method investee, entered into a wholesale agreement, pursuant to which Syniverse would process, route and deliver application-to-person messages originating and/or terminating between the Company’s customers and mobile network operators. For the three and six months ended June 30, 2023, the value of the transactions that occurred between the Company and Syniverse were $37.3 million and $70.3 million, respectively. The value of the transactions that occurred between the Company and Syniverse were $22.0 million for the period from the investment closing date in May 2022 through June 30, 2022. These transactions were recorded as cost of revenue in the accompanying condensed consolidated statement of operations.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23" w:lineRule="exact"/>
        <w:rPr>
          <w:sz w:val="20"/>
          <w:szCs w:val="20"/>
          <w:color w:val="auto"/>
        </w:rPr>
      </w:pPr>
    </w:p>
    <w:p>
      <w:pPr>
        <w:ind w:right="20" w:firstLine="464"/>
        <w:spacing w:after="0" w:line="257"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85" w:lineRule="exact"/>
        <w:rPr>
          <w:sz w:val="20"/>
          <w:szCs w:val="20"/>
          <w:color w:val="auto"/>
        </w:rPr>
      </w:pPr>
    </w:p>
    <w:p>
      <w:pPr>
        <w:ind w:left="940" w:right="540" w:hanging="318"/>
        <w:spacing w:after="0" w:line="279" w:lineRule="auto"/>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impact of macroeconomic uncertainties and significant market volatility in the global economy on our customers, partners, employees and business;</w:t>
      </w:r>
    </w:p>
    <w:p>
      <w:pPr>
        <w:spacing w:after="0" w:line="164" w:lineRule="exact"/>
        <w:rPr>
          <w:rFonts w:ascii="Arial" w:cs="Arial" w:eastAsia="Arial" w:hAnsi="Arial"/>
          <w:sz w:val="17"/>
          <w:szCs w:val="17"/>
          <w:color w:val="auto"/>
        </w:rPr>
      </w:pPr>
    </w:p>
    <w:p>
      <w:pPr>
        <w:ind w:left="940" w:right="140" w:hanging="318"/>
        <w:spacing w:after="0" w:line="266" w:lineRule="auto"/>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future financial performance, including expectations regarding our revenue, cost of revenue, gross margin and operating expenses, our ability to generate positive cash flow and ability to achieve and sustain profitability on GAAP and non-GAAP bases, and the assumptions underlying such expectations;</w:t>
      </w:r>
    </w:p>
    <w:p>
      <w:pPr>
        <w:spacing w:after="0" w:line="175" w:lineRule="exact"/>
        <w:rPr>
          <w:rFonts w:ascii="Arial" w:cs="Arial" w:eastAsia="Arial" w:hAnsi="Arial"/>
          <w:sz w:val="17"/>
          <w:szCs w:val="17"/>
          <w:color w:val="auto"/>
        </w:rPr>
      </w:pPr>
    </w:p>
    <w:p>
      <w:pPr>
        <w:ind w:left="940" w:right="300" w:hanging="318"/>
        <w:spacing w:after="0" w:line="279" w:lineRule="auto"/>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benefits and efficiencies we expect to derive from recent workforce reductions and other cost-saving initiatives, including reducing our global office footprint and stock-based compensation expense;</w:t>
      </w:r>
    </w:p>
    <w:p>
      <w:pPr>
        <w:spacing w:after="0" w:line="164" w:lineRule="exact"/>
        <w:rPr>
          <w:rFonts w:ascii="Arial" w:cs="Arial" w:eastAsia="Arial" w:hAnsi="Arial"/>
          <w:sz w:val="17"/>
          <w:szCs w:val="17"/>
          <w:color w:val="auto"/>
        </w:rPr>
      </w:pPr>
    </w:p>
    <w:p>
      <w:pPr>
        <w:ind w:left="940" w:right="220" w:hanging="318"/>
        <w:spacing w:after="0" w:line="279" w:lineRule="auto"/>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business unit reorganization, including its expected costs and benefits, related accounting determinations and the shift in our segment reporting structure, and changes to our leadership structure;</w:t>
      </w:r>
    </w:p>
    <w:p>
      <w:pPr>
        <w:spacing w:after="0" w:line="164" w:lineRule="exact"/>
        <w:rPr>
          <w:rFonts w:ascii="Arial" w:cs="Arial" w:eastAsia="Arial" w:hAnsi="Arial"/>
          <w:sz w:val="17"/>
          <w:szCs w:val="17"/>
          <w:color w:val="auto"/>
        </w:rPr>
      </w:pPr>
    </w:p>
    <w:p>
      <w:pPr>
        <w:ind w:left="940" w:hanging="318"/>
        <w:spacing w:after="0" w:line="279" w:lineRule="auto"/>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expectations regarding our Data &amp; Applications business, including new product releases, increased investment and go-to-market focus to capture market share, and increased revenue growth;</w:t>
      </w:r>
    </w:p>
    <w:p>
      <w:pPr>
        <w:spacing w:after="0" w:line="164" w:lineRule="exact"/>
        <w:rPr>
          <w:rFonts w:ascii="Arial" w:cs="Arial" w:eastAsia="Arial" w:hAnsi="Arial"/>
          <w:sz w:val="17"/>
          <w:szCs w:val="17"/>
          <w:color w:val="auto"/>
        </w:rPr>
      </w:pPr>
    </w:p>
    <w:p>
      <w:pPr>
        <w:ind w:left="940" w:right="220" w:hanging="318"/>
        <w:spacing w:after="0" w:line="279" w:lineRule="auto"/>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expectations regarding our Communications business, including anticipated efficiencies and strategy for streamlining the customer experience, including increased focus on self-service capabilities;</w:t>
      </w:r>
    </w:p>
    <w:p>
      <w:pPr>
        <w:spacing w:after="0" w:line="164" w:lineRule="exact"/>
        <w:rPr>
          <w:rFonts w:ascii="Arial" w:cs="Arial" w:eastAsia="Arial" w:hAnsi="Arial"/>
          <w:sz w:val="17"/>
          <w:szCs w:val="17"/>
          <w:color w:val="auto"/>
        </w:rPr>
      </w:pPr>
    </w:p>
    <w:p>
      <w:pPr>
        <w:ind w:left="940" w:hanging="318"/>
        <w:spacing w:after="0"/>
        <w:tabs>
          <w:tab w:leader="none" w:pos="9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our ability to retain and increase revenue from existing customers and attract new customers, including enterprises and international organizations;</w:t>
      </w:r>
    </w:p>
    <w:p>
      <w:pPr>
        <w:spacing w:after="0" w:line="240" w:lineRule="exact"/>
        <w:rPr>
          <w:rFonts w:ascii="Arial" w:cs="Arial" w:eastAsia="Arial" w:hAnsi="Arial"/>
          <w:sz w:val="15"/>
          <w:szCs w:val="15"/>
          <w:color w:val="auto"/>
        </w:rPr>
      </w:pPr>
    </w:p>
    <w:p>
      <w:pPr>
        <w:ind w:left="940" w:hanging="318"/>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maintain reliable service levels for our customers;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anticipated investments in sales and marketing, research and development and additional systems and processes to support our growth;</w:t>
      </w:r>
    </w:p>
    <w:p>
      <w:pPr>
        <w:spacing w:after="0" w:line="228" w:lineRule="exact"/>
        <w:rPr>
          <w:rFonts w:ascii="Arial" w:cs="Arial" w:eastAsia="Arial" w:hAnsi="Arial"/>
          <w:sz w:val="16"/>
          <w:szCs w:val="16"/>
          <w:color w:val="auto"/>
        </w:rPr>
      </w:pPr>
    </w:p>
    <w:p>
      <w:pPr>
        <w:ind w:left="940" w:right="540" w:hanging="318"/>
        <w:spacing w:after="0" w:line="312" w:lineRule="auto"/>
        <w:tabs>
          <w:tab w:leader="none" w:pos="9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compete effectively in an intensely competitive market, including our ability to set optimal prices for our products and adapt and respond effectively to rising costs, rapidly changing technology and evolving customer needs, requirements, and preferences;</w:t>
      </w:r>
    </w:p>
    <w:p>
      <w:pPr>
        <w:spacing w:after="0" w:line="140" w:lineRule="exact"/>
        <w:rPr>
          <w:rFonts w:ascii="Arial" w:cs="Arial" w:eastAsia="Arial" w:hAnsi="Arial"/>
          <w:sz w:val="16"/>
          <w:szCs w:val="16"/>
          <w:color w:val="auto"/>
        </w:rPr>
      </w:pPr>
    </w:p>
    <w:p>
      <w:pPr>
        <w:ind w:left="940" w:hanging="318"/>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potential harm caused by compromises in security, data and infrastructure, including cybersecurity protections;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comply with modified or new industry standards, laws and regulations applying to our business;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make progress on our environmental, social and governance (“ESG”) programs, goals and commitments;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manage changes in network service provider fees that we pay in connection with the delivery of communications on our platform;</w:t>
      </w:r>
    </w:p>
    <w:p>
      <w:pPr>
        <w:spacing w:after="0" w:line="228" w:lineRule="exact"/>
        <w:rPr>
          <w:rFonts w:ascii="Arial" w:cs="Arial" w:eastAsia="Arial" w:hAnsi="Arial"/>
          <w:sz w:val="16"/>
          <w:szCs w:val="16"/>
          <w:color w:val="auto"/>
        </w:rPr>
      </w:pPr>
    </w:p>
    <w:p>
      <w:pPr>
        <w:ind w:left="940" w:right="420" w:hanging="318"/>
        <w:spacing w:after="0" w:line="279" w:lineRule="auto"/>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investments and costs required to prevent, detect and remediate potential cybersecurity threats, incidents and breaches of ours or our customers’ systems or information;</w:t>
      </w:r>
    </w:p>
    <w:p>
      <w:pPr>
        <w:spacing w:after="0" w:line="164" w:lineRule="exact"/>
        <w:rPr>
          <w:rFonts w:ascii="Arial" w:cs="Arial" w:eastAsia="Arial" w:hAnsi="Arial"/>
          <w:sz w:val="17"/>
          <w:szCs w:val="17"/>
          <w:color w:val="auto"/>
        </w:rPr>
      </w:pPr>
    </w:p>
    <w:p>
      <w:pPr>
        <w:ind w:left="940" w:hanging="318"/>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optimize our network service provider coverage and connectivity;</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work closely with email inbox service providers to maintain deliverability rates;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40" w:hanging="318"/>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impact and expected results from changes in our relationships with our larger customers;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form and expand partnerships with technology partners and consulting partners;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anticipated technology trends, such as the use of and demand for cloud communications and customer engagement tools;</w:t>
      </w:r>
    </w:p>
    <w:p>
      <w:pPr>
        <w:spacing w:after="0" w:line="204" w:lineRule="exact"/>
        <w:rPr>
          <w:rFonts w:ascii="Arial" w:cs="Arial" w:eastAsia="Arial" w:hAnsi="Arial"/>
          <w:sz w:val="17"/>
          <w:szCs w:val="17"/>
          <w:color w:val="auto"/>
        </w:rPr>
      </w:pPr>
    </w:p>
    <w:p>
      <w:pPr>
        <w:ind w:left="940" w:right="500" w:hanging="318"/>
        <w:spacing w:after="0" w:line="264" w:lineRule="auto"/>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leverage generative artificial intelligence (“AI”) and machine learning (“ML”) and develop and deliver products that incorporate generative AI and ML;</w:t>
      </w:r>
    </w:p>
    <w:p>
      <w:pPr>
        <w:spacing w:after="0" w:line="162" w:lineRule="exact"/>
        <w:rPr>
          <w:rFonts w:ascii="Arial" w:cs="Arial" w:eastAsia="Arial" w:hAnsi="Arial"/>
          <w:sz w:val="17"/>
          <w:szCs w:val="17"/>
          <w:color w:val="auto"/>
        </w:rPr>
      </w:pPr>
    </w:p>
    <w:p>
      <w:pPr>
        <w:ind w:left="940" w:hanging="318"/>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successfully enter into new markets and manage our international expansion;</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sufficiency of our cash and cash equivalents to meet our liquidity needs;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expectations regarding our share repurchase program;</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maintain, protect and enhance our intellectual property;</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successfully defend litigation brought against us;</w:t>
      </w:r>
    </w:p>
    <w:p>
      <w:pPr>
        <w:spacing w:after="0" w:line="217" w:lineRule="exact"/>
        <w:rPr>
          <w:rFonts w:ascii="Arial" w:cs="Arial" w:eastAsia="Arial" w:hAnsi="Arial"/>
          <w:sz w:val="17"/>
          <w:szCs w:val="17"/>
          <w:color w:val="auto"/>
        </w:rPr>
      </w:pPr>
    </w:p>
    <w:p>
      <w:pPr>
        <w:ind w:left="940" w:right="540" w:hanging="318"/>
        <w:spacing w:after="0" w:line="279" w:lineRule="auto"/>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service the interest on our 3.625% senior notes due 2029 (“2029 Notes”) and on our 3.875% notes due 2031 (“2031 Notes,” and together with the 2029 Notes, the “Notes”), and repay such Notes;</w:t>
      </w:r>
    </w:p>
    <w:p>
      <w:pPr>
        <w:spacing w:after="0" w:line="164" w:lineRule="exact"/>
        <w:rPr>
          <w:rFonts w:ascii="Arial" w:cs="Arial" w:eastAsia="Arial" w:hAnsi="Arial"/>
          <w:sz w:val="17"/>
          <w:szCs w:val="17"/>
          <w:color w:val="auto"/>
        </w:rPr>
      </w:pPr>
    </w:p>
    <w:p>
      <w:pPr>
        <w:ind w:left="940" w:hanging="318"/>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customers’ and other platform users’ violation of our policies or other misuse of our platform; and</w:t>
      </w:r>
    </w:p>
    <w:p>
      <w:pPr>
        <w:spacing w:after="0" w:line="217" w:lineRule="exact"/>
        <w:rPr>
          <w:rFonts w:ascii="Arial" w:cs="Arial" w:eastAsia="Arial" w:hAnsi="Arial"/>
          <w:sz w:val="17"/>
          <w:szCs w:val="17"/>
          <w:color w:val="auto"/>
        </w:rPr>
      </w:pPr>
    </w:p>
    <w:p>
      <w:pPr>
        <w:ind w:left="940" w:right="780" w:hanging="318"/>
        <w:spacing w:after="0" w:line="312" w:lineRule="auto"/>
        <w:tabs>
          <w:tab w:leader="none" w:pos="9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successfully integrate and realize the benefits of our past or future strategic acquisitions, divestitures or investments, and our expectations regarding the impact of the recent divestitures of our Internet of Things and ValueFirst businesses.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Quarterly Report on Form 10-Q.</w:t>
      </w:r>
    </w:p>
    <w:p>
      <w:pPr>
        <w:spacing w:after="0" w:line="217" w:lineRule="exact"/>
        <w:rPr>
          <w:sz w:val="20"/>
          <w:szCs w:val="20"/>
          <w:color w:val="auto"/>
        </w:rPr>
      </w:pPr>
    </w:p>
    <w:p>
      <w:pPr>
        <w:ind w:firstLine="464"/>
        <w:spacing w:after="0" w:line="257"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results of operations and financial condition. The outcome of the events described in these forward-looking statements is subject to risks, uncertainties and other factors described below in Part II, Item 1A,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2" w:lineRule="exact"/>
        <w:rPr>
          <w:sz w:val="20"/>
          <w:szCs w:val="20"/>
          <w:color w:val="auto"/>
        </w:rPr>
      </w:pPr>
    </w:p>
    <w:p>
      <w:pPr>
        <w:ind w:right="60" w:firstLine="464"/>
        <w:spacing w:after="0" w:line="258"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PART I - FINANCIAL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223" w:lineRule="exact"/>
        <w:rPr>
          <w:sz w:val="20"/>
          <w:szCs w:val="20"/>
          <w:color w:val="auto"/>
        </w:rPr>
      </w:pPr>
    </w:p>
    <w:p>
      <w:pPr>
        <w:ind w:right="120" w:firstLine="464"/>
        <w:spacing w:after="0" w:line="25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included in our Annual Report on Form 10-K for the year ended December 31, 2022.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Part II, Item 1A, “Risk Factors” in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3" w:lineRule="exact"/>
        <w:rPr>
          <w:sz w:val="20"/>
          <w:szCs w:val="20"/>
          <w:color w:val="auto"/>
        </w:rPr>
      </w:pPr>
    </w:p>
    <w:p>
      <w:pPr>
        <w:ind w:right="20" w:firstLine="464"/>
        <w:spacing w:after="0" w:line="297" w:lineRule="auto"/>
        <w:rPr>
          <w:sz w:val="20"/>
          <w:szCs w:val="20"/>
          <w:color w:val="auto"/>
        </w:rPr>
      </w:pPr>
      <w:r>
        <w:rPr>
          <w:rFonts w:ascii="Arial" w:cs="Arial" w:eastAsia="Arial" w:hAnsi="Arial"/>
          <w:sz w:val="15"/>
          <w:szCs w:val="15"/>
          <w:color w:val="auto"/>
        </w:rPr>
        <w:t>We enable businesses of all sizes and across numerous industries to revolutionize how they engage their customers. Our leading customer engagement platform is comprised of a suite of flexible software and communications solutions that allow businesses to deliver seamless, trusted and engaging customer experiences at scale. In order to deliver the personalized experiences through digital communication channels that their customers have come to expect, businesses seek a comprehensive view of their customers across multiple digital touchpoints that reveals what their needs are and which communications methods they prefer. Our platform, which combines our highly customizable communications Application Programming Interfaces (“APIs”) with leading customer data management capabilities, allows businesses to break down data silos and build a comprehensive view of customers to create the exact solutions they need to engage their customers at every step of the customer journey through real-time, relevant, personalized communications over the customers’ preferred communication channels.</w:t>
      </w:r>
    </w:p>
    <w:p>
      <w:pPr>
        <w:spacing w:after="0" w:line="156" w:lineRule="exact"/>
        <w:rPr>
          <w:sz w:val="20"/>
          <w:szCs w:val="20"/>
          <w:color w:val="auto"/>
        </w:rPr>
      </w:pPr>
    </w:p>
    <w:p>
      <w:pPr>
        <w:ind w:right="280" w:firstLine="464"/>
        <w:spacing w:after="0" w:line="258" w:lineRule="auto"/>
        <w:rPr>
          <w:sz w:val="20"/>
          <w:szCs w:val="20"/>
          <w:color w:val="auto"/>
        </w:rPr>
      </w:pPr>
      <w:r>
        <w:rPr>
          <w:rFonts w:ascii="Arial" w:cs="Arial" w:eastAsia="Arial" w:hAnsi="Arial"/>
          <w:sz w:val="17"/>
          <w:szCs w:val="17"/>
          <w:color w:val="auto"/>
        </w:rPr>
        <w:t>With our platform, businesses can personalize every transaction with real-time data, build lasting loyalty, reduce customer acquisition costs and increase customer lifetime value. Our customized software products are designed to address specific use cases, including our customer data platform, virtual contact centers, personalized yet scalable marketing campaigns and advanced account security systems. Our leading communications solutions, including our APIs, are highly customizable and enable developers to embed numerous forms of voice, messaging and email interactions into their customer-facing applications. Our platform is designed to support all of the most important ways people communicate through technology and our global infrastructure is capable of supporting virtually any business at scale.</w:t>
      </w:r>
    </w:p>
    <w:p>
      <w:pPr>
        <w:spacing w:after="0" w:line="183" w:lineRule="exact"/>
        <w:rPr>
          <w:sz w:val="20"/>
          <w:szCs w:val="20"/>
          <w:color w:val="auto"/>
        </w:rPr>
      </w:pPr>
    </w:p>
    <w:p>
      <w:pPr>
        <w:ind w:right="40" w:firstLine="464"/>
        <w:spacing w:after="0" w:line="266" w:lineRule="auto"/>
        <w:rPr>
          <w:sz w:val="20"/>
          <w:szCs w:val="20"/>
          <w:color w:val="auto"/>
        </w:rPr>
      </w:pPr>
      <w:r>
        <w:rPr>
          <w:rFonts w:ascii="Arial" w:cs="Arial" w:eastAsia="Arial" w:hAnsi="Arial"/>
          <w:sz w:val="17"/>
          <w:szCs w:val="17"/>
          <w:color w:val="auto"/>
        </w:rPr>
        <w:t>In the three months ended June 30, 2023 and 2022, our revenue was $1.0 billion and $943.4 million, respectively, and our net loss was $166.2 million and $322.8 million, respectively. In the three months ended June 30, 2023 and 2022, our 10 largest Active Customer Accounts generated an aggregate of 11% and 12% of our total revenue,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223" w:lineRule="exact"/>
        <w:rPr>
          <w:sz w:val="20"/>
          <w:szCs w:val="20"/>
          <w:color w:val="auto"/>
        </w:rPr>
      </w:pPr>
    </w:p>
    <w:p>
      <w:pPr>
        <w:ind w:right="180" w:firstLine="464"/>
        <w:spacing w:after="0" w:line="262" w:lineRule="auto"/>
        <w:rPr>
          <w:sz w:val="20"/>
          <w:szCs w:val="20"/>
          <w:color w:val="auto"/>
        </w:rPr>
      </w:pPr>
      <w:r>
        <w:rPr>
          <w:rFonts w:ascii="Arial" w:cs="Arial" w:eastAsia="Arial" w:hAnsi="Arial"/>
          <w:sz w:val="17"/>
          <w:szCs w:val="17"/>
          <w:b w:val="1"/>
          <w:bCs w:val="1"/>
          <w:i w:val="1"/>
          <w:iCs w:val="1"/>
          <w:color w:val="auto"/>
        </w:rPr>
        <w:t xml:space="preserve">Business Unit Reorganization. </w:t>
      </w:r>
      <w:r>
        <w:rPr>
          <w:rFonts w:ascii="Arial" w:cs="Arial" w:eastAsia="Arial" w:hAnsi="Arial"/>
          <w:sz w:val="17"/>
          <w:szCs w:val="17"/>
          <w:color w:val="auto"/>
        </w:rPr>
        <w:t>In February 2023, we announced the reorganization (the “Reorganization”) of our business into two business units: Twilio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Communications (“Communications”) and Twilio Data &amp; Applications (“Data &amp; Applications”). In connection with the Reorganization, we appointed Khozema Shipchandler as President, Twilio Communications, and Elena Donio as President, Twilio Data &amp; Applications, effective March 1, 2023. We also appointed Aidan Viggiano as our Chief Financial Officer, effective March 1, 2023.</w:t>
      </w:r>
    </w:p>
    <w:p>
      <w:pPr>
        <w:spacing w:after="0" w:line="178" w:lineRule="exact"/>
        <w:rPr>
          <w:sz w:val="20"/>
          <w:szCs w:val="20"/>
          <w:color w:val="auto"/>
        </w:rPr>
      </w:pPr>
    </w:p>
    <w:p>
      <w:pPr>
        <w:ind w:right="220" w:firstLine="464"/>
        <w:spacing w:after="0" w:line="302" w:lineRule="auto"/>
        <w:rPr>
          <w:sz w:val="20"/>
          <w:szCs w:val="20"/>
          <w:color w:val="auto"/>
        </w:rPr>
      </w:pPr>
      <w:r>
        <w:rPr>
          <w:rFonts w:ascii="Arial" w:cs="Arial" w:eastAsia="Arial" w:hAnsi="Arial"/>
          <w:sz w:val="15"/>
          <w:szCs w:val="15"/>
          <w:color w:val="auto"/>
        </w:rPr>
        <w:t>We believe that this strategic realignment will enable us to better execute on the key priorities for each business unit—accelerating growth for Data &amp; Applications and driving efficiencies for Communications—while accounting for each business unit’s unique economic, customer and product needs. These two business units can execute against their respective financial goals with more focus and independence—but they are also highly complementary. Our Data &amp; Applications business benefits from our underlying communications platform and our substantial active customer base. Our success in Data &amp; Applications also drives more intelligence for our Communications products. Together, they address adjacent needs and related problems for our customers.</w:t>
      </w:r>
    </w:p>
    <w:p>
      <w:pPr>
        <w:spacing w:after="0" w:line="152" w:lineRule="exact"/>
        <w:rPr>
          <w:sz w:val="20"/>
          <w:szCs w:val="20"/>
          <w:color w:val="auto"/>
        </w:rPr>
      </w:pPr>
    </w:p>
    <w:p>
      <w:pPr>
        <w:ind w:firstLine="464"/>
        <w:spacing w:after="0" w:line="283" w:lineRule="auto"/>
        <w:rPr>
          <w:sz w:val="20"/>
          <w:szCs w:val="20"/>
          <w:color w:val="auto"/>
        </w:rPr>
      </w:pPr>
      <w:r>
        <w:rPr>
          <w:rFonts w:ascii="Arial" w:cs="Arial" w:eastAsia="Arial" w:hAnsi="Arial"/>
          <w:sz w:val="16"/>
          <w:szCs w:val="16"/>
          <w:color w:val="auto"/>
        </w:rPr>
        <w:t>In connection with the Reorganization, we changed the organizational structure of our business, including the way we operate the business now and in the future. As such, in February 2023, we began making significant realignments to our internal processes and controls to build a financial reporting process within our enterprise reporting system that will enable consistent, comparable and reliable internal reporting on a business unit level. Concurrently, we were also in the process of determining the measure of profitability to be used by management to assess performance of its newly formed business units.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0" w:firstLine="464"/>
        <w:spacing w:after="0" w:line="279" w:lineRule="auto"/>
        <w:rPr>
          <w:sz w:val="20"/>
          <w:szCs w:val="20"/>
          <w:color w:val="auto"/>
        </w:rPr>
      </w:pPr>
      <w:r>
        <w:rPr>
          <w:rFonts w:ascii="Arial" w:cs="Arial" w:eastAsia="Arial" w:hAnsi="Arial"/>
          <w:sz w:val="16"/>
          <w:szCs w:val="16"/>
          <w:color w:val="auto"/>
        </w:rPr>
        <w:t>In the second quarter of 2023, we completed certain of the realignment efforts and began presenting non-GAAP gross profit by business unit to the Chief Operating Decision Maker (“CODM”) to be used to assess performance and make resource allocation decisions. As such, in the second quarter of 2023, our Chief Executive Officer, who is also our CODM, began regularly reviewing discrete financial information for each business unit. This shift in the way management started operating the business required us to reevaluate our operating segment structure under the applicable accounting guidance. We determined that as of June 30, 2023, we had two operating and reportable segments: Twilio Communications and Twilio Data &amp; Applications.</w:t>
      </w:r>
    </w:p>
    <w:p>
      <w:pPr>
        <w:spacing w:after="0" w:line="194" w:lineRule="exact"/>
        <w:rPr>
          <w:sz w:val="20"/>
          <w:szCs w:val="20"/>
          <w:color w:val="auto"/>
        </w:rPr>
      </w:pPr>
    </w:p>
    <w:p>
      <w:pPr>
        <w:jc w:val="both"/>
        <w:ind w:right="340" w:firstLine="464"/>
        <w:spacing w:after="0" w:line="266" w:lineRule="auto"/>
        <w:rPr>
          <w:sz w:val="20"/>
          <w:szCs w:val="20"/>
          <w:color w:val="auto"/>
        </w:rPr>
      </w:pPr>
      <w:r>
        <w:rPr>
          <w:rFonts w:ascii="Arial" w:cs="Arial" w:eastAsia="Arial" w:hAnsi="Arial"/>
          <w:sz w:val="17"/>
          <w:szCs w:val="17"/>
          <w:u w:val="single" w:color="auto"/>
          <w:color w:val="auto"/>
        </w:rPr>
        <w:t>Twilio Communications</w:t>
      </w:r>
      <w:r>
        <w:rPr>
          <w:rFonts w:ascii="Arial" w:cs="Arial" w:eastAsia="Arial" w:hAnsi="Arial"/>
          <w:sz w:val="17"/>
          <w:szCs w:val="17"/>
          <w:color w:val="auto"/>
        </w:rPr>
        <w:t>: The Communications segment consists of a variety of application programming interfaces (“APIs”) and software solutions to optimize communications between our customers and their end users. The key products from which the segment derives its revenue are Messaging, Voice and Email.</w:t>
      </w:r>
    </w:p>
    <w:p>
      <w:pPr>
        <w:spacing w:after="0" w:line="201" w:lineRule="exact"/>
        <w:rPr>
          <w:sz w:val="20"/>
          <w:szCs w:val="20"/>
          <w:color w:val="auto"/>
        </w:rPr>
      </w:pPr>
    </w:p>
    <w:p>
      <w:pPr>
        <w:ind w:right="340" w:firstLine="464"/>
        <w:spacing w:after="0" w:line="266" w:lineRule="auto"/>
        <w:rPr>
          <w:sz w:val="20"/>
          <w:szCs w:val="20"/>
          <w:color w:val="auto"/>
        </w:rPr>
      </w:pPr>
      <w:r>
        <w:rPr>
          <w:rFonts w:ascii="Arial" w:cs="Arial" w:eastAsia="Arial" w:hAnsi="Arial"/>
          <w:sz w:val="17"/>
          <w:szCs w:val="17"/>
          <w:u w:val="single" w:color="auto"/>
          <w:color w:val="auto"/>
        </w:rPr>
        <w:t>Twilio Data &amp; Applications</w:t>
      </w:r>
      <w:r>
        <w:rPr>
          <w:rFonts w:ascii="Arial" w:cs="Arial" w:eastAsia="Arial" w:hAnsi="Arial"/>
          <w:sz w:val="17"/>
          <w:szCs w:val="17"/>
          <w:color w:val="auto"/>
        </w:rPr>
        <w:t>: The Data &amp; Applications segment consists of software products that enable businesses to achieve more effective customer engagement by providing the tools necessary for customers to build direct, personalized relationships with their end users. The key products from which the segment derives its revenue are Segment, Engage, Flex and Marketing Campaigns.</w:t>
      </w:r>
    </w:p>
    <w:p>
      <w:pPr>
        <w:spacing w:after="0" w:line="201" w:lineRule="exact"/>
        <w:rPr>
          <w:sz w:val="20"/>
          <w:szCs w:val="20"/>
          <w:color w:val="auto"/>
        </w:rPr>
      </w:pPr>
    </w:p>
    <w:p>
      <w:pPr>
        <w:ind w:right="20" w:firstLine="464"/>
        <w:spacing w:after="0" w:line="262" w:lineRule="auto"/>
        <w:rPr>
          <w:sz w:val="20"/>
          <w:szCs w:val="20"/>
          <w:color w:val="auto"/>
        </w:rPr>
      </w:pPr>
      <w:r>
        <w:rPr>
          <w:rFonts w:ascii="Arial" w:cs="Arial" w:eastAsia="Arial" w:hAnsi="Arial"/>
          <w:sz w:val="17"/>
          <w:szCs w:val="17"/>
          <w:color w:val="auto"/>
        </w:rPr>
        <w:t>The shift in our segment structure also resulted in a shift in our reporting unit structure, under the applicable accounting guidance, which required us to assess our goodwill for impairment on a reporting unit level. We concluded that our goodwill was not impaired and, further, that none of our reporting units was at risk of failing the goodwill impairment test. Refer to Note 8 and Note 10 to our unaudited condensed consolidated financial statements included elsewhere in this Quarterly Report on Form 10-Q for additional information on segment reporting and goodwill.</w:t>
      </w:r>
    </w:p>
    <w:p>
      <w:pPr>
        <w:spacing w:after="0" w:line="178" w:lineRule="exact"/>
        <w:rPr>
          <w:sz w:val="20"/>
          <w:szCs w:val="20"/>
          <w:color w:val="auto"/>
        </w:rPr>
      </w:pPr>
    </w:p>
    <w:p>
      <w:pPr>
        <w:ind w:right="100" w:firstLine="464"/>
        <w:spacing w:after="0" w:line="307" w:lineRule="auto"/>
        <w:rPr>
          <w:sz w:val="20"/>
          <w:szCs w:val="20"/>
          <w:color w:val="auto"/>
        </w:rPr>
      </w:pPr>
      <w:r>
        <w:rPr>
          <w:rFonts w:ascii="Arial" w:cs="Arial" w:eastAsia="Arial" w:hAnsi="Arial"/>
          <w:sz w:val="15"/>
          <w:szCs w:val="15"/>
          <w:b w:val="1"/>
          <w:bCs w:val="1"/>
          <w:i w:val="1"/>
          <w:iCs w:val="1"/>
          <w:color w:val="auto"/>
        </w:rPr>
        <w:t xml:space="preserve">Share Repurchase Program. </w:t>
      </w:r>
      <w:r>
        <w:rPr>
          <w:rFonts w:ascii="Arial" w:cs="Arial" w:eastAsia="Arial" w:hAnsi="Arial"/>
          <w:sz w:val="15"/>
          <w:szCs w:val="15"/>
          <w:color w:val="auto"/>
        </w:rPr>
        <w:t>In February 2023, our Board of Directors authorized a share repurchase program pursuant to which we may repurchase up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$1.0 billion in aggregate value of our Class A common stock until the program expires on December 31, 2024. Repurchases under this program can be made through open market, private transactions or other means in compliance with applicable federal securities laws and could include repurchases pursuant to Rule 10b5-1 trading plans. We have discretion in determining the conditions under which shares may be repurchased from time to time.</w:t>
      </w:r>
    </w:p>
    <w:p>
      <w:pPr>
        <w:spacing w:after="0" w:line="149" w:lineRule="exact"/>
        <w:rPr>
          <w:sz w:val="20"/>
          <w:szCs w:val="20"/>
          <w:color w:val="auto"/>
        </w:rPr>
      </w:pPr>
    </w:p>
    <w:p>
      <w:pPr>
        <w:ind w:right="240" w:firstLine="464"/>
        <w:spacing w:after="0" w:line="279" w:lineRule="auto"/>
        <w:rPr>
          <w:sz w:val="20"/>
          <w:szCs w:val="20"/>
          <w:color w:val="auto"/>
        </w:rPr>
      </w:pPr>
      <w:r>
        <w:rPr>
          <w:rFonts w:ascii="Arial" w:cs="Arial" w:eastAsia="Arial" w:hAnsi="Arial"/>
          <w:sz w:val="17"/>
          <w:szCs w:val="17"/>
          <w:color w:val="auto"/>
        </w:rPr>
        <w:t>In the six months ended June 30, 2023, we repurchased $495.0 million in aggregate value, or 8.3 million shares, of our Class A common stock under this program. Approximately $505.0 million of the originally authorized amount remains available for future repurchases.</w:t>
      </w:r>
    </w:p>
    <w:p>
      <w:pPr>
        <w:spacing w:after="0" w:line="164" w:lineRule="exact"/>
        <w:rPr>
          <w:sz w:val="20"/>
          <w:szCs w:val="20"/>
          <w:color w:val="auto"/>
        </w:rPr>
      </w:pPr>
    </w:p>
    <w:p>
      <w:pPr>
        <w:ind w:firstLine="464"/>
        <w:spacing w:after="0" w:line="279" w:lineRule="auto"/>
        <w:rPr>
          <w:sz w:val="20"/>
          <w:szCs w:val="20"/>
          <w:color w:val="auto"/>
        </w:rPr>
      </w:pPr>
      <w:r>
        <w:rPr>
          <w:rFonts w:ascii="Arial" w:cs="Arial" w:eastAsia="Arial" w:hAnsi="Arial"/>
          <w:sz w:val="16"/>
          <w:szCs w:val="16"/>
          <w:b w:val="1"/>
          <w:bCs w:val="1"/>
          <w:i w:val="1"/>
          <w:iCs w:val="1"/>
          <w:color w:val="auto"/>
        </w:rPr>
        <w:t xml:space="preserve">Workforce Reduction Plan. </w:t>
      </w:r>
      <w:r>
        <w:rPr>
          <w:rFonts w:ascii="Arial" w:cs="Arial" w:eastAsia="Arial" w:hAnsi="Arial"/>
          <w:sz w:val="16"/>
          <w:szCs w:val="16"/>
          <w:color w:val="auto"/>
        </w:rPr>
        <w:t>In February 2023, we announced a workforce restructuring plan (the “February 2023 Plan”) to eliminate approximately 17%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workforce. The execution of the February 2023 Plan was substantially complete in the first quarter of 2023. In the three and six months ended June 30, 2023, we incurred $14.9 million and $136.8 million in restructuring expenses, respectively, related to employee severance, benefits, vesting of equity awards and facilitation costs. The estimated remaining expenses related to the February 2023 Plan are not expected to be significant. For additional details refer to Note 7 to our unaudited condensed consolidated financial statements included elsewhere in this Quarterly Report on Form 10-Q.</w:t>
      </w:r>
    </w:p>
    <w:p>
      <w:pPr>
        <w:spacing w:after="0" w:line="168" w:lineRule="exact"/>
        <w:rPr>
          <w:sz w:val="20"/>
          <w:szCs w:val="20"/>
          <w:color w:val="auto"/>
        </w:rPr>
      </w:pPr>
    </w:p>
    <w:p>
      <w:pPr>
        <w:ind w:right="60" w:firstLine="464"/>
        <w:spacing w:after="0" w:line="299" w:lineRule="auto"/>
        <w:rPr>
          <w:sz w:val="20"/>
          <w:szCs w:val="20"/>
          <w:color w:val="auto"/>
        </w:rPr>
      </w:pPr>
      <w:r>
        <w:rPr>
          <w:rFonts w:ascii="Arial" w:cs="Arial" w:eastAsia="Arial" w:hAnsi="Arial"/>
          <w:sz w:val="15"/>
          <w:szCs w:val="15"/>
          <w:b w:val="1"/>
          <w:bCs w:val="1"/>
          <w:i w:val="1"/>
          <w:iCs w:val="1"/>
          <w:color w:val="auto"/>
        </w:rPr>
        <w:t xml:space="preserve">Sabbatical Program. </w:t>
      </w:r>
      <w:r>
        <w:rPr>
          <w:rFonts w:ascii="Arial" w:cs="Arial" w:eastAsia="Arial" w:hAnsi="Arial"/>
          <w:sz w:val="15"/>
          <w:szCs w:val="15"/>
          <w:color w:val="auto"/>
        </w:rPr>
        <w:t>In February 2023, we announced that we will be sunsetting our employee sabbatical program that we introduced effective July 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2022. The sabbatical program was intended to provide our tenured employees with a paid leave of four consecutive weeks after every three years of service. Employees who had accumulated more than three years of service as of the program’s effective date became eligible for their benefit immediately. The discontinuation of this program and the reduction in force under our February 2023 Plan resulted in a $12.0 million cumulative one-time decrease to our accrued sabbatical liability in the first quarter of 2023. As of June 30, 2023, the remaining liability of $12.6 million related to the accumulated benefits for employees who remain eligible under this program until its expiration on December 31, 2023. As of December 31, 2022, the accrued sabbatical liability was $30.7 million.</w:t>
      </w:r>
    </w:p>
    <w:p>
      <w:pPr>
        <w:spacing w:after="0" w:line="155" w:lineRule="exact"/>
        <w:rPr>
          <w:sz w:val="20"/>
          <w:szCs w:val="20"/>
          <w:color w:val="auto"/>
        </w:rPr>
      </w:pPr>
    </w:p>
    <w:p>
      <w:pPr>
        <w:ind w:firstLine="464"/>
        <w:spacing w:after="0" w:line="283" w:lineRule="auto"/>
        <w:rPr>
          <w:sz w:val="20"/>
          <w:szCs w:val="20"/>
          <w:color w:val="auto"/>
        </w:rPr>
      </w:pPr>
      <w:r>
        <w:rPr>
          <w:rFonts w:ascii="Arial" w:cs="Arial" w:eastAsia="Arial" w:hAnsi="Arial"/>
          <w:sz w:val="16"/>
          <w:szCs w:val="16"/>
          <w:b w:val="1"/>
          <w:bCs w:val="1"/>
          <w:i w:val="1"/>
          <w:iCs w:val="1"/>
          <w:color w:val="auto"/>
        </w:rPr>
        <w:t xml:space="preserve">Remote-First Company. </w:t>
      </w:r>
      <w:r>
        <w:rPr>
          <w:rFonts w:ascii="Arial" w:cs="Arial" w:eastAsia="Arial" w:hAnsi="Arial"/>
          <w:sz w:val="16"/>
          <w:szCs w:val="16"/>
          <w:color w:val="auto"/>
        </w:rPr>
        <w:t>In 2022, we announced our decision to become a remote-first company allowing our employees the flexibility to work remotely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permanent basis. As part of our new operating strategy, we permanently closed several of our offices in 2022 and the first half of 2023. These office closures resulted in an impairment of several long-lived assets, including our operating lease assets, leasehold improvements and property and equipment. In the three and six months ended June 30, 2023, we recorded a total impairment loss of $9.3 million and $31.1 million, respectively.</w:t>
      </w:r>
    </w:p>
    <w:p>
      <w:pPr>
        <w:spacing w:after="0" w:line="164" w:lineRule="exact"/>
        <w:rPr>
          <w:sz w:val="20"/>
          <w:szCs w:val="20"/>
          <w:color w:val="auto"/>
        </w:rPr>
      </w:pPr>
    </w:p>
    <w:p>
      <w:pPr>
        <w:ind w:right="60" w:firstLine="464"/>
        <w:spacing w:after="0" w:line="279" w:lineRule="auto"/>
        <w:rPr>
          <w:sz w:val="20"/>
          <w:szCs w:val="20"/>
          <w:color w:val="auto"/>
        </w:rPr>
      </w:pPr>
      <w:r>
        <w:rPr>
          <w:rFonts w:ascii="Arial" w:cs="Arial" w:eastAsia="Arial" w:hAnsi="Arial"/>
          <w:sz w:val="17"/>
          <w:szCs w:val="17"/>
          <w:b w:val="1"/>
          <w:bCs w:val="1"/>
          <w:i w:val="1"/>
          <w:iCs w:val="1"/>
          <w:color w:val="auto"/>
        </w:rPr>
        <w:t xml:space="preserve">Impairment of Strategic Investment. </w:t>
      </w:r>
      <w:r>
        <w:rPr>
          <w:rFonts w:ascii="Arial" w:cs="Arial" w:eastAsia="Arial" w:hAnsi="Arial"/>
          <w:sz w:val="17"/>
          <w:szCs w:val="17"/>
          <w:color w:val="auto"/>
        </w:rPr>
        <w:t>In the first quarter of 2023, we recorded a $46.2 million impairment loss associated with one of our investments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to reduce its carrying amount to fair value.</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360" w:firstLine="464"/>
        <w:spacing w:after="0" w:line="349" w:lineRule="auto"/>
        <w:rPr>
          <w:sz w:val="20"/>
          <w:szCs w:val="20"/>
          <w:color w:val="auto"/>
        </w:rPr>
      </w:pPr>
      <w:r>
        <w:rPr>
          <w:rFonts w:ascii="Arial" w:cs="Arial" w:eastAsia="Arial" w:hAnsi="Arial"/>
          <w:sz w:val="15"/>
          <w:szCs w:val="15"/>
          <w:b w:val="1"/>
          <w:bCs w:val="1"/>
          <w:i w:val="1"/>
          <w:iCs w:val="1"/>
          <w:color w:val="auto"/>
        </w:rPr>
        <w:t xml:space="preserve">Divestiture of IoT Assets. </w:t>
      </w:r>
      <w:r>
        <w:rPr>
          <w:rFonts w:ascii="Arial" w:cs="Arial" w:eastAsia="Arial" w:hAnsi="Arial"/>
          <w:sz w:val="15"/>
          <w:szCs w:val="15"/>
          <w:color w:val="auto"/>
        </w:rPr>
        <w:t>In the second quarter of 2023, we completed the sale of our Internet of Things (“IoT”) net assets for a stock consideration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$15.8 million. The loss on divestiture and related expenses recorded in the three and six months ended June 30, 2023 were not significant.</w:t>
      </w:r>
    </w:p>
    <w:p>
      <w:pPr>
        <w:spacing w:after="0" w:line="111" w:lineRule="exact"/>
        <w:rPr>
          <w:sz w:val="20"/>
          <w:szCs w:val="20"/>
          <w:color w:val="auto"/>
        </w:rPr>
      </w:pPr>
    </w:p>
    <w:p>
      <w:pPr>
        <w:ind w:firstLine="464"/>
        <w:spacing w:after="0" w:line="264" w:lineRule="auto"/>
        <w:rPr>
          <w:sz w:val="20"/>
          <w:szCs w:val="20"/>
          <w:color w:val="auto"/>
        </w:rPr>
      </w:pPr>
      <w:r>
        <w:rPr>
          <w:rFonts w:ascii="Arial" w:cs="Arial" w:eastAsia="Arial" w:hAnsi="Arial"/>
          <w:sz w:val="17"/>
          <w:szCs w:val="17"/>
          <w:b w:val="1"/>
          <w:bCs w:val="1"/>
          <w:i w:val="1"/>
          <w:iCs w:val="1"/>
          <w:color w:val="auto"/>
        </w:rPr>
        <w:t>Divestiture of ValueFirst Business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second quarter of 2023, we entered into an agreement to sell our ValueFirst business, and we subsequently sold 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July 2023 for $45.5 million in cash. ValueFirst was our enterprise communications platform in India. As of June 30, 2023, we recorded a $28.8 million loss on ValueFirst net assets held for sale and an additional $3.1 million in related expenses. For additional details refer to Note 5 to our unaudited condensed consolidated financial statements included elsewhere in this Quarterly Report on Form 10-Q.</w:t>
      </w:r>
    </w:p>
    <w:p>
      <w:pPr>
        <w:spacing w:after="0" w:line="177" w:lineRule="exact"/>
        <w:rPr>
          <w:sz w:val="20"/>
          <w:szCs w:val="20"/>
          <w:color w:val="auto"/>
        </w:rPr>
      </w:pPr>
    </w:p>
    <w:p>
      <w:pPr>
        <w:ind w:right="20" w:firstLine="464"/>
        <w:spacing w:after="0" w:line="262" w:lineRule="auto"/>
        <w:rPr>
          <w:sz w:val="20"/>
          <w:szCs w:val="20"/>
          <w:color w:val="auto"/>
        </w:rPr>
      </w:pPr>
      <w:r>
        <w:rPr>
          <w:rFonts w:ascii="Arial" w:cs="Arial" w:eastAsia="Arial" w:hAnsi="Arial"/>
          <w:sz w:val="17"/>
          <w:szCs w:val="17"/>
          <w:b w:val="1"/>
          <w:bCs w:val="1"/>
          <w:i w:val="1"/>
          <w:iCs w:val="1"/>
          <w:color w:val="auto"/>
        </w:rPr>
        <w:t xml:space="preserve">Macroeconomic and Geopolitical Factors. </w:t>
      </w:r>
      <w:r>
        <w:rPr>
          <w:rFonts w:ascii="Arial" w:cs="Arial" w:eastAsia="Arial" w:hAnsi="Arial"/>
          <w:sz w:val="17"/>
          <w:szCs w:val="17"/>
          <w:color w:val="auto"/>
        </w:rPr>
        <w:t>Our results of operations may be significantly affected by several macroeconomic and geopolitical factors,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changes in global economic conditions, customer demand and spending, inflation, labor market constraints, uncertainty regarding the impacts of fluctuations in foreign exchange rates, world events, existing and new domestic and foreign laws and regulations, as well as those factors outlined in Part II, Item 1A, “Risk Factors.”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Business Metrics</w:t>
      </w:r>
    </w:p>
    <w:p>
      <w:pPr>
        <w:spacing w:after="0" w:line="223" w:lineRule="exact"/>
        <w:rPr>
          <w:sz w:val="20"/>
          <w:szCs w:val="20"/>
          <w:color w:val="auto"/>
        </w:rPr>
      </w:pPr>
    </w:p>
    <w:p>
      <w:pPr>
        <w:ind w:right="440" w:firstLine="464"/>
        <w:spacing w:after="0" w:line="312" w:lineRule="auto"/>
        <w:rPr>
          <w:sz w:val="20"/>
          <w:szCs w:val="20"/>
          <w:color w:val="auto"/>
        </w:rPr>
      </w:pPr>
      <w:r>
        <w:rPr>
          <w:rFonts w:ascii="Arial" w:cs="Arial" w:eastAsia="Arial" w:hAnsi="Arial"/>
          <w:sz w:val="16"/>
          <w:szCs w:val="16"/>
          <w:color w:val="auto"/>
        </w:rPr>
        <w:t>We review a number of operational and financial metrics, including Active Customer Accounts and Dollar-Based Net Expansion Rate, to evaluate our business, measure our performance, identify trends affecting our business, formulate business plans and make strategic decisions.</w:t>
      </w:r>
    </w:p>
    <w:p>
      <w:pPr>
        <w:spacing w:after="0" w:line="140" w:lineRule="exact"/>
        <w:rPr>
          <w:sz w:val="20"/>
          <w:szCs w:val="20"/>
          <w:color w:val="auto"/>
        </w:rPr>
      </w:pPr>
    </w:p>
    <w:p>
      <w:pPr>
        <w:ind w:right="240" w:firstLine="464"/>
        <w:spacing w:after="0" w:line="279" w:lineRule="auto"/>
        <w:rPr>
          <w:sz w:val="20"/>
          <w:szCs w:val="20"/>
          <w:color w:val="auto"/>
        </w:rPr>
      </w:pPr>
      <w:r>
        <w:rPr>
          <w:rFonts w:ascii="Arial" w:cs="Arial" w:eastAsia="Arial" w:hAnsi="Arial"/>
          <w:sz w:val="17"/>
          <w:szCs w:val="17"/>
          <w:color w:val="auto"/>
        </w:rPr>
        <w:t>The following table summarizes our year-over-year revenue growth and Dollar-Based Net Expansion Rate for the three months ended June 30, 2023 and 2022, and the number of Active Customer Accounts as of June 30, 2023 and 2022.</w:t>
      </w:r>
    </w:p>
    <w:p>
      <w:pPr>
        <w:spacing w:after="0" w:line="193" w:lineRule="exact"/>
        <w:rPr>
          <w:sz w:val="20"/>
          <w:szCs w:val="20"/>
          <w:color w:val="auto"/>
        </w:rPr>
      </w:pPr>
    </w:p>
    <w:tbl>
      <w:tblPr>
        <w:tblLayout w:type="fixed"/>
        <w:tblInd w:w="1200" w:type="dxa"/>
        <w:tblCellMar>
          <w:top w:w="0" w:type="dxa"/>
          <w:left w:w="0" w:type="dxa"/>
          <w:bottom w:w="0" w:type="dxa"/>
          <w:right w:w="0" w:type="dxa"/>
        </w:tblCellMar>
      </w:tblPr>
      <w:tr>
        <w:trPr>
          <w:trHeight w:val="178"/>
        </w:trPr>
        <w:tc>
          <w:tcPr>
            <w:tcW w:w="6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3"/>
          </w:tcPr>
          <w:p>
            <w:pPr>
              <w:jc w:val="center"/>
              <w:ind w:left="486"/>
              <w:spacing w:after="0"/>
              <w:rPr>
                <w:sz w:val="20"/>
                <w:szCs w:val="20"/>
                <w:color w:val="auto"/>
              </w:rPr>
            </w:pPr>
            <w:r>
              <w:rPr>
                <w:rFonts w:ascii="Arial" w:cs="Arial" w:eastAsia="Arial" w:hAnsi="Arial"/>
                <w:sz w:val="14"/>
                <w:szCs w:val="14"/>
                <w:b w:val="1"/>
                <w:bCs w:val="1"/>
                <w:color w:val="auto"/>
                <w:w w:val="89"/>
              </w:rPr>
              <w:t>Three Months Ended</w:t>
            </w:r>
          </w:p>
        </w:tc>
        <w:tc>
          <w:tcPr>
            <w:tcW w:w="920" w:type="dxa"/>
            <w:vAlign w:val="bottom"/>
          </w:tcPr>
          <w:p>
            <w:pPr>
              <w:spacing w:after="0"/>
              <w:rPr>
                <w:sz w:val="15"/>
                <w:szCs w:val="15"/>
                <w:color w:val="auto"/>
              </w:rPr>
            </w:pPr>
          </w:p>
        </w:tc>
      </w:tr>
      <w:tr>
        <w:trPr>
          <w:trHeight w:val="199"/>
        </w:trPr>
        <w:tc>
          <w:tcPr>
            <w:tcW w:w="6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center"/>
              <w:ind w:left="486"/>
              <w:spacing w:after="0"/>
              <w:rPr>
                <w:sz w:val="20"/>
                <w:szCs w:val="20"/>
                <w:color w:val="auto"/>
              </w:rPr>
            </w:pPr>
            <w:r>
              <w:rPr>
                <w:rFonts w:ascii="Arial" w:cs="Arial" w:eastAsia="Arial" w:hAnsi="Arial"/>
                <w:sz w:val="14"/>
                <w:szCs w:val="14"/>
                <w:b w:val="1"/>
                <w:bCs w:val="1"/>
                <w:color w:val="auto"/>
                <w:w w:val="85"/>
              </w:rPr>
              <w:t>June 30,</w:t>
            </w:r>
          </w:p>
        </w:tc>
        <w:tc>
          <w:tcPr>
            <w:tcW w:w="920" w:type="dxa"/>
            <w:vAlign w:val="bottom"/>
            <w:tcBorders>
              <w:bottom w:val="single" w:sz="8" w:color="auto"/>
            </w:tcBorders>
          </w:tcPr>
          <w:p>
            <w:pPr>
              <w:spacing w:after="0"/>
              <w:rPr>
                <w:sz w:val="17"/>
                <w:szCs w:val="17"/>
                <w:color w:val="auto"/>
              </w:rPr>
            </w:pPr>
          </w:p>
        </w:tc>
      </w:tr>
      <w:tr>
        <w:trPr>
          <w:trHeight w:val="185"/>
        </w:trPr>
        <w:tc>
          <w:tcPr>
            <w:tcW w:w="6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w w:val="89"/>
              </w:rPr>
              <w:t>2022</w:t>
            </w:r>
          </w:p>
        </w:tc>
      </w:tr>
      <w:tr>
        <w:trPr>
          <w:trHeight w:val="206"/>
        </w:trPr>
        <w:tc>
          <w:tcPr>
            <w:tcW w:w="6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Active Customer Accounts (as of end date of period)</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304,000</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275,000</w:t>
            </w:r>
          </w:p>
        </w:tc>
      </w:tr>
      <w:tr>
        <w:trPr>
          <w:trHeight w:val="203"/>
        </w:trPr>
        <w:tc>
          <w:tcPr>
            <w:tcW w:w="6200" w:type="dxa"/>
            <w:vAlign w:val="bottom"/>
          </w:tcPr>
          <w:p>
            <w:pPr>
              <w:ind w:left="20"/>
              <w:spacing w:after="0"/>
              <w:rPr>
                <w:sz w:val="20"/>
                <w:szCs w:val="20"/>
                <w:color w:val="auto"/>
              </w:rPr>
            </w:pPr>
            <w:r>
              <w:rPr>
                <w:rFonts w:ascii="Arial" w:cs="Arial" w:eastAsia="Arial" w:hAnsi="Arial"/>
                <w:sz w:val="15"/>
                <w:szCs w:val="15"/>
                <w:color w:val="auto"/>
              </w:rPr>
              <w:t>Total Revenue (in thousands)</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106"/>
              <w:spacing w:after="0"/>
              <w:rPr>
                <w:sz w:val="20"/>
                <w:szCs w:val="20"/>
                <w:color w:val="auto"/>
              </w:rPr>
            </w:pPr>
            <w:r>
              <w:rPr>
                <w:rFonts w:ascii="Arial" w:cs="Arial" w:eastAsia="Arial" w:hAnsi="Arial"/>
                <w:sz w:val="15"/>
                <w:szCs w:val="15"/>
                <w:color w:val="auto"/>
              </w:rPr>
              <w:t>1,037,761</w:t>
            </w:r>
          </w:p>
        </w:tc>
        <w:tc>
          <w:tcPr>
            <w:tcW w:w="70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24"/>
              <w:spacing w:after="0"/>
              <w:rPr>
                <w:sz w:val="20"/>
                <w:szCs w:val="20"/>
                <w:color w:val="auto"/>
              </w:rPr>
            </w:pPr>
            <w:r>
              <w:rPr>
                <w:rFonts w:ascii="Arial" w:cs="Arial" w:eastAsia="Arial" w:hAnsi="Arial"/>
                <w:sz w:val="15"/>
                <w:szCs w:val="15"/>
                <w:color w:val="auto"/>
              </w:rPr>
              <w:t>943,354</w:t>
            </w:r>
          </w:p>
        </w:tc>
      </w:tr>
      <w:tr>
        <w:trPr>
          <w:trHeight w:val="209"/>
        </w:trPr>
        <w:tc>
          <w:tcPr>
            <w:tcW w:w="6200" w:type="dxa"/>
            <w:vAlign w:val="bottom"/>
            <w:shd w:val="clear" w:color="auto" w:fill="CCEEFF"/>
          </w:tcPr>
          <w:p>
            <w:pPr>
              <w:ind w:left="140"/>
              <w:spacing w:after="0"/>
              <w:rPr>
                <w:sz w:val="20"/>
                <w:szCs w:val="20"/>
                <w:color w:val="auto"/>
              </w:rPr>
            </w:pPr>
            <w:r>
              <w:rPr>
                <w:rFonts w:ascii="Arial" w:cs="Arial" w:eastAsia="Arial" w:hAnsi="Arial"/>
                <w:sz w:val="15"/>
                <w:szCs w:val="15"/>
                <w:i w:val="1"/>
                <w:iCs w:val="1"/>
                <w:color w:val="auto"/>
              </w:rPr>
              <w:t>Total Revenue Growth</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41 %</w:t>
            </w:r>
          </w:p>
        </w:tc>
      </w:tr>
      <w:tr>
        <w:trPr>
          <w:trHeight w:val="201"/>
        </w:trPr>
        <w:tc>
          <w:tcPr>
            <w:tcW w:w="6200" w:type="dxa"/>
            <w:vAlign w:val="bottom"/>
          </w:tcPr>
          <w:p>
            <w:pPr>
              <w:ind w:left="20"/>
              <w:spacing w:after="0"/>
              <w:rPr>
                <w:sz w:val="20"/>
                <w:szCs w:val="20"/>
                <w:color w:val="auto"/>
              </w:rPr>
            </w:pPr>
            <w:r>
              <w:rPr>
                <w:rFonts w:ascii="Arial" w:cs="Arial" w:eastAsia="Arial" w:hAnsi="Arial"/>
                <w:sz w:val="15"/>
                <w:szCs w:val="15"/>
                <w:color w:val="auto"/>
              </w:rPr>
              <w:t>Dollar-Based Net Expansion Rate</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103 %</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123 %</w:t>
            </w:r>
          </w:p>
        </w:tc>
      </w:tr>
    </w:tbl>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Active Customer Accounts</w:t>
      </w:r>
    </w:p>
    <w:p>
      <w:pPr>
        <w:spacing w:after="0" w:line="243" w:lineRule="exact"/>
        <w:rPr>
          <w:sz w:val="20"/>
          <w:szCs w:val="20"/>
          <w:color w:val="auto"/>
        </w:rPr>
      </w:pPr>
    </w:p>
    <w:p>
      <w:pPr>
        <w:ind w:right="40" w:firstLine="464"/>
        <w:spacing w:after="0" w:line="257" w:lineRule="auto"/>
        <w:rPr>
          <w:sz w:val="20"/>
          <w:szCs w:val="20"/>
          <w:color w:val="auto"/>
        </w:rPr>
      </w:pPr>
      <w:r>
        <w:rPr>
          <w:rFonts w:ascii="Arial" w:cs="Arial" w:eastAsia="Arial" w:hAnsi="Arial"/>
          <w:sz w:val="17"/>
          <w:szCs w:val="17"/>
          <w:color w:val="auto"/>
        </w:rPr>
        <w:t>We define an Active Customer Account at the end of any period as an individual account, as identified by a unique account identifier, for which we have recognized at least $5 of revenue in the last month of the period. A single organization may constitute multiple unique Active Customer Accounts if it has multiple account identifiers, each of which is treated as a separate Active Customer Account. Active Customer Accounts excludes customer accounts from Zipwhip, Inc. Communications Active Customer Accounts and Data &amp; Applications Active Customer Accounts are calculated using the same methodology, but using only revenue recognized from accounts in the respective segment. Because an individual Active Customer Account may be counted as both a Communications Active Customer Account and a Data &amp; Applications Active Customer Account, the sum of the segment-level Active Customer Accounts may exceed our total company Active Customer Accounts.</w:t>
      </w:r>
    </w:p>
    <w:p>
      <w:pPr>
        <w:spacing w:after="0" w:line="211" w:lineRule="exact"/>
        <w:rPr>
          <w:sz w:val="20"/>
          <w:szCs w:val="20"/>
          <w:color w:val="auto"/>
        </w:rPr>
      </w:pPr>
    </w:p>
    <w:p>
      <w:pPr>
        <w:ind w:right="100" w:firstLine="464"/>
        <w:spacing w:after="0" w:line="318" w:lineRule="auto"/>
        <w:rPr>
          <w:sz w:val="20"/>
          <w:szCs w:val="20"/>
          <w:color w:val="auto"/>
        </w:rPr>
      </w:pPr>
      <w:r>
        <w:rPr>
          <w:rFonts w:ascii="Arial" w:cs="Arial" w:eastAsia="Arial" w:hAnsi="Arial"/>
          <w:sz w:val="15"/>
          <w:szCs w:val="15"/>
          <w:color w:val="auto"/>
        </w:rPr>
        <w:t>We believe that the number of Active Customer Accounts, on an aggregate basis and at the segment level, is an important indicator of the growth of our business, the market acceptance of our platform and future revenue trends. The number of Active Customer Accounts is rounded down to the nearest thousand</w:t>
      </w:r>
      <w:r>
        <w:rPr>
          <w:rFonts w:ascii="Arial" w:cs="Arial" w:eastAsia="Arial" w:hAnsi="Arial"/>
          <w:sz w:val="13"/>
          <w:szCs w:val="13"/>
          <w:color w:val="auto"/>
        </w:rPr>
        <w:t>.</w:t>
      </w:r>
      <w:r>
        <w:rPr>
          <w:rFonts w:ascii="Arial" w:cs="Arial" w:eastAsia="Arial" w:hAnsi="Arial"/>
          <w:sz w:val="15"/>
          <w:szCs w:val="15"/>
          <w:color w:val="auto"/>
        </w:rPr>
        <w:t xml:space="preserve"> In the three months ended June 30, 2023 and 2022, revenue from Active Customer Accounts represented over 99% of total revenue in each period.</w:t>
      </w:r>
    </w:p>
    <w:p>
      <w:pPr>
        <w:spacing w:after="0" w:line="139"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Dollar</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Based Net Expansion Rate</w:t>
      </w:r>
    </w:p>
    <w:p>
      <w:pPr>
        <w:spacing w:after="0" w:line="217" w:lineRule="exact"/>
        <w:rPr>
          <w:sz w:val="20"/>
          <w:szCs w:val="20"/>
          <w:color w:val="auto"/>
        </w:rPr>
      </w:pPr>
    </w:p>
    <w:p>
      <w:pPr>
        <w:ind w:right="60" w:firstLine="464"/>
        <w:spacing w:after="0" w:line="283" w:lineRule="auto"/>
        <w:rPr>
          <w:sz w:val="20"/>
          <w:szCs w:val="20"/>
          <w:color w:val="auto"/>
        </w:rPr>
      </w:pPr>
      <w:r>
        <w:rPr>
          <w:rFonts w:ascii="Arial" w:cs="Arial" w:eastAsia="Arial" w:hAnsi="Arial"/>
          <w:sz w:val="16"/>
          <w:szCs w:val="16"/>
          <w:color w:val="auto"/>
        </w:rPr>
        <w:t>Our Dollar-Based Net Expansion Rate compares the total revenue from all Active Customer Accounts in a quarter to the same quarter in the prior year. To calculate the Dollar-Based Net Expansion Rate, we first identify the cohort of Active Customer Accounts that were Active Customer Accounts in the same quarter of the prior year. The Dollar-Based Net Expansion Rate is the quotient obtained by dividing the revenue generated from that cohort in a quarter, by the revenue generated from that same cohort in the corresponding quarter in the prior year. When we calculate Dollar-Based Net Expansion</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Rate for periods longer than one quarter, we use the average of the applicable quarterly Dollar-Based Net Expansion Rates for each of the quarters in such period. Revenue from acquisitions does not impact the Dollar-Based Net Expansion Rate calculation until the quarter following the one-year anniversary of the applicable acquisition, unless the acquisition closing date is the first day of a quarter. As a result, for the quarter ended June 30, 2023, our Dollar-Based Net Expansion Rate excludes the contributions from acquisitions made after April 1, 2022. Revenue from divestitures does not impact the Dollar-Based Net Expansion Rate calculation beginning in the quarter the divestiture closed, unless the divestiture closing date is the last day of a quarter. As a result, for the quarter ended June 30, 2023, our Dollar-Based Net Expansion Rate excludes the contributions from divestitures made after June 30, 2022. Communications Dollar-Based Net Expansion Rate and Data &amp; Applications Dollar-Based Net Expansion Rate are calculated using the same methodology, but using only revenue attributable to the respective segment and Active Customer Accounts for that respective segment.</w:t>
      </w:r>
    </w:p>
    <w:p>
      <w:pPr>
        <w:spacing w:after="0" w:line="170" w:lineRule="exact"/>
        <w:rPr>
          <w:sz w:val="20"/>
          <w:szCs w:val="20"/>
          <w:color w:val="auto"/>
        </w:rPr>
      </w:pPr>
    </w:p>
    <w:p>
      <w:pPr>
        <w:ind w:firstLine="464"/>
        <w:spacing w:after="0" w:line="293" w:lineRule="auto"/>
        <w:rPr>
          <w:sz w:val="20"/>
          <w:szCs w:val="20"/>
          <w:color w:val="auto"/>
        </w:rPr>
      </w:pPr>
      <w:r>
        <w:rPr>
          <w:rFonts w:ascii="Arial" w:cs="Arial" w:eastAsia="Arial" w:hAnsi="Arial"/>
          <w:sz w:val="15"/>
          <w:szCs w:val="15"/>
          <w:color w:val="auto"/>
        </w:rPr>
        <w:t>We believe that measuring Dollar-Based Net Expansion Rate, on an aggregate basis and at the segment level, provides a more meaningful indication of the performance of our efforts to increase revenue from existing customers. Our ability to drive growth and generate incremental revenue depends, in part, on our ability to maintain and grow our relationships with existing Active Customer Accounts and to increase their use of the platform. An important way in which we have historically tracked performance in this area is by measuring the Dollar-Based Net Expansion Rate for Active Customer Accounts. Our Dollar-Based Net Expansion Rate increases when such Active Customer Accounts increase their usage of a product, extend their usage of a product to new applications or adopt a new product. Our Dollar-Based Net Expansion Rate decreases when such Active Customer Accounts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Active Customer Account, this new Active Customer Account is tied to, and revenue from this new Active Customer Account is included with, the original Active Customer Account for the purposes of calculating this metric.</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Components of Statements of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17" w:lineRule="exact"/>
        <w:rPr>
          <w:sz w:val="20"/>
          <w:szCs w:val="20"/>
          <w:color w:val="auto"/>
        </w:rPr>
      </w:pPr>
    </w:p>
    <w:p>
      <w:pPr>
        <w:ind w:right="120" w:firstLine="464"/>
        <w:spacing w:after="0" w:line="208" w:lineRule="exact"/>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We derive the majority of our revenue from usage</w:t>
      </w:r>
      <w:r>
        <w:rPr>
          <w:rFonts w:ascii="MS PGothic" w:cs="MS PGothic" w:eastAsia="MS PGothic" w:hAnsi="MS PGothic"/>
          <w:sz w:val="17"/>
          <w:szCs w:val="17"/>
          <w:color w:val="auto"/>
        </w:rPr>
        <w:t>‑</w:t>
      </w:r>
      <w:r>
        <w:rPr>
          <w:rFonts w:ascii="Arial" w:cs="Arial" w:eastAsia="Arial" w:hAnsi="Arial"/>
          <w:sz w:val="17"/>
          <w:szCs w:val="17"/>
          <w:color w:val="auto"/>
        </w:rPr>
        <w:t>based fees earned from our Communications products when customers access our cloud-based</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Our usage</w:t>
      </w:r>
      <w:r>
        <w:rPr>
          <w:rFonts w:ascii="MS PGothic" w:cs="MS PGothic" w:eastAsia="MS PGothic" w:hAnsi="MS PGothic"/>
          <w:sz w:val="17"/>
          <w:szCs w:val="17"/>
          <w:color w:val="auto"/>
        </w:rPr>
        <w:t>‑</w:t>
      </w:r>
      <w:r>
        <w:rPr>
          <w:rFonts w:ascii="Arial" w:cs="Arial" w:eastAsia="Arial" w:hAnsi="Arial"/>
          <w:sz w:val="17"/>
          <w:szCs w:val="17"/>
          <w:color w:val="auto"/>
        </w:rPr>
        <w:t>based products primarily include offerings, such as Messaging, Voice, Twilio Verify and others. Some examples of the usage</w:t>
      </w:r>
      <w:r>
        <w:rPr>
          <w:rFonts w:ascii="MS PGothic" w:cs="MS PGothic" w:eastAsia="MS PGothic" w:hAnsi="MS PGothic"/>
          <w:sz w:val="17"/>
          <w:szCs w:val="17"/>
          <w:color w:val="auto"/>
        </w:rPr>
        <w:t>‑</w:t>
      </w:r>
      <w:r>
        <w:rPr>
          <w:rFonts w:ascii="Arial" w:cs="Arial" w:eastAsia="Arial" w:hAnsi="Arial"/>
          <w:sz w:val="17"/>
          <w:szCs w:val="17"/>
          <w:color w:val="auto"/>
        </w:rPr>
        <w:t>based fees that we charge include fees related to the number of text messages sent or received using Messaging, minutes of call duration activity for Voice and the number of authentications for Twilio Verify. In the three months ended June 30, 2023 and 2022, we generated 71% and 73% of our revenue, respectively, from usage</w:t>
      </w:r>
      <w:r>
        <w:rPr>
          <w:rFonts w:ascii="MS PGothic" w:cs="MS PGothic" w:eastAsia="MS PGothic" w:hAnsi="MS PGothic"/>
          <w:sz w:val="17"/>
          <w:szCs w:val="17"/>
          <w:color w:val="auto"/>
        </w:rPr>
        <w:t>‑</w:t>
      </w:r>
      <w:r>
        <w:rPr>
          <w:rFonts w:ascii="Arial" w:cs="Arial" w:eastAsia="Arial" w:hAnsi="Arial"/>
          <w:sz w:val="17"/>
          <w:szCs w:val="17"/>
          <w:color w:val="auto"/>
        </w:rPr>
        <w:t>based fees.</w:t>
      </w:r>
    </w:p>
    <w:p>
      <w:pPr>
        <w:spacing w:after="0" w:line="199" w:lineRule="exact"/>
        <w:rPr>
          <w:sz w:val="20"/>
          <w:szCs w:val="20"/>
          <w:color w:val="auto"/>
        </w:rPr>
      </w:pPr>
    </w:p>
    <w:p>
      <w:pPr>
        <w:ind w:right="20" w:firstLine="464"/>
        <w:spacing w:after="0" w:line="209" w:lineRule="exact"/>
        <w:rPr>
          <w:sz w:val="20"/>
          <w:szCs w:val="20"/>
          <w:color w:val="auto"/>
        </w:rPr>
      </w:pPr>
      <w:r>
        <w:rPr>
          <w:rFonts w:ascii="Arial" w:cs="Arial" w:eastAsia="Arial" w:hAnsi="Arial"/>
          <w:sz w:val="17"/>
          <w:szCs w:val="17"/>
          <w:color w:val="auto"/>
        </w:rPr>
        <w:t>We earn monthly subscription-based fees from various of our Data &amp; Applications products and solutions on our platform, such as our customer data platform Segment, our customer engagement solution Engage, our cloud contact center Flex; as well as certain of our Communications fee</w:t>
      </w:r>
      <w:r>
        <w:rPr>
          <w:rFonts w:ascii="MS PGothic" w:cs="MS PGothic" w:eastAsia="MS PGothic" w:hAnsi="MS PGothic"/>
          <w:sz w:val="17"/>
          <w:szCs w:val="17"/>
          <w:color w:val="auto"/>
        </w:rPr>
        <w:t>‑</w:t>
      </w:r>
      <w:r>
        <w:rPr>
          <w:rFonts w:ascii="Arial" w:cs="Arial" w:eastAsia="Arial" w:hAnsi="Arial"/>
          <w:sz w:val="17"/>
          <w:szCs w:val="17"/>
          <w:color w:val="auto"/>
        </w:rPr>
        <w:t>based products, such as Email. When our usage-based Communications products are embedded into our Data &amp; Applications and other products, we charge for them separately on a usage basis. Revenue is generally directly attributable to each segment.</w:t>
      </w:r>
    </w:p>
    <w:p>
      <w:pPr>
        <w:spacing w:after="0" w:line="197" w:lineRule="exact"/>
        <w:rPr>
          <w:sz w:val="20"/>
          <w:szCs w:val="20"/>
          <w:color w:val="auto"/>
        </w:rPr>
      </w:pPr>
    </w:p>
    <w:p>
      <w:pPr>
        <w:ind w:right="80" w:firstLine="464"/>
        <w:spacing w:after="0" w:line="262" w:lineRule="auto"/>
        <w:rPr>
          <w:sz w:val="20"/>
          <w:szCs w:val="20"/>
          <w:color w:val="auto"/>
        </w:rPr>
      </w:pPr>
      <w:r>
        <w:rPr>
          <w:rFonts w:ascii="Arial" w:cs="Arial" w:eastAsia="Arial" w:hAnsi="Arial"/>
          <w:sz w:val="17"/>
          <w:szCs w:val="17"/>
          <w:color w:val="auto"/>
        </w:rPr>
        <w:t>Customers gain access to our products and solutions either through an e-commerce self service sign-up format which requires an upfront prepayment via credit card that is drawn down as they use our products; or for our larger customers, including enterprise customers, a negotiated contract is established for at least 12 months that contain minimum revenue commitments and which may contain more favorable pricing. Customers on such contracts are typically either invoiced monthly in arrears for products used or invoiced in advance at the start of the term.</w:t>
      </w:r>
    </w:p>
    <w:p>
      <w:pPr>
        <w:spacing w:after="0" w:line="178" w:lineRule="exact"/>
        <w:rPr>
          <w:sz w:val="20"/>
          <w:szCs w:val="20"/>
          <w:color w:val="auto"/>
        </w:rPr>
      </w:pPr>
    </w:p>
    <w:p>
      <w:pPr>
        <w:ind w:right="60" w:firstLine="464"/>
        <w:spacing w:after="0" w:line="318" w:lineRule="auto"/>
        <w:rPr>
          <w:sz w:val="20"/>
          <w:szCs w:val="20"/>
          <w:color w:val="auto"/>
        </w:rPr>
      </w:pPr>
      <w:r>
        <w:rPr>
          <w:rFonts w:ascii="Arial" w:cs="Arial" w:eastAsia="Arial" w:hAnsi="Arial"/>
          <w:sz w:val="15"/>
          <w:szCs w:val="15"/>
          <w:color w:val="auto"/>
        </w:rPr>
        <w:t>Amounts that have been charged via credit card or invoiced are recorded in revenue, deferred revenue or customer deposits, depending on whether the revenue recognition criteria have been met. Our deferred revenue and customer deposits liability balance is not a meaningful indicator of our future revenue at any point in time because the number of contracts with our invoiced customers that contain terms requiring any form of prepayment is not significant.</w:t>
      </w:r>
    </w:p>
    <w:p>
      <w:pPr>
        <w:spacing w:after="0" w:line="139" w:lineRule="exact"/>
        <w:rPr>
          <w:sz w:val="20"/>
          <w:szCs w:val="20"/>
          <w:color w:val="auto"/>
        </w:rPr>
      </w:pPr>
    </w:p>
    <w:p>
      <w:pPr>
        <w:ind w:right="600" w:firstLine="464"/>
        <w:spacing w:after="0" w:line="349" w:lineRule="auto"/>
        <w:rPr>
          <w:sz w:val="20"/>
          <w:szCs w:val="20"/>
          <w:color w:val="auto"/>
        </w:rPr>
      </w:pPr>
      <w:r>
        <w:rPr>
          <w:rFonts w:ascii="Arial" w:cs="Arial" w:eastAsia="Arial" w:hAnsi="Arial"/>
          <w:sz w:val="15"/>
          <w:szCs w:val="15"/>
          <w:color w:val="auto"/>
        </w:rPr>
        <w:t>We define U.S. revenue as revenue from customers with IP addresses or mailing addresses at the time of registration in the United States. We define international revenue as revenue from customers with IP addresses or mailing addresses at the time of registration outside of the United States.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 and Gross Margin</w:t>
      </w:r>
    </w:p>
    <w:p>
      <w:pPr>
        <w:spacing w:after="0" w:line="217" w:lineRule="exact"/>
        <w:rPr>
          <w:sz w:val="20"/>
          <w:szCs w:val="20"/>
          <w:color w:val="auto"/>
        </w:rPr>
      </w:pPr>
    </w:p>
    <w:p>
      <w:pPr>
        <w:ind w:right="60" w:firstLine="464"/>
        <w:spacing w:after="0" w:line="208" w:lineRule="exact"/>
        <w:rPr>
          <w:sz w:val="20"/>
          <w:szCs w:val="20"/>
          <w:color w:val="auto"/>
        </w:rPr>
      </w:pPr>
      <w:r>
        <w:rPr>
          <w:rFonts w:ascii="Arial" w:cs="Arial" w:eastAsia="Arial" w:hAnsi="Arial"/>
          <w:sz w:val="17"/>
          <w:szCs w:val="17"/>
          <w:i w:val="1"/>
          <w:iCs w:val="1"/>
          <w:color w:val="auto"/>
        </w:rPr>
        <w:t>Cost of Revenue</w:t>
      </w:r>
      <w:r>
        <w:rPr>
          <w:rFonts w:ascii="Arial" w:cs="Arial" w:eastAsia="Arial" w:hAnsi="Arial"/>
          <w:sz w:val="17"/>
          <w:szCs w:val="17"/>
          <w:color w:val="auto"/>
        </w:rPr>
        <w:t>. Cost of revenue consists primarily of fees paid to network service providers. Cost of revenue also includes cloud infrastructure fees, direct</w:t>
      </w:r>
      <w:r>
        <w:rPr>
          <w:rFonts w:ascii="Arial" w:cs="Arial" w:eastAsia="Arial" w:hAnsi="Arial"/>
          <w:sz w:val="17"/>
          <w:szCs w:val="17"/>
          <w:i w:val="1"/>
          <w:iCs w:val="1"/>
          <w:color w:val="auto"/>
        </w:rPr>
        <w:t xml:space="preserve"> </w:t>
      </w:r>
      <w:r>
        <w:rPr>
          <w:rFonts w:ascii="Arial" w:cs="Arial" w:eastAsia="Arial" w:hAnsi="Arial"/>
          <w:sz w:val="17"/>
          <w:szCs w:val="17"/>
          <w:color w:val="auto"/>
        </w:rPr>
        <w:t>costs of personnel, such as salaries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for our customer support employees, and other non</w:t>
      </w:r>
      <w:r>
        <w:rPr>
          <w:rFonts w:ascii="MS PGothic" w:cs="MS PGothic" w:eastAsia="MS PGothic" w:hAnsi="MS PGothic"/>
          <w:sz w:val="17"/>
          <w:szCs w:val="17"/>
          <w:color w:val="auto"/>
        </w:rPr>
        <w:t>‑</w:t>
      </w:r>
      <w:r>
        <w:rPr>
          <w:rFonts w:ascii="Arial" w:cs="Arial" w:eastAsia="Arial" w:hAnsi="Arial"/>
          <w:sz w:val="17"/>
          <w:szCs w:val="17"/>
          <w:color w:val="auto"/>
        </w:rPr>
        <w:t>personnel costs, such as depreciation and amortization expense related to data centers and hosting equipment, amortization of capitalized internal-use software development costs and acquired intangible assets. Costs of revenue are generally directly attributable to each segment. Certain costs of revenue are allocated to segments based on methodologies that best reflect the patterns of consumptions of these costs.</w:t>
      </w:r>
    </w:p>
    <w:p>
      <w:pPr>
        <w:spacing w:after="0" w:line="199" w:lineRule="exact"/>
        <w:rPr>
          <w:sz w:val="20"/>
          <w:szCs w:val="20"/>
          <w:color w:val="auto"/>
        </w:rPr>
      </w:pPr>
    </w:p>
    <w:p>
      <w:pPr>
        <w:ind w:right="20" w:firstLine="464"/>
        <w:spacing w:after="0" w:line="266" w:lineRule="auto"/>
        <w:rPr>
          <w:sz w:val="20"/>
          <w:szCs w:val="20"/>
          <w:color w:val="auto"/>
        </w:rPr>
      </w:pPr>
      <w:r>
        <w:rPr>
          <w:rFonts w:ascii="Arial" w:cs="Arial" w:eastAsia="Arial" w:hAnsi="Arial"/>
          <w:sz w:val="17"/>
          <w:szCs w:val="17"/>
          <w:color w:val="auto"/>
        </w:rPr>
        <w:t>Our arrangements with network service providers require us to pay fees based on the volume of phone calls initiated or text messages sent, as well as the number of telephone numbers acquired by us to service our customers. Our arrangements with our cloud infrastructure provider require us to pay fees based on our server capacity consumption.</w:t>
      </w:r>
    </w:p>
    <w:p>
      <w:pPr>
        <w:spacing w:after="0" w:line="175" w:lineRule="exact"/>
        <w:rPr>
          <w:sz w:val="20"/>
          <w:szCs w:val="20"/>
          <w:color w:val="auto"/>
        </w:rPr>
      </w:pPr>
    </w:p>
    <w:p>
      <w:pPr>
        <w:ind w:firstLine="464"/>
        <w:spacing w:after="0" w:line="209" w:lineRule="exact"/>
        <w:rPr>
          <w:sz w:val="20"/>
          <w:szCs w:val="20"/>
          <w:color w:val="auto"/>
        </w:rPr>
      </w:pPr>
      <w:r>
        <w:rPr>
          <w:rFonts w:ascii="Arial" w:cs="Arial" w:eastAsia="Arial" w:hAnsi="Arial"/>
          <w:sz w:val="15"/>
          <w:szCs w:val="15"/>
          <w:i w:val="1"/>
          <w:iCs w:val="1"/>
          <w:color w:val="auto"/>
        </w:rPr>
        <w:t xml:space="preserve">Gross Margin. </w:t>
      </w:r>
      <w:r>
        <w:rPr>
          <w:rFonts w:ascii="Arial" w:cs="Arial" w:eastAsia="Arial" w:hAnsi="Arial"/>
          <w:sz w:val="15"/>
          <w:szCs w:val="15"/>
          <w:color w:val="auto"/>
        </w:rPr>
        <w:t>Gross margin is gross profit expressed as a percentage of revenue. Our gross margin has been and will continue to be affected by a number of</w:t>
      </w:r>
      <w:r>
        <w:rPr>
          <w:rFonts w:ascii="Arial" w:cs="Arial" w:eastAsia="Arial" w:hAnsi="Arial"/>
          <w:sz w:val="15"/>
          <w:szCs w:val="15"/>
          <w:i w:val="1"/>
          <w:iCs w:val="1"/>
          <w:color w:val="auto"/>
        </w:rPr>
        <w:t xml:space="preserve"> </w:t>
      </w:r>
      <w:r>
        <w:rPr>
          <w:rFonts w:ascii="Arial" w:cs="Arial" w:eastAsia="Arial" w:hAnsi="Arial"/>
          <w:sz w:val="15"/>
          <w:szCs w:val="15"/>
          <w:color w:val="auto"/>
        </w:rPr>
        <w:t>factors, including the timing and extent of our investments in our operations; our product mix; our ability to manage our network service provider and cloud infrastructure</w:t>
      </w:r>
      <w:r>
        <w:rPr>
          <w:rFonts w:ascii="MS PGothic" w:cs="MS PGothic" w:eastAsia="MS PGothic" w:hAnsi="MS PGothic"/>
          <w:sz w:val="15"/>
          <w:szCs w:val="15"/>
          <w:color w:val="auto"/>
        </w:rPr>
        <w:t>‑</w:t>
      </w:r>
      <w:r>
        <w:rPr>
          <w:rFonts w:ascii="Arial" w:cs="Arial" w:eastAsia="Arial" w:hAnsi="Arial"/>
          <w:sz w:val="15"/>
          <w:szCs w:val="15"/>
          <w:color w:val="auto"/>
        </w:rPr>
        <w:t>related fees, including A2P SMS fees; the mix of U.S. revenue compared to international revenue; changes in foreign exchange rates; the timing of amortization of capitalized software development costs and acquired intangibles; and the extent to which we periodically choose to adjust prices of our products.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17" w:lineRule="exact"/>
        <w:rPr>
          <w:sz w:val="20"/>
          <w:szCs w:val="20"/>
          <w:color w:val="auto"/>
        </w:rPr>
      </w:pPr>
    </w:p>
    <w:p>
      <w:pPr>
        <w:ind w:right="660" w:firstLine="464"/>
        <w:spacing w:after="0" w:line="211" w:lineRule="exact"/>
        <w:rPr>
          <w:sz w:val="20"/>
          <w:szCs w:val="20"/>
          <w:color w:val="auto"/>
        </w:rPr>
      </w:pPr>
      <w:r>
        <w:rPr>
          <w:rFonts w:ascii="Arial" w:cs="Arial" w:eastAsia="Arial" w:hAnsi="Arial"/>
          <w:sz w:val="17"/>
          <w:szCs w:val="17"/>
          <w:color w:val="auto"/>
        </w:rPr>
        <w:t>The most significant components of operating expenses are personnel costs, which consist of salaries, benefits, sales commissions and bonuses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We also incur other non</w:t>
      </w:r>
      <w:r>
        <w:rPr>
          <w:rFonts w:ascii="MS PGothic" w:cs="MS PGothic" w:eastAsia="MS PGothic" w:hAnsi="MS PGothic"/>
          <w:sz w:val="17"/>
          <w:szCs w:val="17"/>
          <w:color w:val="auto"/>
        </w:rPr>
        <w:t>‑</w:t>
      </w:r>
      <w:r>
        <w:rPr>
          <w:rFonts w:ascii="Arial" w:cs="Arial" w:eastAsia="Arial" w:hAnsi="Arial"/>
          <w:sz w:val="17"/>
          <w:szCs w:val="17"/>
          <w:color w:val="auto"/>
        </w:rPr>
        <w:t>personnel costs related to our general overhead expenses.</w:t>
      </w:r>
    </w:p>
    <w:p>
      <w:pPr>
        <w:spacing w:after="0" w:line="197" w:lineRule="exact"/>
        <w:rPr>
          <w:sz w:val="20"/>
          <w:szCs w:val="20"/>
          <w:color w:val="auto"/>
        </w:rPr>
      </w:pPr>
    </w:p>
    <w:p>
      <w:pPr>
        <w:ind w:right="80" w:firstLine="464"/>
        <w:spacing w:after="0" w:line="290"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consist primarily of personnel costs, outsourced engineering services, cloud infrastructure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fees for staging and development of our products, depreciation, amortization of capitalized internal-use software development costs and an allocation of our general overhead expenses. We capitalize the portion of our software development costs that meets the criteria for capitalization.</w:t>
      </w:r>
    </w:p>
    <w:p>
      <w:pPr>
        <w:spacing w:after="0" w:line="158" w:lineRule="exact"/>
        <w:rPr>
          <w:sz w:val="20"/>
          <w:szCs w:val="20"/>
          <w:color w:val="auto"/>
        </w:rPr>
      </w:pPr>
    </w:p>
    <w:p>
      <w:pPr>
        <w:ind w:right="320" w:firstLine="464"/>
        <w:spacing w:after="0" w:line="279" w:lineRule="auto"/>
        <w:rPr>
          <w:sz w:val="20"/>
          <w:szCs w:val="20"/>
          <w:color w:val="auto"/>
        </w:rPr>
      </w:pPr>
      <w:r>
        <w:rPr>
          <w:rFonts w:ascii="Arial" w:cs="Arial" w:eastAsia="Arial" w:hAnsi="Arial"/>
          <w:sz w:val="17"/>
          <w:szCs w:val="17"/>
          <w:color w:val="auto"/>
        </w:rPr>
        <w:t>We are focusing our research and development investment in the highest impact product areas for our future. We are investing strategically in alignment with our focus on building a trusted leading customer engagement platform.</w:t>
      </w:r>
    </w:p>
    <w:p>
      <w:pPr>
        <w:spacing w:after="0" w:line="164" w:lineRule="exact"/>
        <w:rPr>
          <w:sz w:val="20"/>
          <w:szCs w:val="20"/>
          <w:color w:val="auto"/>
        </w:rPr>
      </w:pPr>
    </w:p>
    <w:p>
      <w:pPr>
        <w:ind w:right="100" w:firstLine="464"/>
        <w:spacing w:after="0" w:line="262"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consist primarily of personnel costs, including commissions and bonuses to our sales employees. Sales</w:t>
      </w:r>
      <w:r>
        <w:rPr>
          <w:rFonts w:ascii="Arial" w:cs="Arial" w:eastAsia="Arial" w:hAnsi="Arial"/>
          <w:sz w:val="17"/>
          <w:szCs w:val="17"/>
          <w:i w:val="1"/>
          <w:iCs w:val="1"/>
          <w:color w:val="auto"/>
        </w:rPr>
        <w:t xml:space="preserve"> </w:t>
      </w:r>
      <w:r>
        <w:rPr>
          <w:rFonts w:ascii="Arial" w:cs="Arial" w:eastAsia="Arial" w:hAnsi="Arial"/>
          <w:sz w:val="17"/>
          <w:szCs w:val="17"/>
          <w:color w:val="auto"/>
        </w:rPr>
        <w:t>and marketing expenses also include expenditures related to advertising, marketing, our brand awareness activities, costs related to our SIGNAL customer and developer conferences, credit card processing fees, professional services fees, depreciation, amortization of acquired intangible assets and an allocation of our general overhead expenses.</w:t>
      </w:r>
    </w:p>
    <w:p>
      <w:pPr>
        <w:spacing w:after="0" w:line="165" w:lineRule="exact"/>
        <w:rPr>
          <w:sz w:val="20"/>
          <w:szCs w:val="20"/>
          <w:color w:val="auto"/>
        </w:rPr>
      </w:pPr>
    </w:p>
    <w:p>
      <w:pPr>
        <w:ind w:right="660" w:firstLine="464"/>
        <w:spacing w:after="0" w:line="264" w:lineRule="auto"/>
        <w:rPr>
          <w:sz w:val="20"/>
          <w:szCs w:val="20"/>
          <w:color w:val="auto"/>
        </w:rPr>
      </w:pPr>
      <w:r>
        <w:rPr>
          <w:rFonts w:ascii="Arial" w:cs="Arial" w:eastAsia="Arial" w:hAnsi="Arial"/>
          <w:sz w:val="17"/>
          <w:szCs w:val="17"/>
          <w:color w:val="auto"/>
        </w:rPr>
        <w:t>We focus our sales and marketing efforts on generating awareness of our company, platform and products, creating sales leads and establishing and promoting our brand, both domestically and internationally.</w:t>
      </w:r>
    </w:p>
    <w:p>
      <w:pPr>
        <w:spacing w:after="0" w:line="163" w:lineRule="exact"/>
        <w:rPr>
          <w:sz w:val="20"/>
          <w:szCs w:val="20"/>
          <w:color w:val="auto"/>
        </w:rPr>
      </w:pPr>
    </w:p>
    <w:p>
      <w:pPr>
        <w:ind w:right="200" w:firstLine="464"/>
        <w:spacing w:after="0" w:line="300" w:lineRule="auto"/>
        <w:rPr>
          <w:sz w:val="20"/>
          <w:szCs w:val="20"/>
          <w:color w:val="auto"/>
        </w:rPr>
      </w:pPr>
      <w:r>
        <w:rPr>
          <w:rFonts w:ascii="Arial" w:cs="Arial" w:eastAsia="Arial" w:hAnsi="Arial"/>
          <w:sz w:val="15"/>
          <w:szCs w:val="15"/>
          <w:i w:val="1"/>
          <w:iCs w:val="1"/>
          <w:color w:val="auto"/>
        </w:rPr>
        <w:t xml:space="preserve">General and Administrative. </w:t>
      </w:r>
      <w:r>
        <w:rPr>
          <w:rFonts w:ascii="Arial" w:cs="Arial" w:eastAsia="Arial" w:hAnsi="Arial"/>
          <w:sz w:val="15"/>
          <w:szCs w:val="15"/>
          <w:color w:val="auto"/>
        </w:rPr>
        <w:t>General and administrative expenses consist primarily of personnel costs for our accounting, finance, legal, human resources</w:t>
      </w:r>
      <w:r>
        <w:rPr>
          <w:rFonts w:ascii="Arial" w:cs="Arial" w:eastAsia="Arial" w:hAnsi="Arial"/>
          <w:sz w:val="15"/>
          <w:szCs w:val="15"/>
          <w:i w:val="1"/>
          <w:iCs w:val="1"/>
          <w:color w:val="auto"/>
        </w:rPr>
        <w:t xml:space="preserve"> </w:t>
      </w:r>
      <w:r>
        <w:rPr>
          <w:rFonts w:ascii="Arial" w:cs="Arial" w:eastAsia="Arial" w:hAnsi="Arial"/>
          <w:sz w:val="15"/>
          <w:szCs w:val="15"/>
          <w:color w:val="auto"/>
        </w:rPr>
        <w:t>and administrative support personnel. General and administrative expenses also include costs related to business acquisitions and dispositions, legal and other professional services fees, certain taxes, depreciation and amortization, charitable contributions and an allocation of our general overhead expenses.</w:t>
      </w:r>
    </w:p>
    <w:p>
      <w:pPr>
        <w:spacing w:after="0" w:line="152" w:lineRule="exact"/>
        <w:rPr>
          <w:sz w:val="20"/>
          <w:szCs w:val="20"/>
          <w:color w:val="auto"/>
        </w:rPr>
      </w:pPr>
    </w:p>
    <w:p>
      <w:pPr>
        <w:ind w:right="20" w:firstLine="464"/>
        <w:spacing w:after="0" w:line="349" w:lineRule="auto"/>
        <w:rPr>
          <w:sz w:val="20"/>
          <w:szCs w:val="20"/>
          <w:color w:val="auto"/>
        </w:rPr>
      </w:pPr>
      <w:r>
        <w:rPr>
          <w:rFonts w:ascii="Arial" w:cs="Arial" w:eastAsia="Arial" w:hAnsi="Arial"/>
          <w:sz w:val="15"/>
          <w:szCs w:val="15"/>
          <w:color w:val="auto"/>
        </w:rPr>
        <w:t>We expect that we will incur costs associated with supporting the growth of our business and to meet the increased compliance requirements associated with our operations. We may also incur higher than usual losses related to deterioration of quality of certain financial assets caused by macroeconomic conditions.</w:t>
      </w:r>
    </w:p>
    <w:p>
      <w:pPr>
        <w:spacing w:after="0" w:line="117" w:lineRule="exact"/>
        <w:rPr>
          <w:sz w:val="20"/>
          <w:szCs w:val="20"/>
          <w:color w:val="auto"/>
        </w:rPr>
      </w:pPr>
    </w:p>
    <w:p>
      <w:pPr>
        <w:ind w:right="140" w:firstLine="464"/>
        <w:spacing w:after="0" w:line="262" w:lineRule="auto"/>
        <w:rPr>
          <w:sz w:val="20"/>
          <w:szCs w:val="20"/>
          <w:color w:val="auto"/>
        </w:rPr>
      </w:pPr>
      <w:r>
        <w:rPr>
          <w:rFonts w:ascii="Arial" w:cs="Arial" w:eastAsia="Arial" w:hAnsi="Arial"/>
          <w:sz w:val="17"/>
          <w:szCs w:val="17"/>
          <w:i w:val="1"/>
          <w:iCs w:val="1"/>
          <w:color w:val="auto"/>
        </w:rPr>
        <w:t xml:space="preserve">Restructuring Costs. </w:t>
      </w:r>
      <w:r>
        <w:rPr>
          <w:rFonts w:ascii="Arial" w:cs="Arial" w:eastAsia="Arial" w:hAnsi="Arial"/>
          <w:sz w:val="17"/>
          <w:szCs w:val="17"/>
          <w:color w:val="auto"/>
        </w:rPr>
        <w:t>Restructuring costs consist primarily of personnel costs, such as employee severance payments, benefits and certain facilitation costs,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our workforce reductions, which are described in Note 7 to our unaudited condensed consolidated financial statements included elsewhere in this Quarterly Report on Form 10-Q. Restructuring costs also include stock-based compensation expense related to vesting of stock-based awards of the impacted employees.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380" w:firstLine="464"/>
        <w:spacing w:after="0" w:line="266" w:lineRule="auto"/>
        <w:rPr>
          <w:sz w:val="20"/>
          <w:szCs w:val="20"/>
          <w:color w:val="auto"/>
        </w:rPr>
      </w:pPr>
      <w:r>
        <w:rPr>
          <w:rFonts w:ascii="Arial" w:cs="Arial" w:eastAsia="Arial" w:hAnsi="Arial"/>
          <w:sz w:val="17"/>
          <w:szCs w:val="17"/>
          <w:i w:val="1"/>
          <w:iCs w:val="1"/>
          <w:color w:val="auto"/>
        </w:rPr>
        <w:t xml:space="preserve">Impairment of Long-Lived Assets. </w:t>
      </w:r>
      <w:r>
        <w:rPr>
          <w:rFonts w:ascii="Arial" w:cs="Arial" w:eastAsia="Arial" w:hAnsi="Arial"/>
          <w:sz w:val="17"/>
          <w:szCs w:val="17"/>
          <w:color w:val="auto"/>
        </w:rPr>
        <w:t>Impairment of long-lived assets consists primarily of impairment charges allocated to the carrying amount of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right-of-use assets and the associated leasehold improvements and property and equipment when the carrying amounts exceed their respective fair values.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(Expenses), Net</w:t>
      </w:r>
    </w:p>
    <w:p>
      <w:pPr>
        <w:spacing w:after="0" w:line="217" w:lineRule="exact"/>
        <w:rPr>
          <w:sz w:val="20"/>
          <w:szCs w:val="20"/>
          <w:color w:val="auto"/>
        </w:rPr>
      </w:pPr>
    </w:p>
    <w:p>
      <w:pPr>
        <w:ind w:right="400" w:firstLine="464"/>
        <w:spacing w:after="0" w:line="279" w:lineRule="auto"/>
        <w:rPr>
          <w:sz w:val="20"/>
          <w:szCs w:val="20"/>
          <w:color w:val="auto"/>
        </w:rPr>
      </w:pPr>
      <w:r>
        <w:rPr>
          <w:rFonts w:ascii="Arial" w:cs="Arial" w:eastAsia="Arial" w:hAnsi="Arial"/>
          <w:sz w:val="17"/>
          <w:szCs w:val="17"/>
          <w:color w:val="auto"/>
        </w:rPr>
        <w:t>Our other income (expenses), net consist primarily of our share of losses from our equity method investment; impairment charges and gains and losses related to our strategic investments and marketable securities; and debt-related costs.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Benefit from Income Taxes</w:t>
      </w:r>
    </w:p>
    <w:p>
      <w:pPr>
        <w:spacing w:after="0" w:line="217" w:lineRule="exact"/>
        <w:rPr>
          <w:sz w:val="20"/>
          <w:szCs w:val="20"/>
          <w:color w:val="auto"/>
        </w:rPr>
      </w:pPr>
    </w:p>
    <w:p>
      <w:pPr>
        <w:ind w:right="420" w:firstLine="464"/>
        <w:spacing w:after="0" w:line="279" w:lineRule="auto"/>
        <w:rPr>
          <w:sz w:val="20"/>
          <w:szCs w:val="20"/>
          <w:color w:val="auto"/>
        </w:rPr>
      </w:pPr>
      <w:r>
        <w:rPr>
          <w:rFonts w:ascii="Arial" w:cs="Arial" w:eastAsia="Arial" w:hAnsi="Arial"/>
          <w:sz w:val="17"/>
          <w:szCs w:val="17"/>
          <w:color w:val="auto"/>
        </w:rPr>
        <w:t>Our (provision for) benefit from income taxes consists primarily of income taxes and withholding taxes in foreign jurisdictions in which the Company conducts business.</w:t>
      </w:r>
    </w:p>
    <w:p>
      <w:pPr>
        <w:spacing w:after="0" w:line="164" w:lineRule="exact"/>
        <w:rPr>
          <w:sz w:val="20"/>
          <w:szCs w:val="20"/>
          <w:color w:val="auto"/>
        </w:rPr>
      </w:pPr>
    </w:p>
    <w:p>
      <w:pPr>
        <w:ind w:right="500" w:firstLine="464"/>
        <w:spacing w:after="0" w:line="279" w:lineRule="auto"/>
        <w:rPr>
          <w:sz w:val="20"/>
          <w:szCs w:val="20"/>
          <w:color w:val="auto"/>
        </w:rPr>
      </w:pPr>
      <w:r>
        <w:rPr>
          <w:rFonts w:ascii="Arial" w:cs="Arial" w:eastAsia="Arial" w:hAnsi="Arial"/>
          <w:sz w:val="17"/>
          <w:szCs w:val="17"/>
          <w:color w:val="auto"/>
        </w:rPr>
        <w:t>The primary difference between our effective tax rate and the federal statutory rate relates to the valuation allowance the Company established on the federal, state and certain foreign net operating losses and credits.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223" w:lineRule="exact"/>
        <w:rPr>
          <w:sz w:val="20"/>
          <w:szCs w:val="20"/>
          <w:color w:val="auto"/>
        </w:rPr>
      </w:pPr>
    </w:p>
    <w:p>
      <w:pPr>
        <w:ind w:firstLine="464"/>
        <w:spacing w:after="0" w:line="207" w:lineRule="exact"/>
        <w:rPr>
          <w:sz w:val="20"/>
          <w:szCs w:val="20"/>
          <w:color w:val="auto"/>
        </w:rPr>
      </w:pPr>
      <w:r>
        <w:rPr>
          <w:rFonts w:ascii="Arial" w:cs="Arial" w:eastAsia="Arial" w:hAnsi="Arial"/>
          <w:sz w:val="16"/>
          <w:szCs w:val="16"/>
          <w:color w:val="auto"/>
        </w:rPr>
        <w:t>We use the following non</w:t>
      </w:r>
      <w:r>
        <w:rPr>
          <w:rFonts w:ascii="MS PGothic" w:cs="MS PGothic" w:eastAsia="MS PGothic" w:hAnsi="MS PGothic"/>
          <w:sz w:val="16"/>
          <w:szCs w:val="16"/>
          <w:color w:val="auto"/>
        </w:rPr>
        <w:t>‑</w:t>
      </w:r>
      <w:r>
        <w:rPr>
          <w:rFonts w:ascii="Arial" w:cs="Arial" w:eastAsia="Arial" w:hAnsi="Arial"/>
          <w:sz w:val="16"/>
          <w:szCs w:val="16"/>
          <w:color w:val="auto"/>
        </w:rPr>
        <w:t>GAAP financial information, collectively, to evaluate our ongoing operations and for internal planning and forecasting purposes. We believe that non</w:t>
      </w:r>
      <w:r>
        <w:rPr>
          <w:rFonts w:ascii="MS PGothic" w:cs="MS PGothic" w:eastAsia="MS PGothic" w:hAnsi="MS PGothic"/>
          <w:sz w:val="16"/>
          <w:szCs w:val="16"/>
          <w:color w:val="auto"/>
        </w:rPr>
        <w:t>‑</w:t>
      </w:r>
      <w:r>
        <w:rPr>
          <w:rFonts w:ascii="Arial" w:cs="Arial" w:eastAsia="Arial" w:hAnsi="Arial"/>
          <w:sz w:val="16"/>
          <w:szCs w:val="16"/>
          <w:color w:val="auto"/>
        </w:rPr>
        <w:t>GAAP financial information, when taken collectively, may be helpful to investors because it provides consistency and comparability with past financial performance, facilitates period</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period comparisons of results of operations and assists in comparisons with other companies, many of which use similar non</w:t>
      </w:r>
      <w:r>
        <w:rPr>
          <w:rFonts w:ascii="MS PGothic" w:cs="MS PGothic" w:eastAsia="MS PGothic" w:hAnsi="MS PGothic"/>
          <w:sz w:val="16"/>
          <w:szCs w:val="16"/>
          <w:color w:val="auto"/>
        </w:rPr>
        <w:t>‑</w:t>
      </w:r>
      <w:r>
        <w:rPr>
          <w:rFonts w:ascii="Arial" w:cs="Arial" w:eastAsia="Arial" w:hAnsi="Arial"/>
          <w:sz w:val="16"/>
          <w:szCs w:val="16"/>
          <w:color w:val="auto"/>
        </w:rPr>
        <w:t>GAAP financial information to supplement their results of operations reported in accordance with generally accepted accounting principles (“GAAP”). Non</w:t>
      </w:r>
      <w:r>
        <w:rPr>
          <w:rFonts w:ascii="MS PGothic" w:cs="MS PGothic" w:eastAsia="MS PGothic" w:hAnsi="MS PGothic"/>
          <w:sz w:val="16"/>
          <w:szCs w:val="16"/>
          <w:color w:val="auto"/>
        </w:rPr>
        <w:t>‑</w:t>
      </w:r>
      <w:r>
        <w:rPr>
          <w:rFonts w:ascii="Arial" w:cs="Arial" w:eastAsia="Arial" w:hAnsi="Arial"/>
          <w:sz w:val="16"/>
          <w:szCs w:val="16"/>
          <w:color w:val="auto"/>
        </w:rPr>
        <w:t>GAAP financial information is presented for supplemental informational purposes only, should not be considered a substitute for financial information presented in accordance with GAAP and may be different from similarly</w:t>
      </w:r>
      <w:r>
        <w:rPr>
          <w:rFonts w:ascii="MS PGothic" w:cs="MS PGothic" w:eastAsia="MS PGothic" w:hAnsi="MS PGothic"/>
          <w:sz w:val="16"/>
          <w:szCs w:val="16"/>
          <w:color w:val="auto"/>
        </w:rPr>
        <w:t>‑</w:t>
      </w:r>
      <w:r>
        <w:rPr>
          <w:rFonts w:ascii="Arial" w:cs="Arial" w:eastAsia="Arial" w:hAnsi="Arial"/>
          <w:sz w:val="16"/>
          <w:szCs w:val="16"/>
          <w:color w:val="auto"/>
        </w:rPr>
        <w:t>titled non</w:t>
      </w:r>
      <w:r>
        <w:rPr>
          <w:rFonts w:ascii="MS PGothic" w:cs="MS PGothic" w:eastAsia="MS PGothic" w:hAnsi="MS PGothic"/>
          <w:sz w:val="16"/>
          <w:szCs w:val="16"/>
          <w:color w:val="auto"/>
        </w:rPr>
        <w:t>‑</w:t>
      </w:r>
      <w:r>
        <w:rPr>
          <w:rFonts w:ascii="Arial" w:cs="Arial" w:eastAsia="Arial" w:hAnsi="Arial"/>
          <w:sz w:val="16"/>
          <w:szCs w:val="16"/>
          <w:color w:val="auto"/>
        </w:rPr>
        <w:t>GAAP measures used by other companies. Whenever we use a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 a reconciliation is provided to the most closely applicable financial measure stated in accordance with GAAP. The users of our consolidated financial statements are encouraged to review the related GAAP financial measures and the reconciliation of these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to their most directly comparable GAAP financial measures.</w:t>
      </w:r>
    </w:p>
    <w:p>
      <w:pPr>
        <w:spacing w:after="0" w:line="200" w:lineRule="exact"/>
        <w:rPr>
          <w:sz w:val="20"/>
          <w:szCs w:val="20"/>
          <w:color w:val="auto"/>
        </w:rPr>
      </w:pPr>
    </w:p>
    <w:p>
      <w:pPr>
        <w:ind w:left="460"/>
        <w:spacing w:after="0" w:line="196" w:lineRule="exact"/>
        <w:rPr>
          <w:sz w:val="20"/>
          <w:szCs w:val="20"/>
          <w:color w:val="auto"/>
        </w:rPr>
      </w:pPr>
      <w:r>
        <w:rPr>
          <w:rFonts w:ascii="Arial" w:cs="Arial" w:eastAsia="Arial" w:hAnsi="Arial"/>
          <w:sz w:val="17"/>
          <w:szCs w:val="17"/>
          <w:b w:val="1"/>
          <w:bCs w:val="1"/>
          <w:i w:val="1"/>
          <w:iCs w:val="1"/>
          <w:color w:val="auto"/>
        </w:rPr>
        <w:t>Non</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GAAP Gross Profit and Non</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GAAP Gross Margin</w:t>
      </w:r>
    </w:p>
    <w:p>
      <w:pPr>
        <w:spacing w:after="0" w:line="217" w:lineRule="exact"/>
        <w:rPr>
          <w:sz w:val="20"/>
          <w:szCs w:val="20"/>
          <w:color w:val="auto"/>
        </w:rPr>
      </w:pPr>
    </w:p>
    <w:p>
      <w:pPr>
        <w:ind w:right="360" w:firstLine="464"/>
        <w:spacing w:after="0" w:line="211" w:lineRule="exact"/>
        <w:rPr>
          <w:sz w:val="20"/>
          <w:szCs w:val="20"/>
          <w:color w:val="auto"/>
        </w:rPr>
      </w:pPr>
      <w:r>
        <w:rPr>
          <w:rFonts w:ascii="Arial" w:cs="Arial" w:eastAsia="Arial" w:hAnsi="Arial"/>
          <w:sz w:val="17"/>
          <w:szCs w:val="17"/>
          <w:color w:val="auto"/>
        </w:rPr>
        <w:t>For the periods presented, we define non</w:t>
      </w:r>
      <w:r>
        <w:rPr>
          <w:rFonts w:ascii="MS PGothic" w:cs="MS PGothic" w:eastAsia="MS PGothic" w:hAnsi="MS PGothic"/>
          <w:sz w:val="17"/>
          <w:szCs w:val="17"/>
          <w:color w:val="auto"/>
        </w:rPr>
        <w:t>‑</w:t>
      </w:r>
      <w:r>
        <w:rPr>
          <w:rFonts w:ascii="Arial" w:cs="Arial" w:eastAsia="Arial" w:hAnsi="Arial"/>
          <w:sz w:val="17"/>
          <w:szCs w:val="17"/>
          <w:color w:val="auto"/>
        </w:rPr>
        <w:t>GAAP gross profit and non</w:t>
      </w:r>
      <w:r>
        <w:rPr>
          <w:rFonts w:ascii="MS PGothic" w:cs="MS PGothic" w:eastAsia="MS PGothic" w:hAnsi="MS PGothic"/>
          <w:sz w:val="17"/>
          <w:szCs w:val="17"/>
          <w:color w:val="auto"/>
        </w:rPr>
        <w:t>‑</w:t>
      </w:r>
      <w:r>
        <w:rPr>
          <w:rFonts w:ascii="Arial" w:cs="Arial" w:eastAsia="Arial" w:hAnsi="Arial"/>
          <w:sz w:val="17"/>
          <w:szCs w:val="17"/>
          <w:color w:val="auto"/>
        </w:rPr>
        <w:t>GAAP gross margin as GAAP gross profit and GAAP gross margin, respectively, adjusted to exclude, as applicable, certain expenses as presented in the table below:</w:t>
      </w:r>
    </w:p>
    <w:p>
      <w:pPr>
        <w:spacing w:after="0" w:line="316" w:lineRule="exact"/>
        <w:rPr>
          <w:sz w:val="20"/>
          <w:szCs w:val="20"/>
          <w:color w:val="auto"/>
        </w:rPr>
      </w:pPr>
    </w:p>
    <w:tbl>
      <w:tblPr>
        <w:tblLayout w:type="fixed"/>
        <w:tblInd w:w="2140" w:type="dxa"/>
        <w:tblCellMar>
          <w:top w:w="0" w:type="dxa"/>
          <w:left w:w="0" w:type="dxa"/>
          <w:bottom w:w="0" w:type="dxa"/>
          <w:right w:w="0" w:type="dxa"/>
        </w:tblCellMar>
      </w:tblPr>
      <w:tr>
        <w:trPr>
          <w:trHeight w:val="178"/>
        </w:trPr>
        <w:tc>
          <w:tcPr>
            <w:tcW w:w="4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gridSpan w:val="3"/>
          </w:tcPr>
          <w:p>
            <w:pPr>
              <w:jc w:val="center"/>
              <w:ind w:left="486"/>
              <w:spacing w:after="0"/>
              <w:rPr>
                <w:sz w:val="20"/>
                <w:szCs w:val="20"/>
                <w:color w:val="auto"/>
              </w:rPr>
            </w:pPr>
            <w:r>
              <w:rPr>
                <w:rFonts w:ascii="Arial" w:cs="Arial" w:eastAsia="Arial" w:hAnsi="Arial"/>
                <w:sz w:val="14"/>
                <w:szCs w:val="14"/>
                <w:b w:val="1"/>
                <w:bCs w:val="1"/>
                <w:color w:val="auto"/>
                <w:w w:val="89"/>
              </w:rPr>
              <w:t>Three Months Ended</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gridSpan w:val="3"/>
          </w:tcPr>
          <w:p>
            <w:pPr>
              <w:jc w:val="center"/>
              <w:ind w:left="486"/>
              <w:spacing w:after="0"/>
              <w:rPr>
                <w:sz w:val="20"/>
                <w:szCs w:val="20"/>
                <w:color w:val="auto"/>
              </w:rPr>
            </w:pPr>
            <w:r>
              <w:rPr>
                <w:rFonts w:ascii="Arial" w:cs="Arial" w:eastAsia="Arial" w:hAnsi="Arial"/>
                <w:sz w:val="14"/>
                <w:szCs w:val="14"/>
                <w:b w:val="1"/>
                <w:bCs w:val="1"/>
                <w:color w:val="auto"/>
                <w:w w:val="85"/>
              </w:rPr>
              <w:t>June 30,</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91"/>
        </w:trPr>
        <w:tc>
          <w:tcPr>
            <w:tcW w:w="4280" w:type="dxa"/>
            <w:vAlign w:val="bottom"/>
          </w:tcPr>
          <w:p>
            <w:pPr>
              <w:ind w:left="20"/>
              <w:spacing w:after="0"/>
              <w:rPr>
                <w:sz w:val="20"/>
                <w:szCs w:val="20"/>
                <w:color w:val="auto"/>
              </w:rPr>
            </w:pPr>
            <w:r>
              <w:rPr>
                <w:rFonts w:ascii="Arial" w:cs="Arial" w:eastAsia="Arial" w:hAnsi="Arial"/>
                <w:sz w:val="15"/>
                <w:szCs w:val="15"/>
                <w:b w:val="1"/>
                <w:bCs w:val="1"/>
                <w:color w:val="auto"/>
              </w:rPr>
              <w:t>Reconciliation:</w:t>
            </w:r>
          </w:p>
        </w:tc>
        <w:tc>
          <w:tcPr>
            <w:tcW w:w="360" w:type="dxa"/>
            <w:vAlign w:val="bottom"/>
          </w:tcPr>
          <w:p>
            <w:pPr>
              <w:spacing w:after="0"/>
              <w:rPr>
                <w:sz w:val="16"/>
                <w:szCs w:val="16"/>
                <w:color w:val="auto"/>
              </w:rPr>
            </w:pPr>
          </w:p>
        </w:tc>
        <w:tc>
          <w:tcPr>
            <w:tcW w:w="1880" w:type="dxa"/>
            <w:vAlign w:val="bottom"/>
            <w:gridSpan w:val="3"/>
          </w:tcPr>
          <w:p>
            <w:pPr>
              <w:jc w:val="center"/>
              <w:ind w:left="486"/>
              <w:spacing w:after="0"/>
              <w:rPr>
                <w:sz w:val="20"/>
                <w:szCs w:val="20"/>
                <w:color w:val="auto"/>
              </w:rPr>
            </w:pPr>
            <w:r>
              <w:rPr>
                <w:rFonts w:ascii="Arial" w:cs="Arial" w:eastAsia="Arial" w:hAnsi="Arial"/>
                <w:sz w:val="14"/>
                <w:szCs w:val="14"/>
                <w:color w:val="auto"/>
                <w:w w:val="89"/>
              </w:rPr>
              <w:t>(In thousands)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GAAP gross profit</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505,755</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445,289</w:t>
            </w: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rPr>
                <w:sz w:val="20"/>
                <w:szCs w:val="20"/>
                <w:color w:val="auto"/>
              </w:rPr>
            </w:pPr>
            <w:r>
              <w:rPr>
                <w:rFonts w:ascii="Arial" w:cs="Arial" w:eastAsia="Arial" w:hAnsi="Arial"/>
                <w:sz w:val="15"/>
                <w:szCs w:val="15"/>
                <w:color w:val="auto"/>
              </w:rPr>
              <w:t>GAAP gross margin</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49 %</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47 %</w:t>
            </w: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Non-GAAP adjustments: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00"/>
              <w:spacing w:after="0"/>
              <w:rPr>
                <w:sz w:val="20"/>
                <w:szCs w:val="20"/>
                <w:color w:val="auto"/>
              </w:rPr>
            </w:pPr>
            <w:r>
              <w:rPr>
                <w:rFonts w:ascii="Arial" w:cs="Arial" w:eastAsia="Arial" w:hAnsi="Arial"/>
                <w:sz w:val="15"/>
                <w:szCs w:val="15"/>
                <w:color w:val="auto"/>
              </w:rPr>
              <w:t>Stock-based compensation</w:t>
            </w:r>
          </w:p>
        </w:tc>
        <w:tc>
          <w:tcPr>
            <w:tcW w:w="360" w:type="dxa"/>
            <w:vAlign w:val="bottom"/>
          </w:tcPr>
          <w:p>
            <w:pPr>
              <w:spacing w:after="0"/>
              <w:rPr>
                <w:sz w:val="17"/>
                <w:szCs w:val="17"/>
                <w:color w:val="auto"/>
              </w:rPr>
            </w:pPr>
          </w:p>
        </w:tc>
        <w:tc>
          <w:tcPr>
            <w:tcW w:w="1160" w:type="dxa"/>
            <w:vAlign w:val="bottom"/>
          </w:tcPr>
          <w:p>
            <w:pPr>
              <w:jc w:val="right"/>
              <w:ind w:right="106"/>
              <w:spacing w:after="0"/>
              <w:rPr>
                <w:sz w:val="20"/>
                <w:szCs w:val="20"/>
                <w:color w:val="auto"/>
              </w:rPr>
            </w:pPr>
            <w:r>
              <w:rPr>
                <w:rFonts w:ascii="Arial" w:cs="Arial" w:eastAsia="Arial" w:hAnsi="Arial"/>
                <w:sz w:val="15"/>
                <w:szCs w:val="15"/>
                <w:color w:val="auto"/>
              </w:rPr>
              <w:t>6,334</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ind w:right="104"/>
              <w:spacing w:after="0"/>
              <w:rPr>
                <w:sz w:val="20"/>
                <w:szCs w:val="20"/>
                <w:color w:val="auto"/>
              </w:rPr>
            </w:pPr>
            <w:r>
              <w:rPr>
                <w:rFonts w:ascii="Arial" w:cs="Arial" w:eastAsia="Arial" w:hAnsi="Arial"/>
                <w:sz w:val="15"/>
                <w:szCs w:val="15"/>
                <w:color w:val="auto"/>
              </w:rPr>
              <w:t>3,996</w:t>
            </w: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Amortization of acquired intangibles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29,669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31,236</w:t>
            </w:r>
          </w:p>
        </w:tc>
        <w:tc>
          <w:tcPr>
            <w:tcW w:w="0" w:type="dxa"/>
            <w:vAlign w:val="bottom"/>
          </w:tcPr>
          <w:p>
            <w:pPr>
              <w:spacing w:after="0"/>
              <w:rPr>
                <w:sz w:val="1"/>
                <w:szCs w:val="1"/>
                <w:color w:val="auto"/>
              </w:rPr>
            </w:pPr>
          </w:p>
        </w:tc>
      </w:tr>
      <w:tr>
        <w:trPr>
          <w:trHeight w:val="206"/>
        </w:trPr>
        <w:tc>
          <w:tcPr>
            <w:tcW w:w="4280" w:type="dxa"/>
            <w:vAlign w:val="bottom"/>
          </w:tcPr>
          <w:p>
            <w:pPr>
              <w:ind w:left="200"/>
              <w:spacing w:after="0"/>
              <w:rPr>
                <w:sz w:val="20"/>
                <w:szCs w:val="20"/>
                <w:color w:val="auto"/>
              </w:rPr>
            </w:pPr>
            <w:r>
              <w:rPr>
                <w:rFonts w:ascii="Arial" w:cs="Arial" w:eastAsia="Arial" w:hAnsi="Arial"/>
                <w:sz w:val="15"/>
                <w:szCs w:val="15"/>
                <w:color w:val="auto"/>
              </w:rPr>
              <w:t>Payroll taxes related to stock-based compensation</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123</w:t>
            </w:r>
          </w:p>
        </w:tc>
        <w:tc>
          <w:tcPr>
            <w:tcW w:w="1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242</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Non-GAAP gross profit</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541,881</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480,763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5"/>
                <w:szCs w:val="15"/>
                <w:color w:val="auto"/>
              </w:rPr>
              <w:t>Non-GAAP gross margin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2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52 %</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60"/>
        <w:spacing w:after="0" w:line="196" w:lineRule="exact"/>
        <w:rPr>
          <w:sz w:val="20"/>
          <w:szCs w:val="20"/>
          <w:color w:val="auto"/>
        </w:rPr>
      </w:pPr>
      <w:r>
        <w:rPr>
          <w:rFonts w:ascii="Arial" w:cs="Arial" w:eastAsia="Arial" w:hAnsi="Arial"/>
          <w:sz w:val="17"/>
          <w:szCs w:val="17"/>
          <w:b w:val="1"/>
          <w:bCs w:val="1"/>
          <w:i w:val="1"/>
          <w:iCs w:val="1"/>
          <w:color w:val="auto"/>
        </w:rPr>
        <w:t>Non</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GAAP Operating Expenses</w:t>
      </w:r>
    </w:p>
    <w:p>
      <w:pPr>
        <w:spacing w:after="0" w:line="217" w:lineRule="exact"/>
        <w:rPr>
          <w:sz w:val="20"/>
          <w:szCs w:val="20"/>
          <w:color w:val="auto"/>
        </w:rPr>
      </w:pPr>
    </w:p>
    <w:p>
      <w:pPr>
        <w:ind w:right="400" w:firstLine="464"/>
        <w:spacing w:after="0" w:line="211" w:lineRule="exact"/>
        <w:rPr>
          <w:sz w:val="20"/>
          <w:szCs w:val="20"/>
          <w:color w:val="auto"/>
        </w:rPr>
      </w:pPr>
      <w:r>
        <w:rPr>
          <w:rFonts w:ascii="Arial" w:cs="Arial" w:eastAsia="Arial" w:hAnsi="Arial"/>
          <w:sz w:val="17"/>
          <w:szCs w:val="17"/>
          <w:color w:val="auto"/>
        </w:rPr>
        <w:t>For the periods presented, we define non</w:t>
      </w:r>
      <w:r>
        <w:rPr>
          <w:rFonts w:ascii="MS PGothic" w:cs="MS PGothic" w:eastAsia="MS PGothic" w:hAnsi="MS PGothic"/>
          <w:sz w:val="17"/>
          <w:szCs w:val="17"/>
          <w:color w:val="auto"/>
        </w:rPr>
        <w:t>‑</w:t>
      </w:r>
      <w:r>
        <w:rPr>
          <w:rFonts w:ascii="Arial" w:cs="Arial" w:eastAsia="Arial" w:hAnsi="Arial"/>
          <w:sz w:val="17"/>
          <w:szCs w:val="17"/>
          <w:color w:val="auto"/>
        </w:rPr>
        <w:t>GAAP operating expenses (including categories of operating expenses) as GAAP operating expenses (and categories of operating expenses) adjusted to exclude, as applicable, certain expenses as presented in the table below:</w:t>
      </w:r>
    </w:p>
    <w:p>
      <w:pPr>
        <w:spacing w:after="0" w:line="316" w:lineRule="exact"/>
        <w:rPr>
          <w:sz w:val="20"/>
          <w:szCs w:val="20"/>
          <w:color w:val="auto"/>
        </w:rPr>
      </w:pPr>
    </w:p>
    <w:tbl>
      <w:tblPr>
        <w:tblLayout w:type="fixed"/>
        <w:tblInd w:w="2180" w:type="dxa"/>
        <w:tblCellMar>
          <w:top w:w="0" w:type="dxa"/>
          <w:left w:w="0" w:type="dxa"/>
          <w:bottom w:w="0" w:type="dxa"/>
          <w:right w:w="0" w:type="dxa"/>
        </w:tblCellMar>
      </w:tblPr>
      <w:tr>
        <w:trPr>
          <w:trHeight w:val="178"/>
        </w:trPr>
        <w:tc>
          <w:tcPr>
            <w:tcW w:w="4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3"/>
          </w:tcPr>
          <w:p>
            <w:pPr>
              <w:ind w:left="540"/>
              <w:spacing w:after="0"/>
              <w:rPr>
                <w:sz w:val="20"/>
                <w:szCs w:val="20"/>
                <w:color w:val="auto"/>
              </w:rPr>
            </w:pPr>
            <w:r>
              <w:rPr>
                <w:rFonts w:ascii="Arial" w:cs="Arial" w:eastAsia="Arial" w:hAnsi="Arial"/>
                <w:sz w:val="14"/>
                <w:szCs w:val="14"/>
                <w:b w:val="1"/>
                <w:bCs w:val="1"/>
                <w:color w:val="auto"/>
                <w:w w:val="89"/>
              </w:rPr>
              <w:t>Three Months Ended</w:t>
            </w:r>
          </w:p>
        </w:tc>
        <w:tc>
          <w:tcPr>
            <w:tcW w:w="880" w:type="dxa"/>
            <w:vAlign w:val="bottom"/>
          </w:tcPr>
          <w:p>
            <w:pPr>
              <w:spacing w:after="0"/>
              <w:rPr>
                <w:sz w:val="15"/>
                <w:szCs w:val="15"/>
                <w:color w:val="auto"/>
              </w:rPr>
            </w:pPr>
          </w:p>
        </w:tc>
      </w:tr>
      <w:tr>
        <w:trPr>
          <w:trHeight w:val="180"/>
        </w:trPr>
        <w:tc>
          <w:tcPr>
            <w:tcW w:w="4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3"/>
          </w:tcPr>
          <w:p>
            <w:pPr>
              <w:jc w:val="center"/>
              <w:ind w:left="465"/>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Pr>
          <w:p>
            <w:pPr>
              <w:spacing w:after="0"/>
              <w:rPr>
                <w:sz w:val="15"/>
                <w:szCs w:val="15"/>
                <w:color w:val="auto"/>
              </w:rPr>
            </w:pPr>
          </w:p>
        </w:tc>
      </w:tr>
      <w:tr>
        <w:trPr>
          <w:trHeight w:val="24"/>
        </w:trPr>
        <w:tc>
          <w:tcPr>
            <w:tcW w:w="4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9"/>
        </w:trPr>
        <w:tc>
          <w:tcPr>
            <w:tcW w:w="4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w w:val="83"/>
              </w:rPr>
              <w:t>2022</w:t>
            </w:r>
          </w:p>
        </w:tc>
      </w:tr>
      <w:tr>
        <w:trPr>
          <w:trHeight w:val="191"/>
        </w:trPr>
        <w:tc>
          <w:tcPr>
            <w:tcW w:w="4340" w:type="dxa"/>
            <w:vAlign w:val="bottom"/>
          </w:tcPr>
          <w:p>
            <w:pPr>
              <w:ind w:left="20"/>
              <w:spacing w:after="0"/>
              <w:rPr>
                <w:sz w:val="20"/>
                <w:szCs w:val="20"/>
                <w:color w:val="auto"/>
              </w:rPr>
            </w:pPr>
            <w:r>
              <w:rPr>
                <w:rFonts w:ascii="Arial" w:cs="Arial" w:eastAsia="Arial" w:hAnsi="Arial"/>
                <w:sz w:val="15"/>
                <w:szCs w:val="15"/>
                <w:b w:val="1"/>
                <w:bCs w:val="1"/>
                <w:color w:val="auto"/>
              </w:rPr>
              <w:t>Reconciliation:</w:t>
            </w:r>
          </w:p>
        </w:tc>
        <w:tc>
          <w:tcPr>
            <w:tcW w:w="340" w:type="dxa"/>
            <w:vAlign w:val="bottom"/>
          </w:tcPr>
          <w:p>
            <w:pPr>
              <w:spacing w:after="0"/>
              <w:rPr>
                <w:sz w:val="16"/>
                <w:szCs w:val="16"/>
                <w:color w:val="auto"/>
              </w:rPr>
            </w:pPr>
          </w:p>
        </w:tc>
        <w:tc>
          <w:tcPr>
            <w:tcW w:w="1800" w:type="dxa"/>
            <w:vAlign w:val="bottom"/>
            <w:gridSpan w:val="3"/>
          </w:tcPr>
          <w:p>
            <w:pPr>
              <w:jc w:val="center"/>
              <w:ind w:left="465"/>
              <w:spacing w:after="0"/>
              <w:rPr>
                <w:sz w:val="20"/>
                <w:szCs w:val="20"/>
                <w:color w:val="auto"/>
              </w:rPr>
            </w:pPr>
            <w:r>
              <w:rPr>
                <w:rFonts w:ascii="Arial" w:cs="Arial" w:eastAsia="Arial" w:hAnsi="Arial"/>
                <w:sz w:val="14"/>
                <w:szCs w:val="14"/>
                <w:color w:val="auto"/>
                <w:w w:val="87"/>
              </w:rPr>
              <w:t>(In thousands)</w:t>
            </w:r>
          </w:p>
        </w:tc>
        <w:tc>
          <w:tcPr>
            <w:tcW w:w="880" w:type="dxa"/>
            <w:vAlign w:val="bottom"/>
          </w:tcPr>
          <w:p>
            <w:pPr>
              <w:spacing w:after="0"/>
              <w:rPr>
                <w:sz w:val="16"/>
                <w:szCs w:val="16"/>
                <w:color w:val="auto"/>
              </w:rPr>
            </w:pPr>
          </w:p>
        </w:tc>
      </w:tr>
      <w:tr>
        <w:trPr>
          <w:trHeight w:val="209"/>
        </w:trPr>
        <w:tc>
          <w:tcPr>
            <w:tcW w:w="4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GAAP operating expenses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ind w:left="540"/>
              <w:spacing w:after="0"/>
              <w:rPr>
                <w:sz w:val="20"/>
                <w:szCs w:val="20"/>
                <w:color w:val="auto"/>
              </w:rPr>
            </w:pPr>
            <w:r>
              <w:rPr>
                <w:rFonts w:ascii="Arial" w:cs="Arial" w:eastAsia="Arial" w:hAnsi="Arial"/>
                <w:sz w:val="15"/>
                <w:szCs w:val="15"/>
                <w:color w:val="auto"/>
              </w:rPr>
              <w:t>647,582</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757,225</w:t>
            </w:r>
          </w:p>
        </w:tc>
      </w:tr>
      <w:tr>
        <w:trPr>
          <w:trHeight w:val="203"/>
        </w:trPr>
        <w:tc>
          <w:tcPr>
            <w:tcW w:w="4340" w:type="dxa"/>
            <w:vAlign w:val="bottom"/>
          </w:tcPr>
          <w:p>
            <w:pPr>
              <w:ind w:left="20"/>
              <w:spacing w:after="0"/>
              <w:rPr>
                <w:sz w:val="20"/>
                <w:szCs w:val="20"/>
                <w:color w:val="auto"/>
              </w:rPr>
            </w:pPr>
            <w:r>
              <w:rPr>
                <w:rFonts w:ascii="Arial" w:cs="Arial" w:eastAsia="Arial" w:hAnsi="Arial"/>
                <w:sz w:val="15"/>
                <w:szCs w:val="15"/>
                <w:color w:val="auto"/>
              </w:rPr>
              <w:t>Non-GAAP adjustments: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4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Stock-based compensation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(146,464)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(238,094)</w:t>
            </w:r>
          </w:p>
        </w:tc>
      </w:tr>
      <w:tr>
        <w:trPr>
          <w:trHeight w:val="203"/>
        </w:trPr>
        <w:tc>
          <w:tcPr>
            <w:tcW w:w="4340" w:type="dxa"/>
            <w:vAlign w:val="bottom"/>
          </w:tcPr>
          <w:p>
            <w:pPr>
              <w:ind w:left="220"/>
              <w:spacing w:after="0"/>
              <w:rPr>
                <w:sz w:val="20"/>
                <w:szCs w:val="20"/>
                <w:color w:val="auto"/>
              </w:rPr>
            </w:pPr>
            <w:r>
              <w:rPr>
                <w:rFonts w:ascii="Arial" w:cs="Arial" w:eastAsia="Arial" w:hAnsi="Arial"/>
                <w:sz w:val="15"/>
                <w:szCs w:val="15"/>
                <w:color w:val="auto"/>
              </w:rPr>
              <w:t>Amortization of acquired intangibles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(20,521)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(20,929)</w:t>
            </w:r>
          </w:p>
        </w:tc>
      </w:tr>
      <w:tr>
        <w:trPr>
          <w:trHeight w:val="209"/>
        </w:trPr>
        <w:tc>
          <w:tcPr>
            <w:tcW w:w="4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Acquisition and divestiture related expenses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(1,840)</w:t>
            </w:r>
          </w:p>
        </w:tc>
      </w:tr>
      <w:tr>
        <w:trPr>
          <w:trHeight w:val="203"/>
        </w:trPr>
        <w:tc>
          <w:tcPr>
            <w:tcW w:w="4340" w:type="dxa"/>
            <w:vAlign w:val="bottom"/>
          </w:tcPr>
          <w:p>
            <w:pPr>
              <w:ind w:left="220"/>
              <w:spacing w:after="0"/>
              <w:rPr>
                <w:sz w:val="20"/>
                <w:szCs w:val="20"/>
                <w:color w:val="auto"/>
              </w:rPr>
            </w:pPr>
            <w:r>
              <w:rPr>
                <w:rFonts w:ascii="Arial" w:cs="Arial" w:eastAsia="Arial" w:hAnsi="Arial"/>
                <w:sz w:val="15"/>
                <w:szCs w:val="15"/>
                <w:color w:val="auto"/>
              </w:rPr>
              <w:t>Loss on net assets held for sale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(28,453)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9"/>
        </w:trPr>
        <w:tc>
          <w:tcPr>
            <w:tcW w:w="4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Payroll taxes related to stock-based compensation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(5,924)</w:t>
            </w:r>
          </w:p>
        </w:tc>
      </w:tr>
      <w:tr>
        <w:trPr>
          <w:trHeight w:val="203"/>
        </w:trPr>
        <w:tc>
          <w:tcPr>
            <w:tcW w:w="4340" w:type="dxa"/>
            <w:vAlign w:val="bottom"/>
          </w:tcPr>
          <w:p>
            <w:pPr>
              <w:ind w:left="220"/>
              <w:spacing w:after="0"/>
              <w:rPr>
                <w:sz w:val="20"/>
                <w:szCs w:val="20"/>
                <w:color w:val="auto"/>
              </w:rPr>
            </w:pPr>
            <w:r>
              <w:rPr>
                <w:rFonts w:ascii="Arial" w:cs="Arial" w:eastAsia="Arial" w:hAnsi="Arial"/>
                <w:sz w:val="15"/>
                <w:szCs w:val="15"/>
                <w:color w:val="auto"/>
              </w:rPr>
              <w:t>Charitable contribution</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(1,047)</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(2,373)</w:t>
            </w:r>
          </w:p>
        </w:tc>
      </w:tr>
      <w:tr>
        <w:trPr>
          <w:trHeight w:val="209"/>
        </w:trPr>
        <w:tc>
          <w:tcPr>
            <w:tcW w:w="43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Restructuring costs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(14,902)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206"/>
        </w:trPr>
        <w:tc>
          <w:tcPr>
            <w:tcW w:w="4340" w:type="dxa"/>
            <w:vAlign w:val="bottom"/>
          </w:tcPr>
          <w:p>
            <w:pPr>
              <w:ind w:left="220"/>
              <w:spacing w:after="0"/>
              <w:rPr>
                <w:sz w:val="20"/>
                <w:szCs w:val="20"/>
                <w:color w:val="auto"/>
              </w:rPr>
            </w:pPr>
            <w:r>
              <w:rPr>
                <w:rFonts w:ascii="Arial" w:cs="Arial" w:eastAsia="Arial" w:hAnsi="Arial"/>
                <w:sz w:val="15"/>
                <w:szCs w:val="15"/>
                <w:color w:val="auto"/>
              </w:rPr>
              <w:t>Impairment of long-lived assets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(9,332)</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r>
      <w:tr>
        <w:trPr>
          <w:trHeight w:val="219"/>
        </w:trPr>
        <w:tc>
          <w:tcPr>
            <w:tcW w:w="43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Non-GAAP operating expenses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ind w:left="540"/>
              <w:spacing w:after="0"/>
              <w:rPr>
                <w:sz w:val="20"/>
                <w:szCs w:val="20"/>
                <w:color w:val="auto"/>
              </w:rPr>
            </w:pPr>
            <w:r>
              <w:rPr>
                <w:rFonts w:ascii="Arial" w:cs="Arial" w:eastAsia="Arial" w:hAnsi="Arial"/>
                <w:sz w:val="15"/>
                <w:szCs w:val="15"/>
                <w:color w:val="auto"/>
              </w:rPr>
              <w:t>421,734</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488,065</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460"/>
        <w:spacing w:after="0" w:line="196" w:lineRule="exact"/>
        <w:rPr>
          <w:sz w:val="20"/>
          <w:szCs w:val="20"/>
          <w:color w:val="auto"/>
        </w:rPr>
      </w:pPr>
      <w:r>
        <w:rPr>
          <w:rFonts w:ascii="Arial" w:cs="Arial" w:eastAsia="Arial" w:hAnsi="Arial"/>
          <w:sz w:val="17"/>
          <w:szCs w:val="17"/>
          <w:b w:val="1"/>
          <w:bCs w:val="1"/>
          <w:i w:val="1"/>
          <w:iCs w:val="1"/>
          <w:color w:val="auto"/>
        </w:rPr>
        <w:t>Non</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GAAP Income (Loss) from Operations and Non</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GAAP Operating Margin</w:t>
      </w:r>
    </w:p>
    <w:p>
      <w:pPr>
        <w:spacing w:after="0" w:line="204" w:lineRule="exact"/>
        <w:rPr>
          <w:sz w:val="20"/>
          <w:szCs w:val="20"/>
          <w:color w:val="auto"/>
        </w:rPr>
      </w:pPr>
    </w:p>
    <w:p>
      <w:pPr>
        <w:ind w:firstLine="464"/>
        <w:spacing w:after="0" w:line="206" w:lineRule="exact"/>
        <w:rPr>
          <w:sz w:val="20"/>
          <w:szCs w:val="20"/>
          <w:color w:val="auto"/>
        </w:rPr>
      </w:pPr>
      <w:r>
        <w:rPr>
          <w:rFonts w:ascii="Arial" w:cs="Arial" w:eastAsia="Arial" w:hAnsi="Arial"/>
          <w:sz w:val="17"/>
          <w:szCs w:val="17"/>
          <w:color w:val="auto"/>
        </w:rPr>
        <w:t>For the periods presented, we define non</w:t>
      </w:r>
      <w:r>
        <w:rPr>
          <w:rFonts w:ascii="MS PGothic" w:cs="MS PGothic" w:eastAsia="MS PGothic" w:hAnsi="MS PGothic"/>
          <w:sz w:val="17"/>
          <w:szCs w:val="17"/>
          <w:color w:val="auto"/>
        </w:rPr>
        <w:t>‑</w:t>
      </w:r>
      <w:r>
        <w:rPr>
          <w:rFonts w:ascii="Arial" w:cs="Arial" w:eastAsia="Arial" w:hAnsi="Arial"/>
          <w:sz w:val="17"/>
          <w:szCs w:val="17"/>
          <w:color w:val="auto"/>
        </w:rPr>
        <w:t>GAAP income (loss) from operations and non</w:t>
      </w:r>
      <w:r>
        <w:rPr>
          <w:rFonts w:ascii="MS PGothic" w:cs="MS PGothic" w:eastAsia="MS PGothic" w:hAnsi="MS PGothic"/>
          <w:sz w:val="17"/>
          <w:szCs w:val="17"/>
          <w:color w:val="auto"/>
        </w:rPr>
        <w:t>‑</w:t>
      </w:r>
      <w:r>
        <w:rPr>
          <w:rFonts w:ascii="Arial" w:cs="Arial" w:eastAsia="Arial" w:hAnsi="Arial"/>
          <w:sz w:val="17"/>
          <w:szCs w:val="17"/>
          <w:color w:val="auto"/>
        </w:rPr>
        <w:t>GAAP operating margin as GAAP income (loss) from operations and GAAP operating margin, respectively, adjusted to exclude, as applicable, certain expenses as presented in the table below:</w:t>
      </w:r>
    </w:p>
    <w:p>
      <w:pPr>
        <w:spacing w:after="0" w:line="301" w:lineRule="exact"/>
        <w:rPr>
          <w:sz w:val="20"/>
          <w:szCs w:val="20"/>
          <w:color w:val="auto"/>
        </w:rPr>
      </w:pPr>
    </w:p>
    <w:tbl>
      <w:tblPr>
        <w:tblLayout w:type="fixed"/>
        <w:tblInd w:w="1560" w:type="dxa"/>
        <w:tblCellMar>
          <w:top w:w="0" w:type="dxa"/>
          <w:left w:w="0" w:type="dxa"/>
          <w:bottom w:w="0" w:type="dxa"/>
          <w:right w:w="0" w:type="dxa"/>
        </w:tblCellMar>
      </w:tblPr>
      <w:tr>
        <w:trPr>
          <w:trHeight w:val="178"/>
        </w:trPr>
        <w:tc>
          <w:tcPr>
            <w:tcW w:w="5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gridSpan w:val="3"/>
          </w:tcPr>
          <w:p>
            <w:pPr>
              <w:jc w:val="center"/>
              <w:ind w:left="505"/>
              <w:spacing w:after="0"/>
              <w:rPr>
                <w:sz w:val="20"/>
                <w:szCs w:val="20"/>
                <w:color w:val="auto"/>
              </w:rPr>
            </w:pPr>
            <w:r>
              <w:rPr>
                <w:rFonts w:ascii="Arial" w:cs="Arial" w:eastAsia="Arial" w:hAnsi="Arial"/>
                <w:sz w:val="14"/>
                <w:szCs w:val="14"/>
                <w:b w:val="1"/>
                <w:bCs w:val="1"/>
                <w:color w:val="auto"/>
                <w:w w:val="90"/>
              </w:rPr>
              <w:t>Three Months Ended</w:t>
            </w:r>
          </w:p>
        </w:tc>
        <w:tc>
          <w:tcPr>
            <w:tcW w:w="940" w:type="dxa"/>
            <w:vAlign w:val="bottom"/>
          </w:tcPr>
          <w:p>
            <w:pPr>
              <w:spacing w:after="0"/>
              <w:rPr>
                <w:sz w:val="15"/>
                <w:szCs w:val="15"/>
                <w:color w:val="auto"/>
              </w:rPr>
            </w:pPr>
          </w:p>
        </w:tc>
      </w:tr>
      <w:tr>
        <w:trPr>
          <w:trHeight w:val="193"/>
        </w:trPr>
        <w:tc>
          <w:tcPr>
            <w:tcW w:w="5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center"/>
              <w:ind w:left="505"/>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Pr>
          <w:p>
            <w:pPr>
              <w:spacing w:after="0"/>
              <w:rPr>
                <w:sz w:val="16"/>
                <w:szCs w:val="16"/>
                <w:color w:val="auto"/>
              </w:rPr>
            </w:pPr>
          </w:p>
        </w:tc>
      </w:tr>
      <w:tr>
        <w:trPr>
          <w:trHeight w:val="24"/>
        </w:trPr>
        <w:tc>
          <w:tcPr>
            <w:tcW w:w="5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1"/>
        </w:trPr>
        <w:tc>
          <w:tcPr>
            <w:tcW w:w="5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w w:val="89"/>
              </w:rPr>
              <w:t>2022</w:t>
            </w:r>
          </w:p>
        </w:tc>
      </w:tr>
      <w:tr>
        <w:trPr>
          <w:trHeight w:val="198"/>
        </w:trPr>
        <w:tc>
          <w:tcPr>
            <w:tcW w:w="5100" w:type="dxa"/>
            <w:vAlign w:val="bottom"/>
          </w:tcPr>
          <w:p>
            <w:pPr>
              <w:ind w:left="20"/>
              <w:spacing w:after="0"/>
              <w:rPr>
                <w:sz w:val="20"/>
                <w:szCs w:val="20"/>
                <w:color w:val="auto"/>
              </w:rPr>
            </w:pPr>
            <w:r>
              <w:rPr>
                <w:rFonts w:ascii="Arial" w:cs="Arial" w:eastAsia="Arial" w:hAnsi="Arial"/>
                <w:sz w:val="15"/>
                <w:szCs w:val="15"/>
                <w:b w:val="1"/>
                <w:bCs w:val="1"/>
                <w:color w:val="auto"/>
              </w:rPr>
              <w:t>Reconciliation:</w:t>
            </w:r>
          </w:p>
        </w:tc>
        <w:tc>
          <w:tcPr>
            <w:tcW w:w="360" w:type="dxa"/>
            <w:vAlign w:val="bottom"/>
          </w:tcPr>
          <w:p>
            <w:pPr>
              <w:spacing w:after="0"/>
              <w:rPr>
                <w:sz w:val="17"/>
                <w:szCs w:val="17"/>
                <w:color w:val="auto"/>
              </w:rPr>
            </w:pPr>
          </w:p>
        </w:tc>
        <w:tc>
          <w:tcPr>
            <w:tcW w:w="1880" w:type="dxa"/>
            <w:vAlign w:val="bottom"/>
            <w:gridSpan w:val="3"/>
          </w:tcPr>
          <w:p>
            <w:pPr>
              <w:jc w:val="center"/>
              <w:ind w:left="505"/>
              <w:spacing w:after="0"/>
              <w:rPr>
                <w:sz w:val="20"/>
                <w:szCs w:val="20"/>
                <w:color w:val="auto"/>
              </w:rPr>
            </w:pPr>
            <w:r>
              <w:rPr>
                <w:rFonts w:ascii="Arial" w:cs="Arial" w:eastAsia="Arial" w:hAnsi="Arial"/>
                <w:sz w:val="14"/>
                <w:szCs w:val="14"/>
                <w:color w:val="auto"/>
                <w:w w:val="87"/>
              </w:rPr>
              <w:t>(In thousands)</w:t>
            </w:r>
          </w:p>
        </w:tc>
        <w:tc>
          <w:tcPr>
            <w:tcW w:w="940" w:type="dxa"/>
            <w:vAlign w:val="bottom"/>
          </w:tcPr>
          <w:p>
            <w:pPr>
              <w:spacing w:after="0"/>
              <w:rPr>
                <w:sz w:val="17"/>
                <w:szCs w:val="17"/>
                <w:color w:val="auto"/>
              </w:rPr>
            </w:pPr>
          </w:p>
        </w:tc>
      </w:tr>
      <w:tr>
        <w:trPr>
          <w:trHeight w:val="209"/>
        </w:trPr>
        <w:tc>
          <w:tcPr>
            <w:tcW w:w="5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GAAP loss from operations</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(141,827)</w:t>
            </w: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(311,936)</w:t>
            </w:r>
          </w:p>
        </w:tc>
      </w:tr>
      <w:tr>
        <w:trPr>
          <w:trHeight w:val="203"/>
        </w:trPr>
        <w:tc>
          <w:tcPr>
            <w:tcW w:w="5100" w:type="dxa"/>
            <w:vAlign w:val="bottom"/>
          </w:tcPr>
          <w:p>
            <w:pPr>
              <w:ind w:left="20"/>
              <w:spacing w:after="0"/>
              <w:rPr>
                <w:sz w:val="20"/>
                <w:szCs w:val="20"/>
                <w:color w:val="auto"/>
              </w:rPr>
            </w:pPr>
            <w:r>
              <w:rPr>
                <w:rFonts w:ascii="Arial" w:cs="Arial" w:eastAsia="Arial" w:hAnsi="Arial"/>
                <w:sz w:val="15"/>
                <w:szCs w:val="15"/>
                <w:color w:val="auto"/>
              </w:rPr>
              <w:t>GAAP operating margin</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209"/>
        </w:trPr>
        <w:tc>
          <w:tcPr>
            <w:tcW w:w="5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Non-GAAP adjustments: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3"/>
        </w:trPr>
        <w:tc>
          <w:tcPr>
            <w:tcW w:w="5100" w:type="dxa"/>
            <w:vAlign w:val="bottom"/>
          </w:tcPr>
          <w:p>
            <w:pPr>
              <w:ind w:left="220"/>
              <w:spacing w:after="0"/>
              <w:rPr>
                <w:sz w:val="20"/>
                <w:szCs w:val="20"/>
                <w:color w:val="auto"/>
              </w:rPr>
            </w:pPr>
            <w:r>
              <w:rPr>
                <w:rFonts w:ascii="Arial" w:cs="Arial" w:eastAsia="Arial" w:hAnsi="Arial"/>
                <w:sz w:val="15"/>
                <w:szCs w:val="15"/>
                <w:color w:val="auto"/>
              </w:rPr>
              <w:t>Stock-based compensation</w:t>
            </w:r>
          </w:p>
        </w:tc>
        <w:tc>
          <w:tcPr>
            <w:tcW w:w="360" w:type="dxa"/>
            <w:vAlign w:val="bottom"/>
          </w:tcPr>
          <w:p>
            <w:pPr>
              <w:spacing w:after="0"/>
              <w:rPr>
                <w:sz w:val="17"/>
                <w:szCs w:val="17"/>
                <w:color w:val="auto"/>
              </w:rPr>
            </w:pPr>
          </w:p>
        </w:tc>
        <w:tc>
          <w:tcPr>
            <w:tcW w:w="1160" w:type="dxa"/>
            <w:vAlign w:val="bottom"/>
          </w:tcPr>
          <w:p>
            <w:pPr>
              <w:jc w:val="right"/>
              <w:ind w:right="105"/>
              <w:spacing w:after="0"/>
              <w:rPr>
                <w:sz w:val="20"/>
                <w:szCs w:val="20"/>
                <w:color w:val="auto"/>
              </w:rPr>
            </w:pPr>
            <w:r>
              <w:rPr>
                <w:rFonts w:ascii="Arial" w:cs="Arial" w:eastAsia="Arial" w:hAnsi="Arial"/>
                <w:sz w:val="15"/>
                <w:szCs w:val="15"/>
                <w:color w:val="auto"/>
              </w:rPr>
              <w:t>152,798</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jc w:val="right"/>
              <w:ind w:right="123"/>
              <w:spacing w:after="0"/>
              <w:rPr>
                <w:sz w:val="20"/>
                <w:szCs w:val="20"/>
                <w:color w:val="auto"/>
              </w:rPr>
            </w:pPr>
            <w:r>
              <w:rPr>
                <w:rFonts w:ascii="Arial" w:cs="Arial" w:eastAsia="Arial" w:hAnsi="Arial"/>
                <w:sz w:val="15"/>
                <w:szCs w:val="15"/>
                <w:color w:val="auto"/>
              </w:rPr>
              <w:t>242,090</w:t>
            </w:r>
          </w:p>
        </w:tc>
      </w:tr>
      <w:tr>
        <w:trPr>
          <w:trHeight w:val="209"/>
        </w:trPr>
        <w:tc>
          <w:tcPr>
            <w:tcW w:w="51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Amortization of acquired intangibles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50,190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52,165</w:t>
            </w:r>
          </w:p>
        </w:tc>
      </w:tr>
      <w:tr>
        <w:trPr>
          <w:trHeight w:val="203"/>
        </w:trPr>
        <w:tc>
          <w:tcPr>
            <w:tcW w:w="5100" w:type="dxa"/>
            <w:vAlign w:val="bottom"/>
          </w:tcPr>
          <w:p>
            <w:pPr>
              <w:ind w:left="220"/>
              <w:spacing w:after="0"/>
              <w:rPr>
                <w:sz w:val="20"/>
                <w:szCs w:val="20"/>
                <w:color w:val="auto"/>
              </w:rPr>
            </w:pPr>
            <w:r>
              <w:rPr>
                <w:rFonts w:ascii="Arial" w:cs="Arial" w:eastAsia="Arial" w:hAnsi="Arial"/>
                <w:sz w:val="15"/>
                <w:szCs w:val="15"/>
                <w:color w:val="auto"/>
              </w:rPr>
              <w:t>Acquisition and divestiture related expenses</w:t>
            </w:r>
          </w:p>
        </w:tc>
        <w:tc>
          <w:tcPr>
            <w:tcW w:w="360" w:type="dxa"/>
            <w:vAlign w:val="bottom"/>
          </w:tcPr>
          <w:p>
            <w:pPr>
              <w:spacing w:after="0"/>
              <w:rPr>
                <w:sz w:val="17"/>
                <w:szCs w:val="17"/>
                <w:color w:val="auto"/>
              </w:rPr>
            </w:pPr>
          </w:p>
        </w:tc>
        <w:tc>
          <w:tcPr>
            <w:tcW w:w="1160" w:type="dxa"/>
            <w:vAlign w:val="bottom"/>
          </w:tcPr>
          <w:p>
            <w:pPr>
              <w:jc w:val="right"/>
              <w:ind w:right="105"/>
              <w:spacing w:after="0"/>
              <w:rPr>
                <w:sz w:val="20"/>
                <w:szCs w:val="20"/>
                <w:color w:val="auto"/>
              </w:rPr>
            </w:pPr>
            <w:r>
              <w:rPr>
                <w:rFonts w:ascii="Arial" w:cs="Arial" w:eastAsia="Arial" w:hAnsi="Arial"/>
                <w:sz w:val="15"/>
                <w:szCs w:val="15"/>
                <w:color w:val="auto"/>
              </w:rPr>
              <w:t>3,097</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jc w:val="right"/>
              <w:ind w:right="123"/>
              <w:spacing w:after="0"/>
              <w:rPr>
                <w:sz w:val="20"/>
                <w:szCs w:val="20"/>
                <w:color w:val="auto"/>
              </w:rPr>
            </w:pPr>
            <w:r>
              <w:rPr>
                <w:rFonts w:ascii="Arial" w:cs="Arial" w:eastAsia="Arial" w:hAnsi="Arial"/>
                <w:sz w:val="15"/>
                <w:szCs w:val="15"/>
                <w:color w:val="auto"/>
              </w:rPr>
              <w:t>1,840</w:t>
            </w:r>
          </w:p>
        </w:tc>
      </w:tr>
      <w:tr>
        <w:trPr>
          <w:trHeight w:val="209"/>
        </w:trPr>
        <w:tc>
          <w:tcPr>
            <w:tcW w:w="51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Loss on net assets held for sale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28,453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r>
      <w:tr>
        <w:trPr>
          <w:trHeight w:val="203"/>
        </w:trPr>
        <w:tc>
          <w:tcPr>
            <w:tcW w:w="5100" w:type="dxa"/>
            <w:vAlign w:val="bottom"/>
          </w:tcPr>
          <w:p>
            <w:pPr>
              <w:ind w:left="220"/>
              <w:spacing w:after="0"/>
              <w:rPr>
                <w:sz w:val="20"/>
                <w:szCs w:val="20"/>
                <w:color w:val="auto"/>
              </w:rPr>
            </w:pPr>
            <w:r>
              <w:rPr>
                <w:rFonts w:ascii="Arial" w:cs="Arial" w:eastAsia="Arial" w:hAnsi="Arial"/>
                <w:sz w:val="15"/>
                <w:szCs w:val="15"/>
                <w:color w:val="auto"/>
              </w:rPr>
              <w:t>Payroll taxes related to stock-based compensation</w:t>
            </w:r>
          </w:p>
        </w:tc>
        <w:tc>
          <w:tcPr>
            <w:tcW w:w="360" w:type="dxa"/>
            <w:vAlign w:val="bottom"/>
          </w:tcPr>
          <w:p>
            <w:pPr>
              <w:spacing w:after="0"/>
              <w:rPr>
                <w:sz w:val="17"/>
                <w:szCs w:val="17"/>
                <w:color w:val="auto"/>
              </w:rPr>
            </w:pPr>
          </w:p>
        </w:tc>
        <w:tc>
          <w:tcPr>
            <w:tcW w:w="1160" w:type="dxa"/>
            <w:vAlign w:val="bottom"/>
          </w:tcPr>
          <w:p>
            <w:pPr>
              <w:jc w:val="right"/>
              <w:ind w:right="105"/>
              <w:spacing w:after="0"/>
              <w:rPr>
                <w:sz w:val="20"/>
                <w:szCs w:val="20"/>
                <w:color w:val="auto"/>
              </w:rPr>
            </w:pPr>
            <w:r>
              <w:rPr>
                <w:rFonts w:ascii="Arial" w:cs="Arial" w:eastAsia="Arial" w:hAnsi="Arial"/>
                <w:sz w:val="15"/>
                <w:szCs w:val="15"/>
                <w:color w:val="auto"/>
              </w:rPr>
              <w:t>2,155</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jc w:val="right"/>
              <w:ind w:right="123"/>
              <w:spacing w:after="0"/>
              <w:rPr>
                <w:sz w:val="20"/>
                <w:szCs w:val="20"/>
                <w:color w:val="auto"/>
              </w:rPr>
            </w:pPr>
            <w:r>
              <w:rPr>
                <w:rFonts w:ascii="Arial" w:cs="Arial" w:eastAsia="Arial" w:hAnsi="Arial"/>
                <w:sz w:val="15"/>
                <w:szCs w:val="15"/>
                <w:color w:val="auto"/>
              </w:rPr>
              <w:t>6,166</w:t>
            </w:r>
          </w:p>
        </w:tc>
      </w:tr>
      <w:tr>
        <w:trPr>
          <w:trHeight w:val="209"/>
        </w:trPr>
        <w:tc>
          <w:tcPr>
            <w:tcW w:w="51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Charitable contribution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1,047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2,373</w:t>
            </w:r>
          </w:p>
        </w:tc>
      </w:tr>
      <w:tr>
        <w:trPr>
          <w:trHeight w:val="203"/>
        </w:trPr>
        <w:tc>
          <w:tcPr>
            <w:tcW w:w="5100" w:type="dxa"/>
            <w:vAlign w:val="bottom"/>
          </w:tcPr>
          <w:p>
            <w:pPr>
              <w:ind w:left="220"/>
              <w:spacing w:after="0"/>
              <w:rPr>
                <w:sz w:val="20"/>
                <w:szCs w:val="20"/>
                <w:color w:val="auto"/>
              </w:rPr>
            </w:pPr>
            <w:r>
              <w:rPr>
                <w:rFonts w:ascii="Arial" w:cs="Arial" w:eastAsia="Arial" w:hAnsi="Arial"/>
                <w:sz w:val="15"/>
                <w:szCs w:val="15"/>
                <w:color w:val="auto"/>
              </w:rPr>
              <w:t>Restructuring costs</w:t>
            </w:r>
          </w:p>
        </w:tc>
        <w:tc>
          <w:tcPr>
            <w:tcW w:w="360" w:type="dxa"/>
            <w:vAlign w:val="bottom"/>
          </w:tcPr>
          <w:p>
            <w:pPr>
              <w:spacing w:after="0"/>
              <w:rPr>
                <w:sz w:val="17"/>
                <w:szCs w:val="17"/>
                <w:color w:val="auto"/>
              </w:rPr>
            </w:pPr>
          </w:p>
        </w:tc>
        <w:tc>
          <w:tcPr>
            <w:tcW w:w="1160" w:type="dxa"/>
            <w:vAlign w:val="bottom"/>
          </w:tcPr>
          <w:p>
            <w:pPr>
              <w:jc w:val="right"/>
              <w:ind w:right="105"/>
              <w:spacing w:after="0"/>
              <w:rPr>
                <w:sz w:val="20"/>
                <w:szCs w:val="20"/>
                <w:color w:val="auto"/>
              </w:rPr>
            </w:pPr>
            <w:r>
              <w:rPr>
                <w:rFonts w:ascii="Arial" w:cs="Arial" w:eastAsia="Arial" w:hAnsi="Arial"/>
                <w:sz w:val="15"/>
                <w:szCs w:val="15"/>
                <w:color w:val="auto"/>
              </w:rPr>
              <w:t>14,902</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jc w:val="right"/>
              <w:ind w:right="123"/>
              <w:spacing w:after="0"/>
              <w:rPr>
                <w:sz w:val="20"/>
                <w:szCs w:val="20"/>
                <w:color w:val="auto"/>
              </w:rPr>
            </w:pPr>
            <w:r>
              <w:rPr>
                <w:rFonts w:ascii="Arial" w:cs="Arial" w:eastAsia="Arial" w:hAnsi="Arial"/>
                <w:sz w:val="15"/>
                <w:szCs w:val="15"/>
                <w:color w:val="auto"/>
              </w:rPr>
              <w:t>—</w:t>
            </w:r>
          </w:p>
        </w:tc>
      </w:tr>
      <w:tr>
        <w:trPr>
          <w:trHeight w:val="206"/>
        </w:trPr>
        <w:tc>
          <w:tcPr>
            <w:tcW w:w="51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Impairment of long-lived assets</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9,332</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r>
      <w:tr>
        <w:trPr>
          <w:trHeight w:val="202"/>
        </w:trPr>
        <w:tc>
          <w:tcPr>
            <w:tcW w:w="5100" w:type="dxa"/>
            <w:vAlign w:val="bottom"/>
          </w:tcPr>
          <w:p>
            <w:pPr>
              <w:ind w:left="340"/>
              <w:spacing w:after="0"/>
              <w:rPr>
                <w:sz w:val="20"/>
                <w:szCs w:val="20"/>
                <w:color w:val="auto"/>
              </w:rPr>
            </w:pPr>
            <w:r>
              <w:rPr>
                <w:rFonts w:ascii="Arial" w:cs="Arial" w:eastAsia="Arial" w:hAnsi="Arial"/>
                <w:sz w:val="15"/>
                <w:szCs w:val="15"/>
                <w:color w:val="auto"/>
              </w:rPr>
              <w:t>Non-GAAP income (loss) from operations</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105"/>
              <w:spacing w:after="0"/>
              <w:rPr>
                <w:sz w:val="20"/>
                <w:szCs w:val="20"/>
                <w:color w:val="auto"/>
              </w:rPr>
            </w:pPr>
            <w:r>
              <w:rPr>
                <w:rFonts w:ascii="Arial" w:cs="Arial" w:eastAsia="Arial" w:hAnsi="Arial"/>
                <w:sz w:val="15"/>
                <w:szCs w:val="15"/>
                <w:color w:val="auto"/>
              </w:rPr>
              <w:t>120,147</w:t>
            </w:r>
          </w:p>
        </w:tc>
        <w:tc>
          <w:tcPr>
            <w:tcW w:w="72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83"/>
              <w:spacing w:after="0"/>
              <w:rPr>
                <w:sz w:val="20"/>
                <w:szCs w:val="20"/>
                <w:color w:val="auto"/>
              </w:rPr>
            </w:pPr>
            <w:r>
              <w:rPr>
                <w:rFonts w:ascii="Arial" w:cs="Arial" w:eastAsia="Arial" w:hAnsi="Arial"/>
                <w:sz w:val="15"/>
                <w:szCs w:val="15"/>
                <w:color w:val="auto"/>
              </w:rPr>
              <w:t>(7,302)</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51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Non-GAAP operating margin</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r>
    </w:tbl>
    <w:p>
      <w:pPr>
        <w:spacing w:after="0" w:line="200" w:lineRule="exact"/>
        <w:rPr>
          <w:sz w:val="20"/>
          <w:szCs w:val="20"/>
          <w:color w:val="auto"/>
        </w:rPr>
      </w:pPr>
    </w:p>
    <w:p>
      <w:pPr>
        <w:spacing w:after="0" w:line="394"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127" w:right="55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3" w:lineRule="exact"/>
        <w:rPr>
          <w:sz w:val="20"/>
          <w:szCs w:val="20"/>
          <w:color w:val="auto"/>
        </w:rPr>
      </w:pPr>
    </w:p>
    <w:p>
      <w:pPr>
        <w:ind w:right="120" w:firstLine="464"/>
        <w:spacing w:after="0" w:line="318" w:lineRule="auto"/>
        <w:rPr>
          <w:sz w:val="20"/>
          <w:szCs w:val="20"/>
          <w:color w:val="auto"/>
        </w:rPr>
      </w:pPr>
      <w:r>
        <w:rPr>
          <w:rFonts w:ascii="Arial" w:cs="Arial" w:eastAsia="Arial" w:hAnsi="Arial"/>
          <w:sz w:val="15"/>
          <w:szCs w:val="15"/>
          <w:color w:val="auto"/>
        </w:rPr>
        <w:t>The following table sets forth our results of operations for the periods presented. We have included results of operations for acquisitions closed after January 1, 2022, from the closing date of each such acquisition. We have included results of operations for divestitures closed after January 1, 2022, through the closing date of each such divestiture. The period-to-period comparison of our historical results are not indicative of the results that may be expected in the future.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4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4"/>
          </w:tcPr>
          <w:p>
            <w:pPr>
              <w:jc w:val="right"/>
              <w:ind w:right="84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Six Months Ended</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1223"/>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1"/>
        </w:trPr>
        <w:tc>
          <w:tcPr>
            <w:tcW w:w="4940" w:type="dxa"/>
            <w:vAlign w:val="bottom"/>
          </w:tcPr>
          <w:p>
            <w:pPr>
              <w:ind w:left="20"/>
              <w:spacing w:after="0"/>
              <w:rPr>
                <w:sz w:val="20"/>
                <w:szCs w:val="20"/>
                <w:color w:val="auto"/>
              </w:rPr>
            </w:pPr>
            <w:r>
              <w:rPr>
                <w:rFonts w:ascii="Arial" w:cs="Arial" w:eastAsia="Arial" w:hAnsi="Arial"/>
                <w:sz w:val="15"/>
                <w:szCs w:val="15"/>
                <w:b w:val="1"/>
                <w:bCs w:val="1"/>
                <w:color w:val="auto"/>
              </w:rPr>
              <w:t>Condensed Consolidated Statements of Operations Data:</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4"/>
          </w:tcPr>
          <w:p>
            <w:pPr>
              <w:jc w:val="right"/>
              <w:ind w:right="64"/>
              <w:spacing w:after="0"/>
              <w:rPr>
                <w:sz w:val="20"/>
                <w:szCs w:val="20"/>
                <w:color w:val="auto"/>
              </w:rPr>
            </w:pPr>
            <w:r>
              <w:rPr>
                <w:rFonts w:ascii="Arial" w:cs="Arial" w:eastAsia="Arial" w:hAnsi="Arial"/>
                <w:sz w:val="14"/>
                <w:szCs w:val="14"/>
                <w:color w:val="auto"/>
                <w:w w:val="87"/>
              </w:rPr>
              <w:t>(In thousands, except share and per share amounts)</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1,037,761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943,354</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2,044,325</w:t>
            </w: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1,818</w:t>
            </w:r>
          </w:p>
        </w:tc>
        <w:tc>
          <w:tcPr>
            <w:tcW w:w="0" w:type="dxa"/>
            <w:vAlign w:val="bottom"/>
          </w:tcPr>
          <w:p>
            <w:pPr>
              <w:spacing w:after="0"/>
              <w:rPr>
                <w:sz w:val="1"/>
                <w:szCs w:val="1"/>
                <w:color w:val="auto"/>
              </w:rPr>
            </w:pPr>
          </w:p>
        </w:tc>
      </w:tr>
      <w:tr>
        <w:trPr>
          <w:trHeight w:val="206"/>
        </w:trPr>
        <w:tc>
          <w:tcPr>
            <w:tcW w:w="4940" w:type="dxa"/>
            <w:vAlign w:val="bottom"/>
          </w:tcPr>
          <w:p>
            <w:pPr>
              <w:ind w:left="20"/>
              <w:spacing w:after="0" w:line="207" w:lineRule="exact"/>
              <w:rPr>
                <w:sz w:val="20"/>
                <w:szCs w:val="20"/>
                <w:color w:val="auto"/>
              </w:rPr>
            </w:pPr>
            <w:r>
              <w:rPr>
                <w:rFonts w:ascii="Arial" w:cs="Arial" w:eastAsia="Arial" w:hAnsi="Arial"/>
                <w:sz w:val="15"/>
                <w:szCs w:val="15"/>
                <w:color w:val="auto"/>
              </w:rPr>
              <w:t xml:space="preserve">Cost of revenue </w:t>
            </w:r>
            <w:r>
              <w:rPr>
                <w:rFonts w:ascii="Arial" w:cs="Arial" w:eastAsia="Arial" w:hAnsi="Arial"/>
                <w:sz w:val="20"/>
                <w:szCs w:val="20"/>
                <w:color w:val="auto"/>
                <w:vertAlign w:val="superscript"/>
              </w:rPr>
              <w:t>(1) (2)</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532,006</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498,065</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1,047,880</w:t>
            </w:r>
          </w:p>
        </w:tc>
        <w:tc>
          <w:tcPr>
            <w:tcW w:w="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948</w:t>
            </w:r>
          </w:p>
        </w:tc>
        <w:tc>
          <w:tcPr>
            <w:tcW w:w="0" w:type="dxa"/>
            <w:vAlign w:val="bottom"/>
          </w:tcPr>
          <w:p>
            <w:pPr>
              <w:spacing w:after="0"/>
              <w:rPr>
                <w:sz w:val="1"/>
                <w:szCs w:val="1"/>
                <w:color w:val="auto"/>
              </w:rPr>
            </w:pPr>
          </w:p>
        </w:tc>
      </w:tr>
      <w:tr>
        <w:trPr>
          <w:trHeight w:val="199"/>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Gross profit</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505,755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445,289</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996,445</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870</w:t>
            </w:r>
          </w:p>
        </w:tc>
        <w:tc>
          <w:tcPr>
            <w:tcW w:w="0" w:type="dxa"/>
            <w:vAlign w:val="bottom"/>
          </w:tcPr>
          <w:p>
            <w:pPr>
              <w:spacing w:after="0"/>
              <w:rPr>
                <w:sz w:val="1"/>
                <w:szCs w:val="1"/>
                <w:color w:val="auto"/>
              </w:rPr>
            </w:pPr>
          </w:p>
        </w:tc>
      </w:tr>
      <w:tr>
        <w:trPr>
          <w:trHeight w:val="196"/>
        </w:trPr>
        <w:tc>
          <w:tcPr>
            <w:tcW w:w="494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20"/>
              <w:spacing w:after="0" w:line="209" w:lineRule="exact"/>
              <w:rPr>
                <w:sz w:val="20"/>
                <w:szCs w:val="20"/>
                <w:color w:val="auto"/>
              </w:rPr>
            </w:pPr>
            <w:r>
              <w:rPr>
                <w:rFonts w:ascii="Arial" w:cs="Arial" w:eastAsia="Arial" w:hAnsi="Arial"/>
                <w:sz w:val="15"/>
                <w:szCs w:val="15"/>
                <w:color w:val="auto"/>
              </w:rPr>
              <w:t xml:space="preserve">Research and development </w:t>
            </w:r>
            <w:r>
              <w:rPr>
                <w:rFonts w:ascii="Arial" w:cs="Arial" w:eastAsia="Arial" w:hAnsi="Arial"/>
                <w:sz w:val="20"/>
                <w:szCs w:val="20"/>
                <w:color w:val="auto"/>
                <w:vertAlign w:val="superscript"/>
              </w:rPr>
              <w:t>(1) (2)</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226,896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279,641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465,491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520</w:t>
            </w:r>
          </w:p>
        </w:tc>
        <w:tc>
          <w:tcPr>
            <w:tcW w:w="0" w:type="dxa"/>
            <w:vAlign w:val="bottom"/>
          </w:tcPr>
          <w:p>
            <w:pPr>
              <w:spacing w:after="0"/>
              <w:rPr>
                <w:sz w:val="1"/>
                <w:szCs w:val="1"/>
                <w:color w:val="auto"/>
              </w:rPr>
            </w:pPr>
          </w:p>
        </w:tc>
      </w:tr>
      <w:tr>
        <w:trPr>
          <w:trHeight w:val="206"/>
        </w:trPr>
        <w:tc>
          <w:tcPr>
            <w:tcW w:w="4940" w:type="dxa"/>
            <w:vAlign w:val="bottom"/>
          </w:tcPr>
          <w:p>
            <w:pPr>
              <w:ind w:left="220"/>
              <w:spacing w:after="0" w:line="207" w:lineRule="exact"/>
              <w:rPr>
                <w:sz w:val="20"/>
                <w:szCs w:val="20"/>
                <w:color w:val="auto"/>
              </w:rPr>
            </w:pPr>
            <w:r>
              <w:rPr>
                <w:rFonts w:ascii="Arial" w:cs="Arial" w:eastAsia="Arial" w:hAnsi="Arial"/>
                <w:sz w:val="15"/>
                <w:szCs w:val="15"/>
                <w:color w:val="auto"/>
              </w:rPr>
              <w:t xml:space="preserve">Sales and marketing </w:t>
            </w:r>
            <w:r>
              <w:rPr>
                <w:rFonts w:ascii="Arial" w:cs="Arial" w:eastAsia="Arial" w:hAnsi="Arial"/>
                <w:sz w:val="20"/>
                <w:szCs w:val="20"/>
                <w:color w:val="auto"/>
                <w:vertAlign w:val="superscript"/>
              </w:rPr>
              <w:t>(1) (2)</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261,600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334,958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521,485</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622</w:t>
            </w:r>
          </w:p>
        </w:tc>
        <w:tc>
          <w:tcPr>
            <w:tcW w:w="0" w:type="dxa"/>
            <w:vAlign w:val="bottom"/>
          </w:tcPr>
          <w:p>
            <w:pPr>
              <w:spacing w:after="0"/>
              <w:rPr>
                <w:sz w:val="1"/>
                <w:szCs w:val="1"/>
                <w:color w:val="auto"/>
              </w:rPr>
            </w:pPr>
          </w:p>
        </w:tc>
      </w:tr>
      <w:tr>
        <w:trPr>
          <w:trHeight w:val="206"/>
        </w:trPr>
        <w:tc>
          <w:tcPr>
            <w:tcW w:w="4940" w:type="dxa"/>
            <w:vAlign w:val="bottom"/>
            <w:shd w:val="clear" w:color="auto" w:fill="CCEEFF"/>
          </w:tcPr>
          <w:p>
            <w:pPr>
              <w:ind w:left="220"/>
              <w:spacing w:after="0" w:line="207" w:lineRule="exact"/>
              <w:rPr>
                <w:sz w:val="20"/>
                <w:szCs w:val="20"/>
                <w:color w:val="auto"/>
              </w:rPr>
            </w:pPr>
            <w:r>
              <w:rPr>
                <w:rFonts w:ascii="Arial" w:cs="Arial" w:eastAsia="Arial" w:hAnsi="Arial"/>
                <w:sz w:val="15"/>
                <w:szCs w:val="15"/>
                <w:color w:val="auto"/>
              </w:rPr>
              <w:t xml:space="preserve">General and administrative </w:t>
            </w:r>
            <w:r>
              <w:rPr>
                <w:rFonts w:ascii="Arial" w:cs="Arial" w:eastAsia="Arial" w:hAnsi="Arial"/>
                <w:sz w:val="20"/>
                <w:szCs w:val="20"/>
                <w:color w:val="auto"/>
                <w:vertAlign w:val="superscript"/>
              </w:rPr>
              <w:t>(1) (2)</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134,852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142,626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247,420</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w:t>
            </w:r>
          </w:p>
        </w:tc>
        <w:tc>
          <w:tcPr>
            <w:tcW w:w="0" w:type="dxa"/>
            <w:vAlign w:val="bottom"/>
          </w:tcPr>
          <w:p>
            <w:pPr>
              <w:spacing w:after="0"/>
              <w:rPr>
                <w:sz w:val="1"/>
                <w:szCs w:val="1"/>
                <w:color w:val="auto"/>
              </w:rPr>
            </w:pPr>
          </w:p>
        </w:tc>
      </w:tr>
      <w:tr>
        <w:trPr>
          <w:trHeight w:val="206"/>
        </w:trPr>
        <w:tc>
          <w:tcPr>
            <w:tcW w:w="4940" w:type="dxa"/>
            <w:vAlign w:val="bottom"/>
          </w:tcPr>
          <w:p>
            <w:pPr>
              <w:ind w:left="220"/>
              <w:spacing w:after="0" w:line="207" w:lineRule="exact"/>
              <w:rPr>
                <w:sz w:val="20"/>
                <w:szCs w:val="20"/>
                <w:color w:val="auto"/>
              </w:rPr>
            </w:pPr>
            <w:r>
              <w:rPr>
                <w:rFonts w:ascii="Arial" w:cs="Arial" w:eastAsia="Arial" w:hAnsi="Arial"/>
                <w:sz w:val="15"/>
                <w:szCs w:val="15"/>
                <w:color w:val="auto"/>
              </w:rPr>
              <w:t xml:space="preserve">Restructuring costs </w:t>
            </w:r>
            <w:r>
              <w:rPr>
                <w:rFonts w:ascii="Arial" w:cs="Arial" w:eastAsia="Arial" w:hAnsi="Arial"/>
                <w:sz w:val="20"/>
                <w:szCs w:val="20"/>
                <w:color w:val="auto"/>
                <w:vertAlign w:val="superscript"/>
              </w:rPr>
              <w:t>(1)</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14,902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136,844</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Impairment of long-lived assets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9,332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31,116</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Total operating expenses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647,582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757,225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1,402,356</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1,400</w:t>
            </w:r>
          </w:p>
        </w:tc>
        <w:tc>
          <w:tcPr>
            <w:tcW w:w="0" w:type="dxa"/>
            <w:vAlign w:val="bottom"/>
          </w:tcPr>
          <w:p>
            <w:pPr>
              <w:spacing w:after="0"/>
              <w:rPr>
                <w:sz w:val="1"/>
                <w:szCs w:val="1"/>
                <w:color w:val="auto"/>
              </w:rPr>
            </w:pPr>
          </w:p>
        </w:tc>
      </w:tr>
      <w:tr>
        <w:trPr>
          <w:trHeight w:val="202"/>
        </w:trPr>
        <w:tc>
          <w:tcPr>
            <w:tcW w:w="49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Loss from operations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(141,827)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(311,936)</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(405,911)</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(529</w:t>
            </w:r>
          </w:p>
        </w:tc>
        <w:tc>
          <w:tcPr>
            <w:tcW w:w="0" w:type="dxa"/>
            <w:vAlign w:val="bottom"/>
          </w:tcPr>
          <w:p>
            <w:pPr>
              <w:spacing w:after="0"/>
              <w:rPr>
                <w:sz w:val="1"/>
                <w:szCs w:val="1"/>
                <w:color w:val="auto"/>
              </w:rPr>
            </w:pPr>
          </w:p>
        </w:tc>
      </w:tr>
      <w:tr>
        <w:trPr>
          <w:trHeight w:val="183"/>
        </w:trPr>
        <w:tc>
          <w:tcPr>
            <w:tcW w:w="4940" w:type="dxa"/>
            <w:vAlign w:val="bottom"/>
          </w:tcPr>
          <w:p>
            <w:pPr>
              <w:ind w:left="20"/>
              <w:spacing w:after="0"/>
              <w:rPr>
                <w:sz w:val="20"/>
                <w:szCs w:val="20"/>
                <w:color w:val="auto"/>
              </w:rPr>
            </w:pPr>
            <w:r>
              <w:rPr>
                <w:rFonts w:ascii="Arial" w:cs="Arial" w:eastAsia="Arial" w:hAnsi="Arial"/>
                <w:sz w:val="15"/>
                <w:szCs w:val="15"/>
                <w:color w:val="auto"/>
              </w:rPr>
              <w:t>Other expenses, net:</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Share of losses from equity method investment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(62,780)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220"/>
              <w:spacing w:after="0"/>
              <w:rPr>
                <w:sz w:val="20"/>
                <w:szCs w:val="20"/>
                <w:color w:val="auto"/>
              </w:rPr>
            </w:pPr>
            <w:r>
              <w:rPr>
                <w:rFonts w:ascii="Arial" w:cs="Arial" w:eastAsia="Arial" w:hAnsi="Arial"/>
                <w:sz w:val="15"/>
                <w:szCs w:val="15"/>
                <w:color w:val="auto"/>
              </w:rPr>
              <w:t>Impairment of strategic investments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(46,154)</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Other income (expenses), net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8,745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(8,239)</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17,730</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99"/>
        </w:trPr>
        <w:tc>
          <w:tcPr>
            <w:tcW w:w="4940" w:type="dxa"/>
            <w:vAlign w:val="bottom"/>
          </w:tcPr>
          <w:p>
            <w:pPr>
              <w:ind w:left="440"/>
              <w:spacing w:after="0"/>
              <w:rPr>
                <w:sz w:val="20"/>
                <w:szCs w:val="20"/>
                <w:color w:val="auto"/>
              </w:rPr>
            </w:pPr>
            <w:r>
              <w:rPr>
                <w:rFonts w:ascii="Arial" w:cs="Arial" w:eastAsia="Arial" w:hAnsi="Arial"/>
                <w:sz w:val="15"/>
                <w:szCs w:val="15"/>
                <w:color w:val="auto"/>
              </w:rPr>
              <w:t>Total other expenses, net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(23,616)</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(8,239)</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(91,204)</w:t>
            </w:r>
          </w:p>
        </w:tc>
        <w:tc>
          <w:tcPr>
            <w:tcW w:w="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99"/>
        </w:trPr>
        <w:tc>
          <w:tcPr>
            <w:tcW w:w="49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Loss before (provision for) benefit from income taxes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(165,443)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(320,175)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(497,115)</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(544</w:t>
            </w:r>
          </w:p>
        </w:tc>
        <w:tc>
          <w:tcPr>
            <w:tcW w:w="0" w:type="dxa"/>
            <w:vAlign w:val="bottom"/>
          </w:tcPr>
          <w:p>
            <w:pPr>
              <w:spacing w:after="0"/>
              <w:rPr>
                <w:sz w:val="1"/>
                <w:szCs w:val="1"/>
                <w:color w:val="auto"/>
              </w:rPr>
            </w:pPr>
          </w:p>
        </w:tc>
      </w:tr>
      <w:tr>
        <w:trPr>
          <w:trHeight w:val="206"/>
        </w:trPr>
        <w:tc>
          <w:tcPr>
            <w:tcW w:w="4940" w:type="dxa"/>
            <w:vAlign w:val="bottom"/>
          </w:tcPr>
          <w:p>
            <w:pPr>
              <w:ind w:left="20"/>
              <w:spacing w:after="0"/>
              <w:rPr>
                <w:sz w:val="20"/>
                <w:szCs w:val="20"/>
                <w:color w:val="auto"/>
              </w:rPr>
            </w:pPr>
            <w:r>
              <w:rPr>
                <w:rFonts w:ascii="Arial" w:cs="Arial" w:eastAsia="Arial" w:hAnsi="Arial"/>
                <w:sz w:val="15"/>
                <w:szCs w:val="15"/>
                <w:color w:val="auto"/>
              </w:rPr>
              <w:t>(Provision for) benefit from income taxes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(744)</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(2,594)</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(11,211)</w:t>
            </w:r>
          </w:p>
        </w:tc>
        <w:tc>
          <w:tcPr>
            <w:tcW w:w="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Net loss attributable to common stockholders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(166,187)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(322,769)</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(508,326)</w:t>
            </w: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340"/>
              <w:spacing w:after="0" w:line="146" w:lineRule="exact"/>
              <w:rPr>
                <w:sz w:val="20"/>
                <w:szCs w:val="20"/>
                <w:color w:val="auto"/>
              </w:rPr>
            </w:pPr>
            <w:r>
              <w:rPr>
                <w:rFonts w:ascii="Arial" w:cs="Arial" w:eastAsia="Arial" w:hAnsi="Arial"/>
                <w:sz w:val="15"/>
                <w:szCs w:val="15"/>
                <w:color w:val="auto"/>
              </w:rPr>
              <w:t>Net loss per share attributable to common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4940" w:type="dxa"/>
            <w:vAlign w:val="bottom"/>
            <w:vMerge w:val="continue"/>
          </w:tcPr>
          <w:p>
            <w:pPr>
              <w:spacing w:after="0"/>
              <w:rPr>
                <w:sz w:val="9"/>
                <w:szCs w:val="9"/>
                <w:color w:val="auto"/>
              </w:rPr>
            </w:pPr>
          </w:p>
        </w:tc>
        <w:tc>
          <w:tcPr>
            <w:tcW w:w="340" w:type="dxa"/>
            <w:vAlign w:val="bottom"/>
            <w:vMerge w:val="restart"/>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(0.91)</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5"/>
                <w:szCs w:val="15"/>
                <w:color w:val="auto"/>
              </w:rPr>
              <w:t>(1.77)</w:t>
            </w:r>
          </w:p>
        </w:tc>
        <w:tc>
          <w:tcPr>
            <w:tcW w:w="44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(2.75)</w:t>
            </w:r>
          </w:p>
        </w:tc>
        <w:tc>
          <w:tcPr>
            <w:tcW w:w="640" w:type="dxa"/>
            <w:vAlign w:val="bottom"/>
            <w:gridSpan w:val="2"/>
            <w:vMerge w:val="restart"/>
          </w:tcPr>
          <w:p>
            <w:pPr>
              <w:jc w:val="right"/>
              <w:ind w:right="460"/>
              <w:spacing w:after="0"/>
              <w:rPr>
                <w:sz w:val="20"/>
                <w:szCs w:val="20"/>
                <w:color w:val="auto"/>
              </w:rPr>
            </w:pPr>
            <w:r>
              <w:rPr>
                <w:rFonts w:ascii="Arial" w:cs="Arial" w:eastAsia="Arial" w:hAnsi="Arial"/>
                <w:sz w:val="15"/>
                <w:szCs w:val="15"/>
                <w:color w:val="auto"/>
              </w:rPr>
              <w:t>$</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940" w:type="dxa"/>
            <w:vAlign w:val="bottom"/>
          </w:tcPr>
          <w:p>
            <w:pPr>
              <w:ind w:left="520"/>
              <w:spacing w:after="0"/>
              <w:rPr>
                <w:sz w:val="20"/>
                <w:szCs w:val="20"/>
                <w:color w:val="auto"/>
              </w:rPr>
            </w:pPr>
            <w:r>
              <w:rPr>
                <w:rFonts w:ascii="Arial" w:cs="Arial" w:eastAsia="Arial" w:hAnsi="Arial"/>
                <w:sz w:val="15"/>
                <w:szCs w:val="15"/>
                <w:color w:val="auto"/>
              </w:rPr>
              <w:t>stockholders, basic and diluted</w:t>
            </w:r>
          </w:p>
        </w:tc>
        <w:tc>
          <w:tcPr>
            <w:tcW w:w="3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940" w:type="dxa"/>
            <w:vAlign w:val="bottom"/>
            <w:shd w:val="clear" w:color="auto" w:fill="CCEEFF"/>
          </w:tcPr>
          <w:p>
            <w:pPr>
              <w:ind w:left="340"/>
              <w:spacing w:after="0" w:line="125" w:lineRule="exact"/>
              <w:rPr>
                <w:sz w:val="20"/>
                <w:szCs w:val="20"/>
                <w:color w:val="auto"/>
              </w:rPr>
            </w:pPr>
            <w:r>
              <w:rPr>
                <w:rFonts w:ascii="Arial" w:cs="Arial" w:eastAsia="Arial" w:hAnsi="Arial"/>
                <w:sz w:val="14"/>
                <w:szCs w:val="14"/>
                <w:color w:val="auto"/>
              </w:rPr>
              <w:t>Weighted-average shares used in computing net</w:t>
            </w: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940" w:type="dxa"/>
            <w:vAlign w:val="bottom"/>
            <w:shd w:val="clear" w:color="auto" w:fill="CCEEFF"/>
          </w:tcPr>
          <w:p>
            <w:pPr>
              <w:ind w:left="520"/>
              <w:spacing w:after="0" w:line="155" w:lineRule="exact"/>
              <w:rPr>
                <w:sz w:val="20"/>
                <w:szCs w:val="20"/>
                <w:color w:val="auto"/>
              </w:rPr>
            </w:pPr>
            <w:r>
              <w:rPr>
                <w:rFonts w:ascii="Arial" w:cs="Arial" w:eastAsia="Arial" w:hAnsi="Arial"/>
                <w:sz w:val="15"/>
                <w:szCs w:val="15"/>
                <w:color w:val="auto"/>
              </w:rPr>
              <w:t>loss per share attributable to common</w:t>
            </w: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183,490,982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182,347,864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184,926,875</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181,624</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5"/>
                <w:szCs w:val="15"/>
                <w:color w:val="auto"/>
              </w:rPr>
              <w:t>stockholders, basic and diluted</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vertAlign w:val="superscript"/>
        </w:rPr>
        <w:t>(1)</w:t>
      </w:r>
      <w:r>
        <w:rPr>
          <w:rFonts w:ascii="Arial" w:cs="Arial" w:eastAsia="Arial" w:hAnsi="Arial"/>
          <w:sz w:val="15"/>
          <w:szCs w:val="15"/>
          <w:color w:val="auto"/>
        </w:rPr>
        <w:t xml:space="preserve"> Includes stock-based compensation expense as follows:</w:t>
      </w:r>
    </w:p>
    <w:p>
      <w:pPr>
        <w:spacing w:after="0" w:line="187" w:lineRule="exact"/>
        <w:rPr>
          <w:sz w:val="20"/>
          <w:szCs w:val="20"/>
          <w:color w:val="auto"/>
        </w:rPr>
      </w:pPr>
    </w:p>
    <w:tbl>
      <w:tblPr>
        <w:tblLayout w:type="fixed"/>
        <w:tblInd w:w="480" w:type="dxa"/>
        <w:tblCellMar>
          <w:top w:w="0" w:type="dxa"/>
          <w:left w:w="0" w:type="dxa"/>
          <w:bottom w:w="0" w:type="dxa"/>
          <w:right w:w="0" w:type="dxa"/>
        </w:tblCellMar>
      </w:tblPr>
      <w:tr>
        <w:trPr>
          <w:trHeight w:val="178"/>
        </w:trPr>
        <w:tc>
          <w:tcPr>
            <w:tcW w:w="4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5"/>
                <w:szCs w:val="15"/>
                <w:color w:val="auto"/>
              </w:rPr>
            </w:pPr>
          </w:p>
        </w:tc>
      </w:tr>
      <w:tr>
        <w:trPr>
          <w:trHeight w:val="180"/>
        </w:trPr>
        <w:tc>
          <w:tcPr>
            <w:tcW w:w="4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60" w:type="dxa"/>
            <w:vAlign w:val="bottom"/>
            <w:gridSpan w:val="2"/>
          </w:tcPr>
          <w:p>
            <w:pPr>
              <w:jc w:val="right"/>
              <w:ind w:right="283"/>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5"/>
                <w:szCs w:val="15"/>
                <w:color w:val="auto"/>
              </w:rPr>
            </w:pPr>
          </w:p>
        </w:tc>
      </w:tr>
      <w:tr>
        <w:trPr>
          <w:trHeight w:val="24"/>
        </w:trPr>
        <w:tc>
          <w:tcPr>
            <w:tcW w:w="4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2"/>
        </w:trPr>
        <w:tc>
          <w:tcPr>
            <w:tcW w:w="45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66"/>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w w:val="96"/>
              </w:rPr>
              <w:t>2022</w:t>
            </w:r>
          </w:p>
        </w:tc>
      </w:tr>
      <w:tr>
        <w:trPr>
          <w:trHeight w:val="178"/>
        </w:trPr>
        <w:tc>
          <w:tcPr>
            <w:tcW w:w="4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4"/>
                <w:szCs w:val="14"/>
                <w:color w:val="auto"/>
              </w:rPr>
              <w:t>(In thousands)</w:t>
            </w: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revenue</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6,334</w:t>
            </w:r>
          </w:p>
        </w:tc>
        <w:tc>
          <w:tcPr>
            <w:tcW w:w="70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3,996</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11,624</w:t>
            </w:r>
          </w:p>
        </w:tc>
        <w:tc>
          <w:tcPr>
            <w:tcW w:w="62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8,517</w:t>
            </w:r>
          </w:p>
        </w:tc>
      </w:tr>
      <w:tr>
        <w:trPr>
          <w:trHeight w:val="203"/>
        </w:trPr>
        <w:tc>
          <w:tcPr>
            <w:tcW w:w="4500" w:type="dxa"/>
            <w:vAlign w:val="bottom"/>
          </w:tcPr>
          <w:p>
            <w:pPr>
              <w:ind w:left="20"/>
              <w:spacing w:after="0"/>
              <w:rPr>
                <w:sz w:val="20"/>
                <w:szCs w:val="20"/>
                <w:color w:val="auto"/>
              </w:rPr>
            </w:pPr>
            <w:r>
              <w:rPr>
                <w:rFonts w:ascii="Arial" w:cs="Arial" w:eastAsia="Arial" w:hAnsi="Arial"/>
                <w:sz w:val="15"/>
                <w:szCs w:val="15"/>
                <w:color w:val="auto"/>
              </w:rPr>
              <w:t>Research and development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74,576</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109,524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152,669</w:t>
            </w:r>
          </w:p>
        </w:tc>
        <w:tc>
          <w:tcPr>
            <w:tcW w:w="6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188,893</w:t>
            </w:r>
          </w:p>
        </w:tc>
      </w:tr>
      <w:tr>
        <w:trPr>
          <w:trHeight w:val="209"/>
        </w:trPr>
        <w:tc>
          <w:tcPr>
            <w:tcW w:w="4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Sales and marketing</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42,869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78,492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90,998</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126,078</w:t>
            </w:r>
          </w:p>
        </w:tc>
      </w:tr>
      <w:tr>
        <w:trPr>
          <w:trHeight w:val="203"/>
        </w:trPr>
        <w:tc>
          <w:tcPr>
            <w:tcW w:w="4500" w:type="dxa"/>
            <w:vAlign w:val="bottom"/>
          </w:tcPr>
          <w:p>
            <w:pPr>
              <w:ind w:left="20"/>
              <w:spacing w:after="0"/>
              <w:rPr>
                <w:sz w:val="20"/>
                <w:szCs w:val="20"/>
                <w:color w:val="auto"/>
              </w:rPr>
            </w:pPr>
            <w:r>
              <w:rPr>
                <w:rFonts w:ascii="Arial" w:cs="Arial" w:eastAsia="Arial" w:hAnsi="Arial"/>
                <w:sz w:val="15"/>
                <w:szCs w:val="15"/>
                <w:color w:val="auto"/>
              </w:rPr>
              <w:t>General and administrative</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29,019</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50,078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57,973</w:t>
            </w:r>
          </w:p>
        </w:tc>
        <w:tc>
          <w:tcPr>
            <w:tcW w:w="6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73,877</w:t>
            </w:r>
          </w:p>
        </w:tc>
      </w:tr>
      <w:tr>
        <w:trPr>
          <w:trHeight w:val="209"/>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Restructuring costs</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10,629</w:t>
            </w:r>
          </w:p>
        </w:tc>
        <w:tc>
          <w:tcPr>
            <w:tcW w:w="6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199"/>
        </w:trPr>
        <w:tc>
          <w:tcPr>
            <w:tcW w:w="4500" w:type="dxa"/>
            <w:vAlign w:val="bottom"/>
          </w:tcPr>
          <w:p>
            <w:pPr>
              <w:ind w:left="220"/>
              <w:spacing w:after="0"/>
              <w:rPr>
                <w:sz w:val="20"/>
                <w:szCs w:val="20"/>
                <w:color w:val="auto"/>
              </w:rPr>
            </w:pPr>
            <w:r>
              <w:rPr>
                <w:rFonts w:ascii="Arial" w:cs="Arial" w:eastAsia="Arial" w:hAnsi="Arial"/>
                <w:sz w:val="15"/>
                <w:szCs w:val="15"/>
                <w:color w:val="auto"/>
              </w:rPr>
              <w:t>Total</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153,094</w:t>
            </w:r>
          </w:p>
        </w:tc>
        <w:tc>
          <w:tcPr>
            <w:tcW w:w="700" w:type="dxa"/>
            <w:vAlign w:val="bottom"/>
            <w:gridSpan w:val="2"/>
          </w:tcPr>
          <w:p>
            <w:pPr>
              <w:jc w:val="right"/>
              <w:ind w:right="48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242,090</w:t>
            </w:r>
          </w:p>
        </w:tc>
        <w:tc>
          <w:tcPr>
            <w:tcW w:w="58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323,893</w:t>
            </w:r>
          </w:p>
        </w:tc>
        <w:tc>
          <w:tcPr>
            <w:tcW w:w="620" w:type="dxa"/>
            <w:vAlign w:val="bottom"/>
          </w:tcPr>
          <w:p>
            <w:pPr>
              <w:jc w:val="right"/>
              <w:ind w:right="38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397,365</w:t>
            </w:r>
          </w:p>
        </w:tc>
      </w:tr>
      <w:tr>
        <w:trPr>
          <w:trHeight w:val="20"/>
        </w:trPr>
        <w:tc>
          <w:tcPr>
            <w:tcW w:w="4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vertAlign w:val="superscript"/>
        </w:rPr>
        <w:t>(2)</w:t>
      </w:r>
      <w:r>
        <w:rPr>
          <w:rFonts w:ascii="Arial" w:cs="Arial" w:eastAsia="Arial" w:hAnsi="Arial"/>
          <w:sz w:val="15"/>
          <w:szCs w:val="15"/>
          <w:color w:val="auto"/>
        </w:rPr>
        <w:t xml:space="preserve"> Includes amortization of acquired intangibles as follows:</w:t>
      </w:r>
    </w:p>
    <w:p>
      <w:pPr>
        <w:spacing w:after="0" w:line="175" w:lineRule="exact"/>
        <w:rPr>
          <w:sz w:val="20"/>
          <w:szCs w:val="20"/>
          <w:color w:val="auto"/>
        </w:rPr>
      </w:pPr>
    </w:p>
    <w:tbl>
      <w:tblPr>
        <w:tblLayout w:type="fixed"/>
        <w:tblInd w:w="240" w:type="dxa"/>
        <w:tblCellMar>
          <w:top w:w="0" w:type="dxa"/>
          <w:left w:w="0" w:type="dxa"/>
          <w:bottom w:w="0" w:type="dxa"/>
          <w:right w:w="0" w:type="dxa"/>
        </w:tblCellMar>
      </w:tblPr>
      <w:tr>
        <w:trPr>
          <w:trHeight w:val="178"/>
        </w:trPr>
        <w:tc>
          <w:tcPr>
            <w:tcW w:w="4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9"/>
              </w:rPr>
              <w:t>Three Months Ended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5"/>
                <w:szCs w:val="15"/>
                <w:color w:val="auto"/>
              </w:rPr>
            </w:pPr>
          </w:p>
        </w:tc>
      </w:tr>
      <w:tr>
        <w:trPr>
          <w:trHeight w:val="193"/>
        </w:trPr>
        <w:tc>
          <w:tcPr>
            <w:tcW w:w="4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6"/>
                <w:szCs w:val="16"/>
                <w:color w:val="auto"/>
              </w:rPr>
            </w:pPr>
          </w:p>
        </w:tc>
      </w:tr>
      <w:tr>
        <w:trPr>
          <w:trHeight w:val="24"/>
        </w:trPr>
        <w:tc>
          <w:tcPr>
            <w:tcW w:w="45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2"/>
        </w:trPr>
        <w:tc>
          <w:tcPr>
            <w:tcW w:w="45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2022</w:t>
            </w:r>
          </w:p>
        </w:tc>
      </w:tr>
      <w:tr>
        <w:trPr>
          <w:trHeight w:val="178"/>
        </w:trPr>
        <w:tc>
          <w:tcPr>
            <w:tcW w:w="4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4"/>
                <w:szCs w:val="14"/>
                <w:color w:val="auto"/>
              </w:rPr>
              <w:t>(In 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revenue</w:t>
            </w:r>
          </w:p>
        </w:tc>
        <w:tc>
          <w:tcPr>
            <w:tcW w:w="90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29,669</w:t>
            </w:r>
          </w:p>
        </w:tc>
        <w:tc>
          <w:tcPr>
            <w:tcW w:w="70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31,236</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59,630</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61,872</w:t>
            </w:r>
          </w:p>
        </w:tc>
      </w:tr>
      <w:tr>
        <w:trPr>
          <w:trHeight w:val="203"/>
        </w:trPr>
        <w:tc>
          <w:tcPr>
            <w:tcW w:w="4520" w:type="dxa"/>
            <w:vAlign w:val="bottom"/>
          </w:tcPr>
          <w:p>
            <w:pPr>
              <w:ind w:left="20"/>
              <w:spacing w:after="0"/>
              <w:rPr>
                <w:sz w:val="20"/>
                <w:szCs w:val="20"/>
                <w:color w:val="auto"/>
              </w:rPr>
            </w:pPr>
            <w:r>
              <w:rPr>
                <w:rFonts w:ascii="Arial" w:cs="Arial" w:eastAsia="Arial" w:hAnsi="Arial"/>
                <w:sz w:val="15"/>
                <w:szCs w:val="15"/>
                <w:color w:val="auto"/>
              </w:rPr>
              <w:t>Research and development</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420</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420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840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840</w:t>
            </w:r>
          </w:p>
        </w:tc>
      </w:tr>
      <w:tr>
        <w:trPr>
          <w:trHeight w:val="209"/>
        </w:trPr>
        <w:tc>
          <w:tcPr>
            <w:tcW w:w="4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Sales and marketing</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20,101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20,509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40,494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40,912</w:t>
            </w:r>
          </w:p>
        </w:tc>
      </w:tr>
      <w:tr>
        <w:trPr>
          <w:trHeight w:val="206"/>
        </w:trPr>
        <w:tc>
          <w:tcPr>
            <w:tcW w:w="4520" w:type="dxa"/>
            <w:vAlign w:val="bottom"/>
          </w:tcPr>
          <w:p>
            <w:pPr>
              <w:ind w:left="20"/>
              <w:spacing w:after="0"/>
              <w:rPr>
                <w:sz w:val="20"/>
                <w:szCs w:val="20"/>
                <w:color w:val="auto"/>
              </w:rPr>
            </w:pPr>
            <w:r>
              <w:rPr>
                <w:rFonts w:ascii="Arial" w:cs="Arial" w:eastAsia="Arial" w:hAnsi="Arial"/>
                <w:sz w:val="15"/>
                <w:szCs w:val="15"/>
                <w:color w:val="auto"/>
              </w:rPr>
              <w:t>General and administrative</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w:t>
            </w:r>
          </w:p>
        </w:tc>
      </w:tr>
      <w:tr>
        <w:trPr>
          <w:trHeight w:val="219"/>
        </w:trPr>
        <w:tc>
          <w:tcPr>
            <w:tcW w:w="45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w:t>
            </w:r>
          </w:p>
        </w:tc>
        <w:tc>
          <w:tcPr>
            <w:tcW w:w="90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50,190</w:t>
            </w:r>
          </w:p>
        </w:tc>
        <w:tc>
          <w:tcPr>
            <w:tcW w:w="70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52,165</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100,964</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103,631</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our results of operations for each of the periods presented as a percentage of our total revenue:</w:t>
      </w:r>
    </w:p>
    <w:p>
      <w:pPr>
        <w:spacing w:after="0" w:line="246" w:lineRule="exact"/>
        <w:rPr>
          <w:sz w:val="20"/>
          <w:szCs w:val="20"/>
          <w:color w:val="auto"/>
        </w:rPr>
      </w:pPr>
    </w:p>
    <w:tbl>
      <w:tblPr>
        <w:tblLayout w:type="fixed"/>
        <w:tblInd w:w="620" w:type="dxa"/>
        <w:tblCellMar>
          <w:top w:w="0" w:type="dxa"/>
          <w:left w:w="0" w:type="dxa"/>
          <w:bottom w:w="0" w:type="dxa"/>
          <w:right w:w="0" w:type="dxa"/>
        </w:tblCellMar>
      </w:tblPr>
      <w:tr>
        <w:trPr>
          <w:trHeight w:val="178"/>
        </w:trPr>
        <w:tc>
          <w:tcPr>
            <w:tcW w:w="4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 Ended</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Six Months Ended</w:t>
            </w:r>
          </w:p>
        </w:tc>
      </w:tr>
      <w:tr>
        <w:trPr>
          <w:trHeight w:val="180"/>
        </w:trPr>
        <w:tc>
          <w:tcPr>
            <w:tcW w:w="4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June 30,</w:t>
            </w:r>
          </w:p>
        </w:tc>
      </w:tr>
      <w:tr>
        <w:trPr>
          <w:trHeight w:val="24"/>
        </w:trPr>
        <w:tc>
          <w:tcPr>
            <w:tcW w:w="57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9"/>
        </w:trPr>
        <w:tc>
          <w:tcPr>
            <w:tcW w:w="482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543"/>
              <w:spacing w:after="0"/>
              <w:rPr>
                <w:sz w:val="20"/>
                <w:szCs w:val="20"/>
                <w:color w:val="auto"/>
              </w:rPr>
            </w:pPr>
            <w:r>
              <w:rPr>
                <w:rFonts w:ascii="Arial" w:cs="Arial" w:eastAsia="Arial" w:hAnsi="Arial"/>
                <w:sz w:val="14"/>
                <w:szCs w:val="14"/>
                <w:b w:val="1"/>
                <w:bCs w:val="1"/>
                <w:color w:val="auto"/>
                <w:w w:val="89"/>
              </w:rPr>
              <w:t>2022</w:t>
            </w:r>
          </w:p>
        </w:tc>
        <w:tc>
          <w:tcPr>
            <w:tcW w:w="10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16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2022</w:t>
            </w:r>
          </w:p>
        </w:tc>
      </w:tr>
      <w:tr>
        <w:trPr>
          <w:trHeight w:val="142"/>
        </w:trPr>
        <w:tc>
          <w:tcPr>
            <w:tcW w:w="4820" w:type="dxa"/>
            <w:vAlign w:val="bottom"/>
          </w:tcPr>
          <w:p>
            <w:pPr>
              <w:ind w:left="20"/>
              <w:spacing w:after="0" w:line="142" w:lineRule="exact"/>
              <w:rPr>
                <w:sz w:val="20"/>
                <w:szCs w:val="20"/>
                <w:color w:val="auto"/>
              </w:rPr>
            </w:pPr>
            <w:r>
              <w:rPr>
                <w:rFonts w:ascii="Arial" w:cs="Arial" w:eastAsia="Arial" w:hAnsi="Arial"/>
                <w:sz w:val="15"/>
                <w:szCs w:val="15"/>
                <w:b w:val="1"/>
                <w:bCs w:val="1"/>
                <w:color w:val="auto"/>
                <w:w w:val="94"/>
              </w:rPr>
              <w:t>Condensed Consolidated Statements of Operations, as a percentage of</w:t>
            </w:r>
          </w:p>
        </w:tc>
        <w:tc>
          <w:tcPr>
            <w:tcW w:w="9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r>
      <w:tr>
        <w:trPr>
          <w:trHeight w:val="204"/>
        </w:trPr>
        <w:tc>
          <w:tcPr>
            <w:tcW w:w="5740" w:type="dxa"/>
            <w:vAlign w:val="bottom"/>
            <w:gridSpan w:val="2"/>
          </w:tcPr>
          <w:p>
            <w:pPr>
              <w:ind w:left="20"/>
              <w:spacing w:after="0"/>
              <w:rPr>
                <w:sz w:val="20"/>
                <w:szCs w:val="20"/>
                <w:color w:val="auto"/>
              </w:rPr>
            </w:pPr>
            <w:r>
              <w:rPr>
                <w:rFonts w:ascii="Arial" w:cs="Arial" w:eastAsia="Arial" w:hAnsi="Arial"/>
                <w:sz w:val="15"/>
                <w:szCs w:val="15"/>
                <w:b w:val="1"/>
                <w:bCs w:val="1"/>
                <w:color w:val="auto"/>
              </w:rPr>
              <w:t>revenue: **</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8"/>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100 %</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6"/>
        </w:trPr>
        <w:tc>
          <w:tcPr>
            <w:tcW w:w="4820" w:type="dxa"/>
            <w:vAlign w:val="bottom"/>
          </w:tcPr>
          <w:p>
            <w:pPr>
              <w:ind w:left="20"/>
              <w:spacing w:after="0"/>
              <w:rPr>
                <w:sz w:val="20"/>
                <w:szCs w:val="20"/>
                <w:color w:val="auto"/>
              </w:rPr>
            </w:pPr>
            <w:r>
              <w:rPr>
                <w:rFonts w:ascii="Arial" w:cs="Arial" w:eastAsia="Arial" w:hAnsi="Arial"/>
                <w:sz w:val="15"/>
                <w:szCs w:val="15"/>
                <w:color w:val="auto"/>
              </w:rPr>
              <w:t>Cost of revenue</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51</w:t>
            </w:r>
          </w:p>
        </w:tc>
        <w:tc>
          <w:tcPr>
            <w:tcW w:w="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99"/>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Gross profit</w:t>
            </w:r>
          </w:p>
        </w:tc>
        <w:tc>
          <w:tcPr>
            <w:tcW w:w="9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49</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47</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49</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r>
      <w:tr>
        <w:trPr>
          <w:trHeight w:val="196"/>
        </w:trPr>
        <w:tc>
          <w:tcPr>
            <w:tcW w:w="5740" w:type="dxa"/>
            <w:vAlign w:val="bottom"/>
            <w:gridSpan w:val="2"/>
          </w:tcPr>
          <w:p>
            <w:pPr>
              <w:ind w:left="20"/>
              <w:spacing w:after="0"/>
              <w:rPr>
                <w:sz w:val="20"/>
                <w:szCs w:val="20"/>
                <w:color w:val="auto"/>
              </w:rPr>
            </w:pPr>
            <w:r>
              <w:rPr>
                <w:rFonts w:ascii="Arial" w:cs="Arial" w:eastAsia="Arial" w:hAnsi="Arial"/>
                <w:sz w:val="15"/>
                <w:szCs w:val="15"/>
                <w:color w:val="auto"/>
              </w:rPr>
              <w:t>Operating expenses: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Research and development</w:t>
            </w:r>
          </w:p>
        </w:tc>
        <w:tc>
          <w:tcPr>
            <w:tcW w:w="6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23</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3"/>
        </w:trPr>
        <w:tc>
          <w:tcPr>
            <w:tcW w:w="5740" w:type="dxa"/>
            <w:vAlign w:val="bottom"/>
            <w:gridSpan w:val="2"/>
          </w:tcPr>
          <w:p>
            <w:pPr>
              <w:ind w:left="220"/>
              <w:spacing w:after="0"/>
              <w:rPr>
                <w:sz w:val="20"/>
                <w:szCs w:val="20"/>
                <w:color w:val="auto"/>
              </w:rPr>
            </w:pPr>
            <w:r>
              <w:rPr>
                <w:rFonts w:ascii="Arial" w:cs="Arial" w:eastAsia="Arial" w:hAnsi="Arial"/>
                <w:sz w:val="15"/>
                <w:szCs w:val="15"/>
                <w:color w:val="auto"/>
              </w:rPr>
              <w:t>Sales and marketing</w:t>
            </w:r>
          </w:p>
        </w:tc>
        <w:tc>
          <w:tcPr>
            <w:tcW w:w="600" w:type="dxa"/>
            <w:vAlign w:val="bottom"/>
          </w:tcPr>
          <w:p>
            <w:pPr>
              <w:jc w:val="right"/>
              <w:ind w:right="164"/>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jc w:val="right"/>
              <w:ind w:right="163"/>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ind w:right="164"/>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General and administrative</w:t>
            </w:r>
          </w:p>
        </w:tc>
        <w:tc>
          <w:tcPr>
            <w:tcW w:w="6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12</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3"/>
        </w:trPr>
        <w:tc>
          <w:tcPr>
            <w:tcW w:w="5740" w:type="dxa"/>
            <w:vAlign w:val="bottom"/>
            <w:gridSpan w:val="2"/>
          </w:tcPr>
          <w:p>
            <w:pPr>
              <w:ind w:left="220"/>
              <w:spacing w:after="0"/>
              <w:rPr>
                <w:sz w:val="20"/>
                <w:szCs w:val="20"/>
                <w:color w:val="auto"/>
              </w:rPr>
            </w:pPr>
            <w:r>
              <w:rPr>
                <w:rFonts w:ascii="Arial" w:cs="Arial" w:eastAsia="Arial" w:hAnsi="Arial"/>
                <w:sz w:val="15"/>
                <w:szCs w:val="15"/>
                <w:color w:val="auto"/>
              </w:rPr>
              <w:t>Restructuring costs</w:t>
            </w:r>
          </w:p>
        </w:tc>
        <w:tc>
          <w:tcPr>
            <w:tcW w:w="600" w:type="dxa"/>
            <w:vAlign w:val="bottom"/>
          </w:tcPr>
          <w:p>
            <w:pPr>
              <w:jc w:val="right"/>
              <w:ind w:right="164"/>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ind w:right="164"/>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6"/>
        </w:trPr>
        <w:tc>
          <w:tcPr>
            <w:tcW w:w="4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Impairment of long-lived assets</w:t>
            </w:r>
          </w:p>
        </w:tc>
        <w:tc>
          <w:tcPr>
            <w:tcW w:w="9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r>
      <w:tr>
        <w:trPr>
          <w:trHeight w:val="199"/>
        </w:trPr>
        <w:tc>
          <w:tcPr>
            <w:tcW w:w="482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Total operating expenses</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62</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80</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69</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02"/>
        </w:trPr>
        <w:tc>
          <w:tcPr>
            <w:tcW w:w="57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Loss from operations</w:t>
            </w:r>
          </w:p>
        </w:tc>
        <w:tc>
          <w:tcPr>
            <w:tcW w:w="6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(33)</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83"/>
        </w:trPr>
        <w:tc>
          <w:tcPr>
            <w:tcW w:w="4820" w:type="dxa"/>
            <w:vAlign w:val="bottom"/>
          </w:tcPr>
          <w:p>
            <w:pPr>
              <w:ind w:left="20"/>
              <w:spacing w:after="0"/>
              <w:rPr>
                <w:sz w:val="20"/>
                <w:szCs w:val="20"/>
                <w:color w:val="auto"/>
              </w:rPr>
            </w:pPr>
            <w:r>
              <w:rPr>
                <w:rFonts w:ascii="Arial" w:cs="Arial" w:eastAsia="Arial" w:hAnsi="Arial"/>
                <w:sz w:val="15"/>
                <w:szCs w:val="15"/>
                <w:color w:val="auto"/>
              </w:rPr>
              <w:t>Other expenses, net</w:t>
            </w:r>
          </w:p>
        </w:tc>
        <w:tc>
          <w:tcPr>
            <w:tcW w:w="9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r>
      <w:tr>
        <w:trPr>
          <w:trHeight w:val="209"/>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Share of losses from equity method investment</w:t>
            </w:r>
          </w:p>
        </w:tc>
        <w:tc>
          <w:tcPr>
            <w:tcW w:w="6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3"/>
        </w:trPr>
        <w:tc>
          <w:tcPr>
            <w:tcW w:w="5740" w:type="dxa"/>
            <w:vAlign w:val="bottom"/>
            <w:gridSpan w:val="2"/>
          </w:tcPr>
          <w:p>
            <w:pPr>
              <w:ind w:left="220"/>
              <w:spacing w:after="0"/>
              <w:rPr>
                <w:sz w:val="20"/>
                <w:szCs w:val="20"/>
                <w:color w:val="auto"/>
              </w:rPr>
            </w:pPr>
            <w:r>
              <w:rPr>
                <w:rFonts w:ascii="Arial" w:cs="Arial" w:eastAsia="Arial" w:hAnsi="Arial"/>
                <w:sz w:val="15"/>
                <w:szCs w:val="15"/>
                <w:color w:val="auto"/>
              </w:rPr>
              <w:t>Impairment of strategic investments</w:t>
            </w:r>
          </w:p>
        </w:tc>
        <w:tc>
          <w:tcPr>
            <w:tcW w:w="1320" w:type="dxa"/>
            <w:vAlign w:val="bottom"/>
            <w:gridSpan w:val="3"/>
          </w:tcPr>
          <w:p>
            <w:pPr>
              <w:jc w:val="right"/>
              <w:ind w:right="96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ind w:right="124"/>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Other income (expenses), net</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r>
      <w:tr>
        <w:trPr>
          <w:trHeight w:val="199"/>
        </w:trPr>
        <w:tc>
          <w:tcPr>
            <w:tcW w:w="4820" w:type="dxa"/>
            <w:vAlign w:val="bottom"/>
          </w:tcPr>
          <w:p>
            <w:pPr>
              <w:ind w:left="440"/>
              <w:spacing w:after="0"/>
              <w:rPr>
                <w:sz w:val="20"/>
                <w:szCs w:val="20"/>
                <w:color w:val="auto"/>
              </w:rPr>
            </w:pPr>
            <w:r>
              <w:rPr>
                <w:rFonts w:ascii="Arial" w:cs="Arial" w:eastAsia="Arial" w:hAnsi="Arial"/>
                <w:sz w:val="15"/>
                <w:szCs w:val="15"/>
                <w:color w:val="auto"/>
              </w:rPr>
              <w:t>Total other expenses, net</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99"/>
        </w:trPr>
        <w:tc>
          <w:tcPr>
            <w:tcW w:w="57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Loss before (provision for) benefit from income taxes</w:t>
            </w:r>
          </w:p>
        </w:tc>
        <w:tc>
          <w:tcPr>
            <w:tcW w:w="6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(24)</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6"/>
        </w:trPr>
        <w:tc>
          <w:tcPr>
            <w:tcW w:w="4820" w:type="dxa"/>
            <w:vAlign w:val="bottom"/>
          </w:tcPr>
          <w:p>
            <w:pPr>
              <w:ind w:left="20"/>
              <w:spacing w:after="0"/>
              <w:rPr>
                <w:sz w:val="20"/>
                <w:szCs w:val="20"/>
                <w:color w:val="auto"/>
              </w:rPr>
            </w:pPr>
            <w:r>
              <w:rPr>
                <w:rFonts w:ascii="Arial" w:cs="Arial" w:eastAsia="Arial" w:hAnsi="Arial"/>
                <w:sz w:val="15"/>
                <w:szCs w:val="15"/>
                <w:color w:val="auto"/>
              </w:rPr>
              <w:t>(Provision for) benefit from income taxes</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19"/>
        </w:trPr>
        <w:tc>
          <w:tcPr>
            <w:tcW w:w="57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Net loss attributable to common stockholders</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(25 %)</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____________________________________</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Less than 0.5% of revenue.</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Columns may not add up to 100% due to rounding.</w:t>
      </w:r>
    </w:p>
    <w:p>
      <w:pPr>
        <w:spacing w:after="0" w:line="200" w:lineRule="exact"/>
        <w:rPr>
          <w:sz w:val="20"/>
          <w:szCs w:val="20"/>
          <w:color w:val="auto"/>
        </w:rPr>
      </w:pPr>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Three Months Ended June 30, 2023 and 2022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336" w:lineRule="exact"/>
        <w:rPr>
          <w:sz w:val="20"/>
          <w:szCs w:val="20"/>
          <w:color w:val="auto"/>
        </w:rPr>
      </w:pPr>
    </w:p>
    <w:tbl>
      <w:tblPr>
        <w:tblLayout w:type="fixed"/>
        <w:tblInd w:w="1540" w:type="dxa"/>
        <w:tblCellMar>
          <w:top w:w="0" w:type="dxa"/>
          <w:left w:w="0" w:type="dxa"/>
          <w:bottom w:w="0" w:type="dxa"/>
          <w:right w:w="0" w:type="dxa"/>
        </w:tblCellMar>
      </w:tblPr>
      <w:tr>
        <w:trPr>
          <w:trHeight w:val="178"/>
        </w:trPr>
        <w:tc>
          <w:tcPr>
            <w:tcW w:w="3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4"/>
          </w:tcPr>
          <w:p>
            <w:pPr>
              <w:jc w:val="right"/>
              <w:ind w:right="80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6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3"/>
          </w:tcPr>
          <w:p>
            <w:pPr>
              <w:jc w:val="right"/>
              <w:ind w:right="260"/>
              <w:spacing w:after="0"/>
              <w:rPr>
                <w:sz w:val="20"/>
                <w:szCs w:val="20"/>
                <w:color w:val="auto"/>
              </w:rPr>
            </w:pPr>
            <w:r>
              <w:rPr>
                <w:rFonts w:ascii="Arial" w:cs="Arial" w:eastAsia="Arial" w:hAnsi="Arial"/>
                <w:sz w:val="14"/>
                <w:szCs w:val="14"/>
                <w:color w:val="auto"/>
                <w:w w:val="96"/>
              </w:rPr>
              <w:t>(Dollars in thousands)</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Twilio Communications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913,135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832,305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80,830</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0" w:type="dxa"/>
            <w:vAlign w:val="bottom"/>
          </w:tcPr>
          <w:p>
            <w:pPr>
              <w:spacing w:after="0"/>
              <w:rPr>
                <w:sz w:val="1"/>
                <w:szCs w:val="1"/>
                <w:color w:val="auto"/>
              </w:rPr>
            </w:pPr>
          </w:p>
        </w:tc>
      </w:tr>
      <w:tr>
        <w:trPr>
          <w:trHeight w:val="206"/>
        </w:trPr>
        <w:tc>
          <w:tcPr>
            <w:tcW w:w="3600" w:type="dxa"/>
            <w:vAlign w:val="bottom"/>
          </w:tcPr>
          <w:p>
            <w:pPr>
              <w:ind w:left="20"/>
              <w:spacing w:after="0"/>
              <w:rPr>
                <w:sz w:val="20"/>
                <w:szCs w:val="20"/>
                <w:color w:val="auto"/>
              </w:rPr>
            </w:pPr>
            <w:r>
              <w:rPr>
                <w:rFonts w:ascii="Arial" w:cs="Arial" w:eastAsia="Arial" w:hAnsi="Arial"/>
                <w:sz w:val="15"/>
                <w:szCs w:val="15"/>
                <w:color w:val="auto"/>
              </w:rPr>
              <w:t>Twilio Data &amp; Applications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124,626</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111,049</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13,577</w:t>
            </w: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12 %</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Consolidated total revenue</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1,037,761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943,354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94,407</w:t>
            </w: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firstLine="464"/>
        <w:spacing w:after="0" w:line="209" w:lineRule="exact"/>
        <w:rPr>
          <w:sz w:val="20"/>
          <w:szCs w:val="20"/>
          <w:color w:val="auto"/>
        </w:rPr>
      </w:pPr>
      <w:r>
        <w:rPr>
          <w:rFonts w:ascii="Arial" w:cs="Arial" w:eastAsia="Arial" w:hAnsi="Arial"/>
          <w:sz w:val="17"/>
          <w:szCs w:val="17"/>
          <w:color w:val="auto"/>
        </w:rPr>
        <w:t>In the three months ended June 30, 2023, Communications revenue increased by $80.8 million, or 10%, compared to the same period last year. This increase was primarily attributable to the increased usage of our products by our existing customers, as reflected in our Communications Dollar</w:t>
      </w:r>
      <w:r>
        <w:rPr>
          <w:rFonts w:ascii="MS PGothic" w:cs="MS PGothic" w:eastAsia="MS PGothic" w:hAnsi="MS PGothic"/>
          <w:sz w:val="17"/>
          <w:szCs w:val="17"/>
          <w:color w:val="auto"/>
        </w:rPr>
        <w:t>‑</w:t>
      </w:r>
      <w:r>
        <w:rPr>
          <w:rFonts w:ascii="Arial" w:cs="Arial" w:eastAsia="Arial" w:hAnsi="Arial"/>
          <w:sz w:val="17"/>
          <w:szCs w:val="17"/>
          <w:color w:val="auto"/>
        </w:rPr>
        <w:t>Based Net Expansion Rate of 103%, as well as an 11% increase in the number of Communications Active Customer Accounts from over 260,000 as of June 30, 2022 to over 289,000 as of June 30, 2023.</w:t>
      </w:r>
    </w:p>
    <w:p>
      <w:pPr>
        <w:spacing w:after="0" w:line="197" w:lineRule="exact"/>
        <w:rPr>
          <w:sz w:val="20"/>
          <w:szCs w:val="20"/>
          <w:color w:val="auto"/>
        </w:rPr>
      </w:pPr>
    </w:p>
    <w:p>
      <w:pPr>
        <w:ind w:right="20" w:firstLine="464"/>
        <w:spacing w:after="0" w:line="210" w:lineRule="exact"/>
        <w:rPr>
          <w:sz w:val="20"/>
          <w:szCs w:val="20"/>
          <w:color w:val="auto"/>
        </w:rPr>
      </w:pPr>
      <w:r>
        <w:rPr>
          <w:rFonts w:ascii="Arial" w:cs="Arial" w:eastAsia="Arial" w:hAnsi="Arial"/>
          <w:sz w:val="16"/>
          <w:szCs w:val="16"/>
          <w:color w:val="auto"/>
        </w:rPr>
        <w:t>In the three months ended June 30, 2023, Data &amp; Applications revenue increased by $13.6 million, or 12%, compared to the same period last year. This increase was primarily attributable to a 4% increase in the number of Data &amp; Applications Active Customer Accounts from over 26,000 as of June 30, 2022 to over 27,000 as of June 30, 2023. Our Data &amp; Applications Dollar</w:t>
      </w:r>
      <w:r>
        <w:rPr>
          <w:rFonts w:ascii="MS PGothic" w:cs="MS PGothic" w:eastAsia="MS PGothic" w:hAnsi="MS PGothic"/>
          <w:sz w:val="16"/>
          <w:szCs w:val="16"/>
          <w:color w:val="auto"/>
        </w:rPr>
        <w:t>‑</w:t>
      </w:r>
      <w:r>
        <w:rPr>
          <w:rFonts w:ascii="Arial" w:cs="Arial" w:eastAsia="Arial" w:hAnsi="Arial"/>
          <w:sz w:val="16"/>
          <w:szCs w:val="16"/>
          <w:color w:val="auto"/>
        </w:rPr>
        <w:t>Based Net Expansion Rate was 99% for the three months ended June 30, 2023.</w:t>
      </w:r>
    </w:p>
    <w:p>
      <w:pPr>
        <w:spacing w:after="0" w:line="197" w:lineRule="exact"/>
        <w:rPr>
          <w:sz w:val="20"/>
          <w:szCs w:val="20"/>
          <w:color w:val="auto"/>
        </w:rPr>
      </w:pPr>
    </w:p>
    <w:p>
      <w:pPr>
        <w:ind w:firstLine="464"/>
        <w:spacing w:after="0" w:line="210" w:lineRule="exact"/>
        <w:rPr>
          <w:sz w:val="20"/>
          <w:szCs w:val="20"/>
          <w:color w:val="auto"/>
        </w:rPr>
      </w:pPr>
      <w:r>
        <w:rPr>
          <w:rFonts w:ascii="Arial" w:cs="Arial" w:eastAsia="Arial" w:hAnsi="Arial"/>
          <w:sz w:val="16"/>
          <w:szCs w:val="16"/>
          <w:color w:val="auto"/>
        </w:rPr>
        <w:t>In the three months ended June 30, 2023, consolidated total revenue increased by $94.4 million, or 10%, compared to the same period last year. This increase was attributable to the increased usage of our products by our existing customers, as reflected in our Dollar</w:t>
      </w:r>
      <w:r>
        <w:rPr>
          <w:rFonts w:ascii="MS PGothic" w:cs="MS PGothic" w:eastAsia="MS PGothic" w:hAnsi="MS PGothic"/>
          <w:sz w:val="16"/>
          <w:szCs w:val="16"/>
          <w:color w:val="auto"/>
        </w:rPr>
        <w:t>‑</w:t>
      </w:r>
      <w:r>
        <w:rPr>
          <w:rFonts w:ascii="Arial" w:cs="Arial" w:eastAsia="Arial" w:hAnsi="Arial"/>
          <w:sz w:val="16"/>
          <w:szCs w:val="16"/>
          <w:color w:val="auto"/>
        </w:rPr>
        <w:t>Based Net Expansion Rate of 103%, as well as an 11% increase in the number of Active Customer Accounts from over 275,000 as of June 30, 2022 to over 304,000 as of June 30, 2023.</w:t>
      </w:r>
    </w:p>
    <w:p>
      <w:pPr>
        <w:spacing w:after="0" w:line="197" w:lineRule="exact"/>
        <w:rPr>
          <w:sz w:val="20"/>
          <w:szCs w:val="20"/>
          <w:color w:val="auto"/>
        </w:rPr>
      </w:pPr>
    </w:p>
    <w:p>
      <w:pPr>
        <w:ind w:right="280" w:firstLine="464"/>
        <w:spacing w:after="0" w:line="266" w:lineRule="auto"/>
        <w:rPr>
          <w:sz w:val="20"/>
          <w:szCs w:val="20"/>
          <w:color w:val="auto"/>
        </w:rPr>
      </w:pPr>
      <w:r>
        <w:rPr>
          <w:rFonts w:ascii="Arial" w:cs="Arial" w:eastAsia="Arial" w:hAnsi="Arial"/>
          <w:sz w:val="17"/>
          <w:szCs w:val="17"/>
          <w:color w:val="auto"/>
        </w:rPr>
        <w:t>In the three months ended June 30, 2023, U.S. revenue and international revenue represented $692.6 million or 67%, and $345.1 million, or 33%, respectively, of total revenue. In the three months ended June 30, 2022, U.S. revenue and international revenue represented $616.3 million, or 65%, and $327.0 million, or 35%, respectively, of total revenue.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 and Gross Margin</w:t>
      </w:r>
    </w:p>
    <w:p>
      <w:pPr>
        <w:spacing w:after="0" w:line="336" w:lineRule="exact"/>
        <w:rPr>
          <w:sz w:val="20"/>
          <w:szCs w:val="20"/>
          <w:color w:val="auto"/>
        </w:rPr>
      </w:pPr>
    </w:p>
    <w:tbl>
      <w:tblPr>
        <w:tblLayout w:type="fixed"/>
        <w:tblInd w:w="2320" w:type="dxa"/>
        <w:tblCellMar>
          <w:top w:w="0" w:type="dxa"/>
          <w:left w:w="0" w:type="dxa"/>
          <w:bottom w:w="0" w:type="dxa"/>
          <w:right w:w="0" w:type="dxa"/>
        </w:tblCellMar>
      </w:tblPr>
      <w:tr>
        <w:trPr>
          <w:trHeight w:val="178"/>
        </w:trPr>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gridSpan w:val="3"/>
          </w:tcPr>
          <w:p>
            <w:pPr>
              <w:jc w:val="right"/>
              <w:ind w:right="74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rPr>
              <w:t>June 30,</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vMerge w:val="restart"/>
          </w:tcPr>
          <w:p>
            <w:pPr>
              <w:jc w:val="right"/>
              <w:ind w:right="125"/>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2"/>
          </w:tcPr>
          <w:p>
            <w:pPr>
              <w:jc w:val="right"/>
              <w:ind w:right="203"/>
              <w:spacing w:after="0"/>
              <w:rPr>
                <w:sz w:val="20"/>
                <w:szCs w:val="20"/>
                <w:color w:val="auto"/>
              </w:rPr>
            </w:pPr>
            <w:r>
              <w:rPr>
                <w:rFonts w:ascii="Arial" w:cs="Arial" w:eastAsia="Arial" w:hAnsi="Arial"/>
                <w:sz w:val="14"/>
                <w:szCs w:val="14"/>
                <w:color w:val="auto"/>
                <w:w w:val="92"/>
              </w:rPr>
              <w:t>(Dollars in thousands)</w:t>
            </w: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00" w:type="dxa"/>
            <w:vAlign w:val="bottom"/>
            <w:gridSpan w:val="4"/>
            <w:shd w:val="clear" w:color="auto" w:fill="CCEEFF"/>
          </w:tcPr>
          <w:p>
            <w:pPr>
              <w:spacing w:after="0" w:line="171" w:lineRule="exact"/>
              <w:rPr>
                <w:sz w:val="20"/>
                <w:szCs w:val="20"/>
                <w:color w:val="auto"/>
              </w:rPr>
            </w:pPr>
            <w:r>
              <w:rPr>
                <w:rFonts w:ascii="Arial" w:cs="Arial" w:eastAsia="Arial" w:hAnsi="Arial"/>
                <w:sz w:val="15"/>
                <w:szCs w:val="15"/>
                <w:color w:val="auto"/>
              </w:rPr>
              <w:t>Twilio Communications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00" w:type="dxa"/>
            <w:vAlign w:val="bottom"/>
            <w:tcBorders>
              <w:top w:val="single" w:sz="8" w:color="auto"/>
            </w:tcBorders>
            <w:gridSpan w:val="2"/>
          </w:tcPr>
          <w:p>
            <w:pPr>
              <w:ind w:left="220"/>
              <w:spacing w:after="0"/>
              <w:rPr>
                <w:sz w:val="20"/>
                <w:szCs w:val="20"/>
                <w:color w:val="auto"/>
              </w:rPr>
            </w:pPr>
            <w:r>
              <w:rPr>
                <w:rFonts w:ascii="Arial" w:cs="Arial" w:eastAsia="Arial" w:hAnsi="Arial"/>
                <w:sz w:val="15"/>
                <w:szCs w:val="15"/>
                <w:color w:val="auto"/>
              </w:rPr>
              <w:t>Cost of revenue</w:t>
            </w:r>
          </w:p>
        </w:tc>
        <w:tc>
          <w:tcPr>
            <w:tcW w:w="900" w:type="dxa"/>
            <w:vAlign w:val="bottom"/>
            <w:tcBorders>
              <w:top w:val="single" w:sz="8" w:color="CCEEFF"/>
            </w:tcBorders>
            <w:gridSpan w:val="2"/>
          </w:tcPr>
          <w:p>
            <w:pPr>
              <w:spacing w:after="0"/>
              <w:rPr>
                <w:sz w:val="17"/>
                <w:szCs w:val="17"/>
                <w:color w:val="auto"/>
              </w:rPr>
            </w:pPr>
          </w:p>
        </w:tc>
        <w:tc>
          <w:tcPr>
            <w:tcW w:w="320" w:type="dxa"/>
            <w:vAlign w:val="bottom"/>
            <w:tcBorders>
              <w:top w:val="single" w:sz="8" w:color="CCEEFF"/>
            </w:tcBorders>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CCEEFF"/>
            </w:tcBorders>
          </w:tcPr>
          <w:p>
            <w:pPr>
              <w:jc w:val="right"/>
              <w:ind w:right="166"/>
              <w:spacing w:after="0"/>
              <w:rPr>
                <w:sz w:val="20"/>
                <w:szCs w:val="20"/>
                <w:color w:val="auto"/>
              </w:rPr>
            </w:pPr>
            <w:r>
              <w:rPr>
                <w:rFonts w:ascii="Arial" w:cs="Arial" w:eastAsia="Arial" w:hAnsi="Arial"/>
                <w:sz w:val="15"/>
                <w:szCs w:val="15"/>
                <w:color w:val="auto"/>
              </w:rPr>
              <w:t>491,894</w:t>
            </w:r>
          </w:p>
        </w:tc>
        <w:tc>
          <w:tcPr>
            <w:tcW w:w="320" w:type="dxa"/>
            <w:vAlign w:val="bottom"/>
            <w:tcBorders>
              <w:top w:val="single" w:sz="8" w:color="CCEEFF"/>
            </w:tcBorders>
          </w:tcPr>
          <w:p>
            <w:pPr>
              <w:jc w:val="right"/>
              <w:ind w:right="83"/>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CCEEFF"/>
            </w:tcBorders>
          </w:tcPr>
          <w:p>
            <w:pPr>
              <w:jc w:val="right"/>
              <w:ind w:right="125"/>
              <w:spacing w:after="0"/>
              <w:rPr>
                <w:sz w:val="20"/>
                <w:szCs w:val="20"/>
                <w:color w:val="auto"/>
              </w:rPr>
            </w:pPr>
            <w:r>
              <w:rPr>
                <w:rFonts w:ascii="Arial" w:cs="Arial" w:eastAsia="Arial" w:hAnsi="Arial"/>
                <w:sz w:val="15"/>
                <w:szCs w:val="15"/>
                <w:color w:val="auto"/>
              </w:rPr>
              <w:t>464,134</w:t>
            </w:r>
          </w:p>
        </w:tc>
        <w:tc>
          <w:tcPr>
            <w:tcW w:w="440" w:type="dxa"/>
            <w:vAlign w:val="bottom"/>
            <w:tcBorders>
              <w:top w:val="single" w:sz="8" w:color="CCEEFF"/>
            </w:tcBorders>
          </w:tcPr>
          <w:p>
            <w:pPr>
              <w:jc w:val="right"/>
              <w:ind w:right="163"/>
              <w:spacing w:after="0"/>
              <w:rPr>
                <w:sz w:val="20"/>
                <w:szCs w:val="20"/>
                <w:color w:val="auto"/>
              </w:rPr>
            </w:pPr>
            <w:r>
              <w:rPr>
                <w:rFonts w:ascii="Arial" w:cs="Arial" w:eastAsia="Arial" w:hAnsi="Arial"/>
                <w:sz w:val="15"/>
                <w:szCs w:val="15"/>
                <w:color w:val="auto"/>
              </w:rPr>
              <w:t>$</w:t>
            </w:r>
          </w:p>
        </w:tc>
        <w:tc>
          <w:tcPr>
            <w:tcW w:w="1020" w:type="dxa"/>
            <w:vAlign w:val="bottom"/>
            <w:tcBorders>
              <w:top w:val="single" w:sz="8" w:color="CCEEFF"/>
            </w:tcBorders>
          </w:tcPr>
          <w:p>
            <w:pPr>
              <w:jc w:val="right"/>
              <w:ind w:right="285"/>
              <w:spacing w:after="0"/>
              <w:rPr>
                <w:sz w:val="20"/>
                <w:szCs w:val="20"/>
                <w:color w:val="auto"/>
              </w:rPr>
            </w:pPr>
            <w:r>
              <w:rPr>
                <w:rFonts w:ascii="Arial" w:cs="Arial" w:eastAsia="Arial" w:hAnsi="Arial"/>
                <w:sz w:val="15"/>
                <w:szCs w:val="15"/>
                <w:color w:val="auto"/>
              </w:rPr>
              <w:t>27,760</w:t>
            </w:r>
          </w:p>
        </w:tc>
        <w:tc>
          <w:tcPr>
            <w:tcW w:w="52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rPr>
              <w:t>6 %</w:t>
            </w:r>
          </w:p>
        </w:tc>
        <w:tc>
          <w:tcPr>
            <w:tcW w:w="0" w:type="dxa"/>
            <w:vAlign w:val="bottom"/>
          </w:tcPr>
          <w:p>
            <w:pPr>
              <w:spacing w:after="0"/>
              <w:rPr>
                <w:sz w:val="1"/>
                <w:szCs w:val="1"/>
                <w:color w:val="auto"/>
              </w:rPr>
            </w:pPr>
          </w:p>
        </w:tc>
      </w:tr>
      <w:tr>
        <w:trPr>
          <w:trHeight w:val="209"/>
        </w:trPr>
        <w:tc>
          <w:tcPr>
            <w:tcW w:w="240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rPr>
              <w:t>Gross margin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46 %</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44 %</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720" w:type="dxa"/>
            <w:vAlign w:val="bottom"/>
            <w:tcBorders>
              <w:bottom w:val="single" w:sz="8" w:color="auto"/>
            </w:tcBorders>
            <w:gridSpan w:val="3"/>
          </w:tcPr>
          <w:p>
            <w:pPr>
              <w:spacing w:after="0" w:line="168" w:lineRule="exact"/>
              <w:rPr>
                <w:sz w:val="20"/>
                <w:szCs w:val="20"/>
                <w:color w:val="auto"/>
              </w:rPr>
            </w:pPr>
            <w:r>
              <w:rPr>
                <w:rFonts w:ascii="Arial" w:cs="Arial" w:eastAsia="Arial" w:hAnsi="Arial"/>
                <w:sz w:val="15"/>
                <w:szCs w:val="15"/>
                <w:color w:val="auto"/>
                <w:w w:val="98"/>
              </w:rPr>
              <w:t>Twilio Data &amp; Applications</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0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rPr>
              <w:t>Cost of 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40,112</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33,931</w:t>
            </w:r>
          </w:p>
        </w:tc>
        <w:tc>
          <w:tcPr>
            <w:tcW w:w="4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rPr>
              <w:t>6,181</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18 %</w:t>
            </w:r>
          </w:p>
        </w:tc>
        <w:tc>
          <w:tcPr>
            <w:tcW w:w="0" w:type="dxa"/>
            <w:vAlign w:val="bottom"/>
          </w:tcPr>
          <w:p>
            <w:pPr>
              <w:spacing w:after="0"/>
              <w:rPr>
                <w:sz w:val="1"/>
                <w:szCs w:val="1"/>
                <w:color w:val="auto"/>
              </w:rPr>
            </w:pPr>
          </w:p>
        </w:tc>
      </w:tr>
      <w:tr>
        <w:trPr>
          <w:trHeight w:val="203"/>
        </w:trPr>
        <w:tc>
          <w:tcPr>
            <w:tcW w:w="2400" w:type="dxa"/>
            <w:vAlign w:val="bottom"/>
            <w:gridSpan w:val="4"/>
          </w:tcPr>
          <w:p>
            <w:pPr>
              <w:ind w:left="220"/>
              <w:spacing w:after="0"/>
              <w:rPr>
                <w:sz w:val="20"/>
                <w:szCs w:val="20"/>
                <w:color w:val="auto"/>
              </w:rPr>
            </w:pPr>
            <w:r>
              <w:rPr>
                <w:rFonts w:ascii="Arial" w:cs="Arial" w:eastAsia="Arial" w:hAnsi="Arial"/>
                <w:sz w:val="15"/>
                <w:szCs w:val="15"/>
                <w:color w:val="auto"/>
              </w:rPr>
              <w:t>Gross margin</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68 %</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69 %</w:t>
            </w: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shd w:val="clear" w:color="auto" w:fill="CCEEFF"/>
          </w:tcPr>
          <w:p>
            <w:pPr>
              <w:spacing w:after="0" w:line="171" w:lineRule="exact"/>
              <w:rPr>
                <w:sz w:val="20"/>
                <w:szCs w:val="20"/>
                <w:color w:val="auto"/>
              </w:rPr>
            </w:pPr>
            <w:r>
              <w:rPr>
                <w:rFonts w:ascii="Arial" w:cs="Arial" w:eastAsia="Arial" w:hAnsi="Arial"/>
                <w:sz w:val="15"/>
                <w:szCs w:val="15"/>
                <w:color w:val="auto"/>
                <w:w w:val="93"/>
              </w:rPr>
              <w:t>Consolidated total</w:t>
            </w:r>
          </w:p>
        </w:tc>
        <w:tc>
          <w:tcPr>
            <w:tcW w:w="1260" w:type="dxa"/>
            <w:vAlign w:val="bottom"/>
            <w:tcBorders>
              <w:bottom w:val="single" w:sz="8" w:color="CCEEFF"/>
            </w:tcBorders>
            <w:gridSpan w:val="3"/>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0" w:type="dxa"/>
            <w:vAlign w:val="bottom"/>
            <w:gridSpan w:val="4"/>
          </w:tcPr>
          <w:p>
            <w:pPr>
              <w:ind w:left="220"/>
              <w:spacing w:after="0"/>
              <w:rPr>
                <w:sz w:val="20"/>
                <w:szCs w:val="20"/>
                <w:color w:val="auto"/>
              </w:rPr>
            </w:pPr>
            <w:r>
              <w:rPr>
                <w:rFonts w:ascii="Arial" w:cs="Arial" w:eastAsia="Arial" w:hAnsi="Arial"/>
                <w:sz w:val="15"/>
                <w:szCs w:val="15"/>
                <w:color w:val="auto"/>
              </w:rPr>
              <w:t>Cost of revenue</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66"/>
              <w:spacing w:after="0"/>
              <w:rPr>
                <w:sz w:val="20"/>
                <w:szCs w:val="20"/>
                <w:color w:val="auto"/>
              </w:rPr>
            </w:pPr>
            <w:r>
              <w:rPr>
                <w:rFonts w:ascii="Arial" w:cs="Arial" w:eastAsia="Arial" w:hAnsi="Arial"/>
                <w:sz w:val="15"/>
                <w:szCs w:val="15"/>
                <w:color w:val="auto"/>
              </w:rPr>
              <w:t>532,006</w:t>
            </w:r>
          </w:p>
        </w:tc>
        <w:tc>
          <w:tcPr>
            <w:tcW w:w="3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25"/>
              <w:spacing w:after="0"/>
              <w:rPr>
                <w:sz w:val="20"/>
                <w:szCs w:val="20"/>
                <w:color w:val="auto"/>
              </w:rPr>
            </w:pPr>
            <w:r>
              <w:rPr>
                <w:rFonts w:ascii="Arial" w:cs="Arial" w:eastAsia="Arial" w:hAnsi="Arial"/>
                <w:sz w:val="15"/>
                <w:szCs w:val="15"/>
                <w:color w:val="auto"/>
              </w:rPr>
              <w:t>498,065</w:t>
            </w:r>
          </w:p>
        </w:tc>
        <w:tc>
          <w:tcPr>
            <w:tcW w:w="44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85"/>
              <w:spacing w:after="0"/>
              <w:rPr>
                <w:sz w:val="20"/>
                <w:szCs w:val="20"/>
                <w:color w:val="auto"/>
              </w:rPr>
            </w:pPr>
            <w:r>
              <w:rPr>
                <w:rFonts w:ascii="Arial" w:cs="Arial" w:eastAsia="Arial" w:hAnsi="Arial"/>
                <w:sz w:val="15"/>
                <w:szCs w:val="15"/>
                <w:color w:val="auto"/>
              </w:rPr>
              <w:t>33,941</w:t>
            </w:r>
          </w:p>
        </w:tc>
        <w:tc>
          <w:tcPr>
            <w:tcW w:w="520" w:type="dxa"/>
            <w:vAlign w:val="bottom"/>
          </w:tcPr>
          <w:p>
            <w:pPr>
              <w:jc w:val="right"/>
              <w:spacing w:after="0"/>
              <w:rPr>
                <w:sz w:val="20"/>
                <w:szCs w:val="20"/>
                <w:color w:val="auto"/>
              </w:rPr>
            </w:pPr>
            <w:r>
              <w:rPr>
                <w:rFonts w:ascii="Arial" w:cs="Arial" w:eastAsia="Arial" w:hAnsi="Arial"/>
                <w:sz w:val="15"/>
                <w:szCs w:val="15"/>
                <w:color w:val="auto"/>
              </w:rPr>
              <w:t>7 %</w:t>
            </w:r>
          </w:p>
        </w:tc>
        <w:tc>
          <w:tcPr>
            <w:tcW w:w="0" w:type="dxa"/>
            <w:vAlign w:val="bottom"/>
          </w:tcPr>
          <w:p>
            <w:pPr>
              <w:spacing w:after="0"/>
              <w:rPr>
                <w:sz w:val="1"/>
                <w:szCs w:val="1"/>
                <w:color w:val="auto"/>
              </w:rPr>
            </w:pPr>
          </w:p>
        </w:tc>
      </w:tr>
      <w:tr>
        <w:trPr>
          <w:trHeight w:val="209"/>
        </w:trPr>
        <w:tc>
          <w:tcPr>
            <w:tcW w:w="240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rPr>
              <w:t>Gross margin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49 %</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47 %</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right="20" w:firstLine="464"/>
        <w:spacing w:after="0" w:line="318" w:lineRule="auto"/>
        <w:rPr>
          <w:sz w:val="20"/>
          <w:szCs w:val="20"/>
          <w:color w:val="auto"/>
        </w:rPr>
      </w:pPr>
      <w:r>
        <w:rPr>
          <w:rFonts w:ascii="Arial" w:cs="Arial" w:eastAsia="Arial" w:hAnsi="Arial"/>
          <w:sz w:val="15"/>
          <w:szCs w:val="15"/>
          <w:color w:val="auto"/>
        </w:rPr>
        <w:t>In the three months ended June 30, 2023, Communications cost of revenue increased by $27.8 million, or 6%, compared to the same period last year. The increase in cost of revenue was primarily attributable to a $32.9 million increase in network service providers’ costs, which support the growth in usage of our products driven by the growth in Communications Active Customer Accounts and the increase in usage of our products by existing customers as described above.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the three months ended June 30, 2023, Data &amp; Applications cost of revenue increased by $6.2 million, or 18%, compared to the same period last year.</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Fluctuations in cost of revenue categories were not significant either individually or in the aggregate.</w:t>
      </w:r>
    </w:p>
    <w:p>
      <w:pPr>
        <w:spacing w:after="0" w:line="206" w:lineRule="exact"/>
        <w:rPr>
          <w:sz w:val="20"/>
          <w:szCs w:val="20"/>
          <w:color w:val="auto"/>
        </w:rPr>
      </w:pPr>
    </w:p>
    <w:p>
      <w:pPr>
        <w:ind w:right="100" w:firstLine="464"/>
        <w:spacing w:after="0" w:line="318" w:lineRule="auto"/>
        <w:rPr>
          <w:sz w:val="20"/>
          <w:szCs w:val="20"/>
          <w:color w:val="auto"/>
        </w:rPr>
      </w:pPr>
      <w:r>
        <w:rPr>
          <w:rFonts w:ascii="Arial" w:cs="Arial" w:eastAsia="Arial" w:hAnsi="Arial"/>
          <w:sz w:val="15"/>
          <w:szCs w:val="15"/>
          <w:color w:val="auto"/>
        </w:rPr>
        <w:t>In the three months ended June 30, 2023, consolidated total cost of revenue increased by $33.9 million, or 7%, compared to the same period last year. The increase in cost of revenue was primarily attributable to a $32.9 million increase in network service providers’ costs, which support the growth in usage of our products driven by the growth in Active Customer Accounts and the increase in usage of our products by existing customers as described above.</w:t>
      </w:r>
    </w:p>
    <w:p>
      <w:pPr>
        <w:spacing w:after="0" w:line="139" w:lineRule="exact"/>
        <w:rPr>
          <w:sz w:val="20"/>
          <w:szCs w:val="20"/>
          <w:color w:val="auto"/>
        </w:rPr>
      </w:pPr>
    </w:p>
    <w:p>
      <w:pPr>
        <w:ind w:right="300" w:firstLine="464"/>
        <w:spacing w:after="0" w:line="290" w:lineRule="auto"/>
        <w:rPr>
          <w:sz w:val="20"/>
          <w:szCs w:val="20"/>
          <w:color w:val="auto"/>
        </w:rPr>
      </w:pPr>
      <w:r>
        <w:rPr>
          <w:rFonts w:ascii="Arial" w:cs="Arial" w:eastAsia="Arial" w:hAnsi="Arial"/>
          <w:sz w:val="16"/>
          <w:szCs w:val="16"/>
          <w:color w:val="auto"/>
        </w:rPr>
        <w:t>In the three months ended June 30, 2023, Communications gross margin percentage increased compared to the same period last year. This increase was primarily driven by a 170 basis point increase due to the network service providers’ costs increasing at a lower rate relative to revenue, net of the impact of hedging instruments. This is due to a higher proportion of revenue being derived from the United States, where margins are higher.</w:t>
      </w:r>
    </w:p>
    <w:p>
      <w:pPr>
        <w:spacing w:after="0" w:line="158" w:lineRule="exact"/>
        <w:rPr>
          <w:sz w:val="20"/>
          <w:szCs w:val="20"/>
          <w:color w:val="auto"/>
        </w:rPr>
      </w:pPr>
    </w:p>
    <w:p>
      <w:pPr>
        <w:ind w:firstLine="464"/>
        <w:spacing w:after="0" w:line="312" w:lineRule="auto"/>
        <w:rPr>
          <w:sz w:val="20"/>
          <w:szCs w:val="20"/>
          <w:color w:val="auto"/>
        </w:rPr>
      </w:pPr>
      <w:r>
        <w:rPr>
          <w:rFonts w:ascii="Arial" w:cs="Arial" w:eastAsia="Arial" w:hAnsi="Arial"/>
          <w:sz w:val="16"/>
          <w:szCs w:val="16"/>
          <w:color w:val="auto"/>
        </w:rPr>
        <w:t>In the three months ended June 30, 2023, Data &amp; Applications gross margin percentage decreased compared to the same period last year. This decrease was primarily driven by a 160 basis point decrease due to the increase in amortization of capitalized internal-use software development costs.</w:t>
      </w:r>
    </w:p>
    <w:p>
      <w:pPr>
        <w:spacing w:after="0" w:line="140" w:lineRule="exact"/>
        <w:rPr>
          <w:sz w:val="20"/>
          <w:szCs w:val="20"/>
          <w:color w:val="auto"/>
        </w:rPr>
      </w:pPr>
    </w:p>
    <w:p>
      <w:pPr>
        <w:ind w:right="240" w:firstLine="464"/>
        <w:spacing w:after="0" w:line="279" w:lineRule="auto"/>
        <w:rPr>
          <w:sz w:val="20"/>
          <w:szCs w:val="20"/>
          <w:color w:val="auto"/>
        </w:rPr>
      </w:pPr>
      <w:r>
        <w:rPr>
          <w:rFonts w:ascii="Arial" w:cs="Arial" w:eastAsia="Arial" w:hAnsi="Arial"/>
          <w:sz w:val="17"/>
          <w:szCs w:val="17"/>
          <w:color w:val="auto"/>
        </w:rPr>
        <w:t>In the three months ended June 30, 2023, consolidated total gross margin percentage increased compared to the same period last year. This increase was primarily driven by an increase in the gross margin of the Communications segment, as described above.</w:t>
      </w: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336" w:lineRule="exact"/>
        <w:rPr>
          <w:sz w:val="20"/>
          <w:szCs w:val="20"/>
          <w:color w:val="auto"/>
        </w:rPr>
      </w:pPr>
    </w:p>
    <w:tbl>
      <w:tblPr>
        <w:tblLayout w:type="fixed"/>
        <w:tblInd w:w="1840" w:type="dxa"/>
        <w:tblCellMar>
          <w:top w:w="0" w:type="dxa"/>
          <w:left w:w="0" w:type="dxa"/>
          <w:bottom w:w="0" w:type="dxa"/>
          <w:right w:w="0" w:type="dxa"/>
        </w:tblCellMar>
      </w:tblPr>
      <w:tr>
        <w:trPr>
          <w:trHeight w:val="178"/>
        </w:trPr>
        <w:tc>
          <w:tcPr>
            <w:tcW w:w="3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6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3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3"/>
          </w:tcPr>
          <w:p>
            <w:pPr>
              <w:jc w:val="right"/>
              <w:ind w:right="140"/>
              <w:spacing w:after="0"/>
              <w:rPr>
                <w:sz w:val="20"/>
                <w:szCs w:val="20"/>
                <w:color w:val="auto"/>
              </w:rPr>
            </w:pPr>
            <w:r>
              <w:rPr>
                <w:rFonts w:ascii="Arial" w:cs="Arial" w:eastAsia="Arial" w:hAnsi="Arial"/>
                <w:sz w:val="14"/>
                <w:szCs w:val="14"/>
                <w:color w:val="auto"/>
                <w:w w:val="95"/>
              </w:rPr>
              <w:t>(Dollars in thousands)</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226,896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279,641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(52,745)</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20"/>
                <w:szCs w:val="20"/>
                <w:color w:val="auto"/>
              </w:rPr>
            </w:pPr>
            <w:r>
              <w:rPr>
                <w:rFonts w:ascii="Arial" w:cs="Arial" w:eastAsia="Arial" w:hAnsi="Arial"/>
                <w:sz w:val="15"/>
                <w:szCs w:val="15"/>
                <w:color w:val="auto"/>
              </w:rPr>
              <w:t>Sales and marketing</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261,600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334,958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(73,358)</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General and administrative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134,852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142,626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(7,774)</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20"/>
                <w:szCs w:val="20"/>
                <w:color w:val="auto"/>
              </w:rPr>
            </w:pPr>
            <w:r>
              <w:rPr>
                <w:rFonts w:ascii="Arial" w:cs="Arial" w:eastAsia="Arial" w:hAnsi="Arial"/>
                <w:sz w:val="15"/>
                <w:szCs w:val="15"/>
                <w:color w:val="auto"/>
              </w:rPr>
              <w:t>Restructuring costs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14,902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14,902</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209"/>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Impairment of long-lived assets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9,332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9,332</w:t>
            </w:r>
          </w:p>
        </w:tc>
        <w:tc>
          <w:tcPr>
            <w:tcW w:w="2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199"/>
        </w:trPr>
        <w:tc>
          <w:tcPr>
            <w:tcW w:w="3380" w:type="dxa"/>
            <w:vAlign w:val="bottom"/>
          </w:tcPr>
          <w:p>
            <w:pPr>
              <w:ind w:left="200"/>
              <w:spacing w:after="0"/>
              <w:rPr>
                <w:sz w:val="20"/>
                <w:szCs w:val="20"/>
                <w:color w:val="auto"/>
              </w:rPr>
            </w:pPr>
            <w:r>
              <w:rPr>
                <w:rFonts w:ascii="Arial" w:cs="Arial" w:eastAsia="Arial" w:hAnsi="Arial"/>
                <w:sz w:val="15"/>
                <w:szCs w:val="15"/>
                <w:color w:val="auto"/>
              </w:rPr>
              <w:t>Total operating expenses</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647,582</w:t>
            </w:r>
          </w:p>
        </w:tc>
        <w:tc>
          <w:tcPr>
            <w:tcW w:w="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757,225</w:t>
            </w: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(109,643)</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ind w:right="60" w:firstLine="464"/>
        <w:spacing w:after="0" w:line="259" w:lineRule="auto"/>
        <w:rPr>
          <w:sz w:val="20"/>
          <w:szCs w:val="20"/>
          <w:color w:val="auto"/>
        </w:rPr>
      </w:pPr>
      <w:r>
        <w:rPr>
          <w:rFonts w:ascii="Arial" w:cs="Arial" w:eastAsia="Arial" w:hAnsi="Arial"/>
          <w:sz w:val="17"/>
          <w:szCs w:val="17"/>
          <w:color w:val="auto"/>
        </w:rPr>
        <w:t>In the three months ended June 30, 2023, research and development expenses decreased by $52.7 million, or 19%, compared to the same period last year. The decrease was attributable to our efforts to manage our cost structure, including the restructuring of our workforce in September 2022 and February 2023, and the sunsetting of our employee sabbatical program in the three months ended March 31, 2023. As a result, total personnel costs decreased by $54.8 million, driven by a 13% average decrease in research and development headcount. This decrease was partially offset by increases in other operating expense categories that were not significant either individually or in the aggregate.</w:t>
      </w:r>
    </w:p>
    <w:p>
      <w:pPr>
        <w:spacing w:after="0" w:line="183" w:lineRule="exact"/>
        <w:rPr>
          <w:sz w:val="20"/>
          <w:szCs w:val="20"/>
          <w:color w:val="auto"/>
        </w:rPr>
      </w:pPr>
    </w:p>
    <w:p>
      <w:pPr>
        <w:ind w:firstLine="464"/>
        <w:spacing w:after="0" w:line="307" w:lineRule="auto"/>
        <w:rPr>
          <w:sz w:val="20"/>
          <w:szCs w:val="20"/>
          <w:color w:val="auto"/>
        </w:rPr>
      </w:pPr>
      <w:r>
        <w:rPr>
          <w:rFonts w:ascii="Arial" w:cs="Arial" w:eastAsia="Arial" w:hAnsi="Arial"/>
          <w:sz w:val="15"/>
          <w:szCs w:val="15"/>
          <w:color w:val="auto"/>
        </w:rPr>
        <w:t>In the three months ended June 30, 2023, sales and marketing expenses decreased by $73.4 million, or 22%, compared to the same period last year. The decrease was attributable to our efforts to manage our cost structure, including the restructuring of our workforce in September 2022 and February 2023, and the sunsetting of our employee sabbatical program in the three months ended March 31, 2023. As a result, total personnel costs decreased by $61.0 million, driven by a 24% average decrease in sales and marketing headcount. The lower sales and marketing expenses were also due to a $8.3 million decrease in advertising expenses.</w:t>
      </w:r>
    </w:p>
    <w:p>
      <w:pPr>
        <w:spacing w:after="0" w:line="149" w:lineRule="exact"/>
        <w:rPr>
          <w:sz w:val="20"/>
          <w:szCs w:val="20"/>
          <w:color w:val="auto"/>
        </w:rPr>
      </w:pPr>
    </w:p>
    <w:p>
      <w:pPr>
        <w:ind w:firstLine="464"/>
        <w:spacing w:after="0" w:line="258" w:lineRule="auto"/>
        <w:rPr>
          <w:sz w:val="20"/>
          <w:szCs w:val="20"/>
          <w:color w:val="auto"/>
        </w:rPr>
      </w:pPr>
      <w:r>
        <w:rPr>
          <w:rFonts w:ascii="Arial" w:cs="Arial" w:eastAsia="Arial" w:hAnsi="Arial"/>
          <w:sz w:val="17"/>
          <w:szCs w:val="17"/>
          <w:color w:val="auto"/>
        </w:rPr>
        <w:t>In the three months ended June 30, 2023, general and administrative expenses decreased by $7.8 million, or 5%, compared to the same period last year. The decrease was attributable to our efforts to manage our cost structure, including the restructuring of our workforce in September 2022 and February 2023, and the sunsetting of our employee sabbatical program in the three months ended March 31, 2023. As a result, total personnel costs decreased by $34.6 million, driven by a 35% average decrease in general and administrative headcount. This decrease was partially offset by a $28.8 million loss on net assets held for sale related to the sale of our ValueFirst business. For further detail refer to Note 5 to our unaudited condensed consolidated financial statements included elsewhere in this Quarterly Report on Form 10-Q.</w:t>
      </w:r>
    </w:p>
    <w:p>
      <w:pPr>
        <w:spacing w:after="0" w:line="183" w:lineRule="exact"/>
        <w:rPr>
          <w:sz w:val="20"/>
          <w:szCs w:val="20"/>
          <w:color w:val="auto"/>
        </w:rPr>
      </w:pPr>
    </w:p>
    <w:p>
      <w:pPr>
        <w:ind w:right="100" w:firstLine="464"/>
        <w:spacing w:after="0" w:line="312" w:lineRule="auto"/>
        <w:rPr>
          <w:sz w:val="20"/>
          <w:szCs w:val="20"/>
          <w:color w:val="auto"/>
        </w:rPr>
      </w:pPr>
      <w:r>
        <w:rPr>
          <w:rFonts w:ascii="Arial" w:cs="Arial" w:eastAsia="Arial" w:hAnsi="Arial"/>
          <w:sz w:val="16"/>
          <w:szCs w:val="16"/>
          <w:color w:val="auto"/>
        </w:rPr>
        <w:t>In the three months ended June 30, 2023, we incurred $14.9 million in restructuring costs primarily as a result of our February 2023 Plan. For further detail refer to Note 7 to our unaudited condensed consolidated financial statements included elsewhere in this Quarterly Report on Form 10-Q.</w:t>
      </w:r>
    </w:p>
    <w:p>
      <w:pPr>
        <w:spacing w:after="0" w:line="140" w:lineRule="exact"/>
        <w:rPr>
          <w:sz w:val="20"/>
          <w:szCs w:val="20"/>
          <w:color w:val="auto"/>
        </w:rPr>
      </w:pPr>
    </w:p>
    <w:p>
      <w:pPr>
        <w:ind w:right="20" w:firstLine="464"/>
        <w:spacing w:after="0" w:line="266" w:lineRule="auto"/>
        <w:rPr>
          <w:sz w:val="20"/>
          <w:szCs w:val="20"/>
          <w:color w:val="auto"/>
        </w:rPr>
      </w:pPr>
      <w:r>
        <w:rPr>
          <w:rFonts w:ascii="Arial" w:cs="Arial" w:eastAsia="Arial" w:hAnsi="Arial"/>
          <w:sz w:val="17"/>
          <w:szCs w:val="17"/>
          <w:color w:val="auto"/>
        </w:rPr>
        <w:t>In the three months ended June 30, 2023, we incurred $9.3 million in impairment charges related to certain of our operating lease assets and other long-lived assets as a result of permanently closing several offices in the second quarter of 2023. For further detail refer to Note 6 to our unaudited condensed consolidated financial statements included elsewhere in this Quarterly Report on Form 10-Q.</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w:t>
      </w:r>
    </w:p>
    <w:p>
      <w:pPr>
        <w:spacing w:after="0" w:line="217" w:lineRule="exact"/>
        <w:rPr>
          <w:sz w:val="20"/>
          <w:szCs w:val="20"/>
          <w:color w:val="auto"/>
        </w:rPr>
      </w:pPr>
    </w:p>
    <w:p>
      <w:pPr>
        <w:ind w:right="120" w:firstLine="464"/>
        <w:spacing w:after="0" w:line="266" w:lineRule="auto"/>
        <w:rPr>
          <w:sz w:val="20"/>
          <w:szCs w:val="20"/>
          <w:color w:val="auto"/>
        </w:rPr>
      </w:pPr>
      <w:r>
        <w:rPr>
          <w:rFonts w:ascii="Arial" w:cs="Arial" w:eastAsia="Arial" w:hAnsi="Arial"/>
          <w:sz w:val="17"/>
          <w:szCs w:val="17"/>
          <w:color w:val="auto"/>
        </w:rPr>
        <w:t>Our CODM evaluates the performance of our Communications and Data &amp; Applications segments based on several factors, of which the primary financial measures of segment profitability are total revenue and non-GAAP gross profit. The following table presents the non-GAAP gross profit measure for each segment, as presented to our CODM for the three months ended June 30, 2023:</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8"/>
        </w:trPr>
        <w:tc>
          <w:tcPr>
            <w:tcW w:w="3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99"/>
        </w:trPr>
        <w:tc>
          <w:tcPr>
            <w:tcW w:w="38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6"/>
        </w:trPr>
        <w:tc>
          <w:tcPr>
            <w:tcW w:w="3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344"/>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7"/>
                <w:szCs w:val="17"/>
                <w:color w:val="auto"/>
              </w:rPr>
            </w:pPr>
          </w:p>
        </w:tc>
      </w:tr>
      <w:tr>
        <w:trPr>
          <w:trHeight w:val="24"/>
        </w:trPr>
        <w:tc>
          <w:tcPr>
            <w:tcW w:w="3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75"/>
        </w:trPr>
        <w:tc>
          <w:tcPr>
            <w:tcW w:w="3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3"/>
          </w:tcPr>
          <w:p>
            <w:pPr>
              <w:jc w:val="right"/>
              <w:ind w:right="140"/>
              <w:spacing w:after="0"/>
              <w:rPr>
                <w:sz w:val="20"/>
                <w:szCs w:val="20"/>
                <w:color w:val="auto"/>
              </w:rPr>
            </w:pPr>
            <w:r>
              <w:rPr>
                <w:rFonts w:ascii="Arial" w:cs="Arial" w:eastAsia="Arial" w:hAnsi="Arial"/>
                <w:sz w:val="14"/>
                <w:szCs w:val="14"/>
                <w:color w:val="auto"/>
                <w:w w:val="95"/>
              </w:rPr>
              <w:t>(Dollars in thousands)</w:t>
            </w: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4"/>
        </w:trPr>
        <w:tc>
          <w:tcPr>
            <w:tcW w:w="3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9"/>
        </w:trPr>
        <w:tc>
          <w:tcPr>
            <w:tcW w:w="3840" w:type="dxa"/>
            <w:vAlign w:val="bottom"/>
            <w:shd w:val="clear" w:color="auto" w:fill="CCEEFF"/>
          </w:tcPr>
          <w:p>
            <w:pPr>
              <w:spacing w:after="0"/>
              <w:rPr>
                <w:sz w:val="20"/>
                <w:szCs w:val="20"/>
                <w:color w:val="auto"/>
              </w:rPr>
            </w:pPr>
            <w:r>
              <w:rPr>
                <w:rFonts w:ascii="Arial" w:cs="Arial" w:eastAsia="Arial" w:hAnsi="Arial"/>
                <w:sz w:val="15"/>
                <w:szCs w:val="15"/>
                <w:color w:val="auto"/>
              </w:rPr>
              <w:t>Twilio Communications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ind w:left="340"/>
              <w:spacing w:after="0"/>
              <w:rPr>
                <w:sz w:val="20"/>
                <w:szCs w:val="20"/>
                <w:color w:val="auto"/>
              </w:rPr>
            </w:pPr>
            <w:r>
              <w:rPr>
                <w:rFonts w:ascii="Arial" w:cs="Arial" w:eastAsia="Arial" w:hAnsi="Arial"/>
                <w:sz w:val="15"/>
                <w:szCs w:val="15"/>
                <w:color w:val="auto"/>
                <w:w w:val="99"/>
              </w:rPr>
              <w:t>440,071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387,294</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52,777</w:t>
            </w: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14 %</w:t>
            </w:r>
          </w:p>
        </w:tc>
      </w:tr>
      <w:tr>
        <w:trPr>
          <w:trHeight w:val="229"/>
        </w:trPr>
        <w:tc>
          <w:tcPr>
            <w:tcW w:w="38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Twilio Data &amp; Applications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w w:val="99"/>
              </w:rPr>
              <w:t>101,810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93,469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8,341</w:t>
            </w:r>
          </w:p>
        </w:tc>
        <w:tc>
          <w:tcPr>
            <w:tcW w:w="3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9 %</w:t>
            </w:r>
          </w:p>
        </w:tc>
      </w:tr>
      <w:tr>
        <w:trPr>
          <w:trHeight w:val="235"/>
        </w:trPr>
        <w:tc>
          <w:tcPr>
            <w:tcW w:w="38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Consolidated total non-GAAP gross profit</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ind w:left="340"/>
              <w:spacing w:after="0"/>
              <w:rPr>
                <w:sz w:val="20"/>
                <w:szCs w:val="20"/>
                <w:color w:val="auto"/>
              </w:rPr>
            </w:pPr>
            <w:r>
              <w:rPr>
                <w:rFonts w:ascii="Arial" w:cs="Arial" w:eastAsia="Arial" w:hAnsi="Arial"/>
                <w:sz w:val="15"/>
                <w:szCs w:val="15"/>
                <w:color w:val="auto"/>
                <w:w w:val="99"/>
              </w:rPr>
              <w:t>541,881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480,763</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61,118</w:t>
            </w:r>
          </w:p>
        </w:tc>
        <w:tc>
          <w:tcPr>
            <w:tcW w:w="3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13 %</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r>
    </w:tbl>
    <w:p>
      <w:pPr>
        <w:spacing w:after="0" w:line="284" w:lineRule="exact"/>
        <w:rPr>
          <w:sz w:val="20"/>
          <w:szCs w:val="20"/>
          <w:color w:val="auto"/>
        </w:rPr>
      </w:pPr>
    </w:p>
    <w:p>
      <w:pPr>
        <w:ind w:right="240" w:firstLine="464"/>
        <w:spacing w:after="0" w:line="262" w:lineRule="auto"/>
        <w:rPr>
          <w:sz w:val="20"/>
          <w:szCs w:val="20"/>
          <w:color w:val="auto"/>
        </w:rPr>
      </w:pPr>
      <w:r>
        <w:rPr>
          <w:rFonts w:ascii="Arial" w:cs="Arial" w:eastAsia="Arial" w:hAnsi="Arial"/>
          <w:sz w:val="17"/>
          <w:szCs w:val="17"/>
          <w:color w:val="auto"/>
        </w:rPr>
        <w:t>In the three months ended June 30, 2023, Communications non-GAAP gross profit increased by $52.8 million, or 14%, compared to the same period last year. The increase in non-GAAP gross profit was primarily driven by the same factors impacting Communications segment’s total revenue and cost of sales, as described above, adjusted for a $0.3 million net decrease, in aggregate, in stock-based compensation, payroll taxes related to stock-based compensation and amortization of acquired intangibles.</w:t>
      </w:r>
    </w:p>
    <w:p>
      <w:pPr>
        <w:spacing w:after="0" w:line="178" w:lineRule="exact"/>
        <w:rPr>
          <w:sz w:val="20"/>
          <w:szCs w:val="20"/>
          <w:color w:val="auto"/>
        </w:rPr>
      </w:pPr>
    </w:p>
    <w:p>
      <w:pPr>
        <w:ind w:right="40" w:firstLine="464"/>
        <w:spacing w:after="0" w:line="262" w:lineRule="auto"/>
        <w:rPr>
          <w:sz w:val="20"/>
          <w:szCs w:val="20"/>
          <w:color w:val="auto"/>
        </w:rPr>
      </w:pPr>
      <w:r>
        <w:rPr>
          <w:rFonts w:ascii="Arial" w:cs="Arial" w:eastAsia="Arial" w:hAnsi="Arial"/>
          <w:sz w:val="17"/>
          <w:szCs w:val="17"/>
          <w:color w:val="auto"/>
        </w:rPr>
        <w:t>In the three months ended June 30, 2023, Data &amp; Applications non-GAAP gross profit increased by $8.3 million, or 9%, compared to the same period last year. The increase in non-GAAP gross profit was primarily driven by the same factors impacting Data &amp; Applications segment’s total revenue and cost of sales, as described above, adjusted for a $0.9 million net increase, in aggregate, in stock-based compensation, payroll taxes related to stock-based compensation and amortization of acquired intangibles.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Six Months Ended June 30, 2023 and 2022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46" w:lineRule="exact"/>
        <w:rPr>
          <w:sz w:val="20"/>
          <w:szCs w:val="20"/>
          <w:color w:val="auto"/>
        </w:rPr>
      </w:pPr>
    </w:p>
    <w:tbl>
      <w:tblPr>
        <w:tblLayout w:type="fixed"/>
        <w:tblInd w:w="620" w:type="dxa"/>
        <w:tblCellMar>
          <w:top w:w="0" w:type="dxa"/>
          <w:left w:w="0" w:type="dxa"/>
          <w:bottom w:w="0" w:type="dxa"/>
          <w:right w:w="0" w:type="dxa"/>
        </w:tblCellMar>
      </w:tblPr>
      <w:tr>
        <w:trPr>
          <w:trHeight w:val="178"/>
        </w:trPr>
        <w:tc>
          <w:tcPr>
            <w:tcW w:w="2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4"/>
          </w:tcPr>
          <w:p>
            <w:pPr>
              <w:jc w:val="right"/>
              <w:ind w:right="746"/>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w w:val="93"/>
              </w:rPr>
              <w:t>Change</w:t>
            </w: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4"/>
                <w:szCs w:val="14"/>
                <w:color w:val="auto"/>
                <w:w w:val="92"/>
              </w:rPr>
              <w:t>(Dollars in thousands)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Twilio Communications</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1,796,365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1,604,158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192,207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9"/>
              </w:rPr>
              <w:t>12%</w:t>
            </w:r>
          </w:p>
        </w:tc>
        <w:tc>
          <w:tcPr>
            <w:tcW w:w="0" w:type="dxa"/>
            <w:vAlign w:val="bottom"/>
          </w:tcPr>
          <w:p>
            <w:pPr>
              <w:spacing w:after="0"/>
              <w:rPr>
                <w:sz w:val="1"/>
                <w:szCs w:val="1"/>
                <w:color w:val="auto"/>
              </w:rPr>
            </w:pPr>
          </w:p>
        </w:tc>
      </w:tr>
      <w:tr>
        <w:trPr>
          <w:trHeight w:val="206"/>
        </w:trPr>
        <w:tc>
          <w:tcPr>
            <w:tcW w:w="2520" w:type="dxa"/>
            <w:vAlign w:val="bottom"/>
          </w:tcPr>
          <w:p>
            <w:pPr>
              <w:ind w:left="20"/>
              <w:spacing w:after="0"/>
              <w:rPr>
                <w:sz w:val="20"/>
                <w:szCs w:val="20"/>
                <w:color w:val="auto"/>
              </w:rPr>
            </w:pPr>
            <w:r>
              <w:rPr>
                <w:rFonts w:ascii="Arial" w:cs="Arial" w:eastAsia="Arial" w:hAnsi="Arial"/>
                <w:sz w:val="15"/>
                <w:szCs w:val="15"/>
                <w:color w:val="auto"/>
              </w:rPr>
              <w:t>Twilio Data &amp; Applications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247,960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214,559</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33,401</w:t>
            </w:r>
          </w:p>
        </w:tc>
        <w:tc>
          <w:tcPr>
            <w:tcW w:w="100" w:type="dxa"/>
            <w:vAlign w:val="bottom"/>
          </w:tcPr>
          <w:p>
            <w:pPr>
              <w:spacing w:after="0"/>
              <w:rPr>
                <w:sz w:val="17"/>
                <w:szCs w:val="17"/>
                <w:color w:val="auto"/>
              </w:rPr>
            </w:pPr>
          </w:p>
        </w:tc>
        <w:tc>
          <w:tcPr>
            <w:tcW w:w="640" w:type="dxa"/>
            <w:vAlign w:val="bottom"/>
          </w:tcPr>
          <w:p>
            <w:pPr>
              <w:jc w:val="right"/>
              <w:ind w:right="243"/>
              <w:spacing w:after="0"/>
              <w:rPr>
                <w:sz w:val="20"/>
                <w:szCs w:val="20"/>
                <w:color w:val="auto"/>
              </w:rPr>
            </w:pPr>
            <w:r>
              <w:rPr>
                <w:rFonts w:ascii="Arial" w:cs="Arial" w:eastAsia="Arial" w:hAnsi="Arial"/>
                <w:sz w:val="15"/>
                <w:szCs w:val="15"/>
                <w:color w:val="auto"/>
                <w:w w:val="99"/>
              </w:rPr>
              <w:t>16%</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Consolidated total revenue</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2,044,325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1,818,717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225,608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9"/>
              </w:rPr>
              <w:t>12%</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40" w:firstLine="464"/>
        <w:spacing w:after="0" w:line="209" w:lineRule="exact"/>
        <w:rPr>
          <w:sz w:val="20"/>
          <w:szCs w:val="20"/>
          <w:color w:val="auto"/>
        </w:rPr>
      </w:pPr>
      <w:r>
        <w:rPr>
          <w:rFonts w:ascii="Arial" w:cs="Arial" w:eastAsia="Arial" w:hAnsi="Arial"/>
          <w:sz w:val="17"/>
          <w:szCs w:val="17"/>
          <w:color w:val="auto"/>
        </w:rPr>
        <w:t>In the six months ended June 30, 2023, Communications revenue increased by $192.2 million, or 12%, compared to the same period last year. This increase was primarily attributable to the increased usage of our products by our existing customers, as reflected in our Communications Dollar</w:t>
      </w:r>
      <w:r>
        <w:rPr>
          <w:rFonts w:ascii="MS PGothic" w:cs="MS PGothic" w:eastAsia="MS PGothic" w:hAnsi="MS PGothic"/>
          <w:sz w:val="17"/>
          <w:szCs w:val="17"/>
          <w:color w:val="auto"/>
        </w:rPr>
        <w:t>‑</w:t>
      </w:r>
      <w:r>
        <w:rPr>
          <w:rFonts w:ascii="Arial" w:cs="Arial" w:eastAsia="Arial" w:hAnsi="Arial"/>
          <w:sz w:val="17"/>
          <w:szCs w:val="17"/>
          <w:color w:val="auto"/>
        </w:rPr>
        <w:t>Based Net Expansion Rate of 105%, as well as an 11% increase in the number of Communications Active Customer Accounts from over 260,000 as of June 30, 2022 to over 289,000 as of June 30, 2023.</w:t>
      </w:r>
    </w:p>
    <w:p>
      <w:pPr>
        <w:spacing w:after="0" w:line="197" w:lineRule="exact"/>
        <w:rPr>
          <w:sz w:val="20"/>
          <w:szCs w:val="20"/>
          <w:color w:val="auto"/>
        </w:rPr>
      </w:pPr>
    </w:p>
    <w:p>
      <w:pPr>
        <w:ind w:right="80" w:firstLine="464"/>
        <w:spacing w:after="0" w:line="209" w:lineRule="exact"/>
        <w:rPr>
          <w:sz w:val="20"/>
          <w:szCs w:val="20"/>
          <w:color w:val="auto"/>
        </w:rPr>
      </w:pPr>
      <w:r>
        <w:rPr>
          <w:rFonts w:ascii="Arial" w:cs="Arial" w:eastAsia="Arial" w:hAnsi="Arial"/>
          <w:sz w:val="17"/>
          <w:szCs w:val="17"/>
          <w:color w:val="auto"/>
        </w:rPr>
        <w:t>In the six months ended June 30, 2023, Data &amp; Applications revenue increased by $33.4 million, or 16%, compared to the same period last year. This increase was primarily attributable to the increased usage of our products by our existing customers, as reflected in our Data &amp; Applications Dollar</w:t>
      </w:r>
      <w:r>
        <w:rPr>
          <w:rFonts w:ascii="MS PGothic" w:cs="MS PGothic" w:eastAsia="MS PGothic" w:hAnsi="MS PGothic"/>
          <w:sz w:val="17"/>
          <w:szCs w:val="17"/>
          <w:color w:val="auto"/>
        </w:rPr>
        <w:t>‑</w:t>
      </w:r>
      <w:r>
        <w:rPr>
          <w:rFonts w:ascii="Arial" w:cs="Arial" w:eastAsia="Arial" w:hAnsi="Arial"/>
          <w:sz w:val="17"/>
          <w:szCs w:val="17"/>
          <w:color w:val="auto"/>
        </w:rPr>
        <w:t>Based Net Expansion Rate of 101%, as well as a 4% increase in the number of Data &amp; Applications Active Customer Accounts from over 26,000 as of June 30, 2022 to over 27,000 as of June 30, 2023.</w:t>
      </w:r>
    </w:p>
    <w:p>
      <w:pPr>
        <w:spacing w:after="0" w:line="197" w:lineRule="exact"/>
        <w:rPr>
          <w:sz w:val="20"/>
          <w:szCs w:val="20"/>
          <w:color w:val="auto"/>
        </w:rPr>
      </w:pPr>
    </w:p>
    <w:p>
      <w:pPr>
        <w:ind w:firstLine="464"/>
        <w:spacing w:after="0" w:line="210" w:lineRule="exact"/>
        <w:rPr>
          <w:sz w:val="20"/>
          <w:szCs w:val="20"/>
          <w:color w:val="auto"/>
        </w:rPr>
      </w:pPr>
      <w:r>
        <w:rPr>
          <w:rFonts w:ascii="Arial" w:cs="Arial" w:eastAsia="Arial" w:hAnsi="Arial"/>
          <w:sz w:val="16"/>
          <w:szCs w:val="16"/>
          <w:color w:val="auto"/>
        </w:rPr>
        <w:t>In the six months ended June 30, 2023, consolidated total revenue increased by $225.6 million, or 12%, compared to the same period last year. This increase was primarily attributable to the increased usage of our products by our existing customers, as reflected in our Dollar</w:t>
      </w:r>
      <w:r>
        <w:rPr>
          <w:rFonts w:ascii="MS PGothic" w:cs="MS PGothic" w:eastAsia="MS PGothic" w:hAnsi="MS PGothic"/>
          <w:sz w:val="16"/>
          <w:szCs w:val="16"/>
          <w:color w:val="auto"/>
        </w:rPr>
        <w:t>‑</w:t>
      </w:r>
      <w:r>
        <w:rPr>
          <w:rFonts w:ascii="Arial" w:cs="Arial" w:eastAsia="Arial" w:hAnsi="Arial"/>
          <w:sz w:val="16"/>
          <w:szCs w:val="16"/>
          <w:color w:val="auto"/>
        </w:rPr>
        <w:t>Based Net Expansion Rate of 105%, as well as an 11% increase in the number of Active Customer Accounts from over 275,000 as of June 30, 2022 to over 304,000 as of June 30, 2023.</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0" w:firstLine="464"/>
        <w:spacing w:after="0" w:line="266" w:lineRule="auto"/>
        <w:rPr>
          <w:sz w:val="20"/>
          <w:szCs w:val="20"/>
          <w:color w:val="auto"/>
        </w:rPr>
      </w:pPr>
      <w:r>
        <w:rPr>
          <w:rFonts w:ascii="Arial" w:cs="Arial" w:eastAsia="Arial" w:hAnsi="Arial"/>
          <w:sz w:val="17"/>
          <w:szCs w:val="17"/>
          <w:color w:val="auto"/>
        </w:rPr>
        <w:t>In the six months ended June 30, 2023, U.S. revenue and international revenue represented $1.4 billion or 66%, and $689.6 million, or 34%, respectively, of total revenue. In the six months ended June 30, 2022, U.S. revenue and international revenue represented $1.2 billion, or 65%, and $632.0 million, or 35%, respectively, of total revenue.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 and Gross Margin</w:t>
      </w:r>
    </w:p>
    <w:p>
      <w:pPr>
        <w:spacing w:after="0" w:line="246" w:lineRule="exact"/>
        <w:rPr>
          <w:sz w:val="20"/>
          <w:szCs w:val="20"/>
          <w:color w:val="auto"/>
        </w:rPr>
      </w:pPr>
    </w:p>
    <w:tbl>
      <w:tblPr>
        <w:tblLayout w:type="fixed"/>
        <w:tblInd w:w="2320" w:type="dxa"/>
        <w:tblCellMar>
          <w:top w:w="0" w:type="dxa"/>
          <w:left w:w="0" w:type="dxa"/>
          <w:bottom w:w="0" w:type="dxa"/>
          <w:right w:w="0" w:type="dxa"/>
        </w:tblCellMar>
      </w:tblPr>
      <w:tr>
        <w:trPr>
          <w:trHeight w:val="178"/>
        </w:trPr>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40" w:type="dxa"/>
            <w:vAlign w:val="bottom"/>
            <w:gridSpan w:val="3"/>
          </w:tcPr>
          <w:p>
            <w:pPr>
              <w:jc w:val="right"/>
              <w:ind w:right="825"/>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98"/>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86"/>
        </w:trPr>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46"/>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6"/>
                <w:szCs w:val="16"/>
                <w:color w:val="auto"/>
              </w:rPr>
            </w:pPr>
          </w:p>
        </w:tc>
      </w:tr>
      <w:tr>
        <w:trPr>
          <w:trHeight w:val="184"/>
        </w:trPr>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2"/>
          </w:tcPr>
          <w:p>
            <w:pPr>
              <w:jc w:val="right"/>
              <w:ind w:right="203"/>
              <w:spacing w:after="0"/>
              <w:rPr>
                <w:sz w:val="20"/>
                <w:szCs w:val="20"/>
                <w:color w:val="auto"/>
              </w:rPr>
            </w:pPr>
            <w:r>
              <w:rPr>
                <w:rFonts w:ascii="Arial" w:cs="Arial" w:eastAsia="Arial" w:hAnsi="Arial"/>
                <w:sz w:val="14"/>
                <w:szCs w:val="14"/>
                <w:color w:val="auto"/>
                <w:w w:val="92"/>
              </w:rPr>
              <w:t>(Dollars in thousands)</w:t>
            </w: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96"/>
        </w:trPr>
        <w:tc>
          <w:tcPr>
            <w:tcW w:w="238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Twilio Communications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3"/>
        </w:trPr>
        <w:tc>
          <w:tcPr>
            <w:tcW w:w="1500" w:type="dxa"/>
            <w:vAlign w:val="bottom"/>
            <w:tcBorders>
              <w:top w:val="single" w:sz="8" w:color="auto"/>
            </w:tcBorders>
            <w:gridSpan w:val="2"/>
          </w:tcPr>
          <w:p>
            <w:pPr>
              <w:ind w:left="220"/>
              <w:spacing w:after="0"/>
              <w:rPr>
                <w:sz w:val="20"/>
                <w:szCs w:val="20"/>
                <w:color w:val="auto"/>
              </w:rPr>
            </w:pPr>
            <w:r>
              <w:rPr>
                <w:rFonts w:ascii="Arial" w:cs="Arial" w:eastAsia="Arial" w:hAnsi="Arial"/>
                <w:sz w:val="15"/>
                <w:szCs w:val="15"/>
                <w:color w:val="auto"/>
              </w:rPr>
              <w:t>Cost of revenue</w:t>
            </w:r>
          </w:p>
        </w:tc>
        <w:tc>
          <w:tcPr>
            <w:tcW w:w="880" w:type="dxa"/>
            <w:vAlign w:val="bottom"/>
            <w:tcBorders>
              <w:top w:val="single" w:sz="8" w:color="CCEEFF"/>
            </w:tcBorders>
            <w:gridSpan w:val="2"/>
          </w:tcPr>
          <w:p>
            <w:pPr>
              <w:spacing w:after="0"/>
              <w:rPr>
                <w:sz w:val="17"/>
                <w:szCs w:val="17"/>
                <w:color w:val="auto"/>
              </w:rPr>
            </w:pPr>
          </w:p>
        </w:tc>
        <w:tc>
          <w:tcPr>
            <w:tcW w:w="340" w:type="dxa"/>
            <w:vAlign w:val="bottom"/>
            <w:tcBorders>
              <w:top w:val="single" w:sz="8" w:color="CCEEFF"/>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CCEEFF"/>
            </w:tcBorders>
          </w:tcPr>
          <w:p>
            <w:pPr>
              <w:jc w:val="right"/>
              <w:ind w:right="166"/>
              <w:spacing w:after="0"/>
              <w:rPr>
                <w:sz w:val="20"/>
                <w:szCs w:val="20"/>
                <w:color w:val="auto"/>
              </w:rPr>
            </w:pPr>
            <w:r>
              <w:rPr>
                <w:rFonts w:ascii="Arial" w:cs="Arial" w:eastAsia="Arial" w:hAnsi="Arial"/>
                <w:sz w:val="15"/>
                <w:szCs w:val="15"/>
                <w:color w:val="auto"/>
              </w:rPr>
              <w:t>968,854</w:t>
            </w:r>
          </w:p>
        </w:tc>
        <w:tc>
          <w:tcPr>
            <w:tcW w:w="300" w:type="dxa"/>
            <w:vAlign w:val="bottom"/>
            <w:tcBorders>
              <w:top w:val="single" w:sz="8" w:color="CCEEFF"/>
            </w:tcBorders>
          </w:tcPr>
          <w:p>
            <w:pPr>
              <w:jc w:val="right"/>
              <w:ind w:right="83"/>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CCEEFF"/>
            </w:tcBorders>
          </w:tcPr>
          <w:p>
            <w:pPr>
              <w:jc w:val="right"/>
              <w:ind w:right="105"/>
              <w:spacing w:after="0"/>
              <w:rPr>
                <w:sz w:val="20"/>
                <w:szCs w:val="20"/>
                <w:color w:val="auto"/>
              </w:rPr>
            </w:pPr>
            <w:r>
              <w:rPr>
                <w:rFonts w:ascii="Arial" w:cs="Arial" w:eastAsia="Arial" w:hAnsi="Arial"/>
                <w:sz w:val="15"/>
                <w:szCs w:val="15"/>
                <w:color w:val="auto"/>
              </w:rPr>
              <w:t>882,785</w:t>
            </w:r>
          </w:p>
        </w:tc>
        <w:tc>
          <w:tcPr>
            <w:tcW w:w="440" w:type="dxa"/>
            <w:vAlign w:val="bottom"/>
            <w:tcBorders>
              <w:top w:val="single" w:sz="8" w:color="CCEEFF"/>
            </w:tcBorders>
          </w:tcPr>
          <w:p>
            <w:pPr>
              <w:jc w:val="right"/>
              <w:ind w:right="163"/>
              <w:spacing w:after="0"/>
              <w:rPr>
                <w:sz w:val="20"/>
                <w:szCs w:val="20"/>
                <w:color w:val="auto"/>
              </w:rPr>
            </w:pPr>
            <w:r>
              <w:rPr>
                <w:rFonts w:ascii="Arial" w:cs="Arial" w:eastAsia="Arial" w:hAnsi="Arial"/>
                <w:sz w:val="15"/>
                <w:szCs w:val="15"/>
                <w:color w:val="auto"/>
              </w:rPr>
              <w:t>$</w:t>
            </w:r>
          </w:p>
        </w:tc>
        <w:tc>
          <w:tcPr>
            <w:tcW w:w="1020" w:type="dxa"/>
            <w:vAlign w:val="bottom"/>
            <w:tcBorders>
              <w:top w:val="single" w:sz="8" w:color="CCEEFF"/>
            </w:tcBorders>
          </w:tcPr>
          <w:p>
            <w:pPr>
              <w:jc w:val="right"/>
              <w:ind w:right="285"/>
              <w:spacing w:after="0"/>
              <w:rPr>
                <w:sz w:val="20"/>
                <w:szCs w:val="20"/>
                <w:color w:val="auto"/>
              </w:rPr>
            </w:pPr>
            <w:r>
              <w:rPr>
                <w:rFonts w:ascii="Arial" w:cs="Arial" w:eastAsia="Arial" w:hAnsi="Arial"/>
                <w:sz w:val="15"/>
                <w:szCs w:val="15"/>
                <w:color w:val="auto"/>
              </w:rPr>
              <w:t>86,069</w:t>
            </w:r>
          </w:p>
        </w:tc>
        <w:tc>
          <w:tcPr>
            <w:tcW w:w="52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rPr>
              <w:t>10 %</w:t>
            </w:r>
          </w:p>
        </w:tc>
      </w:tr>
      <w:tr>
        <w:trPr>
          <w:trHeight w:val="209"/>
        </w:trPr>
        <w:tc>
          <w:tcPr>
            <w:tcW w:w="238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rPr>
              <w:t>Gross margin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46 %</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45 %</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177"/>
        </w:trPr>
        <w:tc>
          <w:tcPr>
            <w:tcW w:w="1720" w:type="dxa"/>
            <w:vAlign w:val="bottom"/>
            <w:tcBorders>
              <w:bottom w:val="single" w:sz="8" w:color="auto"/>
            </w:tcBorders>
            <w:gridSpan w:val="3"/>
          </w:tcPr>
          <w:p>
            <w:pPr>
              <w:spacing w:after="0" w:line="168" w:lineRule="exact"/>
              <w:rPr>
                <w:sz w:val="20"/>
                <w:szCs w:val="20"/>
                <w:color w:val="auto"/>
              </w:rPr>
            </w:pPr>
            <w:r>
              <w:rPr>
                <w:rFonts w:ascii="Arial" w:cs="Arial" w:eastAsia="Arial" w:hAnsi="Arial"/>
                <w:sz w:val="15"/>
                <w:szCs w:val="15"/>
                <w:color w:val="auto"/>
                <w:w w:val="98"/>
              </w:rPr>
              <w:t>Twilio Data &amp; Applications</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16"/>
        </w:trPr>
        <w:tc>
          <w:tcPr>
            <w:tcW w:w="238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rPr>
              <w:t>Cost of revenue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79,026</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65,572</w:t>
            </w:r>
          </w:p>
        </w:tc>
        <w:tc>
          <w:tcPr>
            <w:tcW w:w="4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rPr>
              <w:t>13,454</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21 %</w:t>
            </w:r>
          </w:p>
        </w:tc>
      </w:tr>
      <w:tr>
        <w:trPr>
          <w:trHeight w:val="203"/>
        </w:trPr>
        <w:tc>
          <w:tcPr>
            <w:tcW w:w="2380" w:type="dxa"/>
            <w:vAlign w:val="bottom"/>
            <w:gridSpan w:val="4"/>
          </w:tcPr>
          <w:p>
            <w:pPr>
              <w:ind w:left="220"/>
              <w:spacing w:after="0"/>
              <w:rPr>
                <w:sz w:val="20"/>
                <w:szCs w:val="20"/>
                <w:color w:val="auto"/>
              </w:rPr>
            </w:pPr>
            <w:r>
              <w:rPr>
                <w:rFonts w:ascii="Arial" w:cs="Arial" w:eastAsia="Arial" w:hAnsi="Arial"/>
                <w:sz w:val="15"/>
                <w:szCs w:val="15"/>
                <w:color w:val="auto"/>
              </w:rPr>
              <w:t>Gross margin</w:t>
            </w:r>
          </w:p>
        </w:tc>
        <w:tc>
          <w:tcPr>
            <w:tcW w:w="340" w:type="dxa"/>
            <w:vAlign w:val="bottom"/>
          </w:tcPr>
          <w:p>
            <w:pPr>
              <w:spacing w:after="0"/>
              <w:rPr>
                <w:sz w:val="17"/>
                <w:szCs w:val="17"/>
                <w:color w:val="auto"/>
              </w:rPr>
            </w:pPr>
          </w:p>
        </w:tc>
        <w:tc>
          <w:tcPr>
            <w:tcW w:w="1120" w:type="dxa"/>
            <w:vAlign w:val="bottom"/>
          </w:tcPr>
          <w:p>
            <w:pPr>
              <w:jc w:val="right"/>
              <w:ind w:right="6"/>
              <w:spacing w:after="0"/>
              <w:rPr>
                <w:sz w:val="20"/>
                <w:szCs w:val="20"/>
                <w:color w:val="auto"/>
              </w:rPr>
            </w:pPr>
            <w:r>
              <w:rPr>
                <w:rFonts w:ascii="Arial" w:cs="Arial" w:eastAsia="Arial" w:hAnsi="Arial"/>
                <w:sz w:val="15"/>
                <w:szCs w:val="15"/>
                <w:color w:val="auto"/>
              </w:rPr>
              <w:t>68 %</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69 %</w:t>
            </w: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89"/>
        </w:trPr>
        <w:tc>
          <w:tcPr>
            <w:tcW w:w="1140" w:type="dxa"/>
            <w:vAlign w:val="bottom"/>
            <w:tcBorders>
              <w:bottom w:val="single" w:sz="8" w:color="auto"/>
            </w:tcBorders>
            <w:shd w:val="clear" w:color="auto" w:fill="CCEEFF"/>
          </w:tcPr>
          <w:p>
            <w:pPr>
              <w:spacing w:after="0" w:line="171" w:lineRule="exact"/>
              <w:rPr>
                <w:sz w:val="20"/>
                <w:szCs w:val="20"/>
                <w:color w:val="auto"/>
              </w:rPr>
            </w:pPr>
            <w:r>
              <w:rPr>
                <w:rFonts w:ascii="Arial" w:cs="Arial" w:eastAsia="Arial" w:hAnsi="Arial"/>
                <w:sz w:val="15"/>
                <w:szCs w:val="15"/>
                <w:color w:val="auto"/>
                <w:w w:val="93"/>
              </w:rPr>
              <w:t>Consolidated total</w:t>
            </w:r>
          </w:p>
        </w:tc>
        <w:tc>
          <w:tcPr>
            <w:tcW w:w="1240" w:type="dxa"/>
            <w:vAlign w:val="bottom"/>
            <w:tcBorders>
              <w:bottom w:val="single" w:sz="8" w:color="CCEEFF"/>
            </w:tcBorders>
            <w:gridSpan w:val="3"/>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r>
      <w:tr>
        <w:trPr>
          <w:trHeight w:val="203"/>
        </w:trPr>
        <w:tc>
          <w:tcPr>
            <w:tcW w:w="2380" w:type="dxa"/>
            <w:vAlign w:val="bottom"/>
            <w:gridSpan w:val="4"/>
          </w:tcPr>
          <w:p>
            <w:pPr>
              <w:ind w:left="220"/>
              <w:spacing w:after="0"/>
              <w:rPr>
                <w:sz w:val="20"/>
                <w:szCs w:val="20"/>
                <w:color w:val="auto"/>
              </w:rPr>
            </w:pPr>
            <w:r>
              <w:rPr>
                <w:rFonts w:ascii="Arial" w:cs="Arial" w:eastAsia="Arial" w:hAnsi="Arial"/>
                <w:sz w:val="15"/>
                <w:szCs w:val="15"/>
                <w:color w:val="auto"/>
              </w:rPr>
              <w:t>Cost of revenue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166"/>
              <w:spacing w:after="0"/>
              <w:rPr>
                <w:sz w:val="20"/>
                <w:szCs w:val="20"/>
                <w:color w:val="auto"/>
              </w:rPr>
            </w:pPr>
            <w:r>
              <w:rPr>
                <w:rFonts w:ascii="Arial" w:cs="Arial" w:eastAsia="Arial" w:hAnsi="Arial"/>
                <w:sz w:val="15"/>
                <w:szCs w:val="15"/>
                <w:color w:val="auto"/>
              </w:rPr>
              <w:t>1,047,880</w:t>
            </w:r>
          </w:p>
        </w:tc>
        <w:tc>
          <w:tcPr>
            <w:tcW w:w="3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05"/>
              <w:spacing w:after="0"/>
              <w:rPr>
                <w:sz w:val="20"/>
                <w:szCs w:val="20"/>
                <w:color w:val="auto"/>
              </w:rPr>
            </w:pPr>
            <w:r>
              <w:rPr>
                <w:rFonts w:ascii="Arial" w:cs="Arial" w:eastAsia="Arial" w:hAnsi="Arial"/>
                <w:sz w:val="15"/>
                <w:szCs w:val="15"/>
                <w:color w:val="auto"/>
              </w:rPr>
              <w:t>948,357</w:t>
            </w:r>
          </w:p>
        </w:tc>
        <w:tc>
          <w:tcPr>
            <w:tcW w:w="44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85"/>
              <w:spacing w:after="0"/>
              <w:rPr>
                <w:sz w:val="20"/>
                <w:szCs w:val="20"/>
                <w:color w:val="auto"/>
              </w:rPr>
            </w:pPr>
            <w:r>
              <w:rPr>
                <w:rFonts w:ascii="Arial" w:cs="Arial" w:eastAsia="Arial" w:hAnsi="Arial"/>
                <w:sz w:val="15"/>
                <w:szCs w:val="15"/>
                <w:color w:val="auto"/>
              </w:rPr>
              <w:t>99,523</w:t>
            </w:r>
          </w:p>
        </w:tc>
        <w:tc>
          <w:tcPr>
            <w:tcW w:w="520" w:type="dxa"/>
            <w:vAlign w:val="bottom"/>
          </w:tcPr>
          <w:p>
            <w:pPr>
              <w:jc w:val="right"/>
              <w:spacing w:after="0"/>
              <w:rPr>
                <w:sz w:val="20"/>
                <w:szCs w:val="20"/>
                <w:color w:val="auto"/>
              </w:rPr>
            </w:pPr>
            <w:r>
              <w:rPr>
                <w:rFonts w:ascii="Arial" w:cs="Arial" w:eastAsia="Arial" w:hAnsi="Arial"/>
                <w:sz w:val="15"/>
                <w:szCs w:val="15"/>
                <w:color w:val="auto"/>
              </w:rPr>
              <w:t>10 %</w:t>
            </w:r>
          </w:p>
        </w:tc>
      </w:tr>
      <w:tr>
        <w:trPr>
          <w:trHeight w:val="209"/>
        </w:trPr>
        <w:tc>
          <w:tcPr>
            <w:tcW w:w="238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rPr>
              <w:t>Gross margin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49 %</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48 %</w:t>
            </w: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bl>
    <w:p>
      <w:pPr>
        <w:spacing w:after="0" w:line="271" w:lineRule="exact"/>
        <w:rPr>
          <w:sz w:val="20"/>
          <w:szCs w:val="20"/>
          <w:color w:val="auto"/>
        </w:rPr>
      </w:pPr>
    </w:p>
    <w:p>
      <w:pPr>
        <w:ind w:right="200" w:firstLine="464"/>
        <w:spacing w:after="0" w:line="318" w:lineRule="auto"/>
        <w:rPr>
          <w:sz w:val="20"/>
          <w:szCs w:val="20"/>
          <w:color w:val="auto"/>
        </w:rPr>
      </w:pPr>
      <w:r>
        <w:rPr>
          <w:rFonts w:ascii="Arial" w:cs="Arial" w:eastAsia="Arial" w:hAnsi="Arial"/>
          <w:sz w:val="15"/>
          <w:szCs w:val="15"/>
          <w:color w:val="auto"/>
        </w:rPr>
        <w:t>In the six months ended June 30, 2023, Communications cost of revenue increased by $86.1 million, or 10%, compared to the same period last year. The increase in cost of revenue was primarily attributable to a $91.3 million increase in network service providers’ costs, which support the growth in usage of our products driven by the growth in Communications Active Customer Accounts and the increased usage of our products by existing customers as described above.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six months ended June 30, 2023, Data &amp; Applications cost of revenue increased by $13.5 million, or 21%, compared to the same period last year.</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Fluctuations in cost of revenue categories were not significant either individually or in the aggregate.</w:t>
      </w:r>
    </w:p>
    <w:p>
      <w:pPr>
        <w:spacing w:after="0" w:line="206" w:lineRule="exact"/>
        <w:rPr>
          <w:sz w:val="20"/>
          <w:szCs w:val="20"/>
          <w:color w:val="auto"/>
        </w:rPr>
      </w:pPr>
    </w:p>
    <w:p>
      <w:pPr>
        <w:ind w:right="240" w:firstLine="464"/>
        <w:spacing w:after="0" w:line="318" w:lineRule="auto"/>
        <w:rPr>
          <w:sz w:val="20"/>
          <w:szCs w:val="20"/>
          <w:color w:val="auto"/>
        </w:rPr>
      </w:pPr>
      <w:r>
        <w:rPr>
          <w:rFonts w:ascii="Arial" w:cs="Arial" w:eastAsia="Arial" w:hAnsi="Arial"/>
          <w:sz w:val="15"/>
          <w:szCs w:val="15"/>
          <w:color w:val="auto"/>
        </w:rPr>
        <w:t>In the six months ended June 30, 2023, consolidated total cost of revenue increased by $99.5 million, or 10%, compared to the same period last year. The increase in cost of revenue was primarily attributable to a $91.3 million increase in network service providers’ costs, which support the growth in usage of our products driven by the growth in Active Customer Accounts and the increase in usage of our products by existing customers as described above.</w:t>
      </w:r>
    </w:p>
    <w:p>
      <w:pPr>
        <w:spacing w:after="0" w:line="139"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In the six months ended June 30, 2023, Communications gross margin percentage increased compared to the same period This increase was primarily driven by a 90 basis point increase due to the network service providers’ costs increasing at a lower rate relative to revenue, net of the impact of hedging instruments. This is due to a higher proportion of revenue being derived from the United States, where margins are higher.</w:t>
      </w:r>
    </w:p>
    <w:p>
      <w:pPr>
        <w:spacing w:after="0" w:line="175" w:lineRule="exact"/>
        <w:rPr>
          <w:sz w:val="20"/>
          <w:szCs w:val="20"/>
          <w:color w:val="auto"/>
        </w:rPr>
      </w:pPr>
    </w:p>
    <w:p>
      <w:pPr>
        <w:ind w:right="220" w:firstLine="464"/>
        <w:spacing w:after="0" w:line="312" w:lineRule="auto"/>
        <w:rPr>
          <w:sz w:val="20"/>
          <w:szCs w:val="20"/>
          <w:color w:val="auto"/>
        </w:rPr>
      </w:pPr>
      <w:r>
        <w:rPr>
          <w:rFonts w:ascii="Arial" w:cs="Arial" w:eastAsia="Arial" w:hAnsi="Arial"/>
          <w:sz w:val="16"/>
          <w:szCs w:val="16"/>
          <w:color w:val="auto"/>
        </w:rPr>
        <w:t>In the six months ended June 30, 2023, Data &amp; Applications gross margin percentage decreased compared to the same period last year. This decrease was primarily driven by a 150 basis point decrease due to the increase in amortization of capitalized internal-use software development costs.</w:t>
      </w:r>
    </w:p>
    <w:p>
      <w:pPr>
        <w:spacing w:after="0" w:line="140" w:lineRule="exact"/>
        <w:rPr>
          <w:sz w:val="20"/>
          <w:szCs w:val="20"/>
          <w:color w:val="auto"/>
        </w:rPr>
      </w:pPr>
    </w:p>
    <w:p>
      <w:pPr>
        <w:ind w:right="480" w:firstLine="464"/>
        <w:spacing w:after="0" w:line="279" w:lineRule="auto"/>
        <w:rPr>
          <w:sz w:val="20"/>
          <w:szCs w:val="20"/>
          <w:color w:val="auto"/>
        </w:rPr>
      </w:pPr>
      <w:r>
        <w:rPr>
          <w:rFonts w:ascii="Arial" w:cs="Arial" w:eastAsia="Arial" w:hAnsi="Arial"/>
          <w:sz w:val="17"/>
          <w:szCs w:val="17"/>
          <w:color w:val="auto"/>
        </w:rPr>
        <w:t>In the six months ended June 30, 2023, consolidated total gross margin percentage increased compared to the same period last year. This increase was primarily driven by an increase in the gross margin of the Communications segment as described above.</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46" w:lineRule="exact"/>
        <w:rPr>
          <w:sz w:val="20"/>
          <w:szCs w:val="20"/>
          <w:color w:val="auto"/>
        </w:rPr>
      </w:pPr>
    </w:p>
    <w:tbl>
      <w:tblPr>
        <w:tblLayout w:type="fixed"/>
        <w:tblInd w:w="620" w:type="dxa"/>
        <w:tblCellMar>
          <w:top w:w="0" w:type="dxa"/>
          <w:left w:w="0" w:type="dxa"/>
          <w:bottom w:w="0" w:type="dxa"/>
          <w:right w:w="0" w:type="dxa"/>
        </w:tblCellMar>
      </w:tblPr>
      <w:tr>
        <w:trPr>
          <w:trHeight w:val="178"/>
        </w:trPr>
        <w:tc>
          <w:tcPr>
            <w:tcW w:w="2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80" w:type="dxa"/>
            <w:vAlign w:val="bottom"/>
            <w:gridSpan w:val="4"/>
          </w:tcPr>
          <w:p>
            <w:pPr>
              <w:jc w:val="right"/>
              <w:ind w:right="785"/>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98"/>
        </w:trPr>
        <w:tc>
          <w:tcPr>
            <w:tcW w:w="27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86"/>
        </w:trPr>
        <w:tc>
          <w:tcPr>
            <w:tcW w:w="2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6"/>
                <w:szCs w:val="16"/>
                <w:color w:val="auto"/>
              </w:rPr>
            </w:pPr>
          </w:p>
        </w:tc>
      </w:tr>
      <w:tr>
        <w:trPr>
          <w:trHeight w:val="184"/>
        </w:trPr>
        <w:tc>
          <w:tcPr>
            <w:tcW w:w="2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4"/>
                <w:szCs w:val="14"/>
                <w:color w:val="auto"/>
                <w:w w:val="93"/>
              </w:rPr>
              <w:t>(Dollars in thousands)</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Research and development</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465,491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520,252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(54,761)</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r>
      <w:tr>
        <w:trPr>
          <w:trHeight w:val="203"/>
        </w:trPr>
        <w:tc>
          <w:tcPr>
            <w:tcW w:w="2720" w:type="dxa"/>
            <w:vAlign w:val="bottom"/>
          </w:tcPr>
          <w:p>
            <w:pPr>
              <w:ind w:left="20"/>
              <w:spacing w:after="0"/>
              <w:rPr>
                <w:sz w:val="20"/>
                <w:szCs w:val="20"/>
                <w:color w:val="auto"/>
              </w:rPr>
            </w:pPr>
            <w:r>
              <w:rPr>
                <w:rFonts w:ascii="Arial" w:cs="Arial" w:eastAsia="Arial" w:hAnsi="Arial"/>
                <w:sz w:val="15"/>
                <w:szCs w:val="15"/>
                <w:color w:val="auto"/>
              </w:rPr>
              <w:t>Sales and marketing</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521,485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622,864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(101,379)</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09"/>
        </w:trPr>
        <w:tc>
          <w:tcPr>
            <w:tcW w:w="2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General and administrative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247,420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256,988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(9,568)</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203"/>
        </w:trPr>
        <w:tc>
          <w:tcPr>
            <w:tcW w:w="2720" w:type="dxa"/>
            <w:vAlign w:val="bottom"/>
          </w:tcPr>
          <w:p>
            <w:pPr>
              <w:ind w:left="20"/>
              <w:spacing w:after="0"/>
              <w:rPr>
                <w:sz w:val="20"/>
                <w:szCs w:val="20"/>
                <w:color w:val="auto"/>
              </w:rPr>
            </w:pPr>
            <w:r>
              <w:rPr>
                <w:rFonts w:ascii="Arial" w:cs="Arial" w:eastAsia="Arial" w:hAnsi="Arial"/>
                <w:sz w:val="15"/>
                <w:szCs w:val="15"/>
                <w:color w:val="auto"/>
              </w:rPr>
              <w:t>Restructuring costs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136,844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136,844</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100 %</w:t>
            </w:r>
          </w:p>
        </w:tc>
      </w:tr>
      <w:tr>
        <w:trPr>
          <w:trHeight w:val="206"/>
        </w:trPr>
        <w:tc>
          <w:tcPr>
            <w:tcW w:w="2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Impairment of long-lived assets</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31,116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31,116</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100 %</w:t>
            </w:r>
          </w:p>
        </w:tc>
      </w:tr>
      <w:tr>
        <w:trPr>
          <w:trHeight w:val="202"/>
        </w:trPr>
        <w:tc>
          <w:tcPr>
            <w:tcW w:w="2720" w:type="dxa"/>
            <w:vAlign w:val="bottom"/>
          </w:tcPr>
          <w:p>
            <w:pPr>
              <w:ind w:left="220"/>
              <w:spacing w:after="0"/>
              <w:rPr>
                <w:sz w:val="20"/>
                <w:szCs w:val="20"/>
                <w:color w:val="auto"/>
              </w:rPr>
            </w:pPr>
            <w:r>
              <w:rPr>
                <w:rFonts w:ascii="Arial" w:cs="Arial" w:eastAsia="Arial" w:hAnsi="Arial"/>
                <w:sz w:val="15"/>
                <w:szCs w:val="15"/>
                <w:color w:val="auto"/>
              </w:rPr>
              <w:t>Total operating expenses</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1,402,356</w:t>
            </w:r>
          </w:p>
        </w:tc>
        <w:tc>
          <w:tcPr>
            <w:tcW w:w="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1,400,104</w:t>
            </w:r>
          </w:p>
        </w:tc>
        <w:tc>
          <w:tcPr>
            <w:tcW w:w="4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2,252</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20"/>
        </w:trPr>
        <w:tc>
          <w:tcPr>
            <w:tcW w:w="2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71" w:lineRule="exact"/>
        <w:rPr>
          <w:sz w:val="20"/>
          <w:szCs w:val="20"/>
          <w:color w:val="auto"/>
        </w:rPr>
      </w:pPr>
    </w:p>
    <w:p>
      <w:pPr>
        <w:ind w:right="40" w:firstLine="464"/>
        <w:spacing w:after="0" w:line="257" w:lineRule="auto"/>
        <w:rPr>
          <w:sz w:val="20"/>
          <w:szCs w:val="20"/>
          <w:color w:val="auto"/>
        </w:rPr>
      </w:pPr>
      <w:r>
        <w:rPr>
          <w:rFonts w:ascii="Arial" w:cs="Arial" w:eastAsia="Arial" w:hAnsi="Arial"/>
          <w:sz w:val="17"/>
          <w:szCs w:val="17"/>
          <w:color w:val="auto"/>
        </w:rPr>
        <w:t>In the six months ended June 30, 2023, research and development expenses decreased by $54.8 million, or 11%, compared to the same period last year. The decrease was attributable to our efforts to manage our cost structure, including the restructuring of our workforce in September 2022 and February 2023, and sunsetting of our employee sabbatical program in the three months ended March 31, 2023. As a result, in the six months ended June 30, 2023, the average research and development headcount.decreased by 2% compared to the same period last year. Total personnel costs decreased by $57.5 million, primarily driven by a $36.2 million decrease in stock-based compensation expense, an $8.3 million decrease related to the sunsetting of our employee sabbatical program and a $13.0 million decrease in other personnel costs. These decreases were partially offset by increases in other operating expense categories that were not significant either individually or in the aggregate.</w:t>
      </w:r>
    </w:p>
    <w:p>
      <w:pPr>
        <w:spacing w:after="0" w:line="185" w:lineRule="exact"/>
        <w:rPr>
          <w:sz w:val="20"/>
          <w:szCs w:val="20"/>
          <w:color w:val="auto"/>
        </w:rPr>
      </w:pPr>
    </w:p>
    <w:p>
      <w:pPr>
        <w:ind w:firstLine="464"/>
        <w:spacing w:after="0" w:line="259" w:lineRule="auto"/>
        <w:rPr>
          <w:sz w:val="20"/>
          <w:szCs w:val="20"/>
          <w:color w:val="auto"/>
        </w:rPr>
      </w:pPr>
      <w:r>
        <w:rPr>
          <w:rFonts w:ascii="Arial" w:cs="Arial" w:eastAsia="Arial" w:hAnsi="Arial"/>
          <w:sz w:val="17"/>
          <w:szCs w:val="17"/>
          <w:color w:val="auto"/>
        </w:rPr>
        <w:t>In the six months ended June 30, 2023, sales and marketing expenses decreased by $101.4 million, or 16%, compared to the same period last year. The decrease was attributable to our efforts to manage our cost structure, including the restructuring of our workforce in September 2022 and February 2023, and sunsetting of our employee sabbatical program in the three months ended March 31, 2023. As a result, total personnel costs decreased by $79.5 million, driven by a 14% average decrease in sales and marketing headcount. The lower sales and marketing expenses were also due to a $12.5 million decrease in advertising expenses.</w:t>
      </w:r>
    </w:p>
    <w:p>
      <w:pPr>
        <w:spacing w:after="0" w:line="183" w:lineRule="exact"/>
        <w:rPr>
          <w:sz w:val="20"/>
          <w:szCs w:val="20"/>
          <w:color w:val="auto"/>
        </w:rPr>
      </w:pPr>
    </w:p>
    <w:p>
      <w:pPr>
        <w:ind w:firstLine="464"/>
        <w:spacing w:after="0" w:line="258" w:lineRule="auto"/>
        <w:rPr>
          <w:sz w:val="20"/>
          <w:szCs w:val="20"/>
          <w:color w:val="auto"/>
        </w:rPr>
      </w:pPr>
      <w:r>
        <w:rPr>
          <w:rFonts w:ascii="Arial" w:cs="Arial" w:eastAsia="Arial" w:hAnsi="Arial"/>
          <w:sz w:val="17"/>
          <w:szCs w:val="17"/>
          <w:color w:val="auto"/>
        </w:rPr>
        <w:t>In the six months ended June 30, 2023, general and administrative expenses decreased by $9.6 million, or 4%, compared to the same period last year. The decrease was attributable to our efforts to manage our cost structure, including the restructuring of our workforce in September 2022 and February 2023, and sunsetting of our employee sabbatical program in the three months ended March 31, 2023. As a result, total personnel costs decreased by $38.2 million, driven by a 26% average decrease in general and administrative headcount. This decrease was partially offset by a $32.3 million loss on net assets held for sale and divestiture related to the sale of our ValueFirst business and our IoT assets and liabilities. For further detail refer to Note 5 to our unaudited condensed consolidated financial statements included elsewhere in this Quarterly Report on Form 10-Q.</w:t>
      </w:r>
    </w:p>
    <w:p>
      <w:pPr>
        <w:spacing w:after="0" w:line="183" w:lineRule="exact"/>
        <w:rPr>
          <w:sz w:val="20"/>
          <w:szCs w:val="20"/>
          <w:color w:val="auto"/>
        </w:rPr>
      </w:pPr>
    </w:p>
    <w:p>
      <w:pPr>
        <w:ind w:right="160" w:firstLine="464"/>
        <w:spacing w:after="0" w:line="312" w:lineRule="auto"/>
        <w:rPr>
          <w:sz w:val="20"/>
          <w:szCs w:val="20"/>
          <w:color w:val="auto"/>
        </w:rPr>
      </w:pPr>
      <w:r>
        <w:rPr>
          <w:rFonts w:ascii="Arial" w:cs="Arial" w:eastAsia="Arial" w:hAnsi="Arial"/>
          <w:sz w:val="16"/>
          <w:szCs w:val="16"/>
          <w:color w:val="auto"/>
        </w:rPr>
        <w:t>In the six months ended June 30, 2023, we incurred $136.8 million in restructuring costs primarily as a result of our February 2023 Plan. For further detail refer to Note 7 to our unaudited condensed consolidated financial statements included elsewhere in this Quarterly Report on Form 10-Q.</w:t>
      </w:r>
    </w:p>
    <w:p>
      <w:pPr>
        <w:spacing w:after="0" w:line="14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In the six months ended June 30, 2023, we incurred $31.1 million in impairment charges related to certain of our operating lease assets and other long-lived assets as a result of permanently closing several offices in the first half of 2023. For further detail refer to Note 6 to our unaudited condensed consolidated financial statements included elsewhere in this Quarterly Report on Form 10-Q.</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w:t>
      </w:r>
    </w:p>
    <w:p>
      <w:pPr>
        <w:spacing w:after="0" w:line="217" w:lineRule="exact"/>
        <w:rPr>
          <w:sz w:val="20"/>
          <w:szCs w:val="20"/>
          <w:color w:val="auto"/>
        </w:rPr>
      </w:pPr>
    </w:p>
    <w:p>
      <w:pPr>
        <w:ind w:right="140" w:firstLine="464"/>
        <w:spacing w:after="0" w:line="279" w:lineRule="auto"/>
        <w:rPr>
          <w:sz w:val="20"/>
          <w:szCs w:val="20"/>
          <w:color w:val="auto"/>
        </w:rPr>
      </w:pPr>
      <w:r>
        <w:rPr>
          <w:rFonts w:ascii="Arial" w:cs="Arial" w:eastAsia="Arial" w:hAnsi="Arial"/>
          <w:sz w:val="17"/>
          <w:szCs w:val="17"/>
          <w:color w:val="auto"/>
        </w:rPr>
        <w:t>The following table presents the results for non-GAAP gross profit for each of our Communications and Data &amp; Applications segments for the six months ended June 30, 2023:</w:t>
      </w:r>
    </w:p>
    <w:p>
      <w:pPr>
        <w:spacing w:after="0" w:line="193" w:lineRule="exact"/>
        <w:rPr>
          <w:sz w:val="20"/>
          <w:szCs w:val="20"/>
          <w:color w:val="auto"/>
        </w:rPr>
      </w:pPr>
    </w:p>
    <w:tbl>
      <w:tblPr>
        <w:tblLayout w:type="fixed"/>
        <w:tblInd w:w="1480" w:type="dxa"/>
        <w:tblCellMar>
          <w:top w:w="0" w:type="dxa"/>
          <w:left w:w="0" w:type="dxa"/>
          <w:bottom w:w="0" w:type="dxa"/>
          <w:right w:w="0" w:type="dxa"/>
        </w:tblCellMar>
      </w:tblPr>
      <w:tr>
        <w:trPr>
          <w:trHeight w:val="178"/>
        </w:trPr>
        <w:tc>
          <w:tcPr>
            <w:tcW w:w="3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gridSpan w:val="4"/>
          </w:tcPr>
          <w:p>
            <w:pPr>
              <w:jc w:val="right"/>
              <w:ind w:right="60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99"/>
        </w:trPr>
        <w:tc>
          <w:tcPr>
            <w:tcW w:w="3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6"/>
        </w:trPr>
        <w:tc>
          <w:tcPr>
            <w:tcW w:w="3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6"/>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4"/>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ind w:left="32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7"/>
                <w:szCs w:val="17"/>
                <w:color w:val="auto"/>
              </w:rPr>
            </w:pPr>
          </w:p>
        </w:tc>
      </w:tr>
      <w:tr>
        <w:trPr>
          <w:trHeight w:val="24"/>
        </w:trPr>
        <w:tc>
          <w:tcPr>
            <w:tcW w:w="3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75"/>
        </w:trPr>
        <w:tc>
          <w:tcPr>
            <w:tcW w:w="3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4"/>
                <w:szCs w:val="14"/>
                <w:color w:val="auto"/>
                <w:w w:val="93"/>
              </w:rPr>
              <w:t>(Dollars in thousands)</w:t>
            </w: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4"/>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Twilio Communications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865,211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759,448</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105,763</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14 %</w:t>
            </w:r>
          </w:p>
        </w:tc>
      </w:tr>
      <w:tr>
        <w:trPr>
          <w:trHeight w:val="229"/>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Twilio Data &amp; Applications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202,806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181,543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21,263</w:t>
            </w:r>
          </w:p>
        </w:tc>
        <w:tc>
          <w:tcPr>
            <w:tcW w:w="3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12 %</w:t>
            </w:r>
          </w:p>
        </w:tc>
      </w:tr>
      <w:tr>
        <w:trPr>
          <w:trHeight w:val="235"/>
        </w:trPr>
        <w:tc>
          <w:tcPr>
            <w:tcW w:w="3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Consolidated total non-GAAP gross profit</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1,068,017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940,991</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127,026</w:t>
            </w: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13 %</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r>
    </w:tbl>
    <w:p>
      <w:pPr>
        <w:spacing w:after="0" w:line="284" w:lineRule="exact"/>
        <w:rPr>
          <w:sz w:val="20"/>
          <w:szCs w:val="20"/>
          <w:color w:val="auto"/>
        </w:rPr>
      </w:pPr>
    </w:p>
    <w:p>
      <w:pPr>
        <w:ind w:right="260" w:firstLine="464"/>
        <w:spacing w:after="0" w:line="262" w:lineRule="auto"/>
        <w:rPr>
          <w:sz w:val="20"/>
          <w:szCs w:val="20"/>
          <w:color w:val="auto"/>
        </w:rPr>
      </w:pPr>
      <w:r>
        <w:rPr>
          <w:rFonts w:ascii="Arial" w:cs="Arial" w:eastAsia="Arial" w:hAnsi="Arial"/>
          <w:sz w:val="17"/>
          <w:szCs w:val="17"/>
          <w:color w:val="auto"/>
        </w:rPr>
        <w:t>In the six months ended June 30, 2023, Communications non-GAAP gross profit increased by $105.8 million, or 14%, compared to the same period last year. The increase in non-GAAP gross profit was primarily driven by the same factors impacting Communications segment’s total revenue and cost of sales, as described above, adjusted for a $0.4 million net decrease, in aggregate, in stock-based compensation, payroll taxes related to stock-based compensation and amortization of acquired intangibles.</w:t>
      </w:r>
    </w:p>
    <w:p>
      <w:pPr>
        <w:spacing w:after="0" w:line="178" w:lineRule="exact"/>
        <w:rPr>
          <w:sz w:val="20"/>
          <w:szCs w:val="20"/>
          <w:color w:val="auto"/>
        </w:rPr>
      </w:pPr>
    </w:p>
    <w:p>
      <w:pPr>
        <w:ind w:right="20" w:firstLine="464"/>
        <w:spacing w:after="0" w:line="262" w:lineRule="auto"/>
        <w:rPr>
          <w:sz w:val="20"/>
          <w:szCs w:val="20"/>
          <w:color w:val="auto"/>
        </w:rPr>
      </w:pPr>
      <w:r>
        <w:rPr>
          <w:rFonts w:ascii="Arial" w:cs="Arial" w:eastAsia="Arial" w:hAnsi="Arial"/>
          <w:sz w:val="17"/>
          <w:szCs w:val="17"/>
          <w:color w:val="auto"/>
        </w:rPr>
        <w:t>In the six months ended June 30, 2023, Data &amp; Applications non-GAAP gross profit increased by $21.3 million, or 12%, compared to the same period last year. The increase in non-GAAP gross profit was primarily driven by the same factors impacting Data &amp; Applications segment’s total revenue and cost of sales, as described above, adjusted for a $1.3 million net increase, in aggregate, in stock-based compensation, payroll taxes related to stock-based compensation and amortization of acquired intangibles.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3" w:lineRule="exact"/>
        <w:rPr>
          <w:sz w:val="20"/>
          <w:szCs w:val="20"/>
          <w:color w:val="auto"/>
        </w:rPr>
      </w:pPr>
    </w:p>
    <w:p>
      <w:pPr>
        <w:ind w:right="40" w:firstLine="464"/>
        <w:spacing w:after="0" w:line="262" w:lineRule="auto"/>
        <w:rPr>
          <w:sz w:val="20"/>
          <w:szCs w:val="20"/>
          <w:color w:val="auto"/>
        </w:rPr>
      </w:pPr>
      <w:r>
        <w:rPr>
          <w:rFonts w:ascii="Arial" w:cs="Arial" w:eastAsia="Arial" w:hAnsi="Arial"/>
          <w:sz w:val="17"/>
          <w:szCs w:val="17"/>
          <w:color w:val="auto"/>
        </w:rPr>
        <w:t>As of June 30, 2023, we had cash and cash equivalents of $675.1 million and short-term marketable securities of $3.0 billion. In any given period, cash and cash equivalents may consist of money market funds, reverse repurchase agreements and commercial paper. Short-term marketable securities consist primarily of U.S. treasury securities, non-U.S. government securities, high credit quality corporate debt securities and commercial paper. The cash and cash equivalents and short-term marketable securities are held for working capital purposes.</w:t>
      </w:r>
    </w:p>
    <w:p>
      <w:pPr>
        <w:spacing w:after="0" w:line="178" w:lineRule="exact"/>
        <w:rPr>
          <w:sz w:val="20"/>
          <w:szCs w:val="20"/>
          <w:color w:val="auto"/>
        </w:rPr>
      </w:pPr>
    </w:p>
    <w:p>
      <w:pPr>
        <w:ind w:firstLine="464"/>
        <w:spacing w:after="0" w:line="259" w:lineRule="auto"/>
        <w:rPr>
          <w:sz w:val="20"/>
          <w:szCs w:val="20"/>
          <w:color w:val="auto"/>
        </w:rPr>
      </w:pPr>
      <w:r>
        <w:rPr>
          <w:rFonts w:ascii="Arial" w:cs="Arial" w:eastAsia="Arial" w:hAnsi="Arial"/>
          <w:sz w:val="17"/>
          <w:szCs w:val="17"/>
          <w:color w:val="auto"/>
        </w:rPr>
        <w:t>Our principal sources of liquidity have been (i) the net proceeds of $979.0 million, $1.4 billion and $1.8 billion, net of underwriting discounts and offering expenses paid by us, from our public equity offerings in June 2019, August 2020 and February 2021, respectively; (ii) the aggregate net proceeds of approximately $984.7 million, after deducting purchaser discounts and debt issuance costs paid by us, from the issuance of our 2029 Notes and 2031 Notes in March 2021 (each, as defined below); (iii) the net proceeds of $228.4 million, after deducting transaction costs paid by us, from settlement of our capped call arrangements in June 2021; and (iv) the payments received from customers using our products.</w:t>
      </w:r>
    </w:p>
    <w:p>
      <w:pPr>
        <w:spacing w:after="0" w:line="183" w:lineRule="exact"/>
        <w:rPr>
          <w:sz w:val="20"/>
          <w:szCs w:val="20"/>
          <w:color w:val="auto"/>
        </w:rPr>
      </w:pPr>
    </w:p>
    <w:p>
      <w:pPr>
        <w:ind w:right="60" w:firstLine="464"/>
        <w:spacing w:after="0" w:line="302" w:lineRule="auto"/>
        <w:rPr>
          <w:sz w:val="20"/>
          <w:szCs w:val="20"/>
          <w:color w:val="auto"/>
        </w:rPr>
      </w:pPr>
      <w:r>
        <w:rPr>
          <w:rFonts w:ascii="Arial" w:cs="Arial" w:eastAsia="Arial" w:hAnsi="Arial"/>
          <w:sz w:val="15"/>
          <w:szCs w:val="15"/>
          <w:color w:val="auto"/>
        </w:rPr>
        <w:t>Our primary uses of cash include operating costs, such as personnel-related costs, network service provider costs, cloud infrastructure costs, facility-related spending, as well as, from time to time, acquisitions, investments and share repurchases. Our principal contractual and other commitments consist of obligations under our 2029 Notes and 2031 Notes, our operating leases for office space that we occupy, sublease or hold to sublease, and contractual commitments to our cloud infrastructure and network service providers. Refer to Note 12 and Note 14(a) to our unaudited condensed consolidated financial statements included elsewhere in this Quarterly Report on Form 10-Q for discussions of our obligations and commitments related to leases, debt and other purchase obligations.</w:t>
      </w:r>
    </w:p>
    <w:p>
      <w:pPr>
        <w:spacing w:after="0" w:line="152" w:lineRule="exact"/>
        <w:rPr>
          <w:sz w:val="20"/>
          <w:szCs w:val="20"/>
          <w:color w:val="auto"/>
        </w:rPr>
      </w:pPr>
    </w:p>
    <w:p>
      <w:pPr>
        <w:jc w:val="both"/>
        <w:ind w:right="60" w:firstLine="464"/>
        <w:spacing w:after="0" w:line="266" w:lineRule="auto"/>
        <w:rPr>
          <w:sz w:val="20"/>
          <w:szCs w:val="20"/>
          <w:color w:val="auto"/>
        </w:rPr>
      </w:pPr>
      <w:r>
        <w:rPr>
          <w:rFonts w:ascii="Arial" w:cs="Arial" w:eastAsia="Arial" w:hAnsi="Arial"/>
          <w:sz w:val="17"/>
          <w:szCs w:val="17"/>
          <w:color w:val="auto"/>
        </w:rPr>
        <w:t>We may, from time to time, consider acquisitions of, or investments in, complementary businesses, products, services, capital infrastructure or technologies which might affect our liquidity requirements, cause us to secure additional financing or issue additional equity or debt securities. There can be no assurance that additional credit lines or financing instruments will be available in amounts or on terms acceptable to us, if at all.</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0" w:firstLine="464"/>
        <w:spacing w:after="0" w:line="274" w:lineRule="auto"/>
        <w:rPr>
          <w:sz w:val="20"/>
          <w:szCs w:val="20"/>
          <w:color w:val="auto"/>
        </w:rPr>
      </w:pPr>
      <w:r>
        <w:rPr>
          <w:rFonts w:ascii="Arial" w:cs="Arial" w:eastAsia="Arial" w:hAnsi="Arial"/>
          <w:sz w:val="16"/>
          <w:szCs w:val="16"/>
          <w:color w:val="auto"/>
        </w:rPr>
        <w:t>We believe that our cash, cash equivalents and marketable securities balances, as well as the cash flows generated by our operations, will be sufficient to satisfy our anticipated cash needs for working capital and capital expenditure needs, including authorized share repurchases, for the next 12 months and beyond. However, our belief may prove to be incorrect, and we could utilize our available financial resources sooner than we currently expect. Our future capital requirements and the adequacy of available funds will depend on many factors, including those set forth in Part II, Item 1A,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 Additionally, cash from operations could also be affected by various risks and uncertainties in connection with the impact of an economic downturn or recession, significant market volatility in the global economy, timing and ability to collect payments from our customers and other risks detailed in Part II, Item 1A, “Risk Factors.”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17" w:lineRule="exact"/>
        <w:rPr>
          <w:sz w:val="20"/>
          <w:szCs w:val="20"/>
          <w:color w:val="auto"/>
        </w:rPr>
      </w:pPr>
    </w:p>
    <w:p>
      <w:pPr>
        <w:ind w:right="60" w:firstLine="464"/>
        <w:spacing w:after="0" w:line="262" w:lineRule="auto"/>
        <w:rPr>
          <w:sz w:val="20"/>
          <w:szCs w:val="20"/>
          <w:color w:val="auto"/>
        </w:rPr>
      </w:pPr>
      <w:r>
        <w:rPr>
          <w:rFonts w:ascii="Arial" w:cs="Arial" w:eastAsia="Arial" w:hAnsi="Arial"/>
          <w:sz w:val="17"/>
          <w:szCs w:val="17"/>
          <w:color w:val="auto"/>
        </w:rPr>
        <w:t>In February 2023, our Board of Directors authorized a share repurchase program pursuant to which we may repurchase up to $1.0 billion in aggregate value of our Class A common stock. Repurchases under the program will be made through open market, private transactions or other means in compliance with applicable federal securities laws, and could include repurchases pursuant to Rule 10b5-1 trading plans. We have discretion in determining the conditions under which shares may be repurchased from time to time. The program expires on December 31, 2024.</w:t>
      </w:r>
    </w:p>
    <w:p>
      <w:pPr>
        <w:spacing w:after="0" w:line="178" w:lineRule="exact"/>
        <w:rPr>
          <w:sz w:val="20"/>
          <w:szCs w:val="20"/>
          <w:color w:val="auto"/>
        </w:rPr>
      </w:pPr>
    </w:p>
    <w:p>
      <w:pPr>
        <w:jc w:val="both"/>
        <w:ind w:right="300" w:firstLine="464"/>
        <w:spacing w:after="0" w:line="266" w:lineRule="auto"/>
        <w:rPr>
          <w:sz w:val="20"/>
          <w:szCs w:val="20"/>
          <w:color w:val="auto"/>
        </w:rPr>
      </w:pPr>
      <w:r>
        <w:rPr>
          <w:rFonts w:ascii="Arial" w:cs="Arial" w:eastAsia="Arial" w:hAnsi="Arial"/>
          <w:sz w:val="17"/>
          <w:szCs w:val="17"/>
          <w:color w:val="auto"/>
        </w:rPr>
        <w:t>In the three and six months ended June 30, 2023, we purchased $370.0 million in aggregate value, or 6.4 million shares, and $495.0 million in aggregate value, or 8.3 million shares, respectively, of our Class A common stock on the open market under this program. Approximately $505.0 million of the originally authorized amount remains available for future repurchases.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2029 Notes and 2031 Notes</w:t>
      </w:r>
    </w:p>
    <w:p>
      <w:pPr>
        <w:spacing w:after="0" w:line="217"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In March 2021, we issued and sold $1.0 billion aggregate principal amount of senior notes, consisting of $500.0 million principal amount of 3.625% notes due 2029 (the “2029 Notes”) and $500.0 million principal amount of 3.875% notes due 2031 (the “2031 Notes,” and together with the 2029 Notes, the “Notes”). The Notes are described in detail in Note 13 to our Annual Report on Form 10-K filed with the SEC on February 27, 2023.</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our cash flows:</w:t>
      </w:r>
    </w:p>
    <w:p>
      <w:pPr>
        <w:spacing w:after="0" w:line="246" w:lineRule="exact"/>
        <w:rPr>
          <w:sz w:val="20"/>
          <w:szCs w:val="20"/>
          <w:color w:val="auto"/>
        </w:rPr>
      </w:pPr>
    </w:p>
    <w:tbl>
      <w:tblPr>
        <w:tblLayout w:type="fixed"/>
        <w:tblInd w:w="1500" w:type="dxa"/>
        <w:tblCellMar>
          <w:top w:w="0" w:type="dxa"/>
          <w:left w:w="0" w:type="dxa"/>
          <w:bottom w:w="0" w:type="dxa"/>
          <w:right w:w="0" w:type="dxa"/>
        </w:tblCellMar>
      </w:tblPr>
      <w:tr>
        <w:trPr>
          <w:trHeight w:val="178"/>
        </w:trPr>
        <w:tc>
          <w:tcPr>
            <w:tcW w:w="6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4"/>
          </w:tcPr>
          <w:p>
            <w:pPr>
              <w:jc w:val="right"/>
              <w:ind w:right="56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3"/>
        </w:trPr>
        <w:tc>
          <w:tcPr>
            <w:tcW w:w="6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78"/>
        </w:trPr>
        <w:tc>
          <w:tcPr>
            <w:tcW w:w="6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4"/>
                <w:szCs w:val="14"/>
                <w:color w:val="auto"/>
              </w:rPr>
              <w:t>(In thousands)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5"/>
                <w:szCs w:val="15"/>
                <w:color w:val="auto"/>
              </w:rPr>
              <w:t>Cash used in operating activities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(14,220)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(80,141)</w:t>
            </w:r>
          </w:p>
        </w:tc>
        <w:tc>
          <w:tcPr>
            <w:tcW w:w="0" w:type="dxa"/>
            <w:vAlign w:val="bottom"/>
          </w:tcPr>
          <w:p>
            <w:pPr>
              <w:spacing w:after="0"/>
              <w:rPr>
                <w:sz w:val="1"/>
                <w:szCs w:val="1"/>
                <w:color w:val="auto"/>
              </w:rPr>
            </w:pPr>
          </w:p>
        </w:tc>
      </w:tr>
      <w:tr>
        <w:trPr>
          <w:trHeight w:val="203"/>
        </w:trPr>
        <w:tc>
          <w:tcPr>
            <w:tcW w:w="6360" w:type="dxa"/>
            <w:vAlign w:val="bottom"/>
          </w:tcPr>
          <w:p>
            <w:pPr>
              <w:spacing w:after="0"/>
              <w:rPr>
                <w:sz w:val="20"/>
                <w:szCs w:val="20"/>
                <w:color w:val="auto"/>
              </w:rPr>
            </w:pPr>
            <w:r>
              <w:rPr>
                <w:rFonts w:ascii="Arial" w:cs="Arial" w:eastAsia="Arial" w:hAnsi="Arial"/>
                <w:sz w:val="15"/>
                <w:szCs w:val="15"/>
                <w:color w:val="auto"/>
              </w:rPr>
              <w:t>Cash provided by (used in) investing activities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509,777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(635,629)</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spacing w:after="0"/>
              <w:rPr>
                <w:sz w:val="20"/>
                <w:szCs w:val="20"/>
                <w:color w:val="auto"/>
              </w:rPr>
            </w:pPr>
            <w:r>
              <w:rPr>
                <w:rFonts w:ascii="Arial" w:cs="Arial" w:eastAsia="Arial" w:hAnsi="Arial"/>
                <w:sz w:val="15"/>
                <w:szCs w:val="15"/>
                <w:color w:val="auto"/>
              </w:rPr>
              <w:t>Cash (used in) provided by financing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(469,356)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34,402</w:t>
            </w:r>
          </w:p>
        </w:tc>
        <w:tc>
          <w:tcPr>
            <w:tcW w:w="0" w:type="dxa"/>
            <w:vAlign w:val="bottom"/>
          </w:tcPr>
          <w:p>
            <w:pPr>
              <w:spacing w:after="0"/>
              <w:rPr>
                <w:sz w:val="1"/>
                <w:szCs w:val="1"/>
                <w:color w:val="auto"/>
              </w:rPr>
            </w:pPr>
          </w:p>
        </w:tc>
      </w:tr>
      <w:tr>
        <w:trPr>
          <w:trHeight w:val="203"/>
        </w:trPr>
        <w:tc>
          <w:tcPr>
            <w:tcW w:w="63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w:t>
            </w:r>
          </w:p>
        </w:tc>
        <w:tc>
          <w:tcPr>
            <w:tcW w:w="0" w:type="dxa"/>
            <w:vAlign w:val="bottom"/>
          </w:tcPr>
          <w:p>
            <w:pPr>
              <w:spacing w:after="0"/>
              <w:rPr>
                <w:sz w:val="1"/>
                <w:szCs w:val="1"/>
                <w:color w:val="auto"/>
              </w:rPr>
            </w:pPr>
          </w:p>
        </w:tc>
      </w:tr>
      <w:tr>
        <w:trPr>
          <w:trHeight w:val="142"/>
        </w:trPr>
        <w:tc>
          <w:tcPr>
            <w:tcW w:w="6360" w:type="dxa"/>
            <w:vAlign w:val="bottom"/>
            <w:shd w:val="clear" w:color="auto" w:fill="CCEEFF"/>
          </w:tcPr>
          <w:p>
            <w:pPr>
              <w:ind w:left="240"/>
              <w:spacing w:after="0" w:line="143" w:lineRule="exact"/>
              <w:rPr>
                <w:sz w:val="20"/>
                <w:szCs w:val="20"/>
                <w:color w:val="auto"/>
              </w:rPr>
            </w:pPr>
            <w:r>
              <w:rPr>
                <w:rFonts w:ascii="Arial" w:cs="Arial" w:eastAsia="Arial" w:hAnsi="Arial"/>
                <w:sz w:val="15"/>
                <w:szCs w:val="15"/>
                <w:color w:val="auto"/>
                <w:w w:val="93"/>
              </w:rPr>
              <w:t>Net increase (decrease) in cash, cash equivalents and restricted cash, including cash classified as</w:t>
            </w:r>
          </w:p>
        </w:tc>
        <w:tc>
          <w:tcPr>
            <w:tcW w:w="26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26,309</w:t>
            </w:r>
          </w:p>
        </w:tc>
        <w:tc>
          <w:tcPr>
            <w:tcW w:w="5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(681,055)</w:t>
            </w:r>
          </w:p>
        </w:tc>
        <w:tc>
          <w:tcPr>
            <w:tcW w:w="0" w:type="dxa"/>
            <w:vAlign w:val="bottom"/>
          </w:tcPr>
          <w:p>
            <w:pPr>
              <w:spacing w:after="0"/>
              <w:rPr>
                <w:sz w:val="1"/>
                <w:szCs w:val="1"/>
                <w:color w:val="auto"/>
              </w:rPr>
            </w:pPr>
          </w:p>
        </w:tc>
      </w:tr>
      <w:tr>
        <w:trPr>
          <w:trHeight w:val="201"/>
        </w:trPr>
        <w:tc>
          <w:tcPr>
            <w:tcW w:w="6360" w:type="dxa"/>
            <w:vAlign w:val="bottom"/>
            <w:shd w:val="clear" w:color="auto" w:fill="CCEEFF"/>
          </w:tcPr>
          <w:p>
            <w:pPr>
              <w:ind w:left="400"/>
              <w:spacing w:after="0"/>
              <w:rPr>
                <w:sz w:val="20"/>
                <w:szCs w:val="20"/>
                <w:color w:val="auto"/>
              </w:rPr>
            </w:pPr>
            <w:r>
              <w:rPr>
                <w:rFonts w:ascii="Arial" w:cs="Arial" w:eastAsia="Arial" w:hAnsi="Arial"/>
                <w:sz w:val="15"/>
                <w:szCs w:val="15"/>
                <w:color w:val="auto"/>
              </w:rPr>
              <w:t>held for sale</w:t>
            </w:r>
          </w:p>
        </w:tc>
        <w:tc>
          <w:tcPr>
            <w:tcW w:w="26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60" w:type="dxa"/>
            <w:vAlign w:val="bottom"/>
          </w:tcPr>
          <w:p>
            <w:pPr>
              <w:ind w:left="200"/>
              <w:spacing w:after="0"/>
              <w:rPr>
                <w:sz w:val="20"/>
                <w:szCs w:val="20"/>
                <w:color w:val="auto"/>
              </w:rPr>
            </w:pPr>
            <w:r>
              <w:rPr>
                <w:rFonts w:ascii="Arial" w:cs="Arial" w:eastAsia="Arial" w:hAnsi="Arial"/>
                <w:sz w:val="15"/>
                <w:szCs w:val="15"/>
                <w:color w:val="auto"/>
              </w:rPr>
              <w:t>Cash, cash equivalents and restricted cash classified as held for sale</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(7,306)</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19,003</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(681,055)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Cash Flows from Operating Activities</w:t>
      </w:r>
    </w:p>
    <w:p>
      <w:pPr>
        <w:spacing w:after="0" w:line="217" w:lineRule="exact"/>
        <w:rPr>
          <w:sz w:val="20"/>
          <w:szCs w:val="20"/>
          <w:color w:val="auto"/>
        </w:rPr>
      </w:pPr>
    </w:p>
    <w:p>
      <w:pPr>
        <w:ind w:firstLine="464"/>
        <w:spacing w:after="0" w:line="272" w:lineRule="auto"/>
        <w:rPr>
          <w:sz w:val="20"/>
          <w:szCs w:val="20"/>
          <w:color w:val="auto"/>
        </w:rPr>
      </w:pPr>
      <w:r>
        <w:rPr>
          <w:rFonts w:ascii="Arial" w:cs="Arial" w:eastAsia="Arial" w:hAnsi="Arial"/>
          <w:sz w:val="16"/>
          <w:szCs w:val="16"/>
          <w:color w:val="auto"/>
        </w:rPr>
        <w:t>In the six months ended June 30, 2023, cash used in operating activities consisted primarily of our net loss of $508.3 million adjusted for non-cash items, including $323.9 million of stock-based compensation expense which included the impact of our February 2023 Plan, $146.4 million of depreciation and amortization expense, $62.8 million of our share of losses from an equity method investment, $46.2 million of impairment of an investment that we acquired in 2021, $36.1 million amortization of deferred commissions, $31.1 million of impairment of operating lease assets and other long-lived assets, $32.3 million loss on net assets held for sale or divested, $16.1 million of non-cash reduction in our operating right-of-use asset, and $241.2 million of cumulative changes in operating assets and liabilities. With respect to changes in operating assets and liabilities, accounts receivable and prepaid expenses increased $137.2 million primarily due to revenue growth, timing of cash receipts and prepayments and certain operating expenses. Accounts payable and other current liabilities decreased $57.9 million primarily driven by an $18.1 million decrease in the sabbatical benefit accrual as a result of lower headcount and sunsetting of the program. Operating lease liabilities decreased $27.9 million due to payments made against our operating lease obligations. Other long-term assets increased $19.2 million primarily due to an increase in the sales commissions balances related to the growth of our business. The loss on net assets held for sale and divested, the impairment of operating lease assets and other long lived assets, and the details of the February 2023 Plan are described further in Note 5, Note 6, and Note 7, respectively, to our unaudited condensed consolidated financial statements included elsewhere in this Quarterly Report on Form 10-Q.</w:t>
      </w:r>
    </w:p>
    <w:p>
      <w:pPr>
        <w:spacing w:after="0" w:line="179" w:lineRule="exact"/>
        <w:rPr>
          <w:sz w:val="20"/>
          <w:szCs w:val="20"/>
          <w:color w:val="auto"/>
        </w:rPr>
      </w:pPr>
    </w:p>
    <w:p>
      <w:pPr>
        <w:jc w:val="both"/>
        <w:ind w:right="160" w:firstLine="464"/>
        <w:spacing w:after="0" w:line="256" w:lineRule="auto"/>
        <w:rPr>
          <w:sz w:val="20"/>
          <w:szCs w:val="20"/>
          <w:color w:val="auto"/>
        </w:rPr>
      </w:pPr>
      <w:r>
        <w:rPr>
          <w:rFonts w:ascii="Arial" w:cs="Arial" w:eastAsia="Arial" w:hAnsi="Arial"/>
          <w:sz w:val="17"/>
          <w:szCs w:val="17"/>
          <w:color w:val="auto"/>
        </w:rPr>
        <w:t>In the six months ended June 30, 2022, cash used in operating activities consisted primarily of our net loss of $544.4 million adjusted for non-cash items, including $397.4 million of stock-based compensation expense, $137.7 million of depreciation and amortization expense, $25.5 million of non-cash reduction to our operating right-of-use asset, $26.1 million amortization of deferred commissions and $160.0 million of cumulative changes in operating assets and liabilities. With</w:t>
      </w:r>
    </w:p>
    <w:p>
      <w:pPr>
        <w:spacing w:after="0" w:line="2" w:lineRule="exact"/>
        <w:rPr>
          <w:sz w:val="20"/>
          <w:szCs w:val="20"/>
          <w:color w:val="auto"/>
        </w:rPr>
      </w:pPr>
    </w:p>
    <w:p>
      <w:pPr>
        <w:ind w:right="240"/>
        <w:spacing w:after="0" w:line="256" w:lineRule="auto"/>
        <w:rPr>
          <w:sz w:val="20"/>
          <w:szCs w:val="20"/>
          <w:color w:val="auto"/>
        </w:rPr>
      </w:pPr>
      <w:r>
        <w:rPr>
          <w:rFonts w:ascii="Arial" w:cs="Arial" w:eastAsia="Arial" w:hAnsi="Arial"/>
          <w:sz w:val="17"/>
          <w:szCs w:val="17"/>
          <w:color w:val="auto"/>
        </w:rPr>
        <w:t>respect to changes in operating assets and liabilities, accounts receivable and prepaid expenses increased $149.8 million primarily due to revenue growth, the timing of cash receipts and prepayments of our cloud infrastructure fees and certain operating expenses. Accounts payable and other current liabilities increased $85.1 million primarily due to increases in transaction volumes. Operating lease liabilities decreased $31.1 million due to payments made against our operating lease obligations. Other long-term assets increased $52.5 million primarily due to an increase in the sales commissions balances related to the growth of our business.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Cash Flows from Investing Activities</w:t>
      </w:r>
    </w:p>
    <w:p>
      <w:pPr>
        <w:spacing w:after="0" w:line="217" w:lineRule="exact"/>
        <w:rPr>
          <w:sz w:val="20"/>
          <w:szCs w:val="20"/>
          <w:color w:val="auto"/>
        </w:rPr>
      </w:pPr>
    </w:p>
    <w:p>
      <w:pPr>
        <w:ind w:right="280" w:firstLine="464"/>
        <w:spacing w:after="0" w:line="266" w:lineRule="auto"/>
        <w:rPr>
          <w:sz w:val="20"/>
          <w:szCs w:val="20"/>
          <w:color w:val="auto"/>
        </w:rPr>
      </w:pPr>
      <w:r>
        <w:rPr>
          <w:rFonts w:ascii="Arial" w:cs="Arial" w:eastAsia="Arial" w:hAnsi="Arial"/>
          <w:sz w:val="17"/>
          <w:szCs w:val="17"/>
          <w:color w:val="auto"/>
        </w:rPr>
        <w:t>In the six months ended June 30, 2023, cash provided by investing activities was $509.8 million primarily consisting of $538.3 million of proceeds from sales and maturities of marketable securities, net of purchases of marketable securities and other investments; $20.1 million related to capitalized software development costs and $8.3 million related to purchases of long-lived assets.</w:t>
      </w:r>
    </w:p>
    <w:p>
      <w:pPr>
        <w:spacing w:after="0" w:line="175" w:lineRule="exact"/>
        <w:rPr>
          <w:sz w:val="20"/>
          <w:szCs w:val="20"/>
          <w:color w:val="auto"/>
        </w:rPr>
      </w:pPr>
    </w:p>
    <w:p>
      <w:pPr>
        <w:ind w:right="160" w:firstLine="464"/>
        <w:spacing w:after="0" w:line="262" w:lineRule="auto"/>
        <w:rPr>
          <w:sz w:val="20"/>
          <w:szCs w:val="20"/>
          <w:color w:val="auto"/>
        </w:rPr>
      </w:pPr>
      <w:r>
        <w:rPr>
          <w:rFonts w:ascii="Arial" w:cs="Arial" w:eastAsia="Arial" w:hAnsi="Arial"/>
          <w:sz w:val="17"/>
          <w:szCs w:val="17"/>
          <w:color w:val="auto"/>
        </w:rPr>
        <w:t>In the six months ended June 30, 2022, cash used in investing activities was $635.6 million primarily consisting of $570.8 million of proceeds from sales and maturities of marketable securities, net of purchases of marketable securities and other investments, which includes $750.0 million paid to acquire our equity method investment in Syniverse; $31.7 million of net cash paid to acquire other businesses, $22.4 million related to capitalized software development costs and $10.8 million related to purchases of long-lived assets.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Cash Flows from Financing Activities</w:t>
      </w:r>
    </w:p>
    <w:p>
      <w:pPr>
        <w:spacing w:after="0" w:line="217" w:lineRule="exact"/>
        <w:rPr>
          <w:sz w:val="20"/>
          <w:szCs w:val="20"/>
          <w:color w:val="auto"/>
        </w:rPr>
      </w:pPr>
    </w:p>
    <w:p>
      <w:pPr>
        <w:ind w:right="60" w:firstLine="464"/>
        <w:spacing w:after="0" w:line="318" w:lineRule="auto"/>
        <w:rPr>
          <w:sz w:val="20"/>
          <w:szCs w:val="20"/>
          <w:color w:val="auto"/>
        </w:rPr>
      </w:pPr>
      <w:r>
        <w:rPr>
          <w:rFonts w:ascii="Arial" w:cs="Arial" w:eastAsia="Arial" w:hAnsi="Arial"/>
          <w:sz w:val="15"/>
          <w:szCs w:val="15"/>
          <w:color w:val="auto"/>
        </w:rPr>
        <w:t>In the six months ended June 30, 2023, cash used in financing activities was $469.4 million primarily consisting of $485.1 million of cash paid to repurchase 8.3 million shares of our Class A common stock in the open market, including related costs, and $9.8 million in principal payments on debt and finance leases, offset by $28.1 million in proceeds from stock options exercised by our employees and shares issued under our employee stock purchase plan.</w:t>
      </w:r>
    </w:p>
    <w:p>
      <w:pPr>
        <w:spacing w:after="0" w:line="139" w:lineRule="exact"/>
        <w:rPr>
          <w:sz w:val="20"/>
          <w:szCs w:val="20"/>
          <w:color w:val="auto"/>
        </w:rPr>
      </w:pPr>
    </w:p>
    <w:p>
      <w:pPr>
        <w:ind w:right="40" w:firstLine="464"/>
        <w:spacing w:after="0" w:line="279" w:lineRule="auto"/>
        <w:rPr>
          <w:sz w:val="20"/>
          <w:szCs w:val="20"/>
          <w:color w:val="auto"/>
        </w:rPr>
      </w:pPr>
      <w:r>
        <w:rPr>
          <w:rFonts w:ascii="Arial" w:cs="Arial" w:eastAsia="Arial" w:hAnsi="Arial"/>
          <w:sz w:val="17"/>
          <w:szCs w:val="17"/>
          <w:color w:val="auto"/>
        </w:rPr>
        <w:t>In the six months ended June 30, 2022, cash provided by financing activities was $34.4 million primarily consisting of $41.7 million in proceeds from stock options exercised by our employees, offset by $6.2 million in principal payments on debt and finance leases.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23" w:lineRule="exact"/>
        <w:rPr>
          <w:sz w:val="20"/>
          <w:szCs w:val="20"/>
          <w:color w:val="auto"/>
        </w:rPr>
      </w:pPr>
    </w:p>
    <w:p>
      <w:pPr>
        <w:ind w:right="40" w:firstLine="464"/>
        <w:spacing w:after="0" w:line="259" w:lineRule="auto"/>
        <w:rPr>
          <w:sz w:val="20"/>
          <w:szCs w:val="20"/>
          <w:color w:val="auto"/>
        </w:rPr>
      </w:pPr>
      <w:r>
        <w:rPr>
          <w:rFonts w:ascii="Arial" w:cs="Arial" w:eastAsia="Arial" w:hAnsi="Arial"/>
          <w:sz w:val="17"/>
          <w:szCs w:val="17"/>
          <w:color w:val="auto"/>
        </w:rPr>
        <w:t>Our unaudited condensed consolidated financial statements are prepared in accordance with generally accepted accounting principles in the United States of America.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There have been no changes to our critical accounting policies as described in our Annual Report on Form 10-K filed with the SEC on February 27, 2023.</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 Not Yet Adopted</w:t>
      </w:r>
    </w:p>
    <w:p>
      <w:pPr>
        <w:spacing w:after="0" w:line="223" w:lineRule="exact"/>
        <w:rPr>
          <w:sz w:val="20"/>
          <w:szCs w:val="20"/>
          <w:color w:val="auto"/>
        </w:rPr>
      </w:pPr>
    </w:p>
    <w:p>
      <w:pPr>
        <w:ind w:right="80" w:firstLine="464"/>
        <w:spacing w:after="0" w:line="279" w:lineRule="auto"/>
        <w:rPr>
          <w:sz w:val="20"/>
          <w:szCs w:val="20"/>
          <w:color w:val="auto"/>
        </w:rPr>
      </w:pPr>
      <w:r>
        <w:rPr>
          <w:rFonts w:ascii="Arial" w:cs="Arial" w:eastAsia="Arial" w:hAnsi="Arial"/>
          <w:sz w:val="17"/>
          <w:szCs w:val="17"/>
          <w:color w:val="auto"/>
        </w:rPr>
        <w:t>Refer to Note 2 to the unaudited condensed consolidated financial statements included elsewhere in this Quarterly Report on Form 10-Q for a discussion of recent accounting pronouncements not yet adopted.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23" w:lineRule="exact"/>
        <w:rPr>
          <w:sz w:val="20"/>
          <w:szCs w:val="20"/>
          <w:color w:val="auto"/>
        </w:rPr>
      </w:pPr>
    </w:p>
    <w:p>
      <w:pPr>
        <w:ind w:firstLine="464"/>
        <w:spacing w:after="0" w:line="307" w:lineRule="auto"/>
        <w:rPr>
          <w:sz w:val="20"/>
          <w:szCs w:val="20"/>
          <w:color w:val="auto"/>
        </w:rPr>
      </w:pPr>
      <w:r>
        <w:rPr>
          <w:rFonts w:ascii="Arial" w:cs="Arial" w:eastAsia="Arial" w:hAnsi="Arial"/>
          <w:sz w:val="15"/>
          <w:szCs w:val="15"/>
          <w:color w:val="auto"/>
        </w:rPr>
        <w:t>Our filings are available to be viewed and downloaded free of charge through our investor relations website after we file them with the SEC. Our filings include our Annual Report on Form 10-K, Quarterly Reports on Form 10-Q, our Proxy Statement for our annual meeting of stockholders, Current Reports on Form 8-K and other filings with the SEC. Our investor relations website is located at http://investors.twilio.com. The SEC also maintains a website that contains periodic and current reports, proxy statements and other information about issuers, like us, that file electronically with the SEC. The address of that website is www.sec.gov.</w:t>
      </w:r>
    </w:p>
    <w:p>
      <w:pPr>
        <w:spacing w:after="0" w:line="149" w:lineRule="exact"/>
        <w:rPr>
          <w:sz w:val="20"/>
          <w:szCs w:val="20"/>
          <w:color w:val="auto"/>
        </w:rPr>
      </w:pPr>
    </w:p>
    <w:p>
      <w:pPr>
        <w:ind w:right="80" w:firstLine="464"/>
        <w:spacing w:after="0" w:line="258" w:lineRule="auto"/>
        <w:rPr>
          <w:sz w:val="20"/>
          <w:szCs w:val="20"/>
          <w:color w:val="auto"/>
        </w:rPr>
      </w:pPr>
      <w:r>
        <w:rPr>
          <w:rFonts w:ascii="Arial" w:cs="Arial" w:eastAsia="Arial" w:hAnsi="Arial"/>
          <w:sz w:val="17"/>
          <w:szCs w:val="17"/>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Further corporate governance information, including our corporate governance guidelines and code of business conduct and ethics, is also available on our investor relations website under the heading “Governance.” The contents of our websites are not intended to be incorporated by reference into this Quarterly Report on Form 10-Q or in any other report or document we file with the SEC, and any references to our websites are intended to be inactive textual references only.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are exposed to certain market risks in the ordinary course of our business, including sensitivities as follows: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217" w:lineRule="exact"/>
        <w:rPr>
          <w:sz w:val="20"/>
          <w:szCs w:val="20"/>
          <w:color w:val="auto"/>
        </w:rPr>
      </w:pPr>
    </w:p>
    <w:p>
      <w:pPr>
        <w:ind w:firstLine="464"/>
        <w:spacing w:after="0" w:line="207" w:lineRule="exact"/>
        <w:rPr>
          <w:sz w:val="20"/>
          <w:szCs w:val="20"/>
          <w:color w:val="auto"/>
        </w:rPr>
      </w:pPr>
      <w:r>
        <w:rPr>
          <w:rFonts w:ascii="Arial" w:cs="Arial" w:eastAsia="Arial" w:hAnsi="Arial"/>
          <w:sz w:val="16"/>
          <w:szCs w:val="16"/>
          <w:color w:val="auto"/>
        </w:rPr>
        <w:t>We had cash and cash equivalents of $675.1 million and marketable securities of $3.0 billion as of June 30, 2023. In any given period, cash and cash equivalents may consist of bank deposits, money market funds, reverse repurchase agreements and commercial paper. Marketable securities consist primarily of U.S. treasury securities, non-U.S. government securities and high credit quality corporate debt securities. The cash and cash equivalents and marketable securities are held for working capital purposes. Such interest</w:t>
      </w:r>
      <w:r>
        <w:rPr>
          <w:rFonts w:ascii="MS PGothic" w:cs="MS PGothic" w:eastAsia="MS PGothic" w:hAnsi="MS PGothic"/>
          <w:sz w:val="16"/>
          <w:szCs w:val="16"/>
          <w:color w:val="auto"/>
        </w:rPr>
        <w:t>‑</w:t>
      </w:r>
      <w:r>
        <w:rPr>
          <w:rFonts w:ascii="Arial" w:cs="Arial" w:eastAsia="Arial" w:hAnsi="Arial"/>
          <w:sz w:val="16"/>
          <w:szCs w:val="16"/>
          <w:color w:val="auto"/>
        </w:rPr>
        <w: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In March 2021, we issued $1.0 billion aggregate principal amount of our 2029 Notes and 2031 Notes carrying fixed interest rates of 3.625% and 3.875%, respectively. Due to the short</w:t>
      </w:r>
      <w:r>
        <w:rPr>
          <w:rFonts w:ascii="MS PGothic" w:cs="MS PGothic" w:eastAsia="MS PGothic" w:hAnsi="MS PGothic"/>
          <w:sz w:val="16"/>
          <w:szCs w:val="16"/>
          <w:color w:val="auto"/>
        </w:rPr>
        <w:t>‑</w:t>
      </w:r>
      <w:r>
        <w:rPr>
          <w:rFonts w:ascii="Arial" w:cs="Arial" w:eastAsia="Arial" w:hAnsi="Arial"/>
          <w:sz w:val="16"/>
          <w:szCs w:val="16"/>
          <w:color w:val="auto"/>
        </w:rPr>
        <w:t>term nature of our investments and fixed rate nature of our debt, we have not been exposed to, nor do we anticipate being exposed to, material risks due to changes in interest rates. A hypothetical 10% change in interest rates during any of the periods presented would not have had a material impact on our unaudited condensed consolidated financial statements included elsewhere in this Quarterly Report on Form 10-Q.</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Currency Exchange Risks</w:t>
      </w:r>
    </w:p>
    <w:p>
      <w:pPr>
        <w:spacing w:after="0" w:line="217" w:lineRule="exact"/>
        <w:rPr>
          <w:sz w:val="20"/>
          <w:szCs w:val="20"/>
          <w:color w:val="auto"/>
        </w:rPr>
      </w:pPr>
    </w:p>
    <w:p>
      <w:pPr>
        <w:jc w:val="both"/>
        <w:ind w:right="180" w:firstLine="464"/>
        <w:spacing w:after="0" w:line="290" w:lineRule="auto"/>
        <w:rPr>
          <w:sz w:val="20"/>
          <w:szCs w:val="20"/>
          <w:color w:val="auto"/>
        </w:rPr>
      </w:pPr>
      <w:r>
        <w:rPr>
          <w:rFonts w:ascii="Arial" w:cs="Arial" w:eastAsia="Arial" w:hAnsi="Arial"/>
          <w:sz w:val="16"/>
          <w:szCs w:val="16"/>
          <w:color w:val="auto"/>
        </w:rPr>
        <w:t>The functional currency of most of our foreign subsidiaries is the U.S. dollar. The local currencies of our foreign subsidiaries are the Australian dollar, the Bermuda dollar, the Brazilian real, the British pound, the Canadian dollar, the Colombian peso, the Czech Republic koruna, the Euro, the Hong Kong dollar, the Indian rupee, the Japanese yen, the Mexican peso, the Polish zloty, the Serbian dinar, the Singapore dollar and the Swedish krona.</w:t>
      </w:r>
    </w:p>
    <w:p>
      <w:pPr>
        <w:spacing w:after="0" w:line="158" w:lineRule="exact"/>
        <w:rPr>
          <w:sz w:val="20"/>
          <w:szCs w:val="20"/>
          <w:color w:val="auto"/>
        </w:rPr>
      </w:pPr>
    </w:p>
    <w:p>
      <w:pPr>
        <w:ind w:right="120" w:firstLine="464"/>
        <w:spacing w:after="0" w:line="283" w:lineRule="auto"/>
        <w:rPr>
          <w:sz w:val="20"/>
          <w:szCs w:val="20"/>
          <w:color w:val="auto"/>
        </w:rPr>
      </w:pPr>
      <w:r>
        <w:rPr>
          <w:rFonts w:ascii="Arial" w:cs="Arial" w:eastAsia="Arial" w:hAnsi="Arial"/>
          <w:sz w:val="16"/>
          <w:szCs w:val="16"/>
          <w:color w:val="auto"/>
        </w:rPr>
        <w:t>The majority of our subsidiaries remeasure monetary assets and liabilities at period-end exchange rates, while non-monetary items are remeasured at historical rates. Revenue and expense accounts are remeasured at the average exchange rate in effect during the month in which a transaction occurs. If there is a change in foreign currency exchange rates, the conversion of our foreign subsidiaries’ financial statements into U.S. dollars would result in a realized gain or loss which is recorded in our consolidated statements of operations included elsewhere in this Quarterly Report on Form 10-Q.</w:t>
      </w:r>
    </w:p>
    <w:p>
      <w:pPr>
        <w:spacing w:after="0" w:line="164" w:lineRule="exact"/>
        <w:rPr>
          <w:sz w:val="20"/>
          <w:szCs w:val="20"/>
          <w:color w:val="auto"/>
        </w:rPr>
      </w:pPr>
    </w:p>
    <w:p>
      <w:pPr>
        <w:ind w:right="120" w:firstLine="464"/>
        <w:spacing w:after="0" w:line="266" w:lineRule="auto"/>
        <w:rPr>
          <w:sz w:val="20"/>
          <w:szCs w:val="20"/>
          <w:color w:val="auto"/>
        </w:rPr>
      </w:pPr>
      <w:r>
        <w:rPr>
          <w:rFonts w:ascii="Arial" w:cs="Arial" w:eastAsia="Arial" w:hAnsi="Arial"/>
          <w:sz w:val="17"/>
          <w:szCs w:val="17"/>
          <w:color w:val="auto"/>
        </w:rPr>
        <w:t>We enter into foreign currency derivative hedging transactions to mitigate our exposure to market risks that may result from changes in foreign currency exchange rates. For further information, refer to Note 9 to our unaudited condensed consolidated financial statements included elsewhere in this Quarterly Report on Form 10-Q.</w:t>
      </w:r>
    </w:p>
    <w:p>
      <w:pPr>
        <w:spacing w:after="0" w:line="175"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A hypothetical 10% change in foreign exchange rates during any of the periods presented would not have had a material impact on our unaudited condensed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217"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5"/>
          <w:szCs w:val="15"/>
          <w:b w:val="1"/>
          <w:bCs w:val="1"/>
          <w:color w:val="auto"/>
        </w:rPr>
        <w:t>Evaluation of Disclosure Controls and Procedures</w:t>
      </w:r>
    </w:p>
    <w:p>
      <w:pPr>
        <w:spacing w:after="0" w:line="223" w:lineRule="exact"/>
        <w:rPr>
          <w:sz w:val="20"/>
          <w:szCs w:val="20"/>
          <w:color w:val="auto"/>
        </w:rPr>
      </w:pPr>
    </w:p>
    <w:p>
      <w:pPr>
        <w:ind w:right="300" w:firstLine="464"/>
        <w:spacing w:after="0" w:line="266"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w:t>
      </w:r>
    </w:p>
    <w:p>
      <w:pPr>
        <w:spacing w:after="0" w:line="175" w:lineRule="exact"/>
        <w:rPr>
          <w:sz w:val="20"/>
          <w:szCs w:val="20"/>
          <w:color w:val="auto"/>
        </w:rPr>
      </w:pPr>
    </w:p>
    <w:p>
      <w:pPr>
        <w:ind w:right="40" w:firstLine="464"/>
        <w:spacing w:after="0" w:line="259" w:lineRule="auto"/>
        <w:rPr>
          <w:sz w:val="20"/>
          <w:szCs w:val="20"/>
          <w:color w:val="auto"/>
        </w:rPr>
      </w:pPr>
      <w:r>
        <w:rPr>
          <w:rFonts w:ascii="Arial" w:cs="Arial" w:eastAsia="Arial" w:hAnsi="Arial"/>
          <w:sz w:val="17"/>
          <w:szCs w:val="17"/>
          <w:color w:val="auto"/>
        </w:rPr>
        <w:t>Based on this evaluation, our Chief Executive Officer and Chief Financial Officer concluded that, as of June 30, 2023,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177"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7"/>
          <w:szCs w:val="17"/>
          <w:b w:val="1"/>
          <w:bCs w:val="1"/>
          <w:color w:val="auto"/>
        </w:rPr>
        <w:t>(b)</w:t>
      </w:r>
      <w:r>
        <w:rPr>
          <w:sz w:val="20"/>
          <w:szCs w:val="20"/>
          <w:color w:val="auto"/>
        </w:rPr>
        <w:tab/>
      </w:r>
      <w:r>
        <w:rPr>
          <w:rFonts w:ascii="Arial" w:cs="Arial" w:eastAsia="Arial" w:hAnsi="Arial"/>
          <w:sz w:val="15"/>
          <w:szCs w:val="15"/>
          <w:b w:val="1"/>
          <w:bCs w:val="1"/>
          <w:color w:val="auto"/>
        </w:rPr>
        <w:t>Changes in Internal Control</w:t>
      </w:r>
    </w:p>
    <w:p>
      <w:pPr>
        <w:spacing w:after="0" w:line="223" w:lineRule="exact"/>
        <w:rPr>
          <w:sz w:val="20"/>
          <w:szCs w:val="20"/>
          <w:color w:val="auto"/>
        </w:rPr>
      </w:pPr>
    </w:p>
    <w:p>
      <w:pPr>
        <w:ind w:right="80" w:firstLine="464"/>
        <w:spacing w:after="0" w:line="258" w:lineRule="auto"/>
        <w:rPr>
          <w:sz w:val="20"/>
          <w:szCs w:val="20"/>
          <w:color w:val="auto"/>
        </w:rPr>
      </w:pPr>
      <w:r>
        <w:rPr>
          <w:rFonts w:ascii="Arial" w:cs="Arial" w:eastAsia="Arial" w:hAnsi="Arial"/>
          <w:sz w:val="17"/>
          <w:szCs w:val="17"/>
          <w:color w:val="auto"/>
        </w:rPr>
        <w:t>In connection with the reorganization and related impacts described in Note 8 and Note 10 to our unaudited condensed consolidated financial statements included elsewhere in this Quarterly Report on Form 10-Q, in the second quarter of 2023, we modified the design of certain of our internal controls over activities related to accumulation, recording and reporting of information in our financial statements on a reporting unit level. Other than these changes, there were no other changes in our internal control over financial reporting in connection with the evaluation required by Rule 13a-15(d) and 15d-15(d) of the Exchange Act that occurred during the three months ended June 30, 2023, that materially affected, or are reasonably likely to materially affect, our internal control over financial reporting.</w:t>
      </w:r>
    </w:p>
    <w:p>
      <w:pPr>
        <w:spacing w:after="0" w:line="229"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7"/>
          <w:szCs w:val="17"/>
          <w:b w:val="1"/>
          <w:bCs w:val="1"/>
          <w:color w:val="auto"/>
        </w:rPr>
        <w:t>(c)</w:t>
      </w:r>
      <w:r>
        <w:rPr>
          <w:sz w:val="20"/>
          <w:szCs w:val="20"/>
          <w:color w:val="auto"/>
        </w:rPr>
        <w:tab/>
      </w:r>
      <w:r>
        <w:rPr>
          <w:rFonts w:ascii="Arial" w:cs="Arial" w:eastAsia="Arial" w:hAnsi="Arial"/>
          <w:sz w:val="15"/>
          <w:szCs w:val="15"/>
          <w:b w:val="1"/>
          <w:bCs w:val="1"/>
          <w:color w:val="auto"/>
        </w:rPr>
        <w:t>Inherent Limitations on Effectiveness of Controls</w:t>
      </w:r>
    </w:p>
    <w:p>
      <w:pPr>
        <w:spacing w:after="0" w:line="262" w:lineRule="exact"/>
        <w:rPr>
          <w:sz w:val="20"/>
          <w:szCs w:val="20"/>
          <w:color w:val="auto"/>
        </w:rPr>
      </w:pPr>
    </w:p>
    <w:p>
      <w:pPr>
        <w:ind w:right="20" w:firstLine="464"/>
        <w:spacing w:after="0" w:line="207" w:lineRule="exact"/>
        <w:rPr>
          <w:sz w:val="20"/>
          <w:szCs w:val="20"/>
          <w:color w:val="auto"/>
        </w:rPr>
      </w:pPr>
      <w:r>
        <w:rPr>
          <w:rFonts w:ascii="Arial" w:cs="Arial" w:eastAsia="Arial" w:hAnsi="Arial"/>
          <w:sz w:val="16"/>
          <w:szCs w:val="16"/>
          <w:color w:val="auto"/>
        </w:rPr>
        <w:t>Our management, including our principal executive officer and principal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organization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w:t>
      </w:r>
      <w:r>
        <w:rPr>
          <w:rFonts w:ascii="MS PGothic" w:cs="MS PGothic" w:eastAsia="MS PGothic" w:hAnsi="MS PGothic"/>
          <w:sz w:val="16"/>
          <w:szCs w:val="16"/>
          <w:color w:val="auto"/>
        </w:rPr>
        <w:t>‑</w:t>
      </w:r>
      <w:r>
        <w:rPr>
          <w:rFonts w:ascii="Arial" w:cs="Arial" w:eastAsia="Arial" w:hAnsi="Arial"/>
          <w:sz w:val="16"/>
          <w:szCs w:val="16"/>
          <w:color w:val="auto"/>
        </w:rPr>
        <w:t>effective control system, misstatements due to error or fraud may occur and not be detected.</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Legal Proceedings</w:t>
      </w:r>
    </w:p>
    <w:p>
      <w:pPr>
        <w:spacing w:after="0" w:line="223" w:lineRule="exact"/>
        <w:rPr>
          <w:sz w:val="20"/>
          <w:szCs w:val="20"/>
          <w:color w:val="auto"/>
        </w:rPr>
      </w:pPr>
    </w:p>
    <w:p>
      <w:pPr>
        <w:ind w:right="700" w:firstLine="464"/>
        <w:spacing w:after="0" w:line="279" w:lineRule="auto"/>
        <w:rPr>
          <w:sz w:val="20"/>
          <w:szCs w:val="20"/>
          <w:color w:val="auto"/>
        </w:rPr>
      </w:pPr>
      <w:r>
        <w:rPr>
          <w:rFonts w:ascii="Arial" w:cs="Arial" w:eastAsia="Arial" w:hAnsi="Arial"/>
          <w:sz w:val="17"/>
          <w:szCs w:val="17"/>
          <w:color w:val="auto"/>
        </w:rPr>
        <w:t>Refer to Note 14(b) to our unaudited condensed consolidated financial statements included elsewhere in this Quarterly Report on Form 10-Q for a description of our current material legal proceedings.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23" w:lineRule="exact"/>
        <w:rPr>
          <w:sz w:val="20"/>
          <w:szCs w:val="20"/>
          <w:color w:val="auto"/>
        </w:rPr>
      </w:pPr>
    </w:p>
    <w:p>
      <w:pPr>
        <w:ind w:firstLine="464"/>
        <w:spacing w:after="0" w:line="277" w:lineRule="auto"/>
        <w:rPr>
          <w:sz w:val="20"/>
          <w:szCs w:val="20"/>
          <w:color w:val="auto"/>
        </w:rPr>
      </w:pPr>
      <w:r>
        <w:rPr>
          <w:rFonts w:ascii="Arial" w:cs="Arial" w:eastAsia="Arial" w:hAnsi="Arial"/>
          <w:sz w:val="16"/>
          <w:szCs w:val="16"/>
          <w:i w:val="1"/>
          <w:iCs w:val="1"/>
          <w:color w:val="auto"/>
        </w:rPr>
        <w:t>Investing in our Class A common stock involves a high degree of risk. 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Class A common stock. The risks and uncertainties described below may not be the only ones we face. If any of the risks actually occur, our business, results of operations and financial condition could be adversely affected. In that event, the market price of our Class A common stock could decline, and you could lose part or all of your investment.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 Summary</w:t>
      </w:r>
    </w:p>
    <w:p>
      <w:pPr>
        <w:spacing w:after="0" w:line="171" w:lineRule="exact"/>
        <w:rPr>
          <w:sz w:val="20"/>
          <w:szCs w:val="20"/>
          <w:color w:val="auto"/>
        </w:rPr>
      </w:pPr>
    </w:p>
    <w:p>
      <w:pPr>
        <w:ind w:right="360" w:firstLine="464"/>
        <w:spacing w:after="0" w:line="279" w:lineRule="auto"/>
        <w:rPr>
          <w:sz w:val="20"/>
          <w:szCs w:val="20"/>
          <w:color w:val="auto"/>
        </w:rPr>
      </w:pPr>
      <w:r>
        <w:rPr>
          <w:rFonts w:ascii="Arial" w:cs="Arial" w:eastAsia="Arial" w:hAnsi="Arial"/>
          <w:sz w:val="17"/>
          <w:szCs w:val="17"/>
          <w:color w:val="auto"/>
        </w:rPr>
        <w:t>Our business operations are subject to numerous risks and uncertainties, including those outside of our control, that could cause our business, results of operations, and/or financial condition to be harmed, including risks regarding the following:</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Our Business and Industry</w:t>
      </w:r>
    </w:p>
    <w:p>
      <w:pPr>
        <w:spacing w:after="0" w:line="62" w:lineRule="exact"/>
        <w:rPr>
          <w:sz w:val="20"/>
          <w:szCs w:val="20"/>
          <w:color w:val="auto"/>
        </w:rPr>
      </w:pPr>
    </w:p>
    <w:p>
      <w:pPr>
        <w:ind w:left="620" w:hanging="307"/>
        <w:spacing w:after="0"/>
        <w:tabs>
          <w:tab w:leader="none" w:pos="62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macroeconomic uncertainties;</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fluctuations in our quarterly results and our ability to meet securities analysts’ and investors’ expectations;</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effectiveness of actions taken to restructure our business in alignment with our strategic priorities;</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the potential disruption caused by the reorganization of our business into business units;</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maintain and grow our relationships with existing customers such that they increase their usage of our platform;</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attract new customers in a cost-effective manner and increase adoption of our products by enterprises;</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the evolution of the market for our products and platform, including the continued adoption of such by developers;</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effectively manage our growth;</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compete effectively in an intensely competitive market;</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our history of losses and uncertainty about our future profitability;</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hire, integrate and retain highly skilled personnel;</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maintain and enhance our brand and increase market awareness of our company and products;</w:t>
      </w:r>
    </w:p>
    <w:p>
      <w:pPr>
        <w:spacing w:after="0" w:line="62" w:lineRule="exact"/>
        <w:rPr>
          <w:rFonts w:ascii="Arial" w:cs="Arial" w:eastAsia="Arial" w:hAnsi="Arial"/>
          <w:sz w:val="17"/>
          <w:szCs w:val="17"/>
          <w:i w:val="1"/>
          <w:iCs w:val="1"/>
          <w:color w:val="auto"/>
        </w:rPr>
      </w:pPr>
    </w:p>
    <w:p>
      <w:pPr>
        <w:ind w:left="620" w:right="220" w:hanging="307"/>
        <w:spacing w:after="0" w:line="279" w:lineRule="auto"/>
        <w:tabs>
          <w:tab w:leader="none" w:pos="62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adapt and respond effectively to rapidly changing technology, evolving industry standards, changing regulations, and changing customer needs, requirements or preferences;</w:t>
      </w:r>
    </w:p>
    <w:p>
      <w:pPr>
        <w:spacing w:after="0" w:line="9" w:lineRule="exact"/>
        <w:rPr>
          <w:rFonts w:ascii="Arial" w:cs="Arial" w:eastAsia="Arial" w:hAnsi="Arial"/>
          <w:sz w:val="17"/>
          <w:szCs w:val="17"/>
          <w:i w:val="1"/>
          <w:iCs w:val="1"/>
          <w:color w:val="auto"/>
        </w:rPr>
      </w:pPr>
    </w:p>
    <w:p>
      <w:pPr>
        <w:ind w:left="620" w:hanging="307"/>
        <w:spacing w:after="0"/>
        <w:tabs>
          <w:tab w:leader="none" w:pos="62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disruptions or deterioration in the quality of service and connectivity by third-party service providers;</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a failure to set optimal prices for our products;</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significant risks associated with expansion of our international operations;</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our reliance on our largest customers to generate a significant amount of our revenue;</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integrate and achieve the expected benefits of acquisitions, partnerships and investments;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Cyber Security, Data Privacy and Intellectual Property</w:t>
      </w:r>
    </w:p>
    <w:p>
      <w:pPr>
        <w:spacing w:after="0" w:line="62" w:lineRule="exact"/>
        <w:rPr>
          <w:sz w:val="20"/>
          <w:szCs w:val="20"/>
          <w:color w:val="auto"/>
        </w:rPr>
      </w:pPr>
    </w:p>
    <w:p>
      <w:pPr>
        <w:ind w:left="620" w:hanging="307"/>
        <w:spacing w:after="0"/>
        <w:tabs>
          <w:tab w:leader="none" w:pos="620"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any breaches of our networks or systems, or those of AWS or our service providers;</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our substantial reliance on AWS to operate our platform;</w:t>
      </w:r>
    </w:p>
    <w:p>
      <w:pPr>
        <w:spacing w:after="0" w:line="62" w:lineRule="exact"/>
        <w:rPr>
          <w:rFonts w:ascii="Arial" w:cs="Arial" w:eastAsia="Arial" w:hAnsi="Arial"/>
          <w:sz w:val="17"/>
          <w:szCs w:val="17"/>
          <w:i w:val="1"/>
          <w:iCs w:val="1"/>
          <w:color w:val="auto"/>
        </w:rPr>
      </w:pPr>
    </w:p>
    <w:p>
      <w:pPr>
        <w:ind w:left="620" w:right="480" w:hanging="307"/>
        <w:spacing w:after="0" w:line="279" w:lineRule="auto"/>
        <w:tabs>
          <w:tab w:leader="none" w:pos="620"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our actual or perceived failure to comply with increasingly stringent laws, regulations and obligations relating to privacy, data protection and data security;</w:t>
      </w:r>
    </w:p>
    <w:p>
      <w:pPr>
        <w:spacing w:after="0" w:line="9" w:lineRule="exact"/>
        <w:rPr>
          <w:rFonts w:ascii="Arial" w:cs="Arial" w:eastAsia="Arial" w:hAnsi="Arial"/>
          <w:sz w:val="17"/>
          <w:szCs w:val="17"/>
          <w:i w:val="1"/>
          <w:iCs w:val="1"/>
          <w:color w:val="auto"/>
        </w:rPr>
      </w:pPr>
    </w:p>
    <w:p>
      <w:pPr>
        <w:ind w:left="620" w:hanging="307"/>
        <w:spacing w:after="0"/>
        <w:tabs>
          <w:tab w:leader="none" w:pos="620"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protect our intellectual property rights;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7" w:name="page48"/>
    <w:bookmarkEnd w:id="47"/>
    <w:p>
      <w:pPr>
        <w:ind w:left="620" w:hanging="307"/>
        <w:spacing w:after="0"/>
        <w:tabs>
          <w:tab w:leader="none" w:pos="620"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our use of open source software;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Legal and Regulatory Matters</w:t>
      </w:r>
    </w:p>
    <w:p>
      <w:pPr>
        <w:spacing w:after="0" w:line="62" w:lineRule="exact"/>
        <w:rPr>
          <w:sz w:val="20"/>
          <w:szCs w:val="20"/>
          <w:color w:val="auto"/>
        </w:rPr>
      </w:pPr>
    </w:p>
    <w:p>
      <w:pPr>
        <w:ind w:left="620" w:hanging="307"/>
        <w:spacing w:after="0"/>
        <w:tabs>
          <w:tab w:leader="none" w:pos="62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comply with telecommunications-related regulations, and the impact of future legislative or regulatory actions;</w:t>
      </w:r>
    </w:p>
    <w:p>
      <w:pPr>
        <w:spacing w:after="0" w:line="62" w:lineRule="exact"/>
        <w:rPr>
          <w:rFonts w:ascii="Arial" w:cs="Arial" w:eastAsia="Arial" w:hAnsi="Arial"/>
          <w:sz w:val="17"/>
          <w:szCs w:val="17"/>
          <w:i w:val="1"/>
          <w:iCs w:val="1"/>
          <w:color w:val="auto"/>
        </w:rPr>
      </w:pPr>
    </w:p>
    <w:p>
      <w:pPr>
        <w:ind w:left="620" w:right="360" w:hanging="307"/>
        <w:spacing w:after="0" w:line="279" w:lineRule="auto"/>
        <w:tabs>
          <w:tab w:leader="none" w:pos="62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obtain or retain geographical, mobile, regional, local or toll-free numbers and to effectively process requests to port such numbers in a timely manner due to industry regulations;</w:t>
      </w:r>
    </w:p>
    <w:p>
      <w:pPr>
        <w:spacing w:after="0" w:line="9" w:lineRule="exact"/>
        <w:rPr>
          <w:rFonts w:ascii="Arial" w:cs="Arial" w:eastAsia="Arial" w:hAnsi="Arial"/>
          <w:sz w:val="17"/>
          <w:szCs w:val="17"/>
          <w:i w:val="1"/>
          <w:iCs w:val="1"/>
          <w:color w:val="auto"/>
        </w:rPr>
      </w:pPr>
    </w:p>
    <w:p>
      <w:pPr>
        <w:ind w:left="620" w:hanging="307"/>
        <w:spacing w:after="0"/>
        <w:tabs>
          <w:tab w:leader="none" w:pos="62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federal legislation and international laws imposing obligations on the senders of commercial emails;</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fraudulent usage of or activity relating to our products;</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changes in laws and regulations related to the Internet or its infrastructure;</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compliance with applicable laws and regulations, including export control, economic trade sanctions, and anti-corruption regulations;</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standards imposed by private entities and inbox service providers that interfere with the effectiveness of our platform;</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any legal proceedings or claims against us;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Financial and Accounting Matters</w:t>
      </w:r>
    </w:p>
    <w:p>
      <w:pPr>
        <w:spacing w:after="0" w:line="62" w:lineRule="exact"/>
        <w:rPr>
          <w:sz w:val="20"/>
          <w:szCs w:val="20"/>
          <w:color w:val="auto"/>
        </w:rPr>
      </w:pPr>
    </w:p>
    <w:p>
      <w:pPr>
        <w:ind w:left="620" w:hanging="307"/>
        <w:spacing w:after="0"/>
        <w:tabs>
          <w:tab w:leader="none" w:pos="620"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exposure to foreign currency exchange rate fluctuations;</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our substantial indebtedness that may decrease our business flexibility;</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obtain additional capital to support our business and its availability on acceptable terms;</w:t>
      </w:r>
    </w:p>
    <w:p>
      <w:pPr>
        <w:spacing w:after="0" w:line="25" w:lineRule="exact"/>
        <w:rPr>
          <w:rFonts w:ascii="Arial" w:cs="Arial" w:eastAsia="Arial" w:hAnsi="Arial"/>
          <w:sz w:val="17"/>
          <w:szCs w:val="17"/>
          <w:i w:val="1"/>
          <w:iCs w:val="1"/>
          <w:color w:val="auto"/>
        </w:rPr>
      </w:pPr>
    </w:p>
    <w:p>
      <w:pPr>
        <w:ind w:left="620" w:hanging="307"/>
        <w:spacing w:after="0"/>
        <w:tabs>
          <w:tab w:leader="none" w:pos="620" w:val="left"/>
        </w:tabs>
        <w:numPr>
          <w:ilvl w:val="0"/>
          <w:numId w:val="25"/>
        </w:numPr>
        <w:rPr>
          <w:rFonts w:ascii="Arial" w:cs="Arial" w:eastAsia="Arial" w:hAnsi="Arial"/>
          <w:sz w:val="21"/>
          <w:szCs w:val="21"/>
          <w:color w:val="auto"/>
        </w:rPr>
      </w:pPr>
      <w:r>
        <w:rPr>
          <w:rFonts w:ascii="Arial" w:cs="Arial" w:eastAsia="Arial" w:hAnsi="Arial"/>
          <w:sz w:val="17"/>
          <w:szCs w:val="17"/>
          <w:i w:val="1"/>
          <w:iCs w:val="1"/>
          <w:color w:val="auto"/>
        </w:rPr>
        <w:t>changes to segment reporting as a result of the Reorganization;</w:t>
      </w:r>
    </w:p>
    <w:p>
      <w:pPr>
        <w:spacing w:after="0" w:line="40" w:lineRule="exact"/>
        <w:rPr>
          <w:rFonts w:ascii="Arial" w:cs="Arial" w:eastAsia="Arial" w:hAnsi="Arial"/>
          <w:sz w:val="21"/>
          <w:szCs w:val="21"/>
          <w:color w:val="auto"/>
        </w:rPr>
      </w:pPr>
    </w:p>
    <w:p>
      <w:pPr>
        <w:ind w:left="620" w:hanging="307"/>
        <w:spacing w:after="0"/>
        <w:tabs>
          <w:tab w:leader="none" w:pos="620"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the accuracy of our estimates and judgments related to our critical accounting policies;</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changes in accounting standards that may cause adverse financial reporting fluctuations;</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our failure to maintain an effective system of disclosure controls and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Tax Matters</w:t>
      </w:r>
    </w:p>
    <w:p>
      <w:pPr>
        <w:spacing w:after="0" w:line="62" w:lineRule="exact"/>
        <w:rPr>
          <w:sz w:val="20"/>
          <w:szCs w:val="20"/>
          <w:color w:val="auto"/>
        </w:rPr>
      </w:pPr>
    </w:p>
    <w:p>
      <w:pPr>
        <w:ind w:left="620" w:hanging="307"/>
        <w:spacing w:after="0"/>
        <w:tabs>
          <w:tab w:leader="none" w:pos="62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use our net operating losses and certain other tax attributes to offset future taxable income and taxes;</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additional tax liabilities or potentially adverse tax consequences on our global operations and structure;</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changes in tax rules and regulations;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Ownership of Our Class A Common Stock</w:t>
      </w:r>
    </w:p>
    <w:p>
      <w:pPr>
        <w:spacing w:after="0" w:line="62" w:lineRule="exact"/>
        <w:rPr>
          <w:sz w:val="20"/>
          <w:szCs w:val="20"/>
          <w:color w:val="auto"/>
        </w:rPr>
      </w:pPr>
    </w:p>
    <w:p>
      <w:pPr>
        <w:ind w:left="620" w:hanging="307"/>
        <w:spacing w:after="0"/>
        <w:tabs>
          <w:tab w:leader="none" w:pos="62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volatility of the trading price of our Class A common stock;</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potential decline in the market price of our Class A common stock due to substantial future sales of shares;</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the possibility that we may not realize the anticipated long-term stockholder value of our share repurchase program;</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securities or industry analysts changing their recommendations regarding our Class A common stock; and</w:t>
      </w:r>
    </w:p>
    <w:p>
      <w:pPr>
        <w:spacing w:after="0" w:line="62" w:lineRule="exact"/>
        <w:rPr>
          <w:rFonts w:ascii="Arial" w:cs="Arial" w:eastAsia="Arial" w:hAnsi="Arial"/>
          <w:sz w:val="17"/>
          <w:szCs w:val="17"/>
          <w:i w:val="1"/>
          <w:iCs w:val="1"/>
          <w:color w:val="auto"/>
        </w:rPr>
      </w:pPr>
    </w:p>
    <w:p>
      <w:pPr>
        <w:ind w:left="620" w:hanging="307"/>
        <w:spacing w:after="0"/>
        <w:tabs>
          <w:tab w:leader="none" w:pos="62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anti-takeover provisions contained in our governing documents and the exclusive forum provision in our bylaws.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Our Business and Our Industry</w:t>
      </w:r>
    </w:p>
    <w:p>
      <w:pPr>
        <w:spacing w:after="0" w:line="223" w:lineRule="exact"/>
        <w:rPr>
          <w:sz w:val="20"/>
          <w:szCs w:val="20"/>
          <w:color w:val="auto"/>
        </w:rPr>
      </w:pPr>
    </w:p>
    <w:p>
      <w:pPr>
        <w:ind w:right="40" w:firstLine="464"/>
        <w:spacing w:after="0" w:line="279" w:lineRule="auto"/>
        <w:rPr>
          <w:sz w:val="20"/>
          <w:szCs w:val="20"/>
          <w:color w:val="auto"/>
        </w:rPr>
      </w:pPr>
      <w:r>
        <w:rPr>
          <w:rFonts w:ascii="Arial" w:cs="Arial" w:eastAsia="Arial" w:hAnsi="Arial"/>
          <w:sz w:val="17"/>
          <w:szCs w:val="17"/>
          <w:b w:val="1"/>
          <w:bCs w:val="1"/>
          <w:i w:val="1"/>
          <w:iCs w:val="1"/>
          <w:color w:val="auto"/>
        </w:rPr>
        <w:t>Global economic and political conditions, including macroeconomic uncertainties, may continue to adversely impact our business, results of operations and financial condition.</w:t>
      </w:r>
    </w:p>
    <w:p>
      <w:pPr>
        <w:spacing w:after="0" w:line="164" w:lineRule="exact"/>
        <w:rPr>
          <w:sz w:val="20"/>
          <w:szCs w:val="20"/>
          <w:color w:val="auto"/>
        </w:rPr>
      </w:pPr>
    </w:p>
    <w:p>
      <w:pPr>
        <w:ind w:firstLine="464"/>
        <w:spacing w:after="0" w:line="257" w:lineRule="auto"/>
        <w:rPr>
          <w:sz w:val="20"/>
          <w:szCs w:val="20"/>
          <w:color w:val="auto"/>
        </w:rPr>
      </w:pPr>
      <w:r>
        <w:rPr>
          <w:rFonts w:ascii="Arial" w:cs="Arial" w:eastAsia="Arial" w:hAnsi="Arial"/>
          <w:sz w:val="17"/>
          <w:szCs w:val="17"/>
          <w:color w:val="auto"/>
        </w:rPr>
        <w:t>Global economic and business activities continue to face widespread macroeconomic uncertainties, including changes in the labor market and supply chain disruptions, inflation and monetary supply shifts, volatility in the banking and financial services sectors, and recession risks, which may continue for an extended period. Additionally, the instability in the geopolitical environment in many parts of the world, including from the war in Ukraine, may continue to put pressure on and lead to uncertain economic conditions. These macroeconomic conditions have resulted in, and may continue to result in, decreased business spending by our current and prospective customers and business partners, reduced demand for our products, lower renewal rates by our customers, longer or delayed sales cycles, including current and prospective customers delaying contract signing or contract renewals, reduced budgets or minimum commitments related to the products that we offer, or delays in customer payments or our ability to collect accounts receivable, all of which could have an adverse impact on our business, results of operations and financial condition.</w:t>
      </w:r>
    </w:p>
    <w:p>
      <w:pPr>
        <w:spacing w:after="0" w:line="208" w:lineRule="exact"/>
        <w:rPr>
          <w:sz w:val="20"/>
          <w:szCs w:val="20"/>
          <w:color w:val="auto"/>
        </w:rPr>
      </w:pPr>
    </w:p>
    <w:p>
      <w:pPr>
        <w:ind w:firstLine="464"/>
        <w:spacing w:after="0" w:line="266" w:lineRule="auto"/>
        <w:rPr>
          <w:sz w:val="20"/>
          <w:szCs w:val="20"/>
          <w:color w:val="auto"/>
        </w:rPr>
      </w:pPr>
      <w:r>
        <w:rPr>
          <w:rFonts w:ascii="Arial" w:cs="Arial" w:eastAsia="Arial" w:hAnsi="Arial"/>
          <w:sz w:val="17"/>
          <w:szCs w:val="17"/>
          <w:color w:val="auto"/>
        </w:rPr>
        <w:t>The current macroeconomic environment has constrained the budgets and financial resources of some of our current and prospective customers, which has caused the impacted current and prospective customers to become more budget-conscious, to delay and/or reduce spending. Given that a majority of our revenue is usage-based and impacted by general consumer sentiment</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13" w:right="359" w:bottom="1440" w:gutter="0" w:footer="0" w:header="0"/>
        </w:sectPr>
      </w:pPr>
    </w:p>
    <w:bookmarkStart w:id="48" w:name="page49"/>
    <w:bookmarkEnd w:id="48"/>
    <w:p>
      <w:pPr>
        <w:ind w:right="20"/>
        <w:spacing w:after="0" w:line="273" w:lineRule="auto"/>
        <w:rPr>
          <w:sz w:val="20"/>
          <w:szCs w:val="20"/>
          <w:color w:val="auto"/>
        </w:rPr>
      </w:pPr>
      <w:r>
        <w:rPr>
          <w:rFonts w:ascii="Arial" w:cs="Arial" w:eastAsia="Arial" w:hAnsi="Arial"/>
          <w:sz w:val="16"/>
          <w:szCs w:val="16"/>
          <w:color w:val="auto"/>
        </w:rPr>
        <w:t>and activity, our business may be more immediately and severely impacted by adverse macroeconomic conditions than those that rely primarily on software-as-a-service (“SaaS”) subscription revenue. The current macroeconomic environment has caused certain customers without long-term contracts with us to reduce or terminate their usage of our products without notice or termination changes, which has negatively impacted, and may in the future negatively impact, Communications revenue. Similarly, the current macroeconomic environment has caused certain customers to renegotiate existing contracts on less advantageous terms to us than those currently in place, default on payments due on existing contracts, or fail to renew at the end of their current contract term, which has had, and may continue to have, a negative impact on our Data &amp; Applications revenue. A prolonged economic slowdown could exacerbate these negative effects on revenue and revenue growth in both our Communications and Data &amp; Applications business units. Additionally, when customers fail to pay us or reduce their spending with us, we may be adversely affected by an inability to collect amounts due, the costs of enforcing the terms of our contracts, including through litigation, and/or a reduction in revenue. For example, in February 2023, one of our customers, Oi SA, a Brazilian telecom company, initiated reorganization proceedings in a Brazilian bankruptcy court as well as a secondary proceeding under Chapter 15 in the United States and exposed us to risks on collections of pre-petition receivables and ongoing revenue.</w:t>
      </w:r>
    </w:p>
    <w:p>
      <w:pPr>
        <w:spacing w:after="0" w:line="199" w:lineRule="exact"/>
        <w:rPr>
          <w:sz w:val="20"/>
          <w:szCs w:val="20"/>
          <w:color w:val="auto"/>
        </w:rPr>
      </w:pPr>
    </w:p>
    <w:p>
      <w:pPr>
        <w:ind w:firstLine="464"/>
        <w:spacing w:after="0" w:line="295" w:lineRule="auto"/>
        <w:rPr>
          <w:sz w:val="20"/>
          <w:szCs w:val="20"/>
          <w:color w:val="auto"/>
        </w:rPr>
      </w:pPr>
      <w:r>
        <w:rPr>
          <w:rFonts w:ascii="Arial" w:cs="Arial" w:eastAsia="Arial" w:hAnsi="Arial"/>
          <w:sz w:val="15"/>
          <w:szCs w:val="15"/>
          <w:color w:val="auto"/>
        </w:rPr>
        <w:t>Many of our customers are in industries that have been negatively impacted by recent macroeconomic conditions, including customers in social media, cryptocurrencies, retail and e-commerce, consumer packaged goods, direct-to-consumer and other industries dependent on consumer spending, and the concentration of our customer base within these industries could exacerbate the effects of weakening macroeconomic conditions on our business. For example, we have generally experienced, and expect to continue to experience, longer sales cycles when engaging with current and potential customers in industries negatively impacted by macroeconomic conditions. Our products are also utilized by many small and medium-sized businesses, which have been, and may continue to be, adversely affected by the current economic downturn to a greater extent than larger enterprises with greater financial resources. To the extent that the effects of the current macroeconomic environment continue to adversely affect our business and the businesses of our current and prospective customers, our results of operations and financial condition may continue to be harmed, and many of the other risks described in this “Risk Factors” section will be exacerbated.</w:t>
      </w:r>
    </w:p>
    <w:p>
      <w:pPr>
        <w:spacing w:after="0" w:line="160" w:lineRule="exact"/>
        <w:rPr>
          <w:sz w:val="20"/>
          <w:szCs w:val="20"/>
          <w:color w:val="auto"/>
        </w:rPr>
      </w:pPr>
    </w:p>
    <w:p>
      <w:pPr>
        <w:ind w:right="360" w:firstLine="464"/>
        <w:spacing w:after="0" w:line="312" w:lineRule="auto"/>
        <w:rPr>
          <w:sz w:val="20"/>
          <w:szCs w:val="20"/>
          <w:color w:val="auto"/>
        </w:rPr>
      </w:pPr>
      <w:r>
        <w:rPr>
          <w:rFonts w:ascii="Arial" w:cs="Arial" w:eastAsia="Arial" w:hAnsi="Arial"/>
          <w:sz w:val="16"/>
          <w:szCs w:val="16"/>
          <w:b w:val="1"/>
          <w:bCs w:val="1"/>
          <w:i w:val="1"/>
          <w:iCs w:val="1"/>
          <w:color w:val="auto"/>
        </w:rPr>
        <w:t>Our quarterly and annual results of operations have fluctuated in the past and may continue to do so in the future. As a result, we may fail to meet securities analysts’ and investors’ expectations, which could cause the price of our Class A common stock to decline.</w:t>
      </w:r>
    </w:p>
    <w:p>
      <w:pPr>
        <w:spacing w:after="0" w:line="128" w:lineRule="exact"/>
        <w:rPr>
          <w:sz w:val="20"/>
          <w:szCs w:val="20"/>
          <w:color w:val="auto"/>
        </w:rPr>
      </w:pPr>
    </w:p>
    <w:p>
      <w:pPr>
        <w:ind w:firstLine="464"/>
        <w:spacing w:after="0" w:line="266" w:lineRule="auto"/>
        <w:rPr>
          <w:sz w:val="20"/>
          <w:szCs w:val="20"/>
          <w:color w:val="auto"/>
        </w:rPr>
      </w:pPr>
      <w:r>
        <w:rPr>
          <w:rFonts w:ascii="Arial" w:cs="Arial" w:eastAsia="Arial" w:hAnsi="Arial"/>
          <w:sz w:val="16"/>
          <w:szCs w:val="16"/>
          <w:color w:val="auto"/>
        </w:rPr>
        <w:t>Our quarterly and annual results of operations, including our revenue, cost of revenue, gross margin and operating expenses, have fluctuated in the past and may continue to do so in the future due to a variety of factors, many of which are outside of our control. These fluctuations and the related impacts to any earnings guidance we may issue from time to time could cause the price of our Class A common stock to change significantly or experience declines. In addition to the other risks described in this “Risk Factors” section, some of the factors that may result in fluctuations to our results of operations include:</w:t>
      </w:r>
    </w:p>
    <w:p>
      <w:pPr>
        <w:spacing w:after="0" w:line="177" w:lineRule="exact"/>
        <w:rPr>
          <w:sz w:val="20"/>
          <w:szCs w:val="20"/>
          <w:color w:val="auto"/>
        </w:rPr>
      </w:pPr>
    </w:p>
    <w:p>
      <w:pPr>
        <w:ind w:left="940" w:right="120" w:hanging="318"/>
        <w:spacing w:after="0" w:line="312" w:lineRule="auto"/>
        <w:tabs>
          <w:tab w:leader="none" w:pos="9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fluctuations in demand for, pricing of, or usage of, our products, including due to the effects of global macroeconomic conditions, competition, and differing levels of demand for our products based on changing customer priorities, resources, financial conditions and economic outlook;</w:t>
      </w:r>
    </w:p>
    <w:p>
      <w:pPr>
        <w:spacing w:after="0" w:line="140" w:lineRule="exact"/>
        <w:rPr>
          <w:rFonts w:ascii="Arial" w:cs="Arial" w:eastAsia="Arial" w:hAnsi="Arial"/>
          <w:sz w:val="16"/>
          <w:szCs w:val="16"/>
          <w:color w:val="auto"/>
        </w:rPr>
      </w:pPr>
    </w:p>
    <w:p>
      <w:pPr>
        <w:ind w:left="940" w:hanging="318"/>
        <w:spacing w:after="0"/>
        <w:tabs>
          <w:tab w:leader="none" w:pos="9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general economic conditions, including a downturn or recession, rising inflation and rising interest rates, geopolitical uncertainty and instability;</w:t>
      </w:r>
    </w:p>
    <w:p>
      <w:pPr>
        <w:spacing w:after="0" w:line="228" w:lineRule="exact"/>
        <w:rPr>
          <w:rFonts w:ascii="Arial" w:cs="Arial" w:eastAsia="Arial" w:hAnsi="Arial"/>
          <w:sz w:val="16"/>
          <w:szCs w:val="16"/>
          <w:color w:val="auto"/>
        </w:rPr>
      </w:pPr>
    </w:p>
    <w:p>
      <w:pPr>
        <w:ind w:left="940" w:hanging="318"/>
        <w:spacing w:after="0"/>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expected costs and benefits of our business unit reorganization and changes to our leadership structure;</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amount and timing of costs, including any adverse effects associated with, our recent workforce reductions;</w:t>
      </w:r>
    </w:p>
    <w:p>
      <w:pPr>
        <w:spacing w:after="0" w:line="217" w:lineRule="exact"/>
        <w:rPr>
          <w:rFonts w:ascii="Arial" w:cs="Arial" w:eastAsia="Arial" w:hAnsi="Arial"/>
          <w:sz w:val="17"/>
          <w:szCs w:val="17"/>
          <w:color w:val="auto"/>
        </w:rPr>
      </w:pPr>
    </w:p>
    <w:p>
      <w:pPr>
        <w:ind w:left="940" w:right="180" w:hanging="318"/>
        <w:spacing w:after="0" w:line="279" w:lineRule="auto"/>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attract and retain new customers, obtain renewals from existing customers and cross-sell or otherwise increase revenue from existing customers;</w:t>
      </w:r>
    </w:p>
    <w:p>
      <w:pPr>
        <w:spacing w:after="0" w:line="164" w:lineRule="exact"/>
        <w:rPr>
          <w:rFonts w:ascii="Arial" w:cs="Arial" w:eastAsia="Arial" w:hAnsi="Arial"/>
          <w:sz w:val="17"/>
          <w:szCs w:val="17"/>
          <w:color w:val="auto"/>
        </w:rPr>
      </w:pPr>
    </w:p>
    <w:p>
      <w:pPr>
        <w:ind w:left="940" w:hanging="318"/>
        <w:spacing w:after="0"/>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introduce new products and enhance existing products;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leverage more of our self-service capabilities for customers;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competition and the actions of our competitors, including pricing changes and the introduction of new products, services and geographies;</w:t>
      </w: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62" w:right="399" w:bottom="1440" w:gutter="0" w:footer="0" w:header="0"/>
        </w:sectPr>
      </w:pPr>
    </w:p>
    <w:bookmarkStart w:id="49" w:name="page50"/>
    <w:bookmarkEnd w:id="49"/>
    <w:p>
      <w:pPr>
        <w:ind w:left="940" w:hanging="318"/>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significant security breaches or incidents impacting our platform, or interruptions to, the delivery and use of our products;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cloud infrastructure, network services and other third-party technology, including the fees charged by their providers;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rate productivity of our salesforce, including our enterprise salesforce;</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length and complexity of the sales cycle for our products, especially for sales to larger enterprises, government and regulated organizations;</w:t>
      </w:r>
    </w:p>
    <w:p>
      <w:pPr>
        <w:spacing w:after="0" w:line="228" w:lineRule="exact"/>
        <w:rPr>
          <w:rFonts w:ascii="Arial" w:cs="Arial" w:eastAsia="Arial" w:hAnsi="Arial"/>
          <w:sz w:val="16"/>
          <w:szCs w:val="16"/>
          <w:color w:val="auto"/>
        </w:rPr>
      </w:pPr>
    </w:p>
    <w:p>
      <w:pPr>
        <w:ind w:left="940" w:hanging="318"/>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the mix of products that our customers use during a particular period;</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the mix or amount of products sold in the United States versus internationally;</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amount and timing of operating costs and capital expenditures related to the operations and expansion of our business;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expenses in connection with mergers, acquisitions, dispositions, or other strategic transactions;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timing of customer payments and our ability to collect accounts receivable from customers;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rising inflation and our ability to control costs, including our operating expenses;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amount and timing of costs associated with recruiting, training and integrating new employees, and retaining existing employees;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foreign currency exchange rates and our ability to effectively hedge our foreign currency exposure;</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extraordinary expenses such as litigation or other dispute-related settlement payments;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laws, industry standards and regulations that affect our business;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sales tax and other tax determinations by authorities in the jurisdictions in which we conduct business;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impact of new accounting pronouncements; and</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fluctuations in stock-based compensation expenses.</w:t>
      </w:r>
    </w:p>
    <w:p>
      <w:pPr>
        <w:spacing w:after="0" w:line="217" w:lineRule="exact"/>
        <w:rPr>
          <w:sz w:val="20"/>
          <w:szCs w:val="20"/>
          <w:color w:val="auto"/>
        </w:rPr>
      </w:pPr>
    </w:p>
    <w:p>
      <w:pPr>
        <w:ind w:firstLine="464"/>
        <w:spacing w:after="0" w:line="302" w:lineRule="auto"/>
        <w:rPr>
          <w:sz w:val="20"/>
          <w:szCs w:val="20"/>
          <w:color w:val="auto"/>
        </w:rPr>
      </w:pPr>
      <w:r>
        <w:rPr>
          <w:rFonts w:ascii="Arial" w:cs="Arial" w:eastAsia="Arial" w:hAnsi="Arial"/>
          <w:sz w:val="15"/>
          <w:szCs w:val="15"/>
          <w:color w:val="auto"/>
        </w:rPr>
        <w:t>The occurrence of one or more of the foregoing and other factors may cause our results of operations to vary significantly. As such, comparing our operating results on a period-to-period basis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our net income (loss) and margins in the short term. If we fail to meet or exceed the expectations of investors or securities analysts, then the trading price of our Class A common stock could fall substantially, and we could face costly lawsuits, including securities class action suits.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Actions that we are taking to restructure our business in alignment with our strategic priorities may not be as effective as anticipated.</w:t>
      </w:r>
    </w:p>
    <w:p>
      <w:pPr>
        <w:spacing w:after="0" w:line="229" w:lineRule="exact"/>
        <w:rPr>
          <w:sz w:val="20"/>
          <w:szCs w:val="20"/>
          <w:color w:val="auto"/>
        </w:rPr>
      </w:pPr>
    </w:p>
    <w:p>
      <w:pPr>
        <w:ind w:right="140" w:firstLine="464"/>
        <w:spacing w:after="0" w:line="283" w:lineRule="auto"/>
        <w:rPr>
          <w:sz w:val="20"/>
          <w:szCs w:val="20"/>
          <w:color w:val="auto"/>
        </w:rPr>
      </w:pPr>
      <w:r>
        <w:rPr>
          <w:rFonts w:ascii="Arial" w:cs="Arial" w:eastAsia="Arial" w:hAnsi="Arial"/>
          <w:sz w:val="16"/>
          <w:szCs w:val="16"/>
          <w:color w:val="auto"/>
        </w:rPr>
        <w:t>In September of 2022, we reduced our workforce by approximately 11%, and in February 2023, we reduced our workforce by an additional approximately 17%. While our reductions in force and other efforts to restructure our business were designed to reduce operating costs, improve operating margins and shift our selling capacity to accelerate software sales, we may encounter challenges in the execution of these efforts that could prevent us from recognizing the intended benefits of such efforts or otherwise adversely affect our business, results of operations and financial condition.</w:t>
      </w:r>
    </w:p>
    <w:p>
      <w:pPr>
        <w:spacing w:after="0" w:line="164" w:lineRule="exact"/>
        <w:rPr>
          <w:sz w:val="20"/>
          <w:szCs w:val="20"/>
          <w:color w:val="auto"/>
        </w:rPr>
      </w:pPr>
    </w:p>
    <w:p>
      <w:pPr>
        <w:ind w:right="40" w:firstLine="464"/>
        <w:spacing w:after="0" w:line="266" w:lineRule="auto"/>
        <w:rPr>
          <w:sz w:val="20"/>
          <w:szCs w:val="20"/>
          <w:color w:val="auto"/>
        </w:rPr>
      </w:pPr>
      <w:r>
        <w:rPr>
          <w:rFonts w:ascii="Arial" w:cs="Arial" w:eastAsia="Arial" w:hAnsi="Arial"/>
          <w:sz w:val="17"/>
          <w:szCs w:val="17"/>
          <w:color w:val="auto"/>
        </w:rPr>
        <w:t>As a result of the reductions in force, we have incurred, and may continue to incur additional costs in the short-term, including cash expenditures for employee transitions, notice period and severance payments, employee benefits and related facilitation costs, as well as non-cash expenditures related to vesting of share-based awards. These additional cash and non-cash</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50" w:name="page51"/>
    <w:bookmarkEnd w:id="50"/>
    <w:p>
      <w:pPr>
        <w:ind w:right="60"/>
        <w:spacing w:after="0" w:line="276" w:lineRule="auto"/>
        <w:rPr>
          <w:sz w:val="20"/>
          <w:szCs w:val="20"/>
          <w:color w:val="auto"/>
        </w:rPr>
      </w:pPr>
      <w:r>
        <w:rPr>
          <w:rFonts w:ascii="Arial" w:cs="Arial" w:eastAsia="Arial" w:hAnsi="Arial"/>
          <w:sz w:val="16"/>
          <w:szCs w:val="16"/>
          <w:color w:val="auto"/>
        </w:rPr>
        <w:t>expenditures could have the effect of reducing our operating margins. Our reductions in force may result in other unintended consequences, including employee attrition beyond our intended reduction in force, which may also be further exacerbated by the actual or perceived declining value of our equity awards; damage to our corporate culture and decreased employee morale among our remaining employees, including as a result of reduced employee perks; diversion of management attention; damage to our reputation as an employer, which could make it more difficult for us to hire new employees in the future; and the loss of institutional knowledge and expertise of departing employees. If we experience any of these adverse consequences, our reductions in force and other restructuring efforts may not achieve or sustain their intended benefits, or the benefits, even if achieved, may not be adequate to meet our long-term profitability and operational expectations, which could adversely affect our business, results of operations and financial condition.</w:t>
      </w:r>
    </w:p>
    <w:p>
      <w:pPr>
        <w:spacing w:after="0" w:line="169" w:lineRule="exact"/>
        <w:rPr>
          <w:sz w:val="20"/>
          <w:szCs w:val="20"/>
          <w:color w:val="auto"/>
        </w:rPr>
      </w:pPr>
    </w:p>
    <w:p>
      <w:pPr>
        <w:ind w:right="20" w:firstLine="464"/>
        <w:spacing w:after="0" w:line="295" w:lineRule="auto"/>
        <w:rPr>
          <w:sz w:val="20"/>
          <w:szCs w:val="20"/>
          <w:color w:val="auto"/>
        </w:rPr>
      </w:pPr>
      <w:r>
        <w:rPr>
          <w:rFonts w:ascii="Arial" w:cs="Arial" w:eastAsia="Arial" w:hAnsi="Arial"/>
          <w:sz w:val="15"/>
          <w:szCs w:val="15"/>
          <w:color w:val="auto"/>
        </w:rPr>
        <w:t>In addition, our reductions in force and other restructuring efforts could lead us to fail to meet, or cause delays in meeting, our operational and growth targets. While positions have been eliminated, functions that they performed remain necessary to our operations, and we may be unsuccessful in effectively and efficiently distributing the duties and obligations of departed employees among our remaining employees. The reduction in our workforce could also prevent us from pursuing new opportunities and initiatives or require us to adjust our growth strategy. As part of our reductions in force, we have reduced the size of our sales force to drive further efficiencies in our sales operations. With a smaller workforce, we are relying more heavily on our self-service model to drive sales of our Communications products to customers that do not require direct account coverage. Our self-service capabilities may not be as successful as we anticipate, and our efforts to accelerate Data &amp; Applications sales may not be effective or may take longer than we expect to drive growth. If these factors lead us to fail to meet our operational and growth targets or to delays in meeting such targets, our business, results of operations and financial condition may be adversely affected.</w:t>
      </w:r>
    </w:p>
    <w:p>
      <w:pPr>
        <w:spacing w:after="0" w:line="160" w:lineRule="exact"/>
        <w:rPr>
          <w:sz w:val="20"/>
          <w:szCs w:val="20"/>
          <w:color w:val="auto"/>
        </w:rPr>
      </w:pPr>
    </w:p>
    <w:p>
      <w:pPr>
        <w:ind w:right="180" w:firstLine="464"/>
        <w:spacing w:after="0" w:line="262" w:lineRule="auto"/>
        <w:rPr>
          <w:sz w:val="20"/>
          <w:szCs w:val="20"/>
          <w:color w:val="auto"/>
        </w:rPr>
      </w:pPr>
      <w:r>
        <w:rPr>
          <w:rFonts w:ascii="Arial" w:cs="Arial" w:eastAsia="Arial" w:hAnsi="Arial"/>
          <w:sz w:val="17"/>
          <w:szCs w:val="17"/>
          <w:color w:val="auto"/>
        </w:rPr>
        <w:t>As we continue to identify areas of cost savings and operating efficiencies, we may consider implementing further measures to reduce operating costs and improve operating margins. We may not be successful in implementing such initiatives, including as a result of factors beyond our control. If we are unable to realize the anticipated savings and efficiencies from our reductions in force, other restructuring efforts and future strategic initiatives, our business, results of operations and financial condition could be harmed.</w:t>
      </w:r>
    </w:p>
    <w:p>
      <w:pPr>
        <w:spacing w:after="0" w:line="178" w:lineRule="exact"/>
        <w:rPr>
          <w:sz w:val="20"/>
          <w:szCs w:val="20"/>
          <w:color w:val="auto"/>
        </w:rPr>
      </w:pPr>
    </w:p>
    <w:p>
      <w:pPr>
        <w:ind w:right="500" w:firstLine="464"/>
        <w:spacing w:after="0" w:line="279" w:lineRule="auto"/>
        <w:rPr>
          <w:sz w:val="20"/>
          <w:szCs w:val="20"/>
          <w:color w:val="auto"/>
        </w:rPr>
      </w:pPr>
      <w:r>
        <w:rPr>
          <w:rFonts w:ascii="Arial" w:cs="Arial" w:eastAsia="Arial" w:hAnsi="Arial"/>
          <w:sz w:val="17"/>
          <w:szCs w:val="17"/>
          <w:b w:val="1"/>
          <w:bCs w:val="1"/>
          <w:i w:val="1"/>
          <w:iCs w:val="1"/>
          <w:color w:val="auto"/>
        </w:rPr>
        <w:t>In the first quarter of 2023, we reorganized our business into business units, and we have since adopted a two-segment reporting structure. These changes may be disruptive to our business and may not have the desired effects.</w:t>
      </w:r>
    </w:p>
    <w:p>
      <w:pPr>
        <w:spacing w:after="0" w:line="164" w:lineRule="exact"/>
        <w:rPr>
          <w:sz w:val="20"/>
          <w:szCs w:val="20"/>
          <w:color w:val="auto"/>
        </w:rPr>
      </w:pPr>
    </w:p>
    <w:p>
      <w:pPr>
        <w:ind w:right="80" w:firstLine="464"/>
        <w:spacing w:after="0" w:line="259" w:lineRule="auto"/>
        <w:rPr>
          <w:sz w:val="20"/>
          <w:szCs w:val="20"/>
          <w:color w:val="auto"/>
        </w:rPr>
      </w:pPr>
      <w:r>
        <w:rPr>
          <w:rFonts w:ascii="Arial" w:cs="Arial" w:eastAsia="Arial" w:hAnsi="Arial"/>
          <w:sz w:val="17"/>
          <w:szCs w:val="17"/>
          <w:color w:val="auto"/>
        </w:rPr>
        <w:t>In the first quarter of 2023, we reorganized our business into two business units – Twilio Communications and Twilio Data &amp; Applications – to enable us to develop the organization and systems to successfully operate a multi-product business and to better align our sales resources with customer and market opportunities. In addition, as the business units were created based on how management views and evaluates our business, beginning with the quarter ended June 30, 2023, we changed our operating and reporting segment structure from one reportable segment to two reportable segments, and revised our prior period presentation to conform to the new segments.</w:t>
      </w:r>
    </w:p>
    <w:p>
      <w:pPr>
        <w:spacing w:after="0" w:line="183" w:lineRule="exact"/>
        <w:rPr>
          <w:sz w:val="20"/>
          <w:szCs w:val="20"/>
          <w:color w:val="auto"/>
        </w:rPr>
      </w:pPr>
    </w:p>
    <w:p>
      <w:pPr>
        <w:ind w:firstLine="464"/>
        <w:spacing w:after="0" w:line="273" w:lineRule="auto"/>
        <w:rPr>
          <w:sz w:val="20"/>
          <w:szCs w:val="20"/>
          <w:color w:val="auto"/>
        </w:rPr>
      </w:pPr>
      <w:r>
        <w:rPr>
          <w:rFonts w:ascii="Arial" w:cs="Arial" w:eastAsia="Arial" w:hAnsi="Arial"/>
          <w:sz w:val="16"/>
          <w:szCs w:val="16"/>
          <w:color w:val="auto"/>
        </w:rPr>
        <w:t>Our business unit reorganization and changes in our segment reporting structure have required, and will continue to require significant expenditures, allocation of valuable management resources, and significant demands on our operational and financial infrastructure. This could lead to a number of risks, including: actual or perceived disruption of service or reduction in service standards to our customers; the failure to preserve adequate internal controls as we reorganize our general and administrative functions, including our information technology and financial reporting infrastructure; the failure to preserve partnership, sales and other important relationships and to resolve conflicts that may arise; loss of sales as we eliminate certain sales positions, reorganize our sales teams into business units, and focus on leveraging our self-service capabilities; failure to develop effective cross-selling motions between the businesses; failure of the business units to drive efficiencies and leverage; diversion of management attention from ongoing business activities and core business objectives in order to manage operational changes; and the failure to maintain our corporate culture, employee morale and productivity, and to retain highly skilled employees due to reductions in our workforce and changes in leadership structure. Because of these and other factors, we cannot predict whether we will realize the purpose and anticipated benefits of Reorganization and segment reporting changes, and if we do not, our business, results of operations and financial condition could be adversely affected.</w:t>
      </w:r>
    </w:p>
    <w:p>
      <w:pPr>
        <w:spacing w:after="0" w:line="199" w:lineRule="exact"/>
        <w:rPr>
          <w:sz w:val="20"/>
          <w:szCs w:val="20"/>
          <w:color w:val="auto"/>
        </w:rPr>
      </w:pPr>
    </w:p>
    <w:p>
      <w:pPr>
        <w:ind w:firstLine="464"/>
        <w:spacing w:after="0" w:line="307" w:lineRule="auto"/>
        <w:rPr>
          <w:sz w:val="20"/>
          <w:szCs w:val="20"/>
          <w:color w:val="auto"/>
        </w:rPr>
      </w:pPr>
      <w:r>
        <w:rPr>
          <w:rFonts w:ascii="Arial" w:cs="Arial" w:eastAsia="Arial" w:hAnsi="Arial"/>
          <w:sz w:val="15"/>
          <w:szCs w:val="15"/>
          <w:color w:val="auto"/>
        </w:rPr>
        <w:t>There is no guarantee that investors, analysts or the market will understand or favorably view the changes we make to our financial reporting in connection with the shift from one to two segments or that any such changes will have the desired effect. Failure of investors or analysts to understand our revised segment reporting structure may negatively affect their ability to understand our business and operating results, which could adversely affect our stock price. In addition, we test for goodwill impairment at the reporting unit level and consider the difference between the fair value of a reporting unit and its carrying</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51" w:name="page52"/>
    <w:bookmarkEnd w:id="51"/>
    <w:p>
      <w:pPr>
        <w:ind w:right="60"/>
        <w:spacing w:after="0" w:line="279" w:lineRule="auto"/>
        <w:rPr>
          <w:sz w:val="20"/>
          <w:szCs w:val="20"/>
          <w:color w:val="auto"/>
        </w:rPr>
      </w:pPr>
      <w:r>
        <w:rPr>
          <w:rFonts w:ascii="Arial" w:cs="Arial" w:eastAsia="Arial" w:hAnsi="Arial"/>
          <w:sz w:val="17"/>
          <w:szCs w:val="17"/>
          <w:color w:val="auto"/>
        </w:rPr>
        <w:t>value when determining whether any impairment exists. There can be no assurance that the change to our segment reporting structure will not result in impairment charges in future periods, which could harm our operating results.</w:t>
      </w:r>
    </w:p>
    <w:p>
      <w:pPr>
        <w:spacing w:after="0" w:line="396" w:lineRule="exact"/>
        <w:rPr>
          <w:sz w:val="20"/>
          <w:szCs w:val="20"/>
          <w:color w:val="auto"/>
        </w:rPr>
      </w:pPr>
    </w:p>
    <w:p>
      <w:pPr>
        <w:ind w:right="80" w:firstLine="464"/>
        <w:spacing w:after="0" w:line="264" w:lineRule="auto"/>
        <w:rPr>
          <w:sz w:val="20"/>
          <w:szCs w:val="20"/>
          <w:color w:val="auto"/>
        </w:rPr>
      </w:pPr>
      <w:r>
        <w:rPr>
          <w:rFonts w:ascii="Arial" w:cs="Arial" w:eastAsia="Arial" w:hAnsi="Arial"/>
          <w:sz w:val="17"/>
          <w:szCs w:val="17"/>
          <w:b w:val="1"/>
          <w:bCs w:val="1"/>
          <w:i w:val="1"/>
          <w:iCs w:val="1"/>
          <w:color w:val="auto"/>
        </w:rPr>
        <w:t>Our business depends on customers increasing their use of our products, and a loss of customers or decline in their use of our products could adversely affect our business, results of operations and financial condition.</w:t>
      </w:r>
    </w:p>
    <w:p>
      <w:pPr>
        <w:spacing w:after="0" w:line="176" w:lineRule="exact"/>
        <w:rPr>
          <w:sz w:val="20"/>
          <w:szCs w:val="20"/>
          <w:color w:val="auto"/>
        </w:rPr>
      </w:pPr>
    </w:p>
    <w:p>
      <w:pPr>
        <w:ind w:right="80" w:firstLine="464"/>
        <w:spacing w:after="0" w:line="273" w:lineRule="auto"/>
        <w:rPr>
          <w:sz w:val="20"/>
          <w:szCs w:val="20"/>
          <w:color w:val="auto"/>
        </w:rPr>
      </w:pPr>
      <w:r>
        <w:rPr>
          <w:rFonts w:ascii="Arial" w:cs="Arial" w:eastAsia="Arial" w:hAnsi="Arial"/>
          <w:sz w:val="16"/>
          <w:szCs w:val="16"/>
          <w:color w:val="auto"/>
        </w:rPr>
        <w:t>Our revenue grows as customers increase their usage of a product, extend their usage of a product to new applications or adopt a new product that we offer. The majority of our revenue is usage-based and our ability to grow and generate incremental revenue depends, in part, on our ability to maintain and grow our relationships with existing customers and to have them increase their usage of our platform. If our customers do not increase their use of our products, then our revenue may decline. The majority of our customers are charged based on their usage of our products. Most customers do not have long-term contractual financial commitments to us and, therefore, most of our customers may reduce or cease their use of our products at any time without penalty or termination charges. Customers may terminate or reduce their use of our products for any number of reasons, including if they are not satisfied with our products, the value proposition of our products or our ability to meet their needs and expectations, or due to their use of competitors’ products. For example, prior instances of disruptions in our cloud communications platform impacted our customers’ ability to use products on our platform for up to several hours at a time. Issues with our products have caused, and may in the future cause, us to incur certain costs associated with offering credits to our affected customers, which have had, and in the future may have, an adverse impact on customer satisfaction and our ability to retain or attract customers.</w:t>
      </w:r>
    </w:p>
    <w:p>
      <w:pPr>
        <w:spacing w:after="0" w:line="176" w:lineRule="exact"/>
        <w:rPr>
          <w:sz w:val="20"/>
          <w:szCs w:val="20"/>
          <w:color w:val="auto"/>
        </w:rPr>
      </w:pPr>
    </w:p>
    <w:p>
      <w:pPr>
        <w:ind w:right="20" w:firstLine="464"/>
        <w:spacing w:after="0" w:line="257" w:lineRule="auto"/>
        <w:rPr>
          <w:sz w:val="20"/>
          <w:szCs w:val="20"/>
          <w:color w:val="auto"/>
        </w:rPr>
      </w:pPr>
      <w:r>
        <w:rPr>
          <w:rFonts w:ascii="Arial" w:cs="Arial" w:eastAsia="Arial" w:hAnsi="Arial"/>
          <w:sz w:val="17"/>
          <w:szCs w:val="17"/>
          <w:color w:val="auto"/>
        </w:rPr>
        <w:t>Additionally, we believe our ability to provide customers with high-quality, effective customer support services at all stages of the process is a crucial component of maintaining customer satisfaction, generating increased customer usage of our products and ultimately retaining customers. Our inability to devote sufficient resources to effectively assist our customers could adversely affect our ability to retain existing customers and could disincentivize prospective customers from adopting our products. We may be unable to respond quickly enough to accommodate short-term increases in demand for customer support. We also may be unable to modify the nature, scope and delivery of our customer support in order to compete with changes in the support services provided by our competitors. Our sales are highly dependent on our business reputation and on positive recommendations from our customers. Our inability to provide high-quality customer support, or a market perception that we do not maintain high-quality customer support, could erode the trust of current and potential customers and adversely affect our reputation.</w:t>
      </w:r>
    </w:p>
    <w:p>
      <w:pPr>
        <w:spacing w:after="0" w:line="182" w:lineRule="exact"/>
        <w:rPr>
          <w:sz w:val="20"/>
          <w:szCs w:val="20"/>
          <w:color w:val="auto"/>
        </w:rPr>
      </w:pPr>
    </w:p>
    <w:p>
      <w:pPr>
        <w:ind w:right="200" w:firstLine="464"/>
        <w:spacing w:after="0" w:line="276" w:lineRule="auto"/>
        <w:rPr>
          <w:sz w:val="20"/>
          <w:szCs w:val="20"/>
          <w:color w:val="auto"/>
        </w:rPr>
      </w:pPr>
      <w:r>
        <w:rPr>
          <w:rFonts w:ascii="Arial" w:cs="Arial" w:eastAsia="Arial" w:hAnsi="Arial"/>
          <w:sz w:val="16"/>
          <w:szCs w:val="16"/>
          <w:color w:val="auto"/>
        </w:rPr>
        <w:t>Customer usage of our products is generally outside of our control and therefore it is difficult to accurately predict customers’ usage levels. The loss of customers or reductions in their usage levels of our products may each have a negative impact on our business, results of operations and financial condition. Our Dollar-Based Net Expansion Rate may decline in the future if customers are not satisfied with our products and related customer service experience, the value proposition of our products or our ability to meet their needs and expectations. If a significant number of customers cease using, or reduce their usage of our products, including due to cost-saving measures in the face of macroeconomic uncertainty or changes in the competitive landscape, then we may be required to spend significantly more on sales and marketing than we currently expect in order to maintain or increase revenue from customers. Such additional sales and marketing expenditures could adversely affect our business, results of operations and financial condition.</w:t>
      </w:r>
    </w:p>
    <w:p>
      <w:pPr>
        <w:spacing w:after="0" w:line="169" w:lineRule="exact"/>
        <w:rPr>
          <w:sz w:val="20"/>
          <w:szCs w:val="20"/>
          <w:color w:val="auto"/>
        </w:rPr>
      </w:pPr>
    </w:p>
    <w:p>
      <w:pPr>
        <w:ind w:right="280" w:firstLine="464"/>
        <w:spacing w:after="0" w:line="391" w:lineRule="auto"/>
        <w:rPr>
          <w:sz w:val="20"/>
          <w:szCs w:val="20"/>
          <w:color w:val="auto"/>
        </w:rPr>
      </w:pPr>
      <w:r>
        <w:rPr>
          <w:rFonts w:ascii="Arial" w:cs="Arial" w:eastAsia="Arial" w:hAnsi="Arial"/>
          <w:sz w:val="14"/>
          <w:szCs w:val="14"/>
          <w:b w:val="1"/>
          <w:bCs w:val="1"/>
          <w:i w:val="1"/>
          <w:iCs w:val="1"/>
          <w:color w:val="auto"/>
        </w:rPr>
        <w:t>If we are unable to attract new customers in a cost-effective manner, sell additional products to our existing customers or develop new products and enhancements to our products that achieve market acceptance then our business, results of operations and financial condition would be adversely affected.</w:t>
      </w:r>
    </w:p>
    <w:p>
      <w:pPr>
        <w:spacing w:after="0" w:line="94" w:lineRule="exact"/>
        <w:rPr>
          <w:sz w:val="20"/>
          <w:szCs w:val="20"/>
          <w:color w:val="auto"/>
        </w:rPr>
      </w:pPr>
    </w:p>
    <w:p>
      <w:pPr>
        <w:ind w:firstLine="464"/>
        <w:spacing w:after="0" w:line="274" w:lineRule="auto"/>
        <w:rPr>
          <w:sz w:val="20"/>
          <w:szCs w:val="20"/>
          <w:color w:val="auto"/>
        </w:rPr>
      </w:pPr>
      <w:r>
        <w:rPr>
          <w:rFonts w:ascii="Arial" w:cs="Arial" w:eastAsia="Arial" w:hAnsi="Arial"/>
          <w:sz w:val="16"/>
          <w:szCs w:val="16"/>
          <w:color w:val="auto"/>
        </w:rPr>
        <w:t>To grow our business, we must continue to attract new customers in a cost-effective manner, increase revenue from existing customers, and increase gross margins, each of which depends in part on our ability to enhance and improve our existing products, increase adoption and usage of our products, and introduce new products, particularly products with higher gross margins. We use a variety of marketing channels to promote our products and platform, such as developer events and developer evangelism, search engine marketing and optimization, regional customer events, email campaigns, billboard advertising and public relations initiatives. If the costs of the marketing channels we use increase, then we may choose to use alternative and less expensive channels, which may not be as effective as the channels we currently use. We have made in the past, and may make in the future, significant expenditures and investments in new marketing campaigns, and we cannot guarantee that any such investments will lead wider adoption of our products or to the cost-effective acquisition of additional customers. If we are unable to maintain effective marketing programs, then our ability to efficiently attract new customers could be adversely affected and we may not be able to attract the number and types of new customers we are seeking.</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52" w:name="page53"/>
    <w:bookmarkEnd w:id="52"/>
    <w:p>
      <w:pPr>
        <w:ind w:firstLine="464"/>
        <w:spacing w:after="0" w:line="291" w:lineRule="auto"/>
        <w:rPr>
          <w:sz w:val="20"/>
          <w:szCs w:val="20"/>
          <w:color w:val="auto"/>
        </w:rPr>
      </w:pPr>
      <w:r>
        <w:rPr>
          <w:rFonts w:ascii="Arial" w:cs="Arial" w:eastAsia="Arial" w:hAnsi="Arial"/>
          <w:sz w:val="15"/>
          <w:szCs w:val="15"/>
          <w:color w:val="auto"/>
        </w:rPr>
        <w:t>In addition, our ability to attract new customers and increase revenue from existing customers depends in large part on our ability to enhance and improve our existing products and to introduce compelling new products that reflect the changing nature of our markets, technological advances and industry standards. The success of any enhancements or new products depends on several factors, including timely completion, adequate quality testing, actual performance quality, market-accepted pricing levels and overall market acceptance. Enhancements and new products that we develop may not be introduced in a timely or cost-effective manner, may contain errors or defects, may require reworking features and capabilities, may have interoperability difficulties with our platform or other products or may not achieve the broad market acceptance necessary to generate significant revenue or increase our gross margins. Furthermore, our ability to increase the usage of our products depends, in part, on the development of new use cases for our products, which is typically driven by our developer community and may be outside of our control. Our ability to generate usage of additional products by our customers may also require increasingly sophisticated and more costly sales efforts and result in a longer sales cycle. If we are unable to successfully enhance our existing products to meet evolving customer requirements, increase adoption and usage of our products, develop and drive adoption of new products, and increase our gross margins, or if our efforts to increase the usage of our products are more expensive than we expect, then our business, results of operations and financial condition would be adversely affected. The adoption of our products, and the development of enhancements and new products, also depends, in part, on our ability to anticipate complex and uncertain emerging technologies, changes to customers’ needs and expectations, and shifts in industry standard practices. Anticipating these factors requires that we allocate significant resources without any guarantee that any such investments and efforts will result in wider adoption of our products in the marketplace. If we are unable to adequately anticipate these changes, then our business and financial condition could be adversely affected.</w:t>
      </w:r>
    </w:p>
    <w:p>
      <w:pPr>
        <w:spacing w:after="0" w:line="163" w:lineRule="exact"/>
        <w:rPr>
          <w:sz w:val="20"/>
          <w:szCs w:val="20"/>
          <w:color w:val="auto"/>
        </w:rPr>
      </w:pPr>
    </w:p>
    <w:p>
      <w:pPr>
        <w:ind w:right="20" w:firstLine="464"/>
        <w:spacing w:after="0" w:line="259" w:lineRule="auto"/>
        <w:rPr>
          <w:sz w:val="20"/>
          <w:szCs w:val="20"/>
          <w:color w:val="auto"/>
        </w:rPr>
      </w:pPr>
      <w:r>
        <w:rPr>
          <w:rFonts w:ascii="Arial" w:cs="Arial" w:eastAsia="Arial" w:hAnsi="Arial"/>
          <w:sz w:val="17"/>
          <w:szCs w:val="17"/>
          <w:color w:val="auto"/>
        </w:rPr>
        <w:t>Additionally, the success of our existing products and any new products we introduce depends, in part, on our ability to integrate them with third-party products used by us or our customers. The providers of such third-party products may modify the features, functionality, pricing, and other terms and conditions with respect to such products in a manner adverse to us and to our customers that use such third-party products in connection with our products. If we are unable to maintain the integrations between our products with such third-party products, our ability to meet the needs and expectations of our current and prospective customers could be adversely affected and adversely affect our business.</w:t>
      </w:r>
    </w:p>
    <w:p>
      <w:pPr>
        <w:spacing w:after="0" w:line="183" w:lineRule="exact"/>
        <w:rPr>
          <w:sz w:val="20"/>
          <w:szCs w:val="20"/>
          <w:color w:val="auto"/>
        </w:rPr>
      </w:pPr>
    </w:p>
    <w:p>
      <w:pPr>
        <w:ind w:right="100" w:firstLine="464"/>
        <w:spacing w:after="0" w:line="262" w:lineRule="auto"/>
        <w:rPr>
          <w:sz w:val="20"/>
          <w:szCs w:val="20"/>
          <w:color w:val="auto"/>
        </w:rPr>
      </w:pPr>
      <w:r>
        <w:rPr>
          <w:rFonts w:ascii="Arial" w:cs="Arial" w:eastAsia="Arial" w:hAnsi="Arial"/>
          <w:sz w:val="17"/>
          <w:szCs w:val="17"/>
          <w:color w:val="auto"/>
        </w:rPr>
        <w:t>If we are unable to successfully enhance our existing products to meet evolving customer requirements, increase adoption and usage of our products, develop and drive adoption of new products, maintain integrations with third-party products, anticipate changes in technology, customers’ needs and expectations, or industry standards, and increase our gross margins, or if our efforts to increase the usage of our products are more expensive than we expect, then our business, results of operations and financial condition would be adversely affected.</w:t>
      </w:r>
    </w:p>
    <w:p>
      <w:pPr>
        <w:spacing w:after="0" w:line="178" w:lineRule="exact"/>
        <w:rPr>
          <w:sz w:val="20"/>
          <w:szCs w:val="20"/>
          <w:color w:val="auto"/>
        </w:rPr>
      </w:pPr>
    </w:p>
    <w:p>
      <w:pPr>
        <w:ind w:right="520" w:firstLine="464"/>
        <w:spacing w:after="0" w:line="279" w:lineRule="auto"/>
        <w:rPr>
          <w:sz w:val="20"/>
          <w:szCs w:val="20"/>
          <w:color w:val="auto"/>
        </w:rPr>
      </w:pPr>
      <w:r>
        <w:rPr>
          <w:rFonts w:ascii="Arial" w:cs="Arial" w:eastAsia="Arial" w:hAnsi="Arial"/>
          <w:sz w:val="17"/>
          <w:szCs w:val="17"/>
          <w:b w:val="1"/>
          <w:bCs w:val="1"/>
          <w:i w:val="1"/>
          <w:iCs w:val="1"/>
          <w:color w:val="auto"/>
        </w:rPr>
        <w:t>If we are unable to increase adoption of our products by enterprises, our business, results of operations and financial condition may be adversely affected.</w:t>
      </w:r>
    </w:p>
    <w:p>
      <w:pPr>
        <w:spacing w:after="0" w:line="164" w:lineRule="exact"/>
        <w:rPr>
          <w:sz w:val="20"/>
          <w:szCs w:val="20"/>
          <w:color w:val="auto"/>
        </w:rPr>
      </w:pPr>
    </w:p>
    <w:p>
      <w:pPr>
        <w:ind w:right="60" w:firstLine="464"/>
        <w:spacing w:after="0" w:line="294" w:lineRule="auto"/>
        <w:rPr>
          <w:sz w:val="20"/>
          <w:szCs w:val="20"/>
          <w:color w:val="auto"/>
        </w:rPr>
      </w:pPr>
      <w:r>
        <w:rPr>
          <w:rFonts w:ascii="Arial" w:cs="Arial" w:eastAsia="Arial" w:hAnsi="Arial"/>
          <w:sz w:val="15"/>
          <w:szCs w:val="15"/>
          <w:color w:val="auto"/>
        </w:rPr>
        <w:t>Historically, a majority of our revenue has been generated as a result of software developers adopting our products through our self-service model. Our ability to increase our customer base, especially among enterprises, and achieve broader market acceptance of our products will depend, in part, on our ability to effectively organize, focus and train our sales, marketing and other employees. Our ability to convince enterprises to adopt our products will depend, in part, on our ability to attract and retain sales employees with experience selling to enterprises. We believe that there is significant competition for experienced sales professionals with the skills and technical knowledge that we require. Even if we are successful in hiring qualified sales employees, new hires require significant training and experience before they achieve full productivity, particularly for sales efforts targeted at enterprises and new territories. Our recent hires and planned hires may not become as productive as quickly as we expect, and we may encounter difficulties or be unable to hire or retain sufficient numbers of qualified individuals in the future in the markets where we do business. Because we do not have a long history of targeting our sales efforts at enterprises, we cannot predict whether, or to what extent, our sales will increase as we organize and train our sales force or how long it will take for sales employees to become productive.</w:t>
      </w:r>
    </w:p>
    <w:p>
      <w:pPr>
        <w:spacing w:after="0" w:line="161" w:lineRule="exact"/>
        <w:rPr>
          <w:sz w:val="20"/>
          <w:szCs w:val="20"/>
          <w:color w:val="auto"/>
        </w:rPr>
      </w:pPr>
    </w:p>
    <w:p>
      <w:pPr>
        <w:ind w:right="20" w:firstLine="464"/>
        <w:spacing w:after="0" w:line="295" w:lineRule="auto"/>
        <w:rPr>
          <w:sz w:val="20"/>
          <w:szCs w:val="20"/>
          <w:color w:val="auto"/>
        </w:rPr>
      </w:pPr>
      <w:r>
        <w:rPr>
          <w:rFonts w:ascii="Arial" w:cs="Arial" w:eastAsia="Arial" w:hAnsi="Arial"/>
          <w:sz w:val="15"/>
          <w:szCs w:val="15"/>
          <w:color w:val="auto"/>
        </w:rPr>
        <w:t>As we seek to increase the adoption of our products by enterprises, including products like Segment and Engage, which are primarily aimed at complex customer data platform implementations at larger companies, and Flex, which is primarily aimed at complex contact center implementations at larger companies, we expect to incur higher costs and longer sales cycles. In the enterprise market segment, the decision to adopt our products may require the approval of multiple technical and business decision makers, including legal, security, compliance, procurement, operations and information technology (“IT”). In addition, while enterprise customers may quickly deploy our products on a limited basis, before they will commit to deploying our products at scale, they often require extensive education about our products and significant customer support time and also engage in protracted pricing and contract negotiations, which may be exacerbated by changing inflationary pressure and reduced IT budgets and may result in higher costs and longer sales cycles. In addition, sales cycles for enterprises are inherently more complex and less predictable than the sales through our self-service model, and some enterprise customers may not use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53" w:name="page54"/>
    <w:bookmarkEnd w:id="53"/>
    <w:p>
      <w:pPr>
        <w:ind w:right="40"/>
        <w:spacing w:after="0" w:line="257" w:lineRule="auto"/>
        <w:rPr>
          <w:sz w:val="20"/>
          <w:szCs w:val="20"/>
          <w:color w:val="auto"/>
        </w:rPr>
      </w:pPr>
      <w:r>
        <w:rPr>
          <w:rFonts w:ascii="Arial" w:cs="Arial" w:eastAsia="Arial" w:hAnsi="Arial"/>
          <w:sz w:val="17"/>
          <w:szCs w:val="17"/>
          <w:color w:val="auto"/>
        </w:rPr>
        <w:t>our products enough to generate revenue that justifies the cost to obtain such customers. These complex and resource-intensive sales efforts could place additional strain on our product and engineering resources. Further, enterprises, including some of our customers, may choose to develop their own solutions that do not include our products. They may also demand reductions in pricing as their usage of our products increases, notwithstanding increased costs incurred by us to provide such products, which could have an adverse impact on our gross margin. Additionally, economic recessions or slowdowns can result in our enterprise customers terminating their arrangements with us, longer sales cycles, and reduced or limited contract values as enterprise organizations focus on general cost reductions in the face of macroeconomic uncertainty. As a result of our limited experience selling and marketing to enterprises, our efforts to sell to these potential customers may not be successful. If we are unable to increase the revenue that we derive from enterprises, then our business, results of operations and financial condition may be adversely affected.</w:t>
      </w:r>
    </w:p>
    <w:p>
      <w:pPr>
        <w:spacing w:after="0" w:line="182" w:lineRule="exact"/>
        <w:rPr>
          <w:sz w:val="20"/>
          <w:szCs w:val="20"/>
          <w:color w:val="auto"/>
        </w:rPr>
      </w:pPr>
    </w:p>
    <w:p>
      <w:pPr>
        <w:ind w:right="240" w:firstLine="464"/>
        <w:spacing w:after="0" w:line="279" w:lineRule="auto"/>
        <w:rPr>
          <w:sz w:val="20"/>
          <w:szCs w:val="20"/>
          <w:color w:val="auto"/>
        </w:rPr>
      </w:pPr>
      <w:r>
        <w:rPr>
          <w:rFonts w:ascii="Arial" w:cs="Arial" w:eastAsia="Arial" w:hAnsi="Arial"/>
          <w:sz w:val="17"/>
          <w:szCs w:val="17"/>
          <w:b w:val="1"/>
          <w:bCs w:val="1"/>
          <w:i w:val="1"/>
          <w:iCs w:val="1"/>
          <w:color w:val="auto"/>
        </w:rPr>
        <w:t>The market for our products and platform continues to evolve, and may decline or experience limited growth, and is dependent in part on developers continuing to adopt our platform and use our products.</w:t>
      </w:r>
    </w:p>
    <w:p>
      <w:pPr>
        <w:spacing w:after="0" w:line="164" w:lineRule="exact"/>
        <w:rPr>
          <w:sz w:val="20"/>
          <w:szCs w:val="20"/>
          <w:color w:val="auto"/>
        </w:rPr>
      </w:pPr>
    </w:p>
    <w:p>
      <w:pPr>
        <w:ind w:right="40" w:firstLine="464"/>
        <w:spacing w:after="0" w:line="292" w:lineRule="auto"/>
        <w:rPr>
          <w:sz w:val="20"/>
          <w:szCs w:val="20"/>
          <w:color w:val="auto"/>
        </w:rPr>
      </w:pPr>
      <w:r>
        <w:rPr>
          <w:rFonts w:ascii="Arial" w:cs="Arial" w:eastAsia="Arial" w:hAnsi="Arial"/>
          <w:sz w:val="15"/>
          <w:szCs w:val="15"/>
          <w:color w:val="auto"/>
        </w:rPr>
        <w:t>The market for our products and platform continues to evolve, which makes our business and future prospects difficult to evaluate. We believe that our revenue currently constitutes a significant portion of the total revenue in the market, and therefore, we believe that our future success will depend in large part on the growth, if any, and evolution of this market. If developers and organizations do not recognize the need for and benefits of our products and platform, they may decide to adopt alternative products and services to satisfy some portion of their business needs. In order to grow our business and extend our market position, we intend to focus on educating developers and other potential customers about the benefits of our products and platform, expanding and improving the functionality of our products and bringing new technologies to market to increase market acceptance and use of our platform. Our growth will depend, in part, on our ability to leverage more of our self-service capability for developers that do not need direct account coverage. We will also continue to prioritize accelerating sales of our Twilio Data &amp; Applications products, which could have an impact on our results of operations. Our ability to expand the market that our products and platform address depends upon a number of factors, including the cost, performance and perceived value associated with such products and platform. The market for our products and platform could fail to grow significantly, or at all, or there could be a reduction in demand for our products as a result of any number of factors, including a lack of developer acceptance, technological challenges, competing products and services, decreases in spending by current and prospective customers, weakening economic conditions, including due to labor shortages, supply chain disruptions and inflationary pressures and other causes. If our market does not experience significant growth or demand for our products decreases, then our business, results of operations and financial condition could be adversely affected.</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If we fail to effectively manage our growth, then our business, results of operations and financial condition could be adversely affected.</w:t>
      </w:r>
    </w:p>
    <w:p>
      <w:pPr>
        <w:spacing w:after="0" w:line="229" w:lineRule="exact"/>
        <w:rPr>
          <w:sz w:val="20"/>
          <w:szCs w:val="20"/>
          <w:color w:val="auto"/>
        </w:rPr>
      </w:pPr>
    </w:p>
    <w:p>
      <w:pPr>
        <w:ind w:firstLine="464"/>
        <w:spacing w:after="0" w:line="292" w:lineRule="auto"/>
        <w:rPr>
          <w:sz w:val="20"/>
          <w:szCs w:val="20"/>
          <w:color w:val="auto"/>
        </w:rPr>
      </w:pPr>
      <w:r>
        <w:rPr>
          <w:rFonts w:ascii="Arial" w:cs="Arial" w:eastAsia="Arial" w:hAnsi="Arial"/>
          <w:sz w:val="15"/>
          <w:szCs w:val="15"/>
          <w:color w:val="auto"/>
        </w:rPr>
        <w:t>Although we cannot provide any assurance that our business will continue to grow at the same rate or at all in the future, we have experienced substantial growth in our business and operations in recent years, which has placed, and may continue to place, significant demands on our management and our operational and financial resources, especially as we continue to focus on improving our operating efficiency. Although we completed workforce reduction plans in September 2022 and February 2023 to reduce operating costs, improve operating margins and accelerate profitability, we may experience employee growth in the future. We have also experienced significant growth in the number of customers, usage and amount of data that our platform and associated infrastructure support. As a result of this growth, our organizational structure is becoming more complex as we improve our operational, financial and management controls as well as our reporting systems and procedures. The expansion of our systems and infrastructure, as well as the changes arising from the Reorganization, will require us to commit substantial financial, operational, and technical resources. Our revenue may not increase as a result of our investments in these areas and, if revenue does increase, it may not increase enough to offset these investments, or it may take several periods before we begin to see the benefits of these investments. If we are unable to adequately manage our growth and other business changes in a manner that preserves the key aspects of our corporate culture, including as a result of our recent reductions in force and the Reorganization, the quality and performance of our products may suffer, which could negatively affect our brand, reputation and ability to retain and attract customers and employees. Finally, if we are unable to maintain reliable service levels for our customers or if the level of efficiency in our organization suffers as we grow and transform our operating model, then our business, results of operations and financial condition could be adversely affected.</w:t>
      </w:r>
    </w:p>
    <w:p>
      <w:pPr>
        <w:spacing w:after="0" w:line="185" w:lineRule="exact"/>
        <w:rPr>
          <w:sz w:val="20"/>
          <w:szCs w:val="20"/>
          <w:color w:val="auto"/>
        </w:rPr>
      </w:pPr>
    </w:p>
    <w:p>
      <w:pPr>
        <w:jc w:val="both"/>
        <w:ind w:firstLine="464"/>
        <w:spacing w:after="0" w:line="307" w:lineRule="auto"/>
        <w:rPr>
          <w:sz w:val="20"/>
          <w:szCs w:val="20"/>
          <w:color w:val="auto"/>
        </w:rPr>
      </w:pPr>
      <w:r>
        <w:rPr>
          <w:rFonts w:ascii="Arial" w:cs="Arial" w:eastAsia="Arial" w:hAnsi="Arial"/>
          <w:sz w:val="15"/>
          <w:szCs w:val="15"/>
          <w:color w:val="auto"/>
        </w:rPr>
        <w:t>We continue to scale the capacity of, and enhance the capability and reliability of, our technical infrastructure to support increased activity on our platform. Any failure to maintain performance, reliability, security, integrity and availability of our products and infrastructure to the satisfaction of our customers may harm our reputation and our ability to retain existing customers or attract new customers. If we fail to efficiently scale and manage our infrastructure, or if our customers experience service disruptions or outages, our business, financial condition and operating results may be adversely impacted.</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68" w:right="379" w:bottom="1440" w:gutter="0" w:footer="0" w:header="0"/>
        </w:sectPr>
      </w:pPr>
    </w:p>
    <w:bookmarkStart w:id="54" w:name="page55"/>
    <w:bookmarkEnd w:id="54"/>
    <w:p>
      <w:pPr>
        <w:ind w:right="500" w:firstLine="464"/>
        <w:spacing w:after="0" w:line="279" w:lineRule="auto"/>
        <w:rPr>
          <w:sz w:val="20"/>
          <w:szCs w:val="20"/>
          <w:color w:val="auto"/>
        </w:rPr>
      </w:pPr>
      <w:r>
        <w:rPr>
          <w:rFonts w:ascii="Arial" w:cs="Arial" w:eastAsia="Arial" w:hAnsi="Arial"/>
          <w:sz w:val="17"/>
          <w:szCs w:val="17"/>
          <w:b w:val="1"/>
          <w:bCs w:val="1"/>
          <w:i w:val="1"/>
          <w:iCs w:val="1"/>
          <w:color w:val="auto"/>
        </w:rPr>
        <w:t>The market in which we participate is intensely competitive, and if we do not compete effectively, our business, results of operations and financial condition could be harmed.</w:t>
      </w:r>
    </w:p>
    <w:p>
      <w:pPr>
        <w:spacing w:after="0" w:line="164" w:lineRule="exact"/>
        <w:rPr>
          <w:sz w:val="20"/>
          <w:szCs w:val="20"/>
          <w:color w:val="auto"/>
        </w:rPr>
      </w:pPr>
    </w:p>
    <w:p>
      <w:pPr>
        <w:ind w:right="60" w:firstLine="464"/>
        <w:spacing w:after="0" w:line="290" w:lineRule="auto"/>
        <w:rPr>
          <w:sz w:val="20"/>
          <w:szCs w:val="20"/>
          <w:color w:val="auto"/>
        </w:rPr>
      </w:pPr>
      <w:r>
        <w:rPr>
          <w:rFonts w:ascii="Arial" w:cs="Arial" w:eastAsia="Arial" w:hAnsi="Arial"/>
          <w:sz w:val="15"/>
          <w:szCs w:val="15"/>
          <w:color w:val="auto"/>
        </w:rPr>
        <w:t>The market for customer engagement platforms is rapidly evolving, significantly fragmented and highly competitive, with relatively low barriers to entry in some segments. The principal competitive factors in our market include completeness of offering, credibility with customers, global reach, ease of integration and programmability, product features, platform scalability, reliability, deliverability, security and performance, brand awareness and reputation, the strength of sales and marketing efforts, customer support, as well as the cost of deploying and using our products. In our Communications business, our competitors are primarily</w:t>
      </w:r>
    </w:p>
    <w:p>
      <w:pPr>
        <w:spacing w:after="0" w:line="2" w:lineRule="exact"/>
        <w:rPr>
          <w:sz w:val="20"/>
          <w:szCs w:val="20"/>
          <w:color w:val="auto"/>
        </w:rPr>
      </w:pPr>
    </w:p>
    <w:p>
      <w:pPr>
        <w:ind w:right="360" w:firstLine="3"/>
        <w:spacing w:after="0" w:line="278" w:lineRule="auto"/>
        <w:tabs>
          <w:tab w:leader="none" w:pos="205"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regional network service providers that offer limited developer functionality on top of their own physical infrastructure, (ii) communications platform-as-a-service (“CPaaS”) companies that offer communications products and applications, and (iii) other software companies that compete with portions of our communications product line. In our Data &amp; Applications business, our competitors are primarily (i) legacy on-premises vendors, (ii) SaaS companies and marketing cloud platform vendors that offer bundled applications and platforms, and (iii) CRM and customer experience vendors.</w:t>
      </w:r>
    </w:p>
    <w:p>
      <w:pPr>
        <w:spacing w:after="0" w:line="168" w:lineRule="exact"/>
        <w:rPr>
          <w:sz w:val="20"/>
          <w:szCs w:val="20"/>
          <w:color w:val="auto"/>
        </w:rPr>
      </w:pPr>
    </w:p>
    <w:p>
      <w:pPr>
        <w:ind w:right="280" w:firstLine="464"/>
        <w:spacing w:after="0" w:line="277" w:lineRule="auto"/>
        <w:rPr>
          <w:sz w:val="20"/>
          <w:szCs w:val="20"/>
          <w:color w:val="auto"/>
        </w:rPr>
      </w:pPr>
      <w:r>
        <w:rPr>
          <w:rFonts w:ascii="Arial" w:cs="Arial" w:eastAsia="Arial" w:hAnsi="Arial"/>
          <w:sz w:val="16"/>
          <w:szCs w:val="16"/>
          <w:color w:val="auto"/>
        </w:rPr>
        <w:t>Some of our competitors and potential competitors are larger and have greater name recognition, longer operating histories, more established customer relationships, larger budgets, lower operating costs, and significantly greater resources than we do. As a result, our competitors may be able to respond more quickly and effectively than we can to new or changing opportunities, technologies, standards, customer requirements or changing economic conditions. Our competitors may also offer products or services that address one or a limited number of functions at lower prices, with greater depth than our products or in different geographies. Our current and potential competitors may develop and market new products and services with comparable functionality to our products, and this could lead to us having to decrease prices in order to remain competitive.</w:t>
      </w:r>
    </w:p>
    <w:p>
      <w:pPr>
        <w:spacing w:after="0" w:line="170" w:lineRule="exact"/>
        <w:rPr>
          <w:sz w:val="20"/>
          <w:szCs w:val="20"/>
          <w:color w:val="auto"/>
        </w:rPr>
      </w:pPr>
    </w:p>
    <w:p>
      <w:pPr>
        <w:ind w:firstLine="464"/>
        <w:spacing w:after="0" w:line="256" w:lineRule="auto"/>
        <w:rPr>
          <w:sz w:val="20"/>
          <w:szCs w:val="20"/>
          <w:color w:val="auto"/>
        </w:rPr>
      </w:pPr>
      <w:r>
        <w:rPr>
          <w:rFonts w:ascii="Arial" w:cs="Arial" w:eastAsia="Arial" w:hAnsi="Arial"/>
          <w:sz w:val="17"/>
          <w:szCs w:val="17"/>
          <w:color w:val="auto"/>
        </w:rPr>
        <w:t>With the introduction of new products and services and new market entrants, we expect competition to intensify in the future. As we expand the scope of our products, we may face additional competition and, in some cases, may find our products in competition with those of our customers, which could cause them to replace our products with competitive offerings. If one or more of our competitors were to merge or partner with another of our competitors or our suppliers, the change in the competitive landscape could also adversely affect our ability to compete effectively. For example, certain of our competitors have engaged in acquisition activity and we expect that our competitors will continue to evaluate the acquisition of companies and technologies that could increase competition with our products in the future. In addition, some of our competitors have lower list prices than us, which may be attractive to certain customers even if those products have different or lesser functionality. Pricing pressures and increased competition generally could result in reduced revenue, reduced margins, increased losses or the failure of our products to achieve or maintain widespread market acceptance, any of which could harm our business, results of operations and financial condition.</w:t>
      </w:r>
    </w:p>
    <w:p>
      <w:pPr>
        <w:spacing w:after="0" w:line="186" w:lineRule="exact"/>
        <w:rPr>
          <w:sz w:val="20"/>
          <w:szCs w:val="20"/>
          <w:color w:val="auto"/>
        </w:rPr>
      </w:pPr>
    </w:p>
    <w:p>
      <w:pPr>
        <w:ind w:right="240" w:firstLine="464"/>
        <w:spacing w:after="0" w:line="262" w:lineRule="auto"/>
        <w:rPr>
          <w:sz w:val="20"/>
          <w:szCs w:val="20"/>
          <w:color w:val="auto"/>
        </w:rPr>
      </w:pPr>
      <w:r>
        <w:rPr>
          <w:rFonts w:ascii="Arial" w:cs="Arial" w:eastAsia="Arial" w:hAnsi="Arial"/>
          <w:sz w:val="17"/>
          <w:szCs w:val="17"/>
          <w:color w:val="auto"/>
        </w:rPr>
        <w:t>Our business, results of operations and financial condition also depends, in part, on our ability to establish and maintain relationships through resellers, distributors, and strategic partners. A portion of our revenue is derived from sales made by these partners and any one of them may later decide to sell their own products or those of third parties that may be competitive with our products. A loss or reduction in sales of our products through these third-party intermediaries could adversely affect our revenue and other results of operations.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have a history of losses and may not achieve or sustain profitability in the future.</w:t>
      </w:r>
    </w:p>
    <w:p>
      <w:pPr>
        <w:spacing w:after="0" w:line="217" w:lineRule="exact"/>
        <w:rPr>
          <w:sz w:val="20"/>
          <w:szCs w:val="20"/>
          <w:color w:val="auto"/>
        </w:rPr>
      </w:pPr>
    </w:p>
    <w:p>
      <w:pPr>
        <w:ind w:right="40" w:firstLine="464"/>
        <w:spacing w:after="0" w:line="272" w:lineRule="auto"/>
        <w:rPr>
          <w:sz w:val="20"/>
          <w:szCs w:val="20"/>
          <w:color w:val="auto"/>
        </w:rPr>
      </w:pPr>
      <w:r>
        <w:rPr>
          <w:rFonts w:ascii="Arial" w:cs="Arial" w:eastAsia="Arial" w:hAnsi="Arial"/>
          <w:sz w:val="16"/>
          <w:szCs w:val="16"/>
          <w:color w:val="auto"/>
        </w:rPr>
        <w:t>We have incurred net losses in each year since our inception, including net losses of $508.3 million, $1.3 billion and $949.9 million in the six months ended June 30, 2023 and the years ended December 31, 2022 and 2021, respectively. We had an accumulated deficit of $4.4 billion as of June 30, 2023. We will need to generate and sustain increased revenue levels, and manage our operating expenses, in future periods to become profitable and, even if we do, we may not be able to maintain or increase our level of profitability. We expect to continue to expend substantial financial and other resources on, among other things: investments in our engineering team; improvements in security and data protection; the development of new products, features and functionality and enhancements to our platform; sales and marketing, including the continued expansion of our direct sales organization and marketing programs, especially for enterprises, organizations outside of the United States, and programs directed at increasing our brand awareness among developers, as well expansion of our self-service capabilities; expansion of our operations and infrastructure, both domestically and internationally; and general administration, including legal, accounting and other expenses related to being a public company. Our efforts to grow our business may be more costly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achieve and sustain profitability, or if we incur significant losses, the value of our business and Class A common stock may significantly decrease.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55" w:name="page56"/>
    <w:bookmarkEnd w:id="55"/>
    <w:p>
      <w:pPr>
        <w:ind w:right="420" w:firstLine="464"/>
        <w:spacing w:after="0" w:line="312" w:lineRule="auto"/>
        <w:rPr>
          <w:sz w:val="20"/>
          <w:szCs w:val="20"/>
          <w:color w:val="auto"/>
        </w:rPr>
      </w:pPr>
      <w:r>
        <w:rPr>
          <w:rFonts w:ascii="Arial" w:cs="Arial" w:eastAsia="Arial" w:hAnsi="Arial"/>
          <w:sz w:val="16"/>
          <w:szCs w:val="16"/>
          <w:b w:val="1"/>
          <w:bCs w:val="1"/>
          <w:i w:val="1"/>
          <w:iCs w:val="1"/>
          <w:color w:val="auto"/>
        </w:rPr>
        <w:t>We depend largely on the continued services of highly skilled personnel, including our senior management and other key employees, and failing to attract, integrate or retain such employees could adversely affect our business, results of operations and financial condition.</w:t>
      </w:r>
    </w:p>
    <w:p>
      <w:pPr>
        <w:spacing w:after="0" w:line="140" w:lineRule="exact"/>
        <w:rPr>
          <w:sz w:val="20"/>
          <w:szCs w:val="20"/>
          <w:color w:val="auto"/>
        </w:rPr>
      </w:pPr>
    </w:p>
    <w:p>
      <w:pPr>
        <w:ind w:right="20" w:firstLine="464"/>
        <w:spacing w:after="0" w:line="272" w:lineRule="auto"/>
        <w:rPr>
          <w:sz w:val="20"/>
          <w:szCs w:val="20"/>
          <w:color w:val="auto"/>
        </w:rPr>
      </w:pPr>
      <w:r>
        <w:rPr>
          <w:rFonts w:ascii="Arial" w:cs="Arial" w:eastAsia="Arial" w:hAnsi="Arial"/>
          <w:sz w:val="16"/>
          <w:szCs w:val="16"/>
          <w:color w:val="auto"/>
        </w:rPr>
        <w:t>Our future performance depends on the continued services and contributions of highly skilled personnel, including our senior management and other key employees, to execute on our business plan, to develop our products and platform, to deliver our products to customers, to attract and retain customers and to identify and pursue opportunities to expand our business. We believe that there is, and will continue to be, intense competition for highly skilled management, technical, sales and other employees with experience in our industry. In addition, we have experienced and may continue to experience high levels of employee attrition, which could significantly delay or prevent the achievement of our business objectives, and any resulting influx of new employees may require us to expend time, attention and resources to recruit and retain employees, restructure parts of our organization and train and integrate new personnel. We have focused our hiring efforts on areas such as Segment, Engage and Flex, and we have frozen the vast majority of new hires and backfills outside of these core areas. If we fail to effectively manage attrition, and to hire, integrate and adequately incentivize our personnel, our efficiency and ability to meet our operational and growth targets, as well as our corporate culture, employee morale, productivity and retention, could suffer, and our business and operating results would be adversely impacted. Additionally, loss of services of senior management or other key employees could significantly delay or prevent the achievement of our development and strategic objectives. In particular, we depend to a considerable degree on the vision, skills, experience and effort of our co-founder and Chief Executive Officer, Jeff Lawson. Any of our executive officers may terminate employment with us at any time with no advance notice. We have experienced, and may continue to experience, high attrition among our senior management team and key employees. The replacement of any of our senior management or other key employees will involve significant time and costs, and any loss of services of any such key employee for any reason could significantly delay or prevent the achievement of our business objectives and could adversely affect our business, results of operations and financial condition.</w:t>
      </w:r>
    </w:p>
    <w:p>
      <w:pPr>
        <w:spacing w:after="0" w:line="173" w:lineRule="exact"/>
        <w:rPr>
          <w:sz w:val="20"/>
          <w:szCs w:val="20"/>
          <w:color w:val="auto"/>
        </w:rPr>
      </w:pPr>
    </w:p>
    <w:p>
      <w:pPr>
        <w:ind w:firstLine="464"/>
        <w:spacing w:after="0" w:line="276" w:lineRule="auto"/>
        <w:rPr>
          <w:sz w:val="20"/>
          <w:szCs w:val="20"/>
          <w:color w:val="auto"/>
        </w:rPr>
      </w:pPr>
      <w:r>
        <w:rPr>
          <w:rFonts w:ascii="Arial" w:cs="Arial" w:eastAsia="Arial" w:hAnsi="Arial"/>
          <w:sz w:val="16"/>
          <w:szCs w:val="16"/>
          <w:color w:val="auto"/>
        </w:rPr>
        <w:t>The labor market for our business is subject to external factors that are beyond our control, including our industry’s highly competitive market for skilled workers and leaders, inflation, effects that the COVID-19 pandemic has had on the labor market, and workforce participation rates. We must provide competitive compensation packages and a high-quality work environment to hire, retain and motivate employees. Volatility in, or the actual or perceived lack of performance of, our stock price may affect our ability to attract, motivate and retain key employees. In September 2022 and February 2023, we implemented reductions in force, which may have an impact on our ability to hire, retain and motivate employees. If we are unable to retain and motivate our existing employees and attract qualified employees to fill key positions, we may be unable to manage our business effectively, including the development, marketing and sale of our products, which could adversely affect our business, results of operations and financial condition.</w:t>
      </w:r>
    </w:p>
    <w:p>
      <w:pPr>
        <w:spacing w:after="0" w:line="169" w:lineRule="exact"/>
        <w:rPr>
          <w:sz w:val="20"/>
          <w:szCs w:val="20"/>
          <w:color w:val="auto"/>
        </w:rPr>
      </w:pPr>
    </w:p>
    <w:p>
      <w:pPr>
        <w:ind w:right="40" w:firstLine="464"/>
        <w:spacing w:after="0" w:line="277" w:lineRule="auto"/>
        <w:rPr>
          <w:sz w:val="20"/>
          <w:szCs w:val="20"/>
          <w:color w:val="auto"/>
        </w:rPr>
      </w:pPr>
      <w:r>
        <w:rPr>
          <w:rFonts w:ascii="Arial" w:cs="Arial" w:eastAsia="Arial" w:hAnsi="Arial"/>
          <w:sz w:val="16"/>
          <w:szCs w:val="16"/>
          <w:color w:val="auto"/>
        </w:rPr>
        <w:t>Further, we believe that a critical contributor to our success and our ability to attract, recruit, hire and retain highly skilled personnel has been our corporate culture. As we grow and experience organizational changes, including as a result of the reductions in force and the Reorganization, we may find it difficult to maintain important aspects of our corporate culture. While we are taking steps to develop a more inclusive and diverse workforce, there is no guarantee that we will be able to do so. Our inability to preserve our culture, or to reshape our culture, as we grow and transform our operating model could limit our ability to innovate and could negatively affect our ability to retain and recruit personnel, continue to perform at current levels or execute on our business strategy, any one of which could adversely affect our business, results of operations and financial condition.</w:t>
      </w:r>
    </w:p>
    <w:p>
      <w:pPr>
        <w:spacing w:after="0" w:line="170" w:lineRule="exact"/>
        <w:rPr>
          <w:sz w:val="20"/>
          <w:szCs w:val="20"/>
          <w:color w:val="auto"/>
        </w:rPr>
      </w:pPr>
    </w:p>
    <w:p>
      <w:pPr>
        <w:ind w:right="500" w:firstLine="464"/>
        <w:spacing w:after="0" w:line="279" w:lineRule="auto"/>
        <w:rPr>
          <w:sz w:val="20"/>
          <w:szCs w:val="20"/>
          <w:color w:val="auto"/>
        </w:rPr>
      </w:pPr>
      <w:r>
        <w:rPr>
          <w:rFonts w:ascii="Arial" w:cs="Arial" w:eastAsia="Arial" w:hAnsi="Arial"/>
          <w:sz w:val="17"/>
          <w:szCs w:val="17"/>
          <w:b w:val="1"/>
          <w:bCs w:val="1"/>
          <w:i w:val="1"/>
          <w:iCs w:val="1"/>
          <w:color w:val="auto"/>
        </w:rPr>
        <w:t>If we are not able to maintain and enhance our brand and increase market awareness of our company and products, then our business, results of operations and financial condition may be adversely affected.</w:t>
      </w:r>
    </w:p>
    <w:p>
      <w:pPr>
        <w:spacing w:after="0" w:line="164" w:lineRule="exact"/>
        <w:rPr>
          <w:sz w:val="20"/>
          <w:szCs w:val="20"/>
          <w:color w:val="auto"/>
        </w:rPr>
      </w:pPr>
    </w:p>
    <w:p>
      <w:pPr>
        <w:ind w:firstLine="464"/>
        <w:spacing w:after="0" w:line="276" w:lineRule="auto"/>
        <w:rPr>
          <w:sz w:val="20"/>
          <w:szCs w:val="20"/>
          <w:color w:val="auto"/>
        </w:rPr>
      </w:pPr>
      <w:r>
        <w:rPr>
          <w:rFonts w:ascii="Arial" w:cs="Arial" w:eastAsia="Arial" w:hAnsi="Arial"/>
          <w:sz w:val="16"/>
          <w:szCs w:val="16"/>
          <w:color w:val="auto"/>
        </w:rPr>
        <w:t>We believe that maintaining and enhancing the “Twilio” brand identity and increasing market awareness of our company and products, particularly among developers and enterprises, is critical to achieving widespread acceptance of our platform, to strengthen our relationships with our existing customers and to our ability to attract new customers. The successful promotion of our brand will depend largely on our continued marketing efforts, our ability to continue to offer high-quality products, and our ability to successfully differentiate our products and platform from competing products and services. Our brand promotion and thought leadership activities may not be successful or yield increased revenue.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spacing w:after="0" w:line="169"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The promotion of our brand also requires us to make substantial expenditures, and we anticipate that these expenditures will increase as our market becomes more competitive and as we expand into new markets. To the extent that these activities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56" w:name="page57"/>
    <w:bookmarkEnd w:id="56"/>
    <w:p>
      <w:pPr>
        <w:ind w:right="380"/>
        <w:spacing w:after="0" w:line="279" w:lineRule="auto"/>
        <w:rPr>
          <w:sz w:val="20"/>
          <w:szCs w:val="20"/>
          <w:color w:val="auto"/>
        </w:rPr>
      </w:pPr>
      <w:r>
        <w:rPr>
          <w:rFonts w:ascii="Arial" w:cs="Arial" w:eastAsia="Arial" w:hAnsi="Arial"/>
          <w:sz w:val="17"/>
          <w:szCs w:val="17"/>
          <w:color w:val="auto"/>
        </w:rPr>
        <w:t>increase revenue, this revenue still may not be enough to offset the increased expenses we incur, including, but not limited to, as a result of recent inflationary pressures.</w:t>
      </w:r>
    </w:p>
    <w:p>
      <w:pPr>
        <w:spacing w:after="0" w:line="164" w:lineRule="exact"/>
        <w:rPr>
          <w:sz w:val="20"/>
          <w:szCs w:val="20"/>
          <w:color w:val="auto"/>
        </w:rPr>
      </w:pPr>
    </w:p>
    <w:p>
      <w:pPr>
        <w:ind w:right="780" w:firstLine="464"/>
        <w:spacing w:after="0" w:line="349" w:lineRule="auto"/>
        <w:rPr>
          <w:sz w:val="20"/>
          <w:szCs w:val="20"/>
          <w:color w:val="auto"/>
        </w:rPr>
      </w:pPr>
      <w:r>
        <w:rPr>
          <w:rFonts w:ascii="Arial" w:cs="Arial" w:eastAsia="Arial" w:hAnsi="Arial"/>
          <w:sz w:val="15"/>
          <w:szCs w:val="15"/>
          <w:b w:val="1"/>
          <w:bCs w:val="1"/>
          <w:i w:val="1"/>
          <w:iCs w:val="1"/>
          <w:color w:val="auto"/>
        </w:rPr>
        <w:t>If we are unable to adapt and respond effectively to rapidly changing technology, evolving industry standards, changing regulations, evolving interoperability requirements, and changing customer needs, requirements or preferences, our products may become less competitive.</w:t>
      </w:r>
    </w:p>
    <w:p>
      <w:pPr>
        <w:spacing w:after="0" w:line="117" w:lineRule="exact"/>
        <w:rPr>
          <w:sz w:val="20"/>
          <w:szCs w:val="20"/>
          <w:color w:val="auto"/>
        </w:rPr>
      </w:pPr>
    </w:p>
    <w:p>
      <w:pPr>
        <w:ind w:right="20" w:firstLine="464"/>
        <w:spacing w:after="0" w:line="272" w:lineRule="auto"/>
        <w:rPr>
          <w:sz w:val="20"/>
          <w:szCs w:val="20"/>
          <w:color w:val="auto"/>
        </w:rPr>
      </w:pPr>
      <w:r>
        <w:rPr>
          <w:rFonts w:ascii="Arial" w:cs="Arial" w:eastAsia="Arial" w:hAnsi="Arial"/>
          <w:sz w:val="16"/>
          <w:szCs w:val="16"/>
          <w:color w:val="auto"/>
        </w:rPr>
        <w:t>The market for communications in general, and cloud communications in particular, is subject to rapid technological change, evolving industry standards, changing regulations, as well as changing customer needs, requirements and preferences. These are all uncertain and we cannot predict the consequences, effects, or introduction of new, disruptive, emerging technologies or the manner and pace at which our market develops over time, and our ability to compete in our market depends on predicting and adapting to these changing circumstances. The success of our business will depend, in part, on our ability to adapt and respond effectively to these changes on a timely basis. If we are unable to develop new products that satisfy our customers and provide enhancements and new features for our existing products that keep pace with rapid technological and industry change, our business, results of operations and financial condition could be adversely affected. For example, with the development of next-generation solutions that utilize new and advanced features, including artificial intelligence (“AI”) and machine learning (“ML”), we expect to commit significant resources to developing new products and enhancements incorporating AI and ML, and there is no guarantee that our investments and efforts will result in wider adoption of our products in the marketplace. If new technologies emerge that are able to deliver competitive products and services at lower prices, more efficiently, more conveniently or more securely or new products are introduced into the market that could render our products obsolete, such technologies and products could adversely impact our ability to compete effectively and may lead to customers reduce or terminate their usage of our products.</w:t>
      </w:r>
    </w:p>
    <w:p>
      <w:pPr>
        <w:spacing w:after="0" w:line="179" w:lineRule="exact"/>
        <w:rPr>
          <w:sz w:val="20"/>
          <w:szCs w:val="20"/>
          <w:color w:val="auto"/>
        </w:rPr>
      </w:pPr>
    </w:p>
    <w:p>
      <w:pPr>
        <w:ind w:firstLine="464"/>
        <w:spacing w:after="0" w:line="273" w:lineRule="auto"/>
        <w:rPr>
          <w:sz w:val="20"/>
          <w:szCs w:val="20"/>
          <w:color w:val="auto"/>
        </w:rPr>
      </w:pPr>
      <w:r>
        <w:rPr>
          <w:rFonts w:ascii="Arial" w:cs="Arial" w:eastAsia="Arial" w:hAnsi="Arial"/>
          <w:sz w:val="16"/>
          <w:szCs w:val="16"/>
          <w:color w:val="auto"/>
        </w:rPr>
        <w:t>Our platform must integrate with and leverage a variety of infrastructure, network, hardware, mobile and software platforms and technologies, and we need to continuously modify and enhance our products and platform to adapt to changes and innovation in these technologies. For example, Apple, Google and other cell-phone operating system providers or inbox service providers have developed and, may in the future develop, new applications or functions intended to filter spam and unwanted phone calls, messages or emails. Third party platforms may also implement changes to their privacy policies or practices that may impact us or our customers. In addition, our network service providers may adopt new filtering technologies in an effort to combat spam or robocalling. Such technologies may inadvertently filter desired messages or calls to or from our customers. If cell-phone operating system providers, network service providers, our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 evolving or new platforms and technologies could reduce the demand for our products. If we are unable to respond to these changes in a cost-effective manner, our products may become less marketable and less competitive or obsolete, and our business, results of operations and financial condition could be adversely affected.</w:t>
      </w:r>
    </w:p>
    <w:p>
      <w:pPr>
        <w:spacing w:after="0" w:line="199" w:lineRule="exact"/>
        <w:rPr>
          <w:sz w:val="20"/>
          <w:szCs w:val="20"/>
          <w:color w:val="auto"/>
        </w:rPr>
      </w:pPr>
    </w:p>
    <w:p>
      <w:pPr>
        <w:ind w:right="340" w:firstLine="464"/>
        <w:spacing w:after="0" w:line="262" w:lineRule="auto"/>
        <w:rPr>
          <w:sz w:val="20"/>
          <w:szCs w:val="20"/>
          <w:color w:val="auto"/>
        </w:rPr>
      </w:pPr>
      <w:r>
        <w:rPr>
          <w:rFonts w:ascii="Arial" w:cs="Arial" w:eastAsia="Arial" w:hAnsi="Arial"/>
          <w:sz w:val="17"/>
          <w:szCs w:val="17"/>
          <w:color w:val="auto"/>
        </w:rPr>
        <w:t>In the second quarter of 2023 we notified customers that we will begin gradually blocking U.S.-bound Application-to-Person (“A2P”) SMS and MMS messages from unregistered 10-digit long code (“10DLC”) phone numbers on July 5, 2023 and will completely block any remaining unregistered A2P 10DLC message traffic after August 31, 2023. These changes could result in reduced volume and revenue in our messaging products, which could adversely affect our results of operations.</w:t>
      </w:r>
    </w:p>
    <w:p>
      <w:pPr>
        <w:spacing w:after="0" w:line="178" w:lineRule="exact"/>
        <w:rPr>
          <w:sz w:val="20"/>
          <w:szCs w:val="20"/>
          <w:color w:val="auto"/>
        </w:rPr>
      </w:pPr>
    </w:p>
    <w:p>
      <w:pPr>
        <w:jc w:val="both"/>
        <w:ind w:right="60" w:firstLine="464"/>
        <w:spacing w:after="0" w:line="290" w:lineRule="auto"/>
        <w:rPr>
          <w:sz w:val="20"/>
          <w:szCs w:val="20"/>
          <w:color w:val="auto"/>
        </w:rPr>
      </w:pPr>
      <w:r>
        <w:rPr>
          <w:rFonts w:ascii="Arial" w:cs="Arial" w:eastAsia="Arial" w:hAnsi="Arial"/>
          <w:sz w:val="16"/>
          <w:szCs w:val="16"/>
          <w:b w:val="1"/>
          <w:bCs w:val="1"/>
          <w:i w:val="1"/>
          <w:iCs w:val="1"/>
          <w:color w:val="auto"/>
        </w:rPr>
        <w:t>To deliver our products, we rely on network service providers and internet service providers for our network service and connectivity, and disruption or deterioration in the quality of these services or changes in network service provider fees that we pay in connection with the delivery of communications on our platform could adversely affect our business, results of operations and financial condition.</w:t>
      </w:r>
    </w:p>
    <w:p>
      <w:pPr>
        <w:spacing w:after="0" w:line="158" w:lineRule="exact"/>
        <w:rPr>
          <w:sz w:val="20"/>
          <w:szCs w:val="20"/>
          <w:color w:val="auto"/>
        </w:rPr>
      </w:pPr>
    </w:p>
    <w:p>
      <w:pPr>
        <w:ind w:right="20" w:firstLine="464"/>
        <w:spacing w:after="0" w:line="275" w:lineRule="auto"/>
        <w:rPr>
          <w:sz w:val="20"/>
          <w:szCs w:val="20"/>
          <w:color w:val="auto"/>
        </w:rPr>
      </w:pPr>
      <w:r>
        <w:rPr>
          <w:rFonts w:ascii="Arial" w:cs="Arial" w:eastAsia="Arial" w:hAnsi="Arial"/>
          <w:sz w:val="16"/>
          <w:szCs w:val="16"/>
          <w:color w:val="auto"/>
        </w:rPr>
        <w:t>We currently interconnect with fixed and mobile network service providers around the world to enable the use by our customers of our products over their networks. Although we are in the process of acquiring authorization in many countries for direct access to phone numbers and for the provision of voice and messaging services on the networks of fixed and mobile network service providers, we expect that we will continue to rely on network service providers for these services. Where we do not have direct access to phone numbers, our reliance on network service providers has reduced our operating flexibility, ability to make timely service changes and control quality of service. In addition, the fees that we are charged by network service providers may change daily or weekly and we can be subject to the imposition of additional fees, penalties, or other administrative or technical requirements, and even service interruption, due to regulatory, competitive, or other industry related changes over which we have little to no control. We typically do not change our customers’ pricing as rapidly and, as a result, such fee increases could adversely affect our business and results of operations.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57" w:name="page58"/>
    <w:bookmarkEnd w:id="57"/>
    <w:p>
      <w:pPr>
        <w:ind w:firstLine="464"/>
        <w:spacing w:after="0" w:line="273" w:lineRule="auto"/>
        <w:rPr>
          <w:sz w:val="20"/>
          <w:szCs w:val="20"/>
          <w:color w:val="auto"/>
        </w:rPr>
      </w:pPr>
      <w:r>
        <w:rPr>
          <w:rFonts w:ascii="Arial" w:cs="Arial" w:eastAsia="Arial" w:hAnsi="Arial"/>
          <w:sz w:val="16"/>
          <w:szCs w:val="16"/>
          <w:color w:val="auto"/>
        </w:rPr>
        <w:t>For example, in recent years, multiple major U.S. mobile carriers have introduced A2P SMS service offerings that added a new fee for A2P SMS messages delivered to their respective subscribers, and, from time-to-time, other U.S. mobile carriers have added similar fees. While we have historically responded to these types of fee increases through a combination of further negotiating efforts with our network service providers, absorbing the increased costs or changing our prices to customers, there is no guarantee that we will continue to be able to respond in these ways in the future without a material negative impact to our business. In the case of these new carriers’ A2P SMS fees, after a short phase-in period where we absorbed the fees, we began on May 1, 2021 to pass these fees directly through to our customers who are sending SMS messages to these carriers’ subscribers. Passing these fees through to our customers typically has the effect of increasing our Communications revenue and cost of revenue, but typically does not impact the gross profit dollars received for sending these messages and, as a result, has a negative impact on our gross margins. Additionally, our ability to respond to any new fees may be constrained if all network service providers in a particular market impose equivalent fee structures, if the magnitude of the fees is disproportionately large when compared to the underlying prices paid by our customers, or if the market conditions limit our ability to increase the price we charge our customers.</w:t>
      </w:r>
    </w:p>
    <w:p>
      <w:pPr>
        <w:spacing w:after="0" w:line="176" w:lineRule="exact"/>
        <w:rPr>
          <w:sz w:val="20"/>
          <w:szCs w:val="20"/>
          <w:color w:val="auto"/>
        </w:rPr>
      </w:pPr>
    </w:p>
    <w:p>
      <w:pPr>
        <w:ind w:right="20" w:firstLine="464"/>
        <w:spacing w:after="0" w:line="275" w:lineRule="auto"/>
        <w:rPr>
          <w:sz w:val="20"/>
          <w:szCs w:val="20"/>
          <w:color w:val="auto"/>
        </w:rPr>
      </w:pPr>
      <w:r>
        <w:rPr>
          <w:rFonts w:ascii="Arial" w:cs="Arial" w:eastAsia="Arial" w:hAnsi="Arial"/>
          <w:sz w:val="16"/>
          <w:szCs w:val="16"/>
          <w:color w:val="auto"/>
        </w:rPr>
        <w:t>Furthermore, many of these network service providers do not have long-term committed contracts with us and may interrupt services or terminate their agreements with us without notice. If a significant portion of our network service providers stop providing us with access to their infrastructure, fail to provide these services to us on a cost-effective basis, cease operations, or otherwise terminate these services, the delay caused by qualifying and switching to other network service providers could be time consuming and costly and could adversely affect our business, results of operations and financial condition. Further, if problems occur with our network service providers, it may cause errors, service outages, or poor-quality communications on our products, and we could encounter difficulty identifying the source of the problem. The occurrence of errors, service outages, or poor-quality communications on our products, whether caused by our platform or a network service provider, may result in the loss of our existing customers or the delay of adoption of our products by potential customers and may adversely affect our business, results of operations and financial condition.</w:t>
      </w:r>
    </w:p>
    <w:p>
      <w:pPr>
        <w:spacing w:after="0" w:line="170" w:lineRule="exact"/>
        <w:rPr>
          <w:sz w:val="20"/>
          <w:szCs w:val="20"/>
          <w:color w:val="auto"/>
        </w:rPr>
      </w:pPr>
    </w:p>
    <w:p>
      <w:pPr>
        <w:ind w:right="80" w:firstLine="464"/>
        <w:spacing w:after="0" w:line="259" w:lineRule="auto"/>
        <w:rPr>
          <w:sz w:val="20"/>
          <w:szCs w:val="20"/>
          <w:color w:val="auto"/>
        </w:rPr>
      </w:pPr>
      <w:r>
        <w:rPr>
          <w:rFonts w:ascii="Arial" w:cs="Arial" w:eastAsia="Arial" w:hAnsi="Arial"/>
          <w:sz w:val="17"/>
          <w:szCs w:val="17"/>
          <w:color w:val="auto"/>
        </w:rPr>
        <w:t>Further, we sometimes access network services through intermediaries who have direct access to network service providers. Although we are in the process of securing direct connections with network service providers in many countries, we expect that we will continue to rely on intermediaries for these services for some period of time. These intermediaries sometimes have offerings that directly compete with our products and may stop providing services to us on a cost-effective basis. If a significant portion of these intermediaries stop providing services or stop providing services on a cost-effective basis, our business could be adversely affected.</w:t>
      </w:r>
    </w:p>
    <w:p>
      <w:pPr>
        <w:spacing w:after="0" w:line="183" w:lineRule="exact"/>
        <w:rPr>
          <w:sz w:val="20"/>
          <w:szCs w:val="20"/>
          <w:color w:val="auto"/>
        </w:rPr>
      </w:pPr>
    </w:p>
    <w:p>
      <w:pPr>
        <w:ind w:right="20" w:firstLine="464"/>
        <w:spacing w:after="0" w:line="297" w:lineRule="auto"/>
        <w:rPr>
          <w:sz w:val="20"/>
          <w:szCs w:val="20"/>
          <w:color w:val="auto"/>
        </w:rPr>
      </w:pPr>
      <w:r>
        <w:rPr>
          <w:rFonts w:ascii="Arial" w:cs="Arial" w:eastAsia="Arial" w:hAnsi="Arial"/>
          <w:sz w:val="15"/>
          <w:szCs w:val="15"/>
          <w:color w:val="auto"/>
        </w:rPr>
        <w:t>We also interconnect with internet service providers around the world to enable the use of our email products by our customers, and we expect that we will continue to rely on internet service providers for network connectivity going forward. Our reliance on internet service providers reduces our control over quality of service and exposes us to potential service outages and rate fluctuations. The occurrence of poor-quality of service or service outages on our products may result in the loss of our existing customers or the delay of adoption of our products by potential customers and may adversely affect our business, results of operations and financial condition. Similarly, if a significant portion of our internet service providers stop providing us with access to their network infrastructure, fail to provide access on a cost-effective basis, cease operations, or otherwise terminate access, the delay caused by qualifying and switching to other internet service providers could be time consuming and costly and could adversely affect our business, results of operations, and financial condition.</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Failure to set optimal prices for our products could adversely impact our business, results of operations and financial condition.</w:t>
      </w:r>
    </w:p>
    <w:p>
      <w:pPr>
        <w:spacing w:after="0" w:line="217" w:lineRule="exact"/>
        <w:rPr>
          <w:sz w:val="20"/>
          <w:szCs w:val="20"/>
          <w:color w:val="auto"/>
        </w:rPr>
      </w:pPr>
    </w:p>
    <w:p>
      <w:pPr>
        <w:ind w:right="140" w:firstLine="464"/>
        <w:spacing w:after="0" w:line="258" w:lineRule="auto"/>
        <w:rPr>
          <w:sz w:val="20"/>
          <w:szCs w:val="20"/>
          <w:color w:val="auto"/>
        </w:rPr>
      </w:pPr>
      <w:r>
        <w:rPr>
          <w:rFonts w:ascii="Arial" w:cs="Arial" w:eastAsia="Arial" w:hAnsi="Arial"/>
          <w:sz w:val="17"/>
          <w:szCs w:val="17"/>
          <w:color w:val="auto"/>
        </w:rPr>
        <w:t>For certain of our products, we primarily charge our customers based on their usage of such products. One of the challenges of this usage-based pricing model is the variability of the fees that we pay to network service providers over whose networks we transmit communications. Such network fees can vary daily or weekly and are affected by volume and other factors that may be outside of our control, and which are difficult to predict. This can result in us incurring increased costs that we may be unable or unwilling to pass through to our customers, which could adversely impact our business, results of operations and financial condition. If we elect to pass through increased fees to our customers, it could adversely affect our relationship with our customers and our customers may look for lower cost alternatives.</w:t>
      </w:r>
    </w:p>
    <w:p>
      <w:pPr>
        <w:spacing w:after="0" w:line="183" w:lineRule="exact"/>
        <w:rPr>
          <w:sz w:val="20"/>
          <w:szCs w:val="20"/>
          <w:color w:val="auto"/>
        </w:rPr>
      </w:pPr>
    </w:p>
    <w:p>
      <w:pPr>
        <w:ind w:right="40" w:firstLine="464"/>
        <w:spacing w:after="0" w:line="279" w:lineRule="auto"/>
        <w:rPr>
          <w:sz w:val="20"/>
          <w:szCs w:val="20"/>
          <w:color w:val="auto"/>
        </w:rPr>
      </w:pPr>
      <w:r>
        <w:rPr>
          <w:rFonts w:ascii="Arial" w:cs="Arial" w:eastAsia="Arial" w:hAnsi="Arial"/>
          <w:sz w:val="16"/>
          <w:szCs w:val="16"/>
          <w:color w:val="auto"/>
        </w:rPr>
        <w:t>We expect that we may need to change our pricing model from time to time. In the past, we have at times reduced our prices either for individual customers in connection with long-term agreements or for a particular product. Further, as competitors introduce new products or services that compete with ours or reduce their prices, we may be unable to attract new customers or retain existing customers based on our historical pricing. As we expand internationally, we also must determine the appropriate price to enable us to compete effectively internationally. Moreover, enterprises may demand substantial price concessions. In addition, if the mix of products sold changes, including for a shift to IP-based products, then we may need to, or</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58" w:name="page59"/>
    <w:bookmarkEnd w:id="58"/>
    <w:p>
      <w:pPr>
        <w:ind w:right="300"/>
        <w:spacing w:after="0" w:line="279" w:lineRule="auto"/>
        <w:rPr>
          <w:sz w:val="20"/>
          <w:szCs w:val="20"/>
          <w:color w:val="auto"/>
        </w:rPr>
      </w:pPr>
      <w:r>
        <w:rPr>
          <w:rFonts w:ascii="Arial" w:cs="Arial" w:eastAsia="Arial" w:hAnsi="Arial"/>
          <w:sz w:val="17"/>
          <w:szCs w:val="17"/>
          <w:color w:val="auto"/>
        </w:rPr>
        <w:t>choose to, revise our pricing. As a result, in the future we may be required or choose to reduce our prices or change our pricing models, which could adversely affect our business, results of operations and financial condition.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are continuing to expand our international operations, which exposes us to risks inherent in global operations.</w:t>
      </w:r>
    </w:p>
    <w:p>
      <w:pPr>
        <w:spacing w:after="0" w:line="217" w:lineRule="exact"/>
        <w:rPr>
          <w:sz w:val="20"/>
          <w:szCs w:val="20"/>
          <w:color w:val="auto"/>
        </w:rPr>
      </w:pPr>
    </w:p>
    <w:p>
      <w:pPr>
        <w:ind w:right="20" w:firstLine="464"/>
        <w:spacing w:after="0" w:line="259" w:lineRule="auto"/>
        <w:rPr>
          <w:sz w:val="20"/>
          <w:szCs w:val="20"/>
          <w:color w:val="auto"/>
        </w:rPr>
      </w:pPr>
      <w:r>
        <w:rPr>
          <w:rFonts w:ascii="Arial" w:cs="Arial" w:eastAsia="Arial" w:hAnsi="Arial"/>
          <w:sz w:val="17"/>
          <w:szCs w:val="17"/>
          <w:color w:val="auto"/>
        </w:rPr>
        <w:t>We are continuing to expand our international operations to increase our revenue from customers outside of the United States as part of our growth strategy. In the six months ended June 30, 2023 and the years ended December 31, 2022 and December 31, 2021, we derived 34%, 34% and 32% of our revenue from customer accounts located outside the United States, respectively. The future success of our business will depend, in part, on our ability to expand our customer base worldwide. Operating in international markets requires significant resources and management attention and will subject us to regulatory, economic and political risks in addition to those we already face in the United States.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we will face risks in doing business internationally that could adversely affect our business, including:</w:t>
      </w:r>
    </w:p>
    <w:p>
      <w:pPr>
        <w:spacing w:after="0" w:line="217" w:lineRule="exact"/>
        <w:rPr>
          <w:sz w:val="20"/>
          <w:szCs w:val="20"/>
          <w:color w:val="auto"/>
        </w:rPr>
      </w:pPr>
    </w:p>
    <w:p>
      <w:pPr>
        <w:ind w:left="940" w:hanging="318"/>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inflation and actions taken by central banks to counter inflation;</w:t>
      </w:r>
    </w:p>
    <w:p>
      <w:pPr>
        <w:spacing w:after="0" w:line="217" w:lineRule="exact"/>
        <w:rPr>
          <w:rFonts w:ascii="Arial" w:cs="Arial" w:eastAsia="Arial" w:hAnsi="Arial"/>
          <w:sz w:val="17"/>
          <w:szCs w:val="17"/>
          <w:color w:val="auto"/>
        </w:rPr>
      </w:pPr>
    </w:p>
    <w:p>
      <w:pPr>
        <w:ind w:left="940" w:right="580" w:hanging="318"/>
        <w:spacing w:after="0" w:line="279" w:lineRule="auto"/>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difficulty of managing and staffing international operations and the increased operations, travel, infrastructure and legal compliance costs associated with servicing international customers and operating numerous international locations;</w:t>
      </w:r>
    </w:p>
    <w:p>
      <w:pPr>
        <w:spacing w:after="0" w:line="164" w:lineRule="exact"/>
        <w:rPr>
          <w:rFonts w:ascii="Arial" w:cs="Arial" w:eastAsia="Arial" w:hAnsi="Arial"/>
          <w:sz w:val="17"/>
          <w:szCs w:val="17"/>
          <w:color w:val="auto"/>
        </w:rPr>
      </w:pPr>
    </w:p>
    <w:p>
      <w:pPr>
        <w:ind w:left="940" w:hanging="318"/>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effectively price our products in competitive international markets;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new and different sources of competition or other changes to our current competitive landscape;</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potentially greater difficulty collecting accounts receivable and longer payment cycles;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higher or more variable network service provider fees outside of the United States;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need to adapt and localize our products and support for specific countries;</w:t>
      </w:r>
    </w:p>
    <w:p>
      <w:pPr>
        <w:spacing w:after="0" w:line="217" w:lineRule="exact"/>
        <w:rPr>
          <w:rFonts w:ascii="Arial" w:cs="Arial" w:eastAsia="Arial" w:hAnsi="Arial"/>
          <w:sz w:val="17"/>
          <w:szCs w:val="17"/>
          <w:color w:val="auto"/>
        </w:rPr>
      </w:pPr>
    </w:p>
    <w:p>
      <w:pPr>
        <w:ind w:left="940" w:right="60" w:hanging="318"/>
        <w:spacing w:after="0" w:line="266" w:lineRule="auto"/>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understanding, reconciling, and implementing technical controls to address, different technical standards, data privacy and telecommunications regulations, and registration and certification requirements outside the United States, which could prevent customers from deploying our products or limit their usage;</w:t>
      </w:r>
    </w:p>
    <w:p>
      <w:pPr>
        <w:spacing w:after="0" w:line="175" w:lineRule="exact"/>
        <w:rPr>
          <w:rFonts w:ascii="Arial" w:cs="Arial" w:eastAsia="Arial" w:hAnsi="Arial"/>
          <w:sz w:val="17"/>
          <w:szCs w:val="17"/>
          <w:color w:val="auto"/>
        </w:rPr>
      </w:pPr>
    </w:p>
    <w:p>
      <w:pPr>
        <w:ind w:left="940" w:right="40" w:hanging="318"/>
        <w:spacing w:after="0" w:line="266" w:lineRule="auto"/>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comply with laws, regulations and industry standards relating to data privacy, data protection, data localization and data security enacted in countries and other regions in which we operate or do business, including the GDPR and Brazil’s General Data Protection Law (Lei Geral de Proteção de Dados Pessoais) (Law No. 13,709/2018);</w:t>
      </w:r>
    </w:p>
    <w:p>
      <w:pPr>
        <w:spacing w:after="0" w:line="175" w:lineRule="exact"/>
        <w:rPr>
          <w:rFonts w:ascii="Arial" w:cs="Arial" w:eastAsia="Arial" w:hAnsi="Arial"/>
          <w:sz w:val="17"/>
          <w:szCs w:val="17"/>
          <w:color w:val="auto"/>
        </w:rPr>
      </w:pPr>
    </w:p>
    <w:p>
      <w:pPr>
        <w:ind w:left="940" w:hanging="318"/>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difficulties in understanding and complying with local laws, regulations and customs in non-U.S. jurisdictions;</w:t>
      </w:r>
    </w:p>
    <w:p>
      <w:pPr>
        <w:spacing w:after="0" w:line="217" w:lineRule="exact"/>
        <w:rPr>
          <w:rFonts w:ascii="Arial" w:cs="Arial" w:eastAsia="Arial" w:hAnsi="Arial"/>
          <w:sz w:val="17"/>
          <w:szCs w:val="17"/>
          <w:color w:val="auto"/>
        </w:rPr>
      </w:pPr>
    </w:p>
    <w:p>
      <w:pPr>
        <w:ind w:left="940" w:hanging="318"/>
        <w:spacing w:after="0" w:line="266" w:lineRule="auto"/>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compliance with export controls and economic sanctions regulations administered by U.S. and foreign governmental entities in jurisdictions in which we operate, including the Department of Commerce's Bureau of Industry and Security and the Treasury Department’s Office of Foreign Assets Control;</w:t>
      </w:r>
    </w:p>
    <w:p>
      <w:pPr>
        <w:spacing w:after="0" w:line="175" w:lineRule="exact"/>
        <w:rPr>
          <w:rFonts w:ascii="Arial" w:cs="Arial" w:eastAsia="Arial" w:hAnsi="Arial"/>
          <w:sz w:val="17"/>
          <w:szCs w:val="17"/>
          <w:color w:val="auto"/>
        </w:rPr>
      </w:pPr>
    </w:p>
    <w:p>
      <w:pPr>
        <w:ind w:left="940" w:right="340" w:hanging="318"/>
        <w:spacing w:after="0" w:line="279" w:lineRule="auto"/>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compliance with various anti-bribery and anti-corruption laws such as the U.S. Foreign Corrupt Practices Act, as amended (“FCPA”) and United Kingdom Bribery Act of 2010;</w:t>
      </w:r>
    </w:p>
    <w:p>
      <w:pPr>
        <w:spacing w:after="0" w:line="164" w:lineRule="exact"/>
        <w:rPr>
          <w:rFonts w:ascii="Arial" w:cs="Arial" w:eastAsia="Arial" w:hAnsi="Arial"/>
          <w:sz w:val="17"/>
          <w:szCs w:val="17"/>
          <w:color w:val="auto"/>
        </w:rPr>
      </w:pPr>
    </w:p>
    <w:p>
      <w:pPr>
        <w:ind w:left="940" w:hanging="318"/>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international trade policies, tariffs and other non-tariff barriers, such as quotas and local content rules;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more limited protection for intellectual property rights in some countries;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adverse tax consequences;</w:t>
      </w:r>
    </w:p>
    <w:p>
      <w:pPr>
        <w:spacing w:after="0" w:line="217" w:lineRule="exact"/>
        <w:rPr>
          <w:rFonts w:ascii="Arial" w:cs="Arial" w:eastAsia="Arial" w:hAnsi="Arial"/>
          <w:sz w:val="17"/>
          <w:szCs w:val="17"/>
          <w:color w:val="auto"/>
        </w:rPr>
      </w:pPr>
    </w:p>
    <w:p>
      <w:pPr>
        <w:ind w:left="940" w:right="340" w:hanging="318"/>
        <w:spacing w:after="0" w:line="279" w:lineRule="auto"/>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164" w:lineRule="exact"/>
        <w:rPr>
          <w:rFonts w:ascii="Arial" w:cs="Arial" w:eastAsia="Arial" w:hAnsi="Arial"/>
          <w:sz w:val="17"/>
          <w:szCs w:val="17"/>
          <w:color w:val="auto"/>
        </w:rPr>
      </w:pPr>
    </w:p>
    <w:p>
      <w:pPr>
        <w:ind w:left="940" w:hanging="318"/>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currency control regulations, which might restrict or prohibit our conversion of other currencies into U.S. dollars;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68" w:right="379" w:bottom="1440" w:gutter="0" w:footer="0" w:header="0"/>
        </w:sectPr>
      </w:pPr>
    </w:p>
    <w:bookmarkStart w:id="59" w:name="page60"/>
    <w:bookmarkEnd w:id="59"/>
    <w:p>
      <w:pPr>
        <w:ind w:left="940" w:hanging="318"/>
        <w:spacing w:after="0"/>
        <w:tabs>
          <w:tab w:leader="none" w:pos="9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restrictions on the transfer of funds;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deterioration of political relations between the United States and other countries;</w:t>
      </w:r>
    </w:p>
    <w:p>
      <w:pPr>
        <w:spacing w:after="0" w:line="217" w:lineRule="exact"/>
        <w:rPr>
          <w:rFonts w:ascii="Arial" w:cs="Arial" w:eastAsia="Arial" w:hAnsi="Arial"/>
          <w:sz w:val="17"/>
          <w:szCs w:val="17"/>
          <w:color w:val="auto"/>
        </w:rPr>
      </w:pPr>
    </w:p>
    <w:p>
      <w:pPr>
        <w:ind w:left="940" w:right="140" w:hanging="318"/>
        <w:spacing w:after="0" w:line="312" w:lineRule="auto"/>
        <w:tabs>
          <w:tab w:leader="none" w:pos="9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impact of natural disasters and public health epidemics or pandemics such as COVID-19 on employees, contingent workers, partners, travel and the global economy and the ability to operate freely and effectively in a region that may be fully or partially on lockdown; and</w:t>
      </w:r>
    </w:p>
    <w:p>
      <w:pPr>
        <w:spacing w:after="0" w:line="140" w:lineRule="exact"/>
        <w:rPr>
          <w:rFonts w:ascii="Arial" w:cs="Arial" w:eastAsia="Arial" w:hAnsi="Arial"/>
          <w:sz w:val="16"/>
          <w:szCs w:val="16"/>
          <w:color w:val="auto"/>
        </w:rPr>
      </w:pPr>
    </w:p>
    <w:p>
      <w:pPr>
        <w:ind w:left="940" w:right="400" w:hanging="318"/>
        <w:spacing w:after="0" w:line="266" w:lineRule="auto"/>
        <w:tabs>
          <w:tab w:leader="none" w:pos="9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political or social unrest, economic instability, conflict or war in a specific country or region in which we, our customers, partners or service providers operate, which could have an adverse impact on our operations in the region or otherwise have a material impact on regional or global economies, any or all of which could adversely affect our business.</w:t>
      </w:r>
    </w:p>
    <w:p>
      <w:pPr>
        <w:spacing w:after="0" w:line="175" w:lineRule="exact"/>
        <w:rPr>
          <w:sz w:val="20"/>
          <w:szCs w:val="20"/>
          <w:color w:val="auto"/>
        </w:rPr>
      </w:pPr>
    </w:p>
    <w:p>
      <w:pPr>
        <w:ind w:firstLine="464"/>
        <w:spacing w:after="0" w:line="283" w:lineRule="auto"/>
        <w:rPr>
          <w:sz w:val="20"/>
          <w:szCs w:val="20"/>
          <w:color w:val="auto"/>
        </w:rPr>
      </w:pPr>
      <w:r>
        <w:rPr>
          <w:rFonts w:ascii="Arial" w:cs="Arial" w:eastAsia="Arial" w:hAnsi="Arial"/>
          <w:sz w:val="16"/>
          <w:szCs w:val="16"/>
          <w:color w:val="auto"/>
        </w:rPr>
        <w:t>Also, due to costs from our international expansion efforts and network service provider fees outside of the United States, which generally are higher than domestic rates, our gross margin for international customers is typically lower than our gross margin for domestic customers. As a result, our gross margin has been, and may continue to be, adversely impacted as we expand our operations and customer base worldwide. Our failure to manage any of these risks successfully could harm our international operations, and adversely affect our business, results of operations and financial condition.</w:t>
      </w:r>
    </w:p>
    <w:p>
      <w:pPr>
        <w:spacing w:after="0" w:line="164" w:lineRule="exact"/>
        <w:rPr>
          <w:sz w:val="20"/>
          <w:szCs w:val="20"/>
          <w:color w:val="auto"/>
        </w:rPr>
      </w:pPr>
    </w:p>
    <w:p>
      <w:pPr>
        <w:ind w:right="200" w:firstLine="464"/>
        <w:spacing w:after="0" w:line="279" w:lineRule="auto"/>
        <w:rPr>
          <w:sz w:val="20"/>
          <w:szCs w:val="20"/>
          <w:color w:val="auto"/>
        </w:rPr>
      </w:pPr>
      <w:r>
        <w:rPr>
          <w:rFonts w:ascii="Arial" w:cs="Arial" w:eastAsia="Arial" w:hAnsi="Arial"/>
          <w:sz w:val="17"/>
          <w:szCs w:val="17"/>
          <w:b w:val="1"/>
          <w:bCs w:val="1"/>
          <w:i w:val="1"/>
          <w:iCs w:val="1"/>
          <w:color w:val="auto"/>
        </w:rPr>
        <w:t>We currently generate significant revenue from our largest customers, and the loss or decline in revenue from any of these customers could harm our business, results of operations and financial condition.</w:t>
      </w:r>
    </w:p>
    <w:p>
      <w:pPr>
        <w:spacing w:after="0" w:line="164" w:lineRule="exact"/>
        <w:rPr>
          <w:sz w:val="20"/>
          <w:szCs w:val="20"/>
          <w:color w:val="auto"/>
        </w:rPr>
      </w:pPr>
    </w:p>
    <w:p>
      <w:pPr>
        <w:ind w:right="120" w:firstLine="464"/>
        <w:spacing w:after="0" w:line="258" w:lineRule="auto"/>
        <w:rPr>
          <w:sz w:val="20"/>
          <w:szCs w:val="20"/>
          <w:color w:val="auto"/>
        </w:rPr>
      </w:pPr>
      <w:r>
        <w:rPr>
          <w:rFonts w:ascii="Arial" w:cs="Arial" w:eastAsia="Arial" w:hAnsi="Arial"/>
          <w:sz w:val="17"/>
          <w:szCs w:val="17"/>
          <w:color w:val="auto"/>
        </w:rPr>
        <w:t>In the six months ended June 30, 2023 and the years ended December 31, 2022 and 2021, our 10 largest Active Customer Accounts generated an aggregate of 11%, 12% and 11% of our revenue, respectively. If any of these customers, or other large customers do not continue to use our products, use fewer of our products, or use our products in a more limited capacity, or not at all, our business, results of operations and financial condition could be adversely affected. Additionally, the usage of our products by customers that do not have long-term contracts with us may change between periods. Those with no long-term contract with us may reduce or fully terminate their usage of our products at any time without notice, penalty or termination charges, which may adversely impact our results of operations.</w:t>
      </w:r>
    </w:p>
    <w:p>
      <w:pPr>
        <w:spacing w:after="0" w:line="183" w:lineRule="exact"/>
        <w:rPr>
          <w:sz w:val="20"/>
          <w:szCs w:val="20"/>
          <w:color w:val="auto"/>
        </w:rPr>
      </w:pPr>
    </w:p>
    <w:p>
      <w:pPr>
        <w:ind w:right="100" w:firstLine="464"/>
        <w:spacing w:after="0" w:line="279" w:lineRule="auto"/>
        <w:rPr>
          <w:sz w:val="20"/>
          <w:szCs w:val="20"/>
          <w:color w:val="auto"/>
        </w:rPr>
      </w:pPr>
      <w:r>
        <w:rPr>
          <w:rFonts w:ascii="Arial" w:cs="Arial" w:eastAsia="Arial" w:hAnsi="Arial"/>
          <w:sz w:val="17"/>
          <w:szCs w:val="17"/>
          <w:b w:val="1"/>
          <w:bCs w:val="1"/>
          <w:i w:val="1"/>
          <w:iCs w:val="1"/>
          <w:color w:val="auto"/>
        </w:rPr>
        <w:t>We may not realize potential benefits from our acquisitions, partnerships and investments because of difficulties related to integration, the achievement of synergies, and other challenges.</w:t>
      </w:r>
    </w:p>
    <w:p>
      <w:pPr>
        <w:spacing w:after="0" w:line="164" w:lineRule="exact"/>
        <w:rPr>
          <w:sz w:val="20"/>
          <w:szCs w:val="20"/>
          <w:color w:val="auto"/>
        </w:rPr>
      </w:pPr>
    </w:p>
    <w:p>
      <w:pPr>
        <w:ind w:firstLine="464"/>
        <w:spacing w:after="0" w:line="256" w:lineRule="auto"/>
        <w:rPr>
          <w:sz w:val="20"/>
          <w:szCs w:val="20"/>
          <w:color w:val="auto"/>
        </w:rPr>
      </w:pPr>
      <w:r>
        <w:rPr>
          <w:rFonts w:ascii="Arial" w:cs="Arial" w:eastAsia="Arial" w:hAnsi="Arial"/>
          <w:sz w:val="17"/>
          <w:szCs w:val="17"/>
          <w:color w:val="auto"/>
        </w:rPr>
        <w:t>We have acquired and invested in businesses and technologies that are complementary to our business through acquisitions, partnerships or investments, and we expect to continue to selectively evaluate strategic opportunities in the future. There can be no assurances that our businesses can be combined in a manner that allows for the achievement of substantial benefits. Any integration process may require significant time and resources, and we may not be able to manage the process successfully as our ability to acquire and integrate larger or more complex companies, products, or technology in a successful manner is unproven. If we are not able to successfully integrate these acquired businesses with ours or pursue our customer and product strategy successfully, the anticipated benefits of such acquisitions may not be realized fully or may take longer than expected to be realized. Further, it is possible that there could be a loss of our key employees and customers, disruption of ongoing businesses or unexpected issues, higher than expected costs and an overall post-completion process that takes longer than originally anticipated. In addition, the following issues, among others, must be addressed in order to realize the anticipated benefits of our acquisitions, partnerships or investments:</w:t>
      </w:r>
    </w:p>
    <w:p>
      <w:pPr>
        <w:spacing w:after="0" w:line="186" w:lineRule="exact"/>
        <w:rPr>
          <w:sz w:val="20"/>
          <w:szCs w:val="20"/>
          <w:color w:val="auto"/>
        </w:rPr>
      </w:pPr>
    </w:p>
    <w:p>
      <w:pPr>
        <w:ind w:left="940" w:hanging="318"/>
        <w:spacing w:after="0"/>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combining the acquired businesses’ corporate functions with our corporate functions;</w:t>
      </w:r>
    </w:p>
    <w:p>
      <w:pPr>
        <w:spacing w:after="0" w:line="217" w:lineRule="exact"/>
        <w:rPr>
          <w:rFonts w:ascii="Arial" w:cs="Arial" w:eastAsia="Arial" w:hAnsi="Arial"/>
          <w:sz w:val="17"/>
          <w:szCs w:val="17"/>
          <w:color w:val="auto"/>
        </w:rPr>
      </w:pPr>
    </w:p>
    <w:p>
      <w:pPr>
        <w:ind w:left="940" w:right="40" w:hanging="318"/>
        <w:spacing w:after="0" w:line="349" w:lineRule="auto"/>
        <w:tabs>
          <w:tab w:leader="none" w:pos="9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combining acquired businesses with our business in a manner that permits us to achieve the synergies anticipated to result from such acquisitions, the failure of which would result in the anticipated benefits of our acquisitions not being realized in the time frame currently anticipated or at all;</w:t>
      </w:r>
    </w:p>
    <w:p>
      <w:pPr>
        <w:spacing w:after="0" w:line="117" w:lineRule="exact"/>
        <w:rPr>
          <w:rFonts w:ascii="Arial" w:cs="Arial" w:eastAsia="Arial" w:hAnsi="Arial"/>
          <w:sz w:val="15"/>
          <w:szCs w:val="15"/>
          <w:color w:val="auto"/>
        </w:rPr>
      </w:pPr>
    </w:p>
    <w:p>
      <w:pPr>
        <w:ind w:left="940" w:right="20" w:hanging="318"/>
        <w:spacing w:after="0" w:line="279" w:lineRule="auto"/>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maintaining existing agreements with customers, distributors, providers, talent and vendors and avoiding delays in entering into new agreements with prospective customers, distributors, providers, talent and vendors;</w:t>
      </w:r>
    </w:p>
    <w:p>
      <w:pPr>
        <w:spacing w:after="0" w:line="164" w:lineRule="exact"/>
        <w:rPr>
          <w:rFonts w:ascii="Arial" w:cs="Arial" w:eastAsia="Arial" w:hAnsi="Arial"/>
          <w:sz w:val="17"/>
          <w:szCs w:val="17"/>
          <w:color w:val="auto"/>
        </w:rPr>
      </w:pPr>
    </w:p>
    <w:p>
      <w:pPr>
        <w:ind w:left="940" w:hanging="318"/>
        <w:spacing w:after="0"/>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determining whether and how to address possible differences in corporate cultures and management philosophies;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integrating the companies’ compliance, administrative and IT infrastructure;</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developing products and technology that allow value to be unlocked in the future;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60" w:name="page61"/>
    <w:bookmarkEnd w:id="60"/>
    <w:p>
      <w:pPr>
        <w:ind w:left="940" w:hanging="318"/>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evaluating and forecasting the financial impact of such acquisitions, partnerships and investments, including accounting charges; and</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affecting potential actions that may be required in connection with obtaining regulatory approvals.</w:t>
      </w:r>
    </w:p>
    <w:p>
      <w:pPr>
        <w:spacing w:after="0" w:line="217" w:lineRule="exact"/>
        <w:rPr>
          <w:sz w:val="20"/>
          <w:szCs w:val="20"/>
          <w:color w:val="auto"/>
        </w:rPr>
      </w:pPr>
    </w:p>
    <w:p>
      <w:pPr>
        <w:ind w:right="520" w:firstLine="464"/>
        <w:spacing w:after="0" w:line="279" w:lineRule="auto"/>
        <w:rPr>
          <w:sz w:val="20"/>
          <w:szCs w:val="20"/>
          <w:color w:val="auto"/>
        </w:rPr>
      </w:pPr>
      <w:r>
        <w:rPr>
          <w:rFonts w:ascii="Arial" w:cs="Arial" w:eastAsia="Arial" w:hAnsi="Arial"/>
          <w:sz w:val="17"/>
          <w:szCs w:val="17"/>
          <w:color w:val="auto"/>
        </w:rPr>
        <w:t>In addition, at times the attention of certain members of our management and resources may be focused on integration of the acquired businesses and diverted from day-to-day business operations, which may disrupt our ongoing business.</w:t>
      </w:r>
    </w:p>
    <w:p>
      <w:pPr>
        <w:spacing w:after="0" w:line="164" w:lineRule="exact"/>
        <w:rPr>
          <w:sz w:val="20"/>
          <w:szCs w:val="20"/>
          <w:color w:val="auto"/>
        </w:rPr>
      </w:pPr>
    </w:p>
    <w:p>
      <w:pPr>
        <w:ind w:right="240" w:firstLine="464"/>
        <w:spacing w:after="0" w:line="318" w:lineRule="auto"/>
        <w:rPr>
          <w:sz w:val="20"/>
          <w:szCs w:val="20"/>
          <w:color w:val="auto"/>
        </w:rPr>
      </w:pPr>
      <w:r>
        <w:rPr>
          <w:rFonts w:ascii="Arial" w:cs="Arial" w:eastAsia="Arial" w:hAnsi="Arial"/>
          <w:sz w:val="15"/>
          <w:szCs w:val="15"/>
          <w:color w:val="auto"/>
        </w:rPr>
        <w:t>We have incurred, and may continue to incur, significant, nonrecurring costs in connection with our acquisitions, partnerships and investments and integrating our operations with those of the acquired businesses, including costs to maintain employee morale and to retain key employees. Management cannot ensure that the elimination of duplicative costs or the realization of other efficiencies will offset the transaction and integration costs in the near term or at all.</w:t>
      </w:r>
    </w:p>
    <w:p>
      <w:pPr>
        <w:spacing w:after="0" w:line="165" w:lineRule="exact"/>
        <w:rPr>
          <w:sz w:val="20"/>
          <w:szCs w:val="20"/>
          <w:color w:val="auto"/>
        </w:rPr>
      </w:pPr>
    </w:p>
    <w:p>
      <w:pPr>
        <w:ind w:right="20" w:firstLine="464"/>
        <w:spacing w:after="0" w:line="257" w:lineRule="auto"/>
        <w:rPr>
          <w:sz w:val="20"/>
          <w:szCs w:val="20"/>
          <w:color w:val="auto"/>
        </w:rPr>
      </w:pPr>
      <w:r>
        <w:rPr>
          <w:rFonts w:ascii="Arial" w:cs="Arial" w:eastAsia="Arial" w:hAnsi="Arial"/>
          <w:sz w:val="17"/>
          <w:szCs w:val="17"/>
          <w:color w:val="auto"/>
        </w:rPr>
        <w:t>From time to time we may also divest or stop investing in certain businesses or products. For example, in the second quarter of 2023, we sold our Internet of Things assets and liabilities to a third party and in the third quarter of 2023, we sold our ValueFirst business to a third party. The sale of a business or product may require us to restructure operations and/or terminate employees, and could expose us to unanticipated ongoing obligations and liabilities, including as a result of our indemnification obligations. Additionally, such transactions could disrupt our customer, supplier and/or employee relationships and divert management and our employees’ time and attention. During the pendency of a divestiture, we may be subject to risks related to a decline in the business, loss of employees, customers, or suppliers, and that the transaction may not close, which could have an adverse effect on the business to be divested and on us. Additionally, we may experience harm to our financial results, including loss of revenue, and we may not realize the expected benefits and cost savings of these actions and our operating results may be adversely impacted.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Cyber Security, Data Privacy and Intellectual Property</w:t>
      </w:r>
    </w:p>
    <w:p>
      <w:pPr>
        <w:spacing w:after="0" w:line="223" w:lineRule="exact"/>
        <w:rPr>
          <w:sz w:val="20"/>
          <w:szCs w:val="20"/>
          <w:color w:val="auto"/>
        </w:rPr>
      </w:pPr>
    </w:p>
    <w:p>
      <w:pPr>
        <w:ind w:right="100" w:firstLine="464"/>
        <w:spacing w:after="0" w:line="262" w:lineRule="auto"/>
        <w:rPr>
          <w:sz w:val="20"/>
          <w:szCs w:val="20"/>
          <w:color w:val="auto"/>
        </w:rPr>
      </w:pPr>
      <w:r>
        <w:rPr>
          <w:rFonts w:ascii="Arial" w:cs="Arial" w:eastAsia="Arial" w:hAnsi="Arial"/>
          <w:sz w:val="17"/>
          <w:szCs w:val="17"/>
          <w:b w:val="1"/>
          <w:bCs w:val="1"/>
          <w:i w:val="1"/>
          <w:iCs w:val="1"/>
          <w:color w:val="auto"/>
        </w:rPr>
        <w:t>Breaches of or incidents impacting our networks or systems, or those of Amazon Web Services (“AWS”) or our service providers, could degrade our ability to conduct our business, compromise the integrity of our products, platform and data, result in significant loss or unavailability of data and the theft of our intellectual property, damage our reputation, expose us to liability to third parties and require us to incur significant additional costs to maintain the security of our networks and data.</w:t>
      </w:r>
    </w:p>
    <w:p>
      <w:pPr>
        <w:spacing w:after="0" w:line="178" w:lineRule="exact"/>
        <w:rPr>
          <w:sz w:val="20"/>
          <w:szCs w:val="20"/>
          <w:color w:val="auto"/>
        </w:rPr>
      </w:pPr>
    </w:p>
    <w:p>
      <w:pPr>
        <w:ind w:right="80" w:firstLine="464"/>
        <w:spacing w:after="0" w:line="277" w:lineRule="auto"/>
        <w:rPr>
          <w:sz w:val="20"/>
          <w:szCs w:val="20"/>
          <w:color w:val="auto"/>
        </w:rPr>
      </w:pPr>
      <w:r>
        <w:rPr>
          <w:rFonts w:ascii="Arial" w:cs="Arial" w:eastAsia="Arial" w:hAnsi="Arial"/>
          <w:sz w:val="16"/>
          <w:szCs w:val="16"/>
          <w:color w:val="auto"/>
        </w:rPr>
        <w:t>We depend upon our IT systems to conduct virtually all of our business operations, ranging from our internal operations and research and development activities to our marketing and sales efforts and communications with our customers and business partners. We have in the past and may in the future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or unavailability of data or other information technology assets, adware, telecommunications failures, earthquakes, fires, floods, natural disasters, and other similar threats.</w:t>
      </w:r>
    </w:p>
    <w:p>
      <w:pPr>
        <w:spacing w:after="0" w:line="170" w:lineRule="exact"/>
        <w:rPr>
          <w:sz w:val="20"/>
          <w:szCs w:val="20"/>
          <w:color w:val="auto"/>
        </w:rPr>
      </w:pPr>
    </w:p>
    <w:p>
      <w:pPr>
        <w:ind w:firstLine="464"/>
        <w:spacing w:after="0" w:line="272" w:lineRule="auto"/>
        <w:rPr>
          <w:sz w:val="20"/>
          <w:szCs w:val="20"/>
          <w:color w:val="auto"/>
        </w:rPr>
      </w:pPr>
      <w:r>
        <w:rPr>
          <w:rFonts w:ascii="Arial" w:cs="Arial" w:eastAsia="Arial" w:hAnsi="Arial"/>
          <w:sz w:val="16"/>
          <w:szCs w:val="16"/>
          <w:color w:val="auto"/>
        </w:rPr>
        <w:t>Individuals or entities may attempt to penetrate the security of our platform, or of our network or systems, and to cause harm to our business operations, including by misappropriating our proprietary information or that of our customers, employees and business partners or to cause interruptions of our products and platform. In particular, cyberattacks and other malicious internet-based activity continue to increase in frequency and in magnitude generally, and cloud-based companies have been targeted in the past. In addition to threats from traditional computer hackers, malicious code, software vulnerabilities, supply chain attacks and vulnerabilities through our third-party partners, employees theft or misuse, password spraying, phishing, smishing, vishing, credential stuffing and denial-of-service attacks, we also face threats from sophisticated organized crime, nation-state, and nation-state supported actors who engage in attacks (including advanced persistent threat intrusions) that add to the risk to our systems (including those hosted on AWS or other cloud services), internal networks, our customers’ systems and the information that they store and process. Ransomware and cyber extortion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or reduce the negative impact of a ransomware attack, but we may be unwilling or unable to make such payments due to, for example, applicable laws or regulations prohibiting such payments. Because the techniques used to access, disrupt or sabotage devices, systems and networks change frequently and may not be recognized until launched against a target, we may be required to make further investments over time to protect data and infrastructure as cybersecurity threats develop, evolve and grow more complex over time. We may also be unable to anticipate these techniques,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color w:val="auto"/>
        </w:rPr>
        <w:t>and we may not become aware in a timely manner of any security breach or incident, which could exacerbate any damage we experience.</w:t>
      </w:r>
    </w:p>
    <w:p>
      <w:pPr>
        <w:spacing w:after="0" w:line="217" w:lineRule="exact"/>
        <w:rPr>
          <w:sz w:val="20"/>
          <w:szCs w:val="20"/>
          <w:color w:val="auto"/>
        </w:rPr>
      </w:pPr>
    </w:p>
    <w:p>
      <w:pPr>
        <w:ind w:right="40" w:firstLine="464"/>
        <w:spacing w:after="0" w:line="271" w:lineRule="auto"/>
        <w:rPr>
          <w:sz w:val="20"/>
          <w:szCs w:val="20"/>
          <w:color w:val="auto"/>
        </w:rPr>
      </w:pPr>
      <w:r>
        <w:rPr>
          <w:rFonts w:ascii="Arial" w:cs="Arial" w:eastAsia="Arial" w:hAnsi="Arial"/>
          <w:sz w:val="16"/>
          <w:szCs w:val="16"/>
          <w:color w:val="auto"/>
        </w:rPr>
        <w:t>Additionally, we depend upon our employees and contractors to appropriately handle confidential and sensitive data, including customer data, and to deploy our IT resources in a safe and secure manner that does not expose our network systems to security breaches or incidents or the loss, alteration, unavailability, or other unauthorized processing of data. We have been and expect to be subject to cybersecurity threats and incidents, including denial-of-service attacks, employee errors or individual attempts to gain unauthorized access to information systems. Any data security incidents, including internal malfeasance or inadvertent disclosures by our employees or a third party’s fraudulent inducement of our employees to disclose information, unauthorized access or usage, virus or similar breach or incident or disruption of our platform, systems, or networks or those of our service providers, such as AWS, could result in loss, unavailability, or other unauthorized processing of confidential information, and any such event, or the perception that it has occurred, may result in damage to our reputation, erosion of customer trust, loss of customers, litigation, regulatory investigations, fines, penalties and other liabilities. For example, in June and August 2022, we became aware that threat actors had conducted sophisticated social engineering campaigns against some of our employees after having obtained employee names and cell phone numbers from unknown sources. The attack identified in August, which involved smishing text messages that purported to be from our IT department, resulted in the threat actor obtaining some of our employees’ credentials and access to certain data of approximately 209 customers out of our total customer base of approximately 270,000 at that time. We notified and worked with our affected customers. We also notified appropriate regulators and addressed their questions about the incident. We also took steps to remediate the incident, including enhancing our security training, improving our two factor authentication requirements, implementing additional layers of control within our VPN, reducing access to certain internal applications and tools, and increasing the refresh frequency for access to certain internal applications. Industry reports indicate that the threat actors also attacked other technology, telecommunication and cryptocurrency companies.</w:t>
      </w:r>
    </w:p>
    <w:p>
      <w:pPr>
        <w:spacing w:after="0" w:line="183" w:lineRule="exact"/>
        <w:rPr>
          <w:sz w:val="20"/>
          <w:szCs w:val="20"/>
          <w:color w:val="auto"/>
        </w:rPr>
      </w:pPr>
    </w:p>
    <w:p>
      <w:pPr>
        <w:ind w:firstLine="464"/>
        <w:spacing w:after="0" w:line="292" w:lineRule="auto"/>
        <w:rPr>
          <w:sz w:val="20"/>
          <w:szCs w:val="20"/>
          <w:color w:val="auto"/>
        </w:rPr>
      </w:pPr>
      <w:r>
        <w:rPr>
          <w:rFonts w:ascii="Arial" w:cs="Arial" w:eastAsia="Arial" w:hAnsi="Arial"/>
          <w:sz w:val="15"/>
          <w:szCs w:val="15"/>
          <w:color w:val="auto"/>
        </w:rPr>
        <w:t>Furthermore, we are required to comply with laws and regulations that require us to maintain the security of personal information and we may have contractual and other legal obligations to notify customers, regulators, impacted individuals or other relevant stakeholders of security breaches.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and other actions or proceedings (for example, investigations, audits, and inspections), and related fines, penalties, required remedial actions, or other obligations and liabilities; additional reporting requirements and/or oversight; restrictions on processing or transferring data (including personal data); claims, demands, and litigation (including class claims); indemnification obligations; monetary fund diversions; interruptions in our operations (including availability of data); financial loss and other similar harms. Actual and perceived security incidents and attendant consequences could also lead to negative publicity and reputational harm, may cause our customers to lose confidence in the effectiveness of our security measures and require us to expend significant capital and other resources to respond to and/or mitigate the security incident. Accordingly, if our cybersecurity measures or those of AWS or our service providers fail to protect against unauthorized access, attacks (which may include sophisticated cyberattacks), or if our employees or contractors compromise or mishandle data, then our reputation, customer trust, business, results of operations and financial condition could be adversely affected.</w:t>
      </w:r>
    </w:p>
    <w:p>
      <w:pPr>
        <w:spacing w:after="0" w:line="163" w:lineRule="exact"/>
        <w:rPr>
          <w:sz w:val="20"/>
          <w:szCs w:val="20"/>
          <w:color w:val="auto"/>
        </w:rPr>
      </w:pPr>
    </w:p>
    <w:p>
      <w:pPr>
        <w:jc w:val="both"/>
        <w:ind w:right="300" w:firstLine="464"/>
        <w:spacing w:after="0" w:line="290" w:lineRule="auto"/>
        <w:rPr>
          <w:sz w:val="20"/>
          <w:szCs w:val="20"/>
          <w:color w:val="auto"/>
        </w:rPr>
      </w:pPr>
      <w:r>
        <w:rPr>
          <w:rFonts w:ascii="Arial" w:cs="Arial" w:eastAsia="Arial" w:hAnsi="Arial"/>
          <w:sz w:val="16"/>
          <w:szCs w:val="16"/>
          <w:color w:val="auto"/>
        </w:rPr>
        <w:t>While we maintain errors, omissions and cyber liability insurance policies covering certain security and privacy damages, we cannot be certain that our existing insurance coverage will continue to be available on acceptable terms or will be available, and in sufficient amounts, to cover the potentially significant losses that may result from a security incident or breach or that the insurer will not deny coverage as to any future claim.</w:t>
      </w:r>
    </w:p>
    <w:p>
      <w:pPr>
        <w:spacing w:after="0" w:line="158" w:lineRule="exact"/>
        <w:rPr>
          <w:sz w:val="20"/>
          <w:szCs w:val="20"/>
          <w:color w:val="auto"/>
        </w:rPr>
      </w:pPr>
    </w:p>
    <w:p>
      <w:pPr>
        <w:ind w:right="40" w:firstLine="464"/>
        <w:spacing w:after="0" w:line="279" w:lineRule="auto"/>
        <w:rPr>
          <w:sz w:val="20"/>
          <w:szCs w:val="20"/>
          <w:color w:val="auto"/>
        </w:rPr>
      </w:pPr>
      <w:r>
        <w:rPr>
          <w:rFonts w:ascii="Arial" w:cs="Arial" w:eastAsia="Arial" w:hAnsi="Arial"/>
          <w:sz w:val="17"/>
          <w:szCs w:val="17"/>
          <w:b w:val="1"/>
          <w:bCs w:val="1"/>
          <w:i w:val="1"/>
          <w:iCs w:val="1"/>
          <w:color w:val="auto"/>
        </w:rPr>
        <w:t>We substantially rely upon AWS to operate our platform, and any disruption of or interference with our use of AWS would adversely affect our business, results of operations and financial condition.</w:t>
      </w:r>
    </w:p>
    <w:p>
      <w:pPr>
        <w:spacing w:after="0" w:line="164" w:lineRule="exact"/>
        <w:rPr>
          <w:sz w:val="20"/>
          <w:szCs w:val="20"/>
          <w:color w:val="auto"/>
        </w:rPr>
      </w:pPr>
    </w:p>
    <w:p>
      <w:pPr>
        <w:ind w:right="160" w:firstLine="464"/>
        <w:spacing w:after="0" w:line="295" w:lineRule="auto"/>
        <w:rPr>
          <w:sz w:val="20"/>
          <w:szCs w:val="20"/>
          <w:color w:val="auto"/>
        </w:rPr>
      </w:pPr>
      <w:r>
        <w:rPr>
          <w:rFonts w:ascii="Arial" w:cs="Arial" w:eastAsia="Arial" w:hAnsi="Arial"/>
          <w:sz w:val="15"/>
          <w:szCs w:val="15"/>
          <w:color w:val="auto"/>
        </w:rPr>
        <w:t>We outsource a substantial majority of our cloud infrastructure to AWS, which hosts our products and platform. Our customers need to be able to reliably access our platform, without material interruption or degradation of performance. AWS runs its own platform that we access, and we are, therefore, vulnerable to service interruptions at AWS. We have experienced, and expect that we may experience interruptions, delays and outages in service and availability in the future due to a variety of factors, including infrastructure changes, human or software errors, website hosting disruptions and capacity constraints. Capacity constraints could be caused by a number of potential causes, including technical failures, natural disasters, public health epidemics or pandemics (such as COVID-19), fraud or security attacks. In addition, if our security, or that of AWS, is compromised, our products or platform are unavailable, or if our users are unable to use our products within a reasonable amount of time or at all, any one of which may be due to circumstances beyond our control, then our business, results of operations and financial condition could be adversely affected. In some instances, we may encounter difficulties or otherwise</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62" w:name="page63"/>
    <w:bookmarkEnd w:id="62"/>
    <w:p>
      <w:pPr>
        <w:spacing w:after="0" w:line="297" w:lineRule="auto"/>
        <w:rPr>
          <w:sz w:val="20"/>
          <w:szCs w:val="20"/>
          <w:color w:val="auto"/>
        </w:rPr>
      </w:pPr>
      <w:r>
        <w:rPr>
          <w:rFonts w:ascii="Arial" w:cs="Arial" w:eastAsia="Arial" w:hAnsi="Arial"/>
          <w:sz w:val="15"/>
          <w:szCs w:val="15"/>
          <w:color w:val="auto"/>
        </w:rPr>
        <w:t>not be able to identify the cause or causes of these performance problems within a period of time acceptable to our customers. It may become increasingly difficult to maintain and improve our platform performance and to troubleshoot performance issues, especially during peak usage times, as our products become more complex and the usage of our products increases. To the extent that we do not effectively address capacity constraints, either through AWS or alternative providers of cloud infrastructure, or other factors that may result in interruptions, delays and outages in service and availability of our products and/or services, our business, results of operations and financial condition may be adversely affected. In addition, if Amazon requires that we comply with unfavorable terms in order to continue our use of AWS or if Amazon implements any changes in its service levels for AWS, the changes may adversely affect our ability to meet our customers’ requirements, result in negative publicity which could harm our reputation and brand and may adversely affect the usage of our platform.</w:t>
      </w:r>
    </w:p>
    <w:p>
      <w:pPr>
        <w:spacing w:after="0" w:line="156" w:lineRule="exact"/>
        <w:rPr>
          <w:sz w:val="20"/>
          <w:szCs w:val="20"/>
          <w:color w:val="auto"/>
        </w:rPr>
      </w:pPr>
    </w:p>
    <w:p>
      <w:pPr>
        <w:ind w:right="80" w:firstLine="464"/>
        <w:spacing w:after="0" w:line="255" w:lineRule="auto"/>
        <w:rPr>
          <w:sz w:val="20"/>
          <w:szCs w:val="20"/>
          <w:color w:val="auto"/>
        </w:rPr>
      </w:pPr>
      <w:r>
        <w:rPr>
          <w:rFonts w:ascii="Arial" w:cs="Arial" w:eastAsia="Arial" w:hAnsi="Arial"/>
          <w:sz w:val="17"/>
          <w:szCs w:val="17"/>
          <w:color w:val="auto"/>
        </w:rPr>
        <w:t>The substantial majority of the services we use from AWS are for cloud-based server capacity and, to a lesser extent, storage and other optimization offerings. AWS enables us to order and reserve server capacity in varying amounts and sizes distributed across multiple regions. We access AWS infrastructure through standard IP connectivity protocols. AWS provides us with computing and storage capacity pursuant to an agreement that continues until terminated by either party. AWS may terminate the agreement if we fail to cure a breach of the agreement within 30 days of our being notified of the breach and, in some cases, AWS may suspend the agreement immediately for cause upon notice. Although we expect that we could procure similar services from other third parties, if any of our arrangements with AWS are terminated, we could experience interruptions to our platform and encounter difficulties in our ability to make our products reliably accessible by customers, as well as delays and additional expenses in procuring, implementing, and transitioning to alternative cloud infrastructure services. Any of the above circumstances or events may harm our reputation, erode customer trust, cause customers to stop using or reduce their usage of our products, discourage them from renewing their contracts,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191" w:lineRule="exact"/>
        <w:rPr>
          <w:sz w:val="20"/>
          <w:szCs w:val="20"/>
          <w:color w:val="auto"/>
        </w:rPr>
      </w:pPr>
    </w:p>
    <w:p>
      <w:pPr>
        <w:ind w:right="200" w:firstLine="464"/>
        <w:spacing w:after="0" w:line="279" w:lineRule="auto"/>
        <w:rPr>
          <w:sz w:val="20"/>
          <w:szCs w:val="20"/>
          <w:color w:val="auto"/>
        </w:rPr>
      </w:pPr>
      <w:r>
        <w:rPr>
          <w:rFonts w:ascii="Arial" w:cs="Arial" w:eastAsia="Arial" w:hAnsi="Arial"/>
          <w:sz w:val="17"/>
          <w:szCs w:val="17"/>
          <w:b w:val="1"/>
          <w:bCs w:val="1"/>
          <w:i w:val="1"/>
          <w:iCs w:val="1"/>
          <w:color w:val="auto"/>
        </w:rPr>
        <w:t>Our actual or perceived failure to comply with increasingly stringent laws, regulations and contractual obligations relating to privacy, data protection and data security could harm our reputation and subject us to significant fines and liability or loss of business.</w:t>
      </w:r>
    </w:p>
    <w:p>
      <w:pPr>
        <w:spacing w:after="0" w:line="164" w:lineRule="exact"/>
        <w:rPr>
          <w:sz w:val="20"/>
          <w:szCs w:val="20"/>
          <w:color w:val="auto"/>
        </w:rPr>
      </w:pPr>
    </w:p>
    <w:p>
      <w:pPr>
        <w:ind w:right="140" w:firstLine="464"/>
        <w:spacing w:after="0" w:line="259" w:lineRule="auto"/>
        <w:rPr>
          <w:sz w:val="20"/>
          <w:szCs w:val="20"/>
          <w:color w:val="auto"/>
        </w:rPr>
      </w:pPr>
      <w:r>
        <w:rPr>
          <w:rFonts w:ascii="Arial" w:cs="Arial" w:eastAsia="Arial" w:hAnsi="Arial"/>
          <w:sz w:val="17"/>
          <w:szCs w:val="17"/>
          <w:color w:val="auto"/>
        </w:rPr>
        <w:t>We and our customers are subject to numerous domestic (for example, the California Consumer Privacy Act of 2018 (“CCPA”)) and foreign (for example, the General Data Protection Regulation (“GDPR”) in the European Union (“EU”)) privacy, data protection and data security laws and regulations that restrict the collection, use, disclosure and processing of personal information, including financial and health data. These laws and regulations are expanding globally, evolving, are being tested in courts, may result in increasing regulatory and public scrutiny of our practices relating to personal information and may increase our exposure to regulatory enforcement action, sanctions and litigation.</w:t>
      </w:r>
    </w:p>
    <w:p>
      <w:pPr>
        <w:spacing w:after="0" w:line="183" w:lineRule="exact"/>
        <w:rPr>
          <w:sz w:val="20"/>
          <w:szCs w:val="20"/>
          <w:color w:val="auto"/>
        </w:rPr>
      </w:pPr>
    </w:p>
    <w:p>
      <w:pPr>
        <w:ind w:firstLine="464"/>
        <w:spacing w:after="0" w:line="274" w:lineRule="auto"/>
        <w:rPr>
          <w:sz w:val="20"/>
          <w:szCs w:val="20"/>
          <w:color w:val="auto"/>
        </w:rPr>
      </w:pPr>
      <w:r>
        <w:rPr>
          <w:rFonts w:ascii="Arial" w:cs="Arial" w:eastAsia="Arial" w:hAnsi="Arial"/>
          <w:sz w:val="16"/>
          <w:szCs w:val="16"/>
          <w:color w:val="auto"/>
        </w:rPr>
        <w:t>The CCPA imposes obligations on businesses to which it applies. These obligations include, but are not limited to, providing specific disclosures in privacy notices and affording California residents certain rights related to their personal information. The CCPA allows for statutory fines for noncompliance. In addition, the California Privacy Rights Act of 2020 (“CPRA”), which became enforceable as of January 1, 2023, expanded the CCPA protections for consumers and employees. Similar laws have been enacted or been proposed at the state and federal levels. For example, Connecticut, Utah, Virginia and Colorado have each passed laws similar to but different from the CCPA and CPRA that have taken or will take effect in 2023; Florida, Montana, and Texas have enacted similar legislation that becomes effective in 2024; Tennessee and Iowa have passed such a law that will take effect in 2025; and Indiana has enacted similar legislation that will become effective in 2026. If we become subject to new privacy, data protection and data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spacing w:after="0" w:line="172" w:lineRule="exact"/>
        <w:rPr>
          <w:sz w:val="20"/>
          <w:szCs w:val="20"/>
          <w:color w:val="auto"/>
        </w:rPr>
      </w:pPr>
    </w:p>
    <w:p>
      <w:pPr>
        <w:ind w:firstLine="464"/>
        <w:spacing w:after="0" w:line="273" w:lineRule="auto"/>
        <w:rPr>
          <w:sz w:val="20"/>
          <w:szCs w:val="20"/>
          <w:color w:val="auto"/>
        </w:rPr>
      </w:pPr>
      <w:r>
        <w:rPr>
          <w:rFonts w:ascii="Arial" w:cs="Arial" w:eastAsia="Arial" w:hAnsi="Arial"/>
          <w:sz w:val="16"/>
          <w:szCs w:val="16"/>
          <w:color w:val="auto"/>
        </w:rPr>
        <w:t>Outside the United States, an increasing number of laws, regulations, and industry standards apply to privacy, data protection and data security. For example, the GDPR, the United Kingdom’s Data Protection Act 2018 (“UK GDPR”) and the Swiss Federal Act on Data Protection impose strict requirements for processing the personal information of individuals protected by the legislation, whether their data is processed within or outside the European Economic Area (“EEA”), the United Kingdom (“UK”) and Switzerland, respectively (such jurisdictions, collectively, “Europe”). For example, the GDPR imposes significant requirements regarding the processing of individuals’ personal information, including in relation to transparency, lawfulness of processing, individuals’ privacy rights, compliant contracting, data minimization, data breach notification, data re-usage, data retention, security of processing and international data transfers. Under the GDPR and UK GDPR, government regulators may impose temporary or definitive bans on data processing or data transfers, require a company to delete data, as well as impose significant fines, potentially ranging up to 20 million Euros under the GDPR, 17.5 million GBP under the UK GDPR, or 4% of a company’s worldwide revenue, whichever is higher. Further, individuals may initiate compensation claims or litigation related to our processing of their personal information. Other privacy laws in Europe impose strict requirements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63" w:name="page64"/>
    <w:bookmarkEnd w:id="63"/>
    <w:p>
      <w:pPr>
        <w:ind w:right="60"/>
        <w:spacing w:after="0" w:line="302" w:lineRule="auto"/>
        <w:rPr>
          <w:sz w:val="20"/>
          <w:szCs w:val="20"/>
          <w:color w:val="auto"/>
        </w:rPr>
      </w:pPr>
      <w:r>
        <w:rPr>
          <w:rFonts w:ascii="Arial" w:cs="Arial" w:eastAsia="Arial" w:hAnsi="Arial"/>
          <w:sz w:val="15"/>
          <w:szCs w:val="15"/>
          <w:color w:val="auto"/>
        </w:rPr>
        <w:t>around marketing communications and the deployment of cookies on users’ devices. As another example, Brazil’s General Data Protection Law (Lei Geral de Proteção de Dados Pessoais, or “LGPD”) (Law No. 13,709/2018) may apply to our operations. The LGPD broadly regulates processing of personal information of individuals in Brazil and imposes compliance obligations and penalties comparable to those of the GDPR. Additionally, we expect an increase in the regulation of the use of AI and ML in products and services. For example, in Europe, the proposed AI Act, if adopted, could impose onerous obligations related to the development, placing on the market and use of AI-related systems. We may have to change our business practices to comply with such obligations.</w:t>
      </w:r>
    </w:p>
    <w:p>
      <w:pPr>
        <w:spacing w:after="0" w:line="152" w:lineRule="exact"/>
        <w:rPr>
          <w:sz w:val="20"/>
          <w:szCs w:val="20"/>
          <w:color w:val="auto"/>
        </w:rPr>
      </w:pPr>
    </w:p>
    <w:p>
      <w:pPr>
        <w:ind w:right="80" w:firstLine="464"/>
        <w:spacing w:after="0" w:line="258" w:lineRule="auto"/>
        <w:rPr>
          <w:sz w:val="20"/>
          <w:szCs w:val="20"/>
          <w:color w:val="auto"/>
        </w:rPr>
      </w:pPr>
      <w:r>
        <w:rPr>
          <w:rFonts w:ascii="Arial" w:cs="Arial" w:eastAsia="Arial" w:hAnsi="Arial"/>
          <w:sz w:val="17"/>
          <w:szCs w:val="17"/>
          <w:color w:val="auto"/>
        </w:rPr>
        <w:t>Further, the interpretation and application of new domestic and foreign laws and regulations in many cases is uncertain, and our legal and regulatory obligations in such jurisdictions are subject to frequent and unexpected changes, including the potential for various regulatory or other governmental bodies to enact new or additional laws or regulations, to issue rulings that invalidate prior laws or regulations, or to increase penalties significantly. For example, the EU’s Digital Services Act and Digital Markets Act recently entered into force, whereas proposed laws in Europe include the Artificial Intelligence Act and the Data Act. Also, the UK Parliament is currently debating the Data Protection and Digital Information (No. 2) Bill which, if enacted, will introduce certain changes to the UK’s data protection laws.</w:t>
      </w:r>
    </w:p>
    <w:p>
      <w:pPr>
        <w:spacing w:after="0" w:line="183" w:lineRule="exact"/>
        <w:rPr>
          <w:sz w:val="20"/>
          <w:szCs w:val="20"/>
          <w:color w:val="auto"/>
        </w:rPr>
      </w:pPr>
    </w:p>
    <w:p>
      <w:pPr>
        <w:ind w:right="100" w:firstLine="464"/>
        <w:spacing w:after="0" w:line="262" w:lineRule="auto"/>
        <w:rPr>
          <w:sz w:val="20"/>
          <w:szCs w:val="20"/>
          <w:color w:val="auto"/>
        </w:rPr>
      </w:pPr>
      <w:r>
        <w:rPr>
          <w:rFonts w:ascii="Arial" w:cs="Arial" w:eastAsia="Arial" w:hAnsi="Arial"/>
          <w:sz w:val="17"/>
          <w:szCs w:val="17"/>
          <w:color w:val="auto"/>
        </w:rPr>
        <w:t>Similarly, with our registration as an interconnected VoIP provider for certain products with the Federal Communications Commission (“FCC”), we also must comply with privacy laws associated with customer proprietary network information rules in the United States. If we fail or are perceived to have failed to maintain compliance with these requirements, we could be subject to regulatory audits, civil and criminal penalties, fines and breach of contract claims, as well as reputational damage, which could impact the willingness of customers to do business with us.</w:t>
      </w:r>
    </w:p>
    <w:p>
      <w:pPr>
        <w:spacing w:after="0" w:line="178" w:lineRule="exact"/>
        <w:rPr>
          <w:sz w:val="20"/>
          <w:szCs w:val="20"/>
          <w:color w:val="auto"/>
        </w:rPr>
      </w:pPr>
    </w:p>
    <w:p>
      <w:pPr>
        <w:ind w:right="40" w:firstLine="464"/>
        <w:spacing w:after="0" w:line="258" w:lineRule="auto"/>
        <w:rPr>
          <w:sz w:val="20"/>
          <w:szCs w:val="20"/>
          <w:color w:val="auto"/>
        </w:rPr>
      </w:pPr>
      <w:r>
        <w:rPr>
          <w:rFonts w:ascii="Arial" w:cs="Arial" w:eastAsia="Arial" w:hAnsi="Arial"/>
          <w:sz w:val="17"/>
          <w:szCs w:val="17"/>
          <w:color w:val="auto"/>
        </w:rPr>
        <w:t>In addition to our legal obligations, our contractual obligations relating to privacy, data protection and data security have become increasingly stringent due to changes in laws and regulations and the expansion of our offerings. Certain privacy, data protection and data security laws, such as the GDPR and the CCPA, require our customers to impose specific contractual restrictions on their service providers. In addition, we support customer workloads that involve the processing of protected health information and are required to sign business associate agreements with customers that subject us to requirements under the federal Health Insurance Portability and Accountability Act of 1996, as amended by the Health Information Technology for Economic and Clinical Health Act of 2009, as well as state laws that govern health information.</w:t>
      </w:r>
    </w:p>
    <w:p>
      <w:pPr>
        <w:spacing w:after="0" w:line="183" w:lineRule="exact"/>
        <w:rPr>
          <w:sz w:val="20"/>
          <w:szCs w:val="20"/>
          <w:color w:val="auto"/>
        </w:rPr>
      </w:pPr>
    </w:p>
    <w:p>
      <w:pPr>
        <w:jc w:val="both"/>
        <w:ind w:right="20" w:firstLine="464"/>
        <w:spacing w:after="0" w:line="290" w:lineRule="auto"/>
        <w:rPr>
          <w:sz w:val="20"/>
          <w:szCs w:val="20"/>
          <w:color w:val="auto"/>
        </w:rPr>
      </w:pPr>
      <w:r>
        <w:rPr>
          <w:rFonts w:ascii="Arial" w:cs="Arial" w:eastAsia="Arial" w:hAnsi="Arial"/>
          <w:sz w:val="16"/>
          <w:szCs w:val="16"/>
          <w:color w:val="auto"/>
        </w:rPr>
        <w:t>Our actual or perceived failure to comply with laws, regulations, contractual commitments, or other actual or asserted obligations, including certain industry standards, regarding privacy, data protection and data security could lead to costly legal action, adverse publicity, significant liability, inability to process data, and decreased demand for our services, which could adversely affect our business, results of operations and financial condition.</w:t>
      </w:r>
    </w:p>
    <w:p>
      <w:pPr>
        <w:spacing w:after="0" w:line="158" w:lineRule="exact"/>
        <w:rPr>
          <w:sz w:val="20"/>
          <w:szCs w:val="20"/>
          <w:color w:val="auto"/>
        </w:rPr>
      </w:pPr>
    </w:p>
    <w:p>
      <w:pPr>
        <w:ind w:firstLine="464"/>
        <w:spacing w:after="0" w:line="290" w:lineRule="auto"/>
        <w:rPr>
          <w:sz w:val="20"/>
          <w:szCs w:val="20"/>
          <w:color w:val="auto"/>
        </w:rPr>
      </w:pPr>
      <w:r>
        <w:rPr>
          <w:rFonts w:ascii="Arial" w:cs="Arial" w:eastAsia="Arial" w:hAnsi="Arial"/>
          <w:sz w:val="15"/>
          <w:szCs w:val="15"/>
          <w:color w:val="auto"/>
        </w:rPr>
        <w:t>As a cumulative example of these risks, because our primary data processing facilities are in the United States, we have experienced hesitancy, reluctance, or refusal by European or multinational customers to continue to use our services due to the potential risks posed as a result of the Court of Justice’s July 2020 ruling in the “Schrems II” case, as well as related guidance from regulators and the recent enforcement action against Meta by the Irish Data Protection Commission. For example, absent appropriate safeguards or other circumstances, the GDPR and laws in Switzerland and the UK generally restrict the transfer of personal information to countries outside of the EEA, Switzerland and the UK such as the United States, that the European Commission does not consider as providing an adequate level of privacy, data protection and data security. On March 25, 2022, the United States and EU announced an “agreement in principle” to replace the EU-U.S. Privacy Shield transfer framework with the Trans-Atlantic Data Privacy Framework. Progress has since been made towards the establishment of this as a valid transfer mechanism with President Biden’s issuance of the Executive Order Enhancing Safeguards for United States Signals Intelligence Activity in October 2022. Additionally, on December 13, 2022, the European Commission published a draft adequacy decision on the level of protection of personal data under the EU-U.S. Data Privacy Framework and on February 28, 2023, the European Data Protection Board adopted its opinion on the draft adequacy decision on the level of protection of personal data under the EU-U.S. Data Privacy Framework, but this framework has not yet been established. If we cannot implement and maintain a valid mechanism for cross-border data transfers, we and our customers may face increased exposure to regulatory actions, substantial fines, and injunctions against processing or transferring personal information from Europe or elsewhere. The inability to import personal information to the United States could significantly and negatively impact our business operations; limit our ability to collaborate with parties that are subject to data privacy and security laws; or require us to increase our personal information processing capabilities in Europe and/or elsewhere at significant expense. In addition, outside of Europe, other jurisdictions have proposed and enacted laws relating to cross-border data transfer or requiring personal information, or certain subcategories of personal information, to be stored in the jurisdiction of origin. If we are unable to increase our data processing capabilities and storage in Europe and other countries to limit or eliminate the need for data transfers out of Europe and other applicable countries quickly enough, and other valid solutions for personal information transfers to the United States or other countries are not available or are difficult to implement in the interim, we will likely face</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64" w:name="page65"/>
    <w:bookmarkEnd w:id="64"/>
    <w:p>
      <w:pPr>
        <w:ind w:right="780"/>
        <w:spacing w:after="0" w:line="279" w:lineRule="auto"/>
        <w:rPr>
          <w:sz w:val="20"/>
          <w:szCs w:val="20"/>
          <w:color w:val="auto"/>
        </w:rPr>
      </w:pPr>
      <w:r>
        <w:rPr>
          <w:rFonts w:ascii="Arial" w:cs="Arial" w:eastAsia="Arial" w:hAnsi="Arial"/>
          <w:sz w:val="17"/>
          <w:szCs w:val="17"/>
          <w:color w:val="auto"/>
        </w:rPr>
        <w:t>continuing reluctance from European and multinational customers to use our services and increased exposure to regulatory actions, substantial fines and injunctions against processing or transferring personal information across borders.</w:t>
      </w:r>
    </w:p>
    <w:p>
      <w:pPr>
        <w:spacing w:after="0" w:line="164" w:lineRule="exact"/>
        <w:rPr>
          <w:sz w:val="20"/>
          <w:szCs w:val="20"/>
          <w:color w:val="auto"/>
        </w:rPr>
      </w:pPr>
    </w:p>
    <w:p>
      <w:pPr>
        <w:ind w:right="80" w:firstLine="464"/>
        <w:spacing w:after="0" w:line="276" w:lineRule="auto"/>
        <w:rPr>
          <w:sz w:val="20"/>
          <w:szCs w:val="20"/>
          <w:color w:val="auto"/>
        </w:rPr>
      </w:pPr>
      <w:r>
        <w:rPr>
          <w:rFonts w:ascii="Arial" w:cs="Arial" w:eastAsia="Arial" w:hAnsi="Arial"/>
          <w:sz w:val="16"/>
          <w:szCs w:val="16"/>
          <w:color w:val="auto"/>
        </w:rPr>
        <w:t>Evolving laws, regulations, and other actual and asserted obligations relating to privacy, data protection, and data security, as well as any new or evolving obligations relating to the use of AI and ML technologies, could reduce demand for our platform, increase our costs, impair our ability to grow our business, or restrict our ability to store and process data or, in some cases, impact our ability to offer our service in some locations and may subject us to liability. Further, in view of new or modified federal, state or foreign laws and regulations, industry standards, contractual obligations and other actual and asserted obligations, or any changes in their interpretation, we may find it necessary or desirable to fundamentally change our business activities and practices or to expend significant resources to modify our practices and platform and otherwise adapt to these changes. We may be unable to make such changes and modifications in a commercially reasonable manner or at all, and our ability to develop new products and features could be limited.</w:t>
      </w:r>
    </w:p>
    <w:p>
      <w:pPr>
        <w:spacing w:after="0" w:line="169" w:lineRule="exact"/>
        <w:rPr>
          <w:sz w:val="20"/>
          <w:szCs w:val="20"/>
          <w:color w:val="auto"/>
        </w:rPr>
      </w:pPr>
    </w:p>
    <w:p>
      <w:pPr>
        <w:ind w:right="320" w:firstLine="464"/>
        <w:spacing w:after="0" w:line="279" w:lineRule="auto"/>
        <w:rPr>
          <w:sz w:val="20"/>
          <w:szCs w:val="20"/>
          <w:color w:val="auto"/>
        </w:rPr>
      </w:pPr>
      <w:r>
        <w:rPr>
          <w:rFonts w:ascii="Arial" w:cs="Arial" w:eastAsia="Arial" w:hAnsi="Arial"/>
          <w:sz w:val="17"/>
          <w:szCs w:val="17"/>
          <w:b w:val="1"/>
          <w:bCs w:val="1"/>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164" w:lineRule="exact"/>
        <w:rPr>
          <w:sz w:val="20"/>
          <w:szCs w:val="20"/>
          <w:color w:val="auto"/>
        </w:rPr>
      </w:pPr>
    </w:p>
    <w:p>
      <w:pPr>
        <w:ind w:firstLine="464"/>
        <w:spacing w:after="0" w:line="273" w:lineRule="auto"/>
        <w:rPr>
          <w:sz w:val="20"/>
          <w:szCs w:val="20"/>
          <w:color w:val="auto"/>
        </w:rPr>
      </w:pPr>
      <w:r>
        <w:rPr>
          <w:rFonts w:ascii="Arial" w:cs="Arial" w:eastAsia="Arial" w:hAnsi="Arial"/>
          <w:sz w:val="16"/>
          <w:szCs w:val="16"/>
          <w:color w:val="auto"/>
        </w:rPr>
        <w:t>Our success depends, in part, on our ability to protect our brand and the proprietary methods and technologies that we develop under patent and other intellectual property laws. We rely on a combination of patents, copyrights, trademarks, service marks, trade secret laws and other intellectual property laws, contractual provisions, and internal processes, procedures, and controls in an effort to establish, maintain, enforce, and protect our intellectual property and proprietary rights. However, the steps we take to protect our intellectual property may be inadequate. While we have been issued patents in the United States and other countries and have additional patent applications pending, we may be unable to obtain patent protection for the technology covered in our patent applications. In addition, any patents issued to us in the future may not provide us with competitive advantages or may be successfully challenged by third parties. Further, the laws of some countries do not protect intellectual property or proprietary rights to the same extent as the laws of the United States, and mechanisms for enforcement of such rights in some foreign countries may be inadequate. To the extent we expand our international activities, our exposure to unauthorized copying and use of our products and proprietary information may increase. Accordingly, despite our efforts, we may be unable to prevent third parties from infringing upon or misappropriating our technology and intellectual property.</w:t>
      </w:r>
    </w:p>
    <w:p>
      <w:pPr>
        <w:spacing w:after="0" w:line="176" w:lineRule="exact"/>
        <w:rPr>
          <w:sz w:val="20"/>
          <w:szCs w:val="20"/>
          <w:color w:val="auto"/>
        </w:rPr>
      </w:pPr>
    </w:p>
    <w:p>
      <w:pPr>
        <w:ind w:right="120" w:firstLine="464"/>
        <w:spacing w:after="0" w:line="258" w:lineRule="auto"/>
        <w:rPr>
          <w:sz w:val="20"/>
          <w:szCs w:val="20"/>
          <w:color w:val="auto"/>
        </w:rPr>
      </w:pPr>
      <w:r>
        <w:rPr>
          <w:rFonts w:ascii="Arial" w:cs="Arial" w:eastAsia="Arial" w:hAnsi="Arial"/>
          <w:sz w:val="17"/>
          <w:szCs w:val="17"/>
          <w:color w:val="auto"/>
        </w:rPr>
        <w:t>We also rely, in part, on contractual confidentiality obligations we impose on our business partners, employees, consultants, advisors, customers and others in our efforts to protect our proprietary technology, processes and methods. These obligations may not effectively prevent unauthorized disclosure or use of our confidential information, and it may be possible for unauthorized parties to copy or access our software or other proprietary technology or information, or to develop similar products independently without us having an adequate remedy for unauthorized use or disclosure of our confidential information. In addition, others may independently discover our trade secrets and proprietary information, and in these cases, we may not be able to assert any trade secret rights against those parties.</w:t>
      </w:r>
    </w:p>
    <w:p>
      <w:pPr>
        <w:spacing w:after="0" w:line="183" w:lineRule="exact"/>
        <w:rPr>
          <w:sz w:val="20"/>
          <w:szCs w:val="20"/>
          <w:color w:val="auto"/>
        </w:rPr>
      </w:pPr>
    </w:p>
    <w:p>
      <w:pPr>
        <w:ind w:right="140" w:firstLine="464"/>
        <w:spacing w:after="0" w:line="302" w:lineRule="auto"/>
        <w:rPr>
          <w:sz w:val="20"/>
          <w:szCs w:val="20"/>
          <w:color w:val="auto"/>
        </w:rPr>
      </w:pPr>
      <w:r>
        <w:rPr>
          <w:rFonts w:ascii="Arial" w:cs="Arial" w:eastAsia="Arial" w:hAnsi="Arial"/>
          <w:sz w:val="15"/>
          <w:szCs w:val="15"/>
          <w:color w:val="auto"/>
        </w:rPr>
        <w:t>We may be required to spend significant resources to monitor, enforce, maintain, and protect our intellectual property and proprietary rights. Litigation brought to protect and enforce our intellectual property or proprietary rights could be costly, time-consuming and distracting to management, result in a diversion of significant resources, or the narrowing or invalidation of portions of our intellectual property. Our efforts to enforce our intellectual property or proprietary rights may be met with defenses, counterclaims and countersuits attacking the validity and enforceability of such rights. Our failure to meaningfully protect our intellectual property and proprietary rights, could have an adverse effect on our business, results of operations and financial condition.</w:t>
      </w:r>
    </w:p>
    <w:p>
      <w:pPr>
        <w:spacing w:after="0" w:line="152" w:lineRule="exact"/>
        <w:rPr>
          <w:sz w:val="20"/>
          <w:szCs w:val="20"/>
          <w:color w:val="auto"/>
        </w:rPr>
      </w:pPr>
    </w:p>
    <w:p>
      <w:pPr>
        <w:ind w:right="400" w:firstLine="464"/>
        <w:spacing w:after="0" w:line="279" w:lineRule="auto"/>
        <w:rPr>
          <w:sz w:val="20"/>
          <w:szCs w:val="20"/>
          <w:color w:val="auto"/>
        </w:rPr>
      </w:pPr>
      <w:r>
        <w:rPr>
          <w:rFonts w:ascii="Arial" w:cs="Arial" w:eastAsia="Arial" w:hAnsi="Arial"/>
          <w:sz w:val="17"/>
          <w:szCs w:val="17"/>
          <w:color w:val="auto"/>
        </w:rPr>
        <w:t>We have been sued and may, in the future, be sued by third parties for alleged infringement of their intellectual or other proprietary rights, which could adversely affect our business, results of operations and financial condition.</w:t>
      </w:r>
    </w:p>
    <w:p>
      <w:pPr>
        <w:spacing w:after="0" w:line="164" w:lineRule="exact"/>
        <w:rPr>
          <w:sz w:val="20"/>
          <w:szCs w:val="20"/>
          <w:color w:val="auto"/>
        </w:rPr>
      </w:pPr>
    </w:p>
    <w:p>
      <w:pPr>
        <w:ind w:right="20" w:firstLine="464"/>
        <w:spacing w:after="0" w:line="275" w:lineRule="auto"/>
        <w:rPr>
          <w:sz w:val="20"/>
          <w:szCs w:val="20"/>
          <w:color w:val="auto"/>
        </w:rPr>
      </w:pPr>
      <w:r>
        <w:rPr>
          <w:rFonts w:ascii="Arial" w:cs="Arial" w:eastAsia="Arial" w:hAnsi="Arial"/>
          <w:sz w:val="16"/>
          <w:szCs w:val="16"/>
          <w:color w:val="auto"/>
        </w:rPr>
        <w:t>There is considerable patent and other intellectual property development activity in our industry. We may also introduce or acquire new products or technologies, including in areas where we historically have not participated, which could increase our exposure to intellectual property infringement claims brought by third parties. Our future success depends, in part, on not infringing the intellectual property or proprietary rights of others and we may be unaware of such rights that may cover some or all of our technology or intellectual property. We have from time to time been subject to claims that our products or platform and underlying technology are infringing upon third-party intellectual property or proprietary rights. We may be subject to such claims in the future and we may be found to be infringing upon such rights. Any claims or litigation could cause us to incur significant expenses (including settlement payments and costs associated with litigation) and, if successfully asserted against us, could require that we pay substantial damages or ongoing royalty payments, prevent us from offering our products, or require that we comply with other unfavorable terms.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65" w:name="page66"/>
    <w:bookmarkEnd w:id="65"/>
    <w:p>
      <w:pPr>
        <w:ind w:right="120" w:firstLine="464"/>
        <w:spacing w:after="0" w:line="318" w:lineRule="auto"/>
        <w:rPr>
          <w:sz w:val="20"/>
          <w:szCs w:val="20"/>
          <w:color w:val="auto"/>
        </w:rPr>
      </w:pPr>
      <w:r>
        <w:rPr>
          <w:rFonts w:ascii="Arial" w:cs="Arial" w:eastAsia="Arial" w:hAnsi="Arial"/>
          <w:sz w:val="15"/>
          <w:szCs w:val="15"/>
          <w:color w:val="auto"/>
        </w:rPr>
        <w:t>Additionally, our agreements with customers and other third parties typically include indemnification or other provisions under which we agree to indemnify or are otherwise liable to them for losses suffered or incurred by them as a result of claims of intellectual property infringement. Although we typically limit our liability with respect to such obligations through such agreements, we may still incur substantial liability related to our indemnification obligations.</w:t>
      </w:r>
    </w:p>
    <w:p>
      <w:pPr>
        <w:spacing w:after="0" w:line="139" w:lineRule="exact"/>
        <w:rPr>
          <w:sz w:val="20"/>
          <w:szCs w:val="20"/>
          <w:color w:val="auto"/>
        </w:rPr>
      </w:pPr>
    </w:p>
    <w:p>
      <w:pPr>
        <w:ind w:right="120" w:firstLine="464"/>
        <w:spacing w:after="0" w:line="259" w:lineRule="auto"/>
        <w:rPr>
          <w:sz w:val="20"/>
          <w:szCs w:val="20"/>
          <w:color w:val="auto"/>
        </w:rPr>
      </w:pPr>
      <w:r>
        <w:rPr>
          <w:rFonts w:ascii="Arial" w:cs="Arial" w:eastAsia="Arial" w:hAnsi="Arial"/>
          <w:sz w:val="17"/>
          <w:szCs w:val="17"/>
          <w:color w:val="auto"/>
        </w:rPr>
        <w:t>Regardless of the merits or ultimate outcome of any claims of infringement, misappropriation, or violation of intellectual or other proprietary rights that have been or may be brought against us or that we may bring against others, these types of claims, disputes, and lawsuits are time-consuming and expensive to resolve, divert management’s time and attention, and could harm our reputation. Litigation is inherently unpredictable and we cannot predict the timing, nature, controversy or outcome of disputes brought against us or assure you that the results of any of these actions will not have an adverse effect on our business, results of operations or financial condition.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use of open source software could negatively affect our ability to sell our products and subject us to possible litigation.</w:t>
      </w:r>
    </w:p>
    <w:p>
      <w:pPr>
        <w:spacing w:after="0" w:line="217" w:lineRule="exact"/>
        <w:rPr>
          <w:sz w:val="20"/>
          <w:szCs w:val="20"/>
          <w:color w:val="auto"/>
        </w:rPr>
      </w:pPr>
    </w:p>
    <w:p>
      <w:pPr>
        <w:ind w:firstLine="464"/>
        <w:spacing w:after="0" w:line="291" w:lineRule="auto"/>
        <w:rPr>
          <w:sz w:val="20"/>
          <w:szCs w:val="20"/>
          <w:color w:val="auto"/>
        </w:rPr>
      </w:pPr>
      <w:r>
        <w:rPr>
          <w:rFonts w:ascii="Arial" w:cs="Arial" w:eastAsia="Arial" w:hAnsi="Arial"/>
          <w:sz w:val="15"/>
          <w:szCs w:val="15"/>
          <w:color w:val="auto"/>
        </w:rPr>
        <w:t>Our products and platform incorporate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the source code for any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or have not, complied with the terms and conditions of the license for such open source software, we could be required to incur significant legal expenses defending against such allegations and could be subject to significant damages, enjoined from generating revenue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damage our reputation, give rise to increased scrutiny regarding our use of open source software, result in customer dissatisfaction and may adversely affect our business, results of operations and financial condition.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Legal and Regulatory Matters</w:t>
      </w:r>
    </w:p>
    <w:p>
      <w:pPr>
        <w:spacing w:after="0" w:line="223" w:lineRule="exact"/>
        <w:rPr>
          <w:sz w:val="20"/>
          <w:szCs w:val="20"/>
          <w:color w:val="auto"/>
        </w:rPr>
      </w:pPr>
    </w:p>
    <w:p>
      <w:pPr>
        <w:ind w:right="280" w:firstLine="464"/>
        <w:spacing w:after="0" w:line="279" w:lineRule="auto"/>
        <w:rPr>
          <w:sz w:val="20"/>
          <w:szCs w:val="20"/>
          <w:color w:val="auto"/>
        </w:rPr>
      </w:pPr>
      <w:r>
        <w:rPr>
          <w:rFonts w:ascii="Arial" w:cs="Arial" w:eastAsia="Arial" w:hAnsi="Arial"/>
          <w:sz w:val="17"/>
          <w:szCs w:val="17"/>
          <w:b w:val="1"/>
          <w:bCs w:val="1"/>
          <w:i w:val="1"/>
          <w:iCs w:val="1"/>
          <w:color w:val="auto"/>
        </w:rPr>
        <w:t>Certain of our products are subject to telecommunications-related regulations, and future legislative or regulatory actions could adversely affect our business, results of operations and financial condition.</w:t>
      </w:r>
    </w:p>
    <w:p>
      <w:pPr>
        <w:spacing w:after="0" w:line="164" w:lineRule="exact"/>
        <w:rPr>
          <w:sz w:val="20"/>
          <w:szCs w:val="20"/>
          <w:color w:val="auto"/>
        </w:rPr>
      </w:pPr>
    </w:p>
    <w:p>
      <w:pPr>
        <w:ind w:right="40" w:firstLine="464"/>
        <w:spacing w:after="0" w:line="272" w:lineRule="auto"/>
        <w:rPr>
          <w:sz w:val="20"/>
          <w:szCs w:val="20"/>
          <w:color w:val="auto"/>
        </w:rPr>
      </w:pPr>
      <w:r>
        <w:rPr>
          <w:rFonts w:ascii="Arial" w:cs="Arial" w:eastAsia="Arial" w:hAnsi="Arial"/>
          <w:sz w:val="16"/>
          <w:szCs w:val="16"/>
          <w:color w:val="auto"/>
        </w:rPr>
        <w:t>As a provider of communications products, we are subject to existing or potential FCC regulations relating to privacy, telecommunications, consumer protection and other requirements. In addition, the extension of telecommunications regulations to our non-interconnected VoIP services could result in additional federal and state regulatory obligations and taxes. We are also in discussions with certain jurisdictions regarding potential sales and other taxes for prior periods that we may owe. In the event any of these jurisdictions disagree with management’s assumptions and analysis, the assessment of our tax exposure could differ materially from management's current estimates, which may increase our costs of doing business and negatively affect the prices our customers pay for our services. If we do not comply with FCC rules and regulations, we could be subject to FCC enforcement actions, fines, loss of licenses and possibly restrictions on our ability to operate or offer certain of our products. For example, on January 25, 2023, we received a “cease-and-desist” letter from the FCC related to reported fraudulent traffic on our messaging platform. We subsequently removed the identified traffic. In response to written questions from the FCC, we provided to the agency a follow-up letter on February 10, 2023 detailing our fraud mitigation practices and various improvements being carried out to reduce future risks. There has been no further communication from the agency on this matter. Any enforcement action by the FCC, which may be a public process, would hurt our reputation in the industry, could erode customer trust, possibly impair our ability to sell our VoIP and other telecommunications products to customers and could adversely affect our business, results of operations and financial condition.</w:t>
      </w:r>
    </w:p>
    <w:p>
      <w:pPr>
        <w:spacing w:after="0" w:line="179" w:lineRule="exact"/>
        <w:rPr>
          <w:sz w:val="20"/>
          <w:szCs w:val="20"/>
          <w:color w:val="auto"/>
        </w:rPr>
      </w:pPr>
    </w:p>
    <w:p>
      <w:pPr>
        <w:ind w:right="40" w:firstLine="464"/>
        <w:spacing w:after="0" w:line="279" w:lineRule="auto"/>
        <w:rPr>
          <w:sz w:val="20"/>
          <w:szCs w:val="20"/>
          <w:color w:val="auto"/>
        </w:rPr>
      </w:pPr>
      <w:r>
        <w:rPr>
          <w:rFonts w:ascii="Arial" w:cs="Arial" w:eastAsia="Arial" w:hAnsi="Arial"/>
          <w:sz w:val="17"/>
          <w:szCs w:val="17"/>
          <w:color w:val="auto"/>
        </w:rPr>
        <w:t>Certain of our products are subject to a number of FCC regulations and laws that are administered by the FCC. Among others, we must comply (in whole or in part) with:</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66" w:name="page67"/>
    <w:bookmarkEnd w:id="66"/>
    <w:p>
      <w:pPr>
        <w:ind w:left="940" w:hanging="318"/>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Communications Act of 1934, as amended, which regulates communications services and the provision of such services;</w:t>
      </w:r>
    </w:p>
    <w:p>
      <w:pPr>
        <w:spacing w:after="0" w:line="217" w:lineRule="exact"/>
        <w:rPr>
          <w:rFonts w:ascii="Arial" w:cs="Arial" w:eastAsia="Arial" w:hAnsi="Arial"/>
          <w:sz w:val="17"/>
          <w:szCs w:val="17"/>
          <w:color w:val="auto"/>
        </w:rPr>
      </w:pPr>
    </w:p>
    <w:p>
      <w:pPr>
        <w:ind w:left="940" w:hanging="318"/>
        <w:spacing w:after="0" w:line="279" w:lineRule="auto"/>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Telephone Consumer Protection Act, which limits the use of automatic dialing systems for calls and texts, artificial or prerecorded voice messages and fax machines;</w:t>
      </w:r>
    </w:p>
    <w:p>
      <w:pPr>
        <w:spacing w:after="0" w:line="164" w:lineRule="exact"/>
        <w:rPr>
          <w:rFonts w:ascii="Arial" w:cs="Arial" w:eastAsia="Arial" w:hAnsi="Arial"/>
          <w:sz w:val="17"/>
          <w:szCs w:val="17"/>
          <w:color w:val="auto"/>
        </w:rPr>
      </w:pPr>
    </w:p>
    <w:p>
      <w:pPr>
        <w:ind w:left="940" w:right="540" w:hanging="318"/>
        <w:spacing w:after="0" w:line="279" w:lineRule="auto"/>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Communications Assistance for Law Enforcement Act, which requires covered entities to assist law enforcement in undertaking electronic surveillance;</w:t>
      </w:r>
    </w:p>
    <w:p>
      <w:pPr>
        <w:spacing w:after="0" w:line="164" w:lineRule="exact"/>
        <w:rPr>
          <w:rFonts w:ascii="Arial" w:cs="Arial" w:eastAsia="Arial" w:hAnsi="Arial"/>
          <w:sz w:val="17"/>
          <w:szCs w:val="17"/>
          <w:color w:val="auto"/>
        </w:rPr>
      </w:pPr>
    </w:p>
    <w:p>
      <w:pPr>
        <w:ind w:left="940" w:hanging="318"/>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requirements to safeguard the privacy of certain customer information;</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payment of annual FCC regulatory fees and contributions to FCC-administered funds based on our interstate and international revenues; and</w:t>
      </w:r>
    </w:p>
    <w:p>
      <w:pPr>
        <w:spacing w:after="0" w:line="228" w:lineRule="exact"/>
        <w:rPr>
          <w:rFonts w:ascii="Arial" w:cs="Arial" w:eastAsia="Arial" w:hAnsi="Arial"/>
          <w:sz w:val="16"/>
          <w:szCs w:val="16"/>
          <w:color w:val="auto"/>
        </w:rPr>
      </w:pPr>
    </w:p>
    <w:p>
      <w:pPr>
        <w:ind w:left="940" w:hanging="318"/>
        <w:spacing w:after="0"/>
        <w:tabs>
          <w:tab w:leader="none" w:pos="9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rules pertaining to access to our services by people with disabilities and contributions to the Telecommunications Relay Services fund.</w:t>
      </w:r>
    </w:p>
    <w:p>
      <w:pPr>
        <w:spacing w:after="0" w:line="217" w:lineRule="exact"/>
        <w:rPr>
          <w:sz w:val="20"/>
          <w:szCs w:val="20"/>
          <w:color w:val="auto"/>
        </w:rPr>
      </w:pPr>
    </w:p>
    <w:p>
      <w:pPr>
        <w:ind w:right="80" w:firstLine="464"/>
        <w:spacing w:after="0" w:line="266" w:lineRule="auto"/>
        <w:rPr>
          <w:sz w:val="20"/>
          <w:szCs w:val="20"/>
          <w:color w:val="auto"/>
        </w:rPr>
      </w:pPr>
      <w:r>
        <w:rPr>
          <w:rFonts w:ascii="Arial" w:cs="Arial" w:eastAsia="Arial" w:hAnsi="Arial"/>
          <w:sz w:val="17"/>
          <w:szCs w:val="17"/>
          <w:color w:val="auto"/>
        </w:rPr>
        <w:t>In addition, Congress and the FCC are attempting to mitigate the prevalence of robocalls by requiring participation in a technical standard called Signature-based Handling of Asserted Information Using toKENs (“SHAKEN”) and Secure Telephone Identity Revisited (“STIR”) (together, “SHAKEN/STIR”), which allows voice carriers to authenticate caller ID, prohibiting malicious spoofing.</w:t>
      </w:r>
    </w:p>
    <w:p>
      <w:pPr>
        <w:spacing w:after="0" w:line="175" w:lineRule="exact"/>
        <w:rPr>
          <w:sz w:val="20"/>
          <w:szCs w:val="20"/>
          <w:color w:val="auto"/>
        </w:rPr>
      </w:pPr>
    </w:p>
    <w:p>
      <w:pPr>
        <w:ind w:right="120" w:firstLine="464"/>
        <w:spacing w:after="0" w:line="273" w:lineRule="auto"/>
        <w:rPr>
          <w:sz w:val="20"/>
          <w:szCs w:val="20"/>
          <w:color w:val="auto"/>
        </w:rPr>
      </w:pPr>
      <w:r>
        <w:rPr>
          <w:rFonts w:ascii="Arial" w:cs="Arial" w:eastAsia="Arial" w:hAnsi="Arial"/>
          <w:sz w:val="16"/>
          <w:szCs w:val="16"/>
          <w:color w:val="auto"/>
        </w:rPr>
        <w:t>Similarly, 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National Institute of Standards and Technology issued a Secure Software Development Framework (SSDF) on September 30, 2021 and Software Supply Chain Security Guidance (incorporating the SSDF), on February 4, 2022, and on March 7, 2022, the Office of Management and Budget directed federal agencies to incorporate both documents into their software lifecycle and acquisitions practices. The Executive Order also may lead to the development of additional secure software development practices and/or criteria for a consumer software labeling program, the criteria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176" w:lineRule="exact"/>
        <w:rPr>
          <w:sz w:val="20"/>
          <w:szCs w:val="20"/>
          <w:color w:val="auto"/>
        </w:rPr>
      </w:pPr>
    </w:p>
    <w:p>
      <w:pPr>
        <w:jc w:val="both"/>
        <w:ind w:right="100" w:firstLine="464"/>
        <w:spacing w:after="0" w:line="266" w:lineRule="auto"/>
        <w:rPr>
          <w:sz w:val="20"/>
          <w:szCs w:val="20"/>
          <w:color w:val="auto"/>
        </w:rPr>
      </w:pPr>
      <w:r>
        <w:rPr>
          <w:rFonts w:ascii="Arial" w:cs="Arial" w:eastAsia="Arial" w:hAnsi="Arial"/>
          <w:sz w:val="17"/>
          <w:szCs w:val="17"/>
          <w:color w:val="auto"/>
        </w:rPr>
        <w:t>If we do not comply with any current or future rules or regulations that apply to our business, we could be subject to substantial fines and penalties, and we may have to restructure our offerings, exit certain markets or raise the price of our products. In addition, any uncertainty regarding whether particular regulations apply to our business, and how they apply, could increase our costs or limit our ability to grow.</w:t>
      </w:r>
    </w:p>
    <w:p>
      <w:pPr>
        <w:spacing w:after="0" w:line="175" w:lineRule="exact"/>
        <w:rPr>
          <w:sz w:val="20"/>
          <w:szCs w:val="20"/>
          <w:color w:val="auto"/>
        </w:rPr>
      </w:pPr>
    </w:p>
    <w:p>
      <w:pPr>
        <w:ind w:right="140" w:firstLine="464"/>
        <w:spacing w:after="0" w:line="279" w:lineRule="auto"/>
        <w:rPr>
          <w:sz w:val="20"/>
          <w:szCs w:val="20"/>
          <w:color w:val="auto"/>
        </w:rPr>
      </w:pPr>
      <w:r>
        <w:rPr>
          <w:rFonts w:ascii="Arial" w:cs="Arial" w:eastAsia="Arial" w:hAnsi="Arial"/>
          <w:sz w:val="17"/>
          <w:szCs w:val="17"/>
          <w:color w:val="auto"/>
        </w:rPr>
        <w:t>As we continue to expand internationally, we have become subject to telecommunications laws and regulations in the foreign countries where we offer our products. Internationally, we currently offer our products in more than 180 countries and territories.</w:t>
      </w:r>
    </w:p>
    <w:p>
      <w:pPr>
        <w:spacing w:after="0" w:line="164" w:lineRule="exact"/>
        <w:rPr>
          <w:sz w:val="20"/>
          <w:szCs w:val="20"/>
          <w:color w:val="auto"/>
        </w:rPr>
      </w:pPr>
    </w:p>
    <w:p>
      <w:pPr>
        <w:ind w:firstLine="464"/>
        <w:spacing w:after="0" w:line="255" w:lineRule="auto"/>
        <w:rPr>
          <w:sz w:val="20"/>
          <w:szCs w:val="20"/>
          <w:color w:val="auto"/>
        </w:rPr>
      </w:pPr>
      <w:r>
        <w:rPr>
          <w:rFonts w:ascii="Arial" w:cs="Arial" w:eastAsia="Arial" w:hAnsi="Arial"/>
          <w:sz w:val="17"/>
          <w:szCs w:val="17"/>
          <w:color w:val="auto"/>
        </w:rPr>
        <w:t>Our international operations are subject to country-specific governmental regulation and related actions that have increased and will continue to increase our compliance costs or impact our products and platform or prevent us from offering or providing our products in certain countries. Moreover, the regulation of CPaaS companies like us is continuing to evolve internationally and many existing regulations may not fully contemplate the CPaaS business model or how they fit into the communications regulatory framework. As a result, interpretation and enforcement of regulations often involve significant uncertainties. In many countries, including those in the European Union, a number of our products or services are subject to licensing and communications regulatory requirements which increases the level of scrutiny and enforcement by regulators. Future legislative, regulatory or judicial actions impacting CPaaS services could also increase the cost and complexity of compliance and expose us to liability. For example, in some countries, some or all of the services we offer are not considered regulated telecommunications services, while in other countries they are subject to telecommunications regulations, including but not limited to payment into universal service funds, licensing fees, provision of emergency services, provision of information to support emergency services and number portability. Failure to comply with these regulations could result in our Company being issued remedial directions to undertake independent audits and implement effective systems, processes and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color w:val="auto"/>
        </w:rPr>
        <w:t>practices to ensure compliance, significant fines or being prohibited from providing telecommunications services in a jurisdiction.</w:t>
      </w:r>
    </w:p>
    <w:p>
      <w:pPr>
        <w:spacing w:after="0" w:line="217" w:lineRule="exact"/>
        <w:rPr>
          <w:sz w:val="20"/>
          <w:szCs w:val="20"/>
          <w:color w:val="auto"/>
        </w:rPr>
      </w:pPr>
    </w:p>
    <w:p>
      <w:pPr>
        <w:ind w:right="80" w:firstLine="464"/>
        <w:spacing w:after="0" w:line="295" w:lineRule="auto"/>
        <w:rPr>
          <w:sz w:val="20"/>
          <w:szCs w:val="20"/>
          <w:color w:val="auto"/>
        </w:rPr>
      </w:pPr>
      <w:r>
        <w:rPr>
          <w:rFonts w:ascii="Arial" w:cs="Arial" w:eastAsia="Arial" w:hAnsi="Arial"/>
          <w:sz w:val="15"/>
          <w:szCs w:val="15"/>
          <w:color w:val="auto"/>
        </w:rPr>
        <w:t>Moreover, certain of our products may be used by customers located in countries where voice and other forms of Internet Protocol (“IP”) communications may be illegal or require special licensing or in countries on a U.S. embargo list. Even where our products are reportedly illegal or become illegal or where users are located in an embargoed country, users in those countries may be able to continue to use our products in those countries notwithstanding the illegality or embargo. We may be subject to penalties or governmental action if consumers continue to use our products in countries where it is illegal to do so or if we use a local partner to provide services in a country and the local partner does not comply with applicable governmental regulations. Any such penalties or governmental action may be costly and may harm our business and damage our brand and reputation. We may be required to incur additional expenses to meet applicable international regulatory requirements or be required to raise the prices of services, or restructure or discontinue those services if required by law or if we cannot or will not meet those requirements. Any of the foregoing could adversely affect our business, results of operations and financial condition.</w:t>
      </w:r>
    </w:p>
    <w:p>
      <w:pPr>
        <w:spacing w:after="0" w:line="160" w:lineRule="exact"/>
        <w:rPr>
          <w:sz w:val="20"/>
          <w:szCs w:val="20"/>
          <w:color w:val="auto"/>
        </w:rPr>
      </w:pPr>
    </w:p>
    <w:p>
      <w:pPr>
        <w:ind w:right="80" w:firstLine="464"/>
        <w:spacing w:after="0" w:line="279" w:lineRule="auto"/>
        <w:rPr>
          <w:sz w:val="20"/>
          <w:szCs w:val="20"/>
          <w:color w:val="auto"/>
        </w:rPr>
      </w:pPr>
      <w:r>
        <w:rPr>
          <w:rFonts w:ascii="Arial" w:cs="Arial" w:eastAsia="Arial" w:hAnsi="Arial"/>
          <w:sz w:val="17"/>
          <w:szCs w:val="17"/>
          <w:b w:val="1"/>
          <w:bCs w:val="1"/>
          <w:i w:val="1"/>
          <w:iCs w:val="1"/>
          <w:color w:val="auto"/>
        </w:rPr>
        <w:t>If we are unable to obtain or retain geographical, mobile, regional, local or toll-free numbers, or to effectively process requests to port such numbers in a timely manner due to industry regulations, our business and results of operations may be adversely affected.</w:t>
      </w:r>
    </w:p>
    <w:p>
      <w:pPr>
        <w:spacing w:after="0" w:line="164" w:lineRule="exact"/>
        <w:rPr>
          <w:sz w:val="20"/>
          <w:szCs w:val="20"/>
          <w:color w:val="auto"/>
        </w:rPr>
      </w:pPr>
    </w:p>
    <w:p>
      <w:pPr>
        <w:ind w:firstLine="464"/>
        <w:spacing w:after="0" w:line="277" w:lineRule="auto"/>
        <w:rPr>
          <w:sz w:val="20"/>
          <w:szCs w:val="20"/>
          <w:color w:val="auto"/>
        </w:rPr>
      </w:pPr>
      <w:r>
        <w:rPr>
          <w:rFonts w:ascii="Arial" w:cs="Arial" w:eastAsia="Arial" w:hAnsi="Arial"/>
          <w:sz w:val="16"/>
          <w:szCs w:val="16"/>
          <w:color w:val="auto"/>
        </w:rPr>
        <w:t>Our future success depends in part on our ability to obtain allocations of geographical, mobile, regional, local and toll-free direct inward dialing numbers or phone numbers as well as short codes and alphanumeric sender IDs (collectively, “Numbering Resources”) in the United States and foreign countries at a reasonable cost and without overly burdensome restrictions. Our ability to obtain allocations of, assign and retain Numbering Resources depends on factors outside of our control, such as applicable regulations, the practices of authorities that administer national numbering plans or of network service providers from whom we can provision Numbering Resources, such as offering these Numbering Resources with conditional minimum volume call level requirements, the cost of these Numbering Resources and the level of overall competitive demand for new Numbering Resources.</w:t>
      </w:r>
    </w:p>
    <w:p>
      <w:pPr>
        <w:spacing w:after="0" w:line="170" w:lineRule="exact"/>
        <w:rPr>
          <w:sz w:val="20"/>
          <w:szCs w:val="20"/>
          <w:color w:val="auto"/>
        </w:rPr>
      </w:pPr>
    </w:p>
    <w:p>
      <w:pPr>
        <w:ind w:right="20" w:firstLine="464"/>
        <w:spacing w:after="0" w:line="292" w:lineRule="auto"/>
        <w:rPr>
          <w:sz w:val="20"/>
          <w:szCs w:val="20"/>
          <w:color w:val="auto"/>
        </w:rPr>
      </w:pPr>
      <w:r>
        <w:rPr>
          <w:rFonts w:ascii="Arial" w:cs="Arial" w:eastAsia="Arial" w:hAnsi="Arial"/>
          <w:sz w:val="15"/>
          <w:szCs w:val="15"/>
          <w:color w:val="auto"/>
        </w:rPr>
        <w:t>In addition, in order to obtain allocations of, assign and retain Numbering Resources in the EU or certain other regions, we are often required to be licensed by local telecommunications regulatory authorities, some of which have been increasingly monitoring and regulating the categories of Numbering Resources that are eligible for provisioning to our customers. We have obtained licenses and are in the process of obtaining licenses in various countries in which we do business, but in some countries, the regulatory regime around provisioning of Numbering Resources is unclear, subject to change over time, and 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 may require changes in products or business practices that result in reduced revenue. Due to our or our customers’ assignment and/or use of Numbering Resources in certain countries in a manner that violates applicable rules and regulations, we have been subjected to government inquiries and audits, and may in the future be subject to significant penalties or further governmental action, and in extreme cases, may be precluded from doing business in that particular country. We have also been forced to reclaim Numbering Resources from our customers as a result of certain events of non-compliance. These reclamations result in loss of customers, loss of revenue, reputational harm, erosion of customer trust, and may also result in breach of contract claims, all of which could have an adverse effect on our business, results of operations and financial condition.</w:t>
      </w:r>
    </w:p>
    <w:p>
      <w:pPr>
        <w:spacing w:after="0" w:line="163" w:lineRule="exact"/>
        <w:rPr>
          <w:sz w:val="20"/>
          <w:szCs w:val="20"/>
          <w:color w:val="auto"/>
        </w:rPr>
      </w:pPr>
    </w:p>
    <w:p>
      <w:pPr>
        <w:ind w:firstLine="464"/>
        <w:spacing w:after="0" w:line="277" w:lineRule="auto"/>
        <w:rPr>
          <w:sz w:val="20"/>
          <w:szCs w:val="20"/>
          <w:color w:val="auto"/>
        </w:rPr>
      </w:pPr>
      <w:r>
        <w:rPr>
          <w:rFonts w:ascii="Arial" w:cs="Arial" w:eastAsia="Arial" w:hAnsi="Arial"/>
          <w:sz w:val="16"/>
          <w:szCs w:val="16"/>
          <w:color w:val="auto"/>
        </w:rPr>
        <w:t>Due to their limited availability, there are certain popular area code prefixes that we generally cannot obtain. Our inability to acquire or retain Numbering Resources for our operations may make our voice and messaging products less attractive to potential customers in the affected local geographic areas. In addition, future growth in our customer base, together with growth in the customer bases of other providers of cloud communications, has increased, which increases our dependence on needing sufficiently large quantities of Numbering Resources. It may become increasingly difficult to source larger quantities of Numbering Resources as we scale and we may need to pay higher costs for Numbering Resources, and Numbering Resources may become subject to more stringent regulation or conditions of usage such as the registration and on-going compliance requirements discussed above.</w:t>
      </w:r>
    </w:p>
    <w:p>
      <w:pPr>
        <w:spacing w:after="0" w:line="170" w:lineRule="exact"/>
        <w:rPr>
          <w:sz w:val="20"/>
          <w:szCs w:val="20"/>
          <w:color w:val="auto"/>
        </w:rPr>
      </w:pPr>
    </w:p>
    <w:p>
      <w:pPr>
        <w:ind w:right="160" w:firstLine="464"/>
        <w:spacing w:after="0" w:line="307" w:lineRule="auto"/>
        <w:rPr>
          <w:sz w:val="20"/>
          <w:szCs w:val="20"/>
          <w:color w:val="auto"/>
        </w:rPr>
      </w:pPr>
      <w:r>
        <w:rPr>
          <w:rFonts w:ascii="Arial" w:cs="Arial" w:eastAsia="Arial" w:hAnsi="Arial"/>
          <w:sz w:val="15"/>
          <w:szCs w:val="15"/>
          <w:color w:val="auto"/>
        </w:rPr>
        <w:t>Additionally, in some geographies, we support number portability, which allows our customers to transfer their existing phone numbers to us and thereby retain their existing phone numbers when subscribing to our voice and messaging products. Transferring existing numbers is a manual process that can take up to 15 business days or longer to complete. Any delay that we experience in transferring these numbers typically results from the fact that we depend on network service providers to transfer these numbers, a process that we do not control, and these network service providers may refuse or substantially delay</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68" w:name="page69"/>
    <w:bookmarkEnd w:id="68"/>
    <w:p>
      <w:pPr>
        <w:ind w:right="40"/>
        <w:spacing w:after="0" w:line="279" w:lineRule="auto"/>
        <w:rPr>
          <w:sz w:val="20"/>
          <w:szCs w:val="20"/>
          <w:color w:val="auto"/>
        </w:rPr>
      </w:pPr>
      <w:r>
        <w:rPr>
          <w:rFonts w:ascii="Arial" w:cs="Arial" w:eastAsia="Arial" w:hAnsi="Arial"/>
          <w:sz w:val="17"/>
          <w:szCs w:val="17"/>
          <w:color w:val="auto"/>
        </w:rPr>
        <w:t>the transfer of these numbers to us. Number portability is considered an important feature by many potential customers, and if we fail to reduce any related delays, then we may experience increased difficulty in acquiring new customers.</w:t>
      </w:r>
    </w:p>
    <w:p>
      <w:pPr>
        <w:spacing w:after="0" w:line="164" w:lineRule="exact"/>
        <w:rPr>
          <w:sz w:val="20"/>
          <w:szCs w:val="20"/>
          <w:color w:val="auto"/>
        </w:rPr>
      </w:pPr>
    </w:p>
    <w:p>
      <w:pPr>
        <w:ind w:right="420" w:firstLine="464"/>
        <w:spacing w:after="0" w:line="349" w:lineRule="auto"/>
        <w:rPr>
          <w:sz w:val="20"/>
          <w:szCs w:val="20"/>
          <w:color w:val="auto"/>
        </w:rPr>
      </w:pPr>
      <w:r>
        <w:rPr>
          <w:rFonts w:ascii="Arial" w:cs="Arial" w:eastAsia="Arial" w:hAnsi="Arial"/>
          <w:sz w:val="15"/>
          <w:szCs w:val="15"/>
          <w:b w:val="1"/>
          <w:bCs w:val="1"/>
          <w:i w:val="1"/>
          <w:iCs w:val="1"/>
          <w:color w:val="auto"/>
        </w:rPr>
        <w:t>United States federal legislation and international laws impose certain obligations on the senders of commercial emails, which could minimize the effectiveness of our platform, and establish financial penalties for non-compliance, which could increase the costs of our business.</w:t>
      </w:r>
    </w:p>
    <w:p>
      <w:pPr>
        <w:spacing w:after="0" w:line="117" w:lineRule="exact"/>
        <w:rPr>
          <w:sz w:val="20"/>
          <w:szCs w:val="20"/>
          <w:color w:val="auto"/>
        </w:rPr>
      </w:pPr>
    </w:p>
    <w:p>
      <w:pPr>
        <w:ind w:firstLine="464"/>
        <w:spacing w:after="0" w:line="272" w:lineRule="auto"/>
        <w:rPr>
          <w:sz w:val="20"/>
          <w:szCs w:val="20"/>
          <w:color w:val="auto"/>
        </w:rPr>
      </w:pPr>
      <w:r>
        <w:rPr>
          <w:rFonts w:ascii="Arial" w:cs="Arial" w:eastAsia="Arial" w:hAnsi="Arial"/>
          <w:sz w:val="16"/>
          <w:szCs w:val="16"/>
          <w:color w:val="auto"/>
        </w:rPr>
        <w:t>The Federal Controlling the Assault of Non-Solicited Pornography and Marketing Act of 2003 (the “CAN-SPAM Act”) establishes certain requirements for commercial email messages and transactional email messages and specifies penalties for the transmission of email messages that are intended to deceive the recipient as to source or content. Among other things, the CAN-SPAM Act, obligates the sender of commercial emails to provide recipients with the ability to “opt-out” of receiving future commercial emails from the sender. In addition, some states have passed laws regulating commercial email practices that are significantly more restrictive and difficult to comply with than the CAN-SPAM Act. For example, Utah and Michigan prohibit the sending of email messages that advertise products or services that minors are prohibited by law from purchasing or that contain content harmful to minors to email addresses listed on specified child protection registries. Some portions of these state laws may not be preempted by the CAN-SPAM Act. In addition, certain non-U.S. jurisdictions in which we operate have enacted laws regulating the sending of email that are more restrictive than U.S. laws. For example, some foreign laws prohibit sending broad categories of email unless the recipient has provided the sender advance consent (or “opted-in”) to receipt of such email. If we were found to be in violation of the CAN-SPAM Act, applicable state laws governing email not preempted by the CAN-SPAM Act or foreign laws regulating the distribution of email, whether as a result of violations by our customers or our own acts or omissions, we could be required to pay large penalties, which would adversely affect our financial condition, significantly harm our business, injure our reputation and erode customer trust. The terms of any injunctions, judgments, consent decrees or settlement agreements entered into in connection with enforcement actions or investigations against our company in connection with any of the foregoing laws may also require us to change one or more aspects of the way we operate our business, which could impair our ability to attract and retain customers or could increase our operating costs.</w:t>
      </w:r>
    </w:p>
    <w:p>
      <w:pPr>
        <w:spacing w:after="0" w:line="173" w:lineRule="exact"/>
        <w:rPr>
          <w:sz w:val="20"/>
          <w:szCs w:val="20"/>
          <w:color w:val="auto"/>
        </w:rPr>
      </w:pPr>
    </w:p>
    <w:p>
      <w:pPr>
        <w:ind w:right="80" w:firstLine="464"/>
        <w:spacing w:after="0" w:line="318" w:lineRule="auto"/>
        <w:rPr>
          <w:sz w:val="20"/>
          <w:szCs w:val="20"/>
          <w:color w:val="auto"/>
        </w:rPr>
      </w:pPr>
      <w:r>
        <w:rPr>
          <w:rFonts w:ascii="Arial" w:cs="Arial" w:eastAsia="Arial" w:hAnsi="Arial"/>
          <w:sz w:val="15"/>
          <w:szCs w:val="15"/>
          <w:b w:val="1"/>
          <w:bCs w:val="1"/>
          <w:i w:val="1"/>
          <w:iCs w:val="1"/>
          <w:color w:val="auto"/>
        </w:rPr>
        <w:t>Our customers’ and other users’ violation of our policies or other misuse of our platform to transmit unauthorized, offensive or illegal messages, spam, phishing scams, and website links to harmful applications or for other fraudulent or illegal activity could damage our reputation, and we may face a risk of litigation and liability for illegal activities on our platform and unauthorized, inaccurate, or fraudulent information distributed via our platform.</w:t>
      </w:r>
    </w:p>
    <w:p>
      <w:pPr>
        <w:spacing w:after="0" w:line="139" w:lineRule="exact"/>
        <w:rPr>
          <w:sz w:val="20"/>
          <w:szCs w:val="20"/>
          <w:color w:val="auto"/>
        </w:rPr>
      </w:pPr>
    </w:p>
    <w:p>
      <w:pPr>
        <w:ind w:right="160" w:firstLine="464"/>
        <w:spacing w:after="0" w:line="275" w:lineRule="auto"/>
        <w:rPr>
          <w:sz w:val="20"/>
          <w:szCs w:val="20"/>
          <w:color w:val="auto"/>
        </w:rPr>
      </w:pPr>
      <w:r>
        <w:rPr>
          <w:rFonts w:ascii="Arial" w:cs="Arial" w:eastAsia="Arial" w:hAnsi="Arial"/>
          <w:sz w:val="16"/>
          <w:szCs w:val="16"/>
          <w:color w:val="auto"/>
        </w:rPr>
        <w:t>The actual or perceived improper sending of text messages or voice calls may subject us to potential risks, including liabilities or claims relating to consumer protection laws and regulatory enforcement, including fines. For example, the Telephone Consumer Protection Act of 1991 (“TCPA”) restricts telemarketing and the use of automatic SMS text messages without explicit customer consent. TCPA violations can result in significant financial penalties, as businesses can incur penalties or criminal fines imposed by the FCC or be fined up to $1,500 per violation through private litigation or state attorneys general or other state actor enforcement. Class action suits are the most common method for private enforcement. This has resulted in civil claims against our company and requests for information through third-party subpoenas. The scope and interpretation of the laws that are or may be applicable to the delivery of text messages or voice calls are continuously evolving and developing. If we do not comply with these laws or regulations or if we become liable under these laws or regulations due to the failure of our customers to comply with these laws by obtaining proper consent, we could face direct liability.</w:t>
      </w:r>
    </w:p>
    <w:p>
      <w:pPr>
        <w:spacing w:after="0" w:line="170" w:lineRule="exact"/>
        <w:rPr>
          <w:sz w:val="20"/>
          <w:szCs w:val="20"/>
          <w:color w:val="auto"/>
        </w:rPr>
      </w:pPr>
    </w:p>
    <w:p>
      <w:pPr>
        <w:ind w:right="40" w:firstLine="464"/>
        <w:spacing w:after="0" w:line="272" w:lineRule="auto"/>
        <w:rPr>
          <w:sz w:val="20"/>
          <w:szCs w:val="20"/>
          <w:color w:val="auto"/>
        </w:rPr>
      </w:pPr>
      <w:r>
        <w:rPr>
          <w:rFonts w:ascii="Arial" w:cs="Arial" w:eastAsia="Arial" w:hAnsi="Arial"/>
          <w:sz w:val="16"/>
          <w:szCs w:val="16"/>
          <w:color w:val="auto"/>
        </w:rPr>
        <w:t>Moreover, certain customers may use our platform to transmit unauthorized, offensive or illegal messages, calls, spam, phishing scams, and website links to harmful applications, reproduce and distribute copyrighted material or the trademarks of others without permission, and report inaccurate or fraudulent data or information. These issues also arise with respect to a portion of those users who use our platform on a free trial basis or upon initial use. These actions are in violation of our policies, in particular, our Acceptable Use Policy. For example, on January 25, 2023, we received a cease-and-desist letter from the FCC alleging that we were transmitting illegal robocall traffic that originated from an independent software vendor customer and their end user customer. In response, we have suspended the customers’ accounts and we provided to the FCC a follow-up letter on February 10, 2023 detailing our fraud mitigation practices and various improvements being carried out to reduce future risks. There has been no further communication from the agency on this matter. Failure to respond appropriately to the FCC’s allegations could allow domestic carriers to begin blocking all voice traffic transmitting from our network. However, our efforts to defeat spamming attacks, illegal robocalls and other fraudulent activity will not prevent all such attacks and activity. Such use of our platform could damage our reputation and we could face claims for damages, regulatory enforcement, copyright or trademark infringement, defamation, negligence, or fraud. Furthermore, enacting more stringent controls on our customers’ use of our platform to combat such violations of our Acceptable Use Policy could increase friction for our legitimate customers and decrease their use of our platform.</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68" w:right="359" w:bottom="1440" w:gutter="0" w:footer="0" w:header="0"/>
        </w:sectPr>
      </w:pPr>
    </w:p>
    <w:bookmarkStart w:id="69" w:name="page70"/>
    <w:bookmarkEnd w:id="69"/>
    <w:p>
      <w:pPr>
        <w:ind w:right="60" w:firstLine="464"/>
        <w:spacing w:after="0" w:line="293" w:lineRule="auto"/>
        <w:rPr>
          <w:sz w:val="20"/>
          <w:szCs w:val="20"/>
          <w:color w:val="auto"/>
        </w:rPr>
      </w:pPr>
      <w:r>
        <w:rPr>
          <w:rFonts w:ascii="Arial" w:cs="Arial" w:eastAsia="Arial" w:hAnsi="Arial"/>
          <w:sz w:val="15"/>
          <w:szCs w:val="15"/>
          <w:color w:val="auto"/>
        </w:rPr>
        <w:t>Our customers’ and other users’ promotion of their products and services through our platform might not comply with federal, state, and foreign laws or of contractual requirements imposed by carriers, such as the CTIA Shortcode Agreement, The Campaign Registry, and associated policies. We rely on contractual representations made to us by our customers that their use of our platform will comply with our policies and applicable law, including, without limitation, our email and messaging policies. Although we retain the right to verify that customers and other users are abiding by certain contractual terms, our Acceptable Use Policy and our email and messaging policies and, in certain circumstances, to review their email, messages and distribution lists, our customers and other users are ultimately responsible for compliance with our policies, and we do not systematically audit our customers or other users to confirm compliance with our policies. We cannot predict whether our role in facilitating our customers’ or other users’ activities will result in violations of carrier policies which could result in fines, administrative delays, or service interruptions. We also cannot predict whether our role in facilitating our customers’ or other users’ activities would expose us to liability under applicable state or federal law, or whether that possibility could become more likely if changes to current laws regulating content moderation, such as Section 230 of the Communications Decency Act, are enacted.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159" w:lineRule="exact"/>
        <w:rPr>
          <w:sz w:val="20"/>
          <w:szCs w:val="20"/>
          <w:color w:val="auto"/>
        </w:rPr>
      </w:pPr>
    </w:p>
    <w:p>
      <w:pPr>
        <w:ind w:right="220" w:firstLine="464"/>
        <w:spacing w:after="0" w:line="276" w:lineRule="auto"/>
        <w:rPr>
          <w:sz w:val="20"/>
          <w:szCs w:val="20"/>
          <w:color w:val="auto"/>
        </w:rPr>
      </w:pPr>
      <w:r>
        <w:rPr>
          <w:rFonts w:ascii="Arial" w:cs="Arial" w:eastAsia="Arial" w:hAnsi="Arial"/>
          <w:sz w:val="16"/>
          <w:szCs w:val="16"/>
          <w:color w:val="auto"/>
        </w:rPr>
        <w:t>Additionally, our products may be subject to fraudulent usage, including but not limited to revenue share fraud, domestic traffic pumping, subscription fraud, premium text message scams and other fraudulent schemes. Although our customers are required to set passwords or personal identification numbers to protect their accounts, third parties have in the past been, and may in the future be, able to access and use their accounts through fraudulent means. Furthermore, spammers attempt to use our products to send targeted and untargeted spam messages. We cannot be certain that our efforts to defeat spamming attacks will be successful in eliminating all spam messages from being sent using our platform. In addition, a cybersecurity breach of our customers’ systems could result in exposure of their authentication credentials, unauthorized access to their accounts or fraudulent calls on their accounts, any of which could adversely affect our business, results of operations and financial condition.</w:t>
      </w:r>
    </w:p>
    <w:p>
      <w:pPr>
        <w:spacing w:after="0" w:line="169" w:lineRule="exact"/>
        <w:rPr>
          <w:sz w:val="20"/>
          <w:szCs w:val="20"/>
          <w:color w:val="auto"/>
        </w:rPr>
      </w:pPr>
    </w:p>
    <w:p>
      <w:pPr>
        <w:ind w:right="140" w:firstLine="464"/>
        <w:spacing w:after="0" w:line="279" w:lineRule="auto"/>
        <w:rPr>
          <w:sz w:val="20"/>
          <w:szCs w:val="20"/>
          <w:color w:val="auto"/>
        </w:rPr>
      </w:pPr>
      <w:r>
        <w:rPr>
          <w:rFonts w:ascii="Arial" w:cs="Arial" w:eastAsia="Arial" w:hAnsi="Arial"/>
          <w:sz w:val="17"/>
          <w:szCs w:val="17"/>
          <w:b w:val="1"/>
          <w:bCs w:val="1"/>
          <w:i w:val="1"/>
          <w:iCs w:val="1"/>
          <w:color w:val="auto"/>
        </w:rPr>
        <w:t>Changes in laws and regulations related to the Internet or changes in the Internet infrastructure itself may diminish the demand for our products, and could adversely affect our business, results of operations and financial condition.</w:t>
      </w:r>
    </w:p>
    <w:p>
      <w:pPr>
        <w:spacing w:after="0" w:line="164" w:lineRule="exact"/>
        <w:rPr>
          <w:sz w:val="20"/>
          <w:szCs w:val="20"/>
          <w:color w:val="auto"/>
        </w:rPr>
      </w:pPr>
    </w:p>
    <w:p>
      <w:pPr>
        <w:ind w:firstLine="464"/>
        <w:spacing w:after="0" w:line="272"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communications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 In particular, a re-adoption of “network neutrality” rules in the United States, which President Biden supported during his campaign, could affect the services used by us and our customers. California’s state network neutrality law went into effect on March 10, 2021. A temporary injunction preventing implementation of a similar law in Vermont expired on April 20, 2022, but a challenge to that law remains pending. A number of other states have adopted or are adopting or considering legislation or executive actions that would regulate the conduct of broadband providers. 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spacing w:after="0" w:line="175" w:lineRule="exact"/>
        <w:rPr>
          <w:sz w:val="20"/>
          <w:szCs w:val="20"/>
          <w:color w:val="auto"/>
        </w:rPr>
      </w:pPr>
    </w:p>
    <w:p>
      <w:pPr>
        <w:ind w:right="180" w:firstLine="464"/>
        <w:spacing w:after="0" w:line="349" w:lineRule="auto"/>
        <w:rPr>
          <w:sz w:val="20"/>
          <w:szCs w:val="20"/>
          <w:color w:val="auto"/>
        </w:rPr>
      </w:pPr>
      <w:r>
        <w:rPr>
          <w:rFonts w:ascii="Arial" w:cs="Arial" w:eastAsia="Arial" w:hAnsi="Arial"/>
          <w:sz w:val="15"/>
          <w:szCs w:val="15"/>
          <w:b w:val="1"/>
          <w:bCs w:val="1"/>
          <w:i w:val="1"/>
          <w:iCs w:val="1"/>
          <w:color w:val="auto"/>
        </w:rPr>
        <w:t>Our global operations subject us to potential liability under export control, economic trade sanctions, anti-corruption, and other laws and regulations, and such violations could impair our ability to compete in international markets and could subject us to liability for compliance violations.</w:t>
      </w:r>
    </w:p>
    <w:p>
      <w:pPr>
        <w:spacing w:after="0" w:line="117" w:lineRule="exact"/>
        <w:rPr>
          <w:sz w:val="20"/>
          <w:szCs w:val="20"/>
          <w:color w:val="auto"/>
        </w:rPr>
      </w:pPr>
    </w:p>
    <w:p>
      <w:pPr>
        <w:ind w:right="100" w:firstLine="464"/>
        <w:spacing w:after="0" w:line="257" w:lineRule="auto"/>
        <w:rPr>
          <w:sz w:val="20"/>
          <w:szCs w:val="20"/>
          <w:color w:val="auto"/>
        </w:rPr>
      </w:pPr>
      <w:r>
        <w:rPr>
          <w:rFonts w:ascii="Arial" w:cs="Arial" w:eastAsia="Arial" w:hAnsi="Arial"/>
          <w:sz w:val="17"/>
          <w:szCs w:val="17"/>
          <w:color w:val="auto"/>
        </w:rPr>
        <w:t>Certain of our products and services may be subject to export control and economic sanctions laws and regulations, including the U.S. Export Administration Regulations, U.S. Customs regulations, and various economic and trade sanctions regulations administered by the U.S. Treasury Department’s Office of Foreign Assets Control as well as similar laws and regulations in other countries in which we do business. Exports of our products and the provision of our services must be made in compliance with these requirements. Although we take precautions to prevent our products from being provided in violation of such laws, we are aware of previous exports of certain of our products to a small number of persons and organizations that are the subject of U.S. sanctions or are located in countries or regions subject to U.S. sanctions. If we fail to comply with these laws and regulations, we and certain of our employees could be subject to substantial civil or criminal penalties, including: the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70" w:name="page71"/>
    <w:bookmarkEnd w:id="70"/>
    <w:p>
      <w:pPr>
        <w:ind w:right="80"/>
        <w:spacing w:after="0" w:line="277" w:lineRule="auto"/>
        <w:rPr>
          <w:sz w:val="20"/>
          <w:szCs w:val="20"/>
          <w:color w:val="auto"/>
        </w:rPr>
      </w:pPr>
      <w:r>
        <w:rPr>
          <w:rFonts w:ascii="Arial" w:cs="Arial" w:eastAsia="Arial" w:hAnsi="Arial"/>
          <w:sz w:val="16"/>
          <w:szCs w:val="16"/>
          <w:color w:val="auto"/>
        </w:rPr>
        <w:t>possible loss of export privileges; fines, which may be imposed on us and responsible employees or managers; and, in extreme cases, the incarceration of responsible employees or managers. Any change in trade protection laws, policies, export, sanctions and other regulatory requirements affecting trade and investments, shift in the 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limitations on our ability to export our products and provide our services could adversely affect our business, results of operations and financial condition.</w:t>
      </w:r>
    </w:p>
    <w:p>
      <w:pPr>
        <w:spacing w:after="0" w:line="170" w:lineRule="exact"/>
        <w:rPr>
          <w:sz w:val="20"/>
          <w:szCs w:val="20"/>
          <w:color w:val="auto"/>
        </w:rPr>
      </w:pPr>
    </w:p>
    <w:p>
      <w:pPr>
        <w:ind w:firstLine="464"/>
        <w:spacing w:after="0" w:line="275" w:lineRule="auto"/>
        <w:rPr>
          <w:sz w:val="20"/>
          <w:szCs w:val="20"/>
          <w:color w:val="auto"/>
        </w:rPr>
      </w:pPr>
      <w:r>
        <w:rPr>
          <w:rFonts w:ascii="Arial" w:cs="Arial" w:eastAsia="Arial" w:hAnsi="Arial"/>
          <w:sz w:val="16"/>
          <w:szCs w:val="16"/>
          <w:color w:val="auto"/>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globally-distributed systems or, in some cases, prevent the export of our products or provision of our services to some countries altogether.</w:t>
      </w:r>
    </w:p>
    <w:p>
      <w:pPr>
        <w:spacing w:after="0" w:line="170" w:lineRule="exact"/>
        <w:rPr>
          <w:sz w:val="20"/>
          <w:szCs w:val="20"/>
          <w:color w:val="auto"/>
        </w:rPr>
      </w:pPr>
    </w:p>
    <w:p>
      <w:pPr>
        <w:ind w:right="60" w:firstLine="464"/>
        <w:spacing w:after="0" w:line="291" w:lineRule="auto"/>
        <w:rPr>
          <w:sz w:val="20"/>
          <w:szCs w:val="20"/>
          <w:color w:val="auto"/>
        </w:rPr>
      </w:pPr>
      <w:r>
        <w:rPr>
          <w:rFonts w:ascii="Arial" w:cs="Arial" w:eastAsia="Arial" w:hAnsi="Arial"/>
          <w:sz w:val="15"/>
          <w:szCs w:val="15"/>
          <w:color w:val="auto"/>
        </w:rPr>
        <w:t>We are also subject to U.S. and foreign anti-corruption and anti-bribery laws, including the FCPA, the UK Bribery Act 2010, and other anti-corruption laws and regulations in the countries in which we conduct activities. Anti-corruption laws are interpreted broadly and generally prohibit companies, their employees, agents, representatives, business partners, and third parties intermediaries from directly or indirectly authorizing, offering, or providing, improper payments or things of value to recipients in the public or private sector, and also require that we maintain accurate books and records and adequate internal controls and compliance procedures designed to prevent violations. We sometimes leverage third parties to sell our products and conduct our business abroad.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We cannot assure you that none of our employees, agents, representatives, business partners or third-party intermediaries will fail to comply with our policies and applicable laws and regulations, for which we may ultimately be held responsible. Any allegations or violation of the FCPA or other applicable anti-bribery and anti-corruption laws and anti-money laundering laws could result could result in whistleblower complaints, sanctions, settlements, prosecution, enforcement actions, significant fines and penalties,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p>
    <w:p>
      <w:pPr>
        <w:spacing w:after="0" w:line="166" w:lineRule="exact"/>
        <w:rPr>
          <w:sz w:val="20"/>
          <w:szCs w:val="20"/>
          <w:color w:val="auto"/>
        </w:rPr>
      </w:pPr>
    </w:p>
    <w:p>
      <w:pPr>
        <w:ind w:right="40" w:firstLine="464"/>
        <w:spacing w:after="0" w:line="279" w:lineRule="auto"/>
        <w:rPr>
          <w:sz w:val="20"/>
          <w:szCs w:val="20"/>
          <w:color w:val="auto"/>
        </w:rPr>
      </w:pPr>
      <w:r>
        <w:rPr>
          <w:rFonts w:ascii="Arial" w:cs="Arial" w:eastAsia="Arial" w:hAnsi="Arial"/>
          <w:sz w:val="17"/>
          <w:szCs w:val="17"/>
          <w:b w:val="1"/>
          <w:bCs w:val="1"/>
          <w:i w:val="1"/>
          <w:iCs w:val="1"/>
          <w:color w:val="auto"/>
        </w:rPr>
        <w:t>The standards imposed by private entities and inbox service providers to regulate the use and delivery of email have in the past interfered with, and may continue to interfere with, the effectiveness of our platform and our ability to conduct business.</w:t>
      </w:r>
    </w:p>
    <w:p>
      <w:pPr>
        <w:spacing w:after="0" w:line="164" w:lineRule="exact"/>
        <w:rPr>
          <w:sz w:val="20"/>
          <w:szCs w:val="20"/>
          <w:color w:val="auto"/>
        </w:rPr>
      </w:pPr>
    </w:p>
    <w:p>
      <w:pPr>
        <w:ind w:right="60" w:firstLine="464"/>
        <w:spacing w:after="0" w:line="302" w:lineRule="auto"/>
        <w:rPr>
          <w:sz w:val="20"/>
          <w:szCs w:val="20"/>
          <w:color w:val="auto"/>
        </w:rPr>
      </w:pPr>
      <w:r>
        <w:rPr>
          <w:rFonts w:ascii="Arial" w:cs="Arial" w:eastAsia="Arial" w:hAnsi="Arial"/>
          <w:sz w:val="15"/>
          <w:szCs w:val="15"/>
          <w:color w:val="auto"/>
        </w:rPr>
        <w:t>From time to time, some of our IP addresses have become, and we expect will continue to be, listed with one or more denylisting entities due to the messaging practices of our customers and other users. We may be at an increased risk of having our IP addresses denylisted due to our scale and volume of email processed, compared to our smaller competitors. There can be no guarantee that we will be able to successfully remove ourselves from those lists. Because we fulfill email delivery on behalf of our customers, denylisting of this type could undermine the effectiveness of our customers’ transactional email, email marketing programs and other email communications, all of which could have a material negative impact on our business, financial condition and results of operations.</w:t>
      </w:r>
    </w:p>
    <w:p>
      <w:pPr>
        <w:spacing w:after="0" w:line="152" w:lineRule="exact"/>
        <w:rPr>
          <w:sz w:val="20"/>
          <w:szCs w:val="20"/>
          <w:color w:val="auto"/>
        </w:rPr>
      </w:pPr>
    </w:p>
    <w:p>
      <w:pPr>
        <w:ind w:right="40" w:firstLine="464"/>
        <w:spacing w:after="0" w:line="258" w:lineRule="auto"/>
        <w:rPr>
          <w:sz w:val="20"/>
          <w:szCs w:val="20"/>
          <w:color w:val="auto"/>
        </w:rPr>
      </w:pPr>
      <w:r>
        <w:rPr>
          <w:rFonts w:ascii="Arial" w:cs="Arial" w:eastAsia="Arial" w:hAnsi="Arial"/>
          <w:sz w:val="17"/>
          <w:szCs w:val="17"/>
          <w:color w:val="auto"/>
        </w:rPr>
        <w:t>Additionally, inbox service providers can block emails from reaching their users or categorize certain emails as “promotional” emails and, as a result, direct them to an alternate or “tabbed” section of the recipient’s inbox. The implementation of new or more restrictive policies by inbox service providers may make it more difficult to deliver our customers’ emails, particularly if we are not given adequate notice of a change in policy or struggle to update our platform or services to comply with the changed policy in a reasonable amount of time. If the open rates of our customers’ emails are negatively impacted by the actions of inbox service providers to block or categorize emails then customers may question the effectiveness of our platform and cancel their accounts. This, in turn, could harm our business, financial condition and results of operations.</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68" w:right="359" w:bottom="1440" w:gutter="0" w:footer="0" w:header="0"/>
        </w:sectPr>
      </w:pPr>
    </w:p>
    <w:bookmarkStart w:id="71" w:name="page72"/>
    <w:bookmarkEnd w:id="71"/>
    <w:p>
      <w:pPr>
        <w:ind w:left="460"/>
        <w:spacing w:after="0"/>
        <w:rPr>
          <w:sz w:val="20"/>
          <w:szCs w:val="20"/>
          <w:color w:val="auto"/>
        </w:rPr>
      </w:pPr>
      <w:r>
        <w:rPr>
          <w:rFonts w:ascii="Arial" w:cs="Arial" w:eastAsia="Arial" w:hAnsi="Arial"/>
          <w:sz w:val="15"/>
          <w:szCs w:val="15"/>
          <w:b w:val="1"/>
          <w:bCs w:val="1"/>
          <w:i w:val="1"/>
          <w:iCs w:val="1"/>
          <w:color w:val="auto"/>
        </w:rPr>
        <w:t>Any legal proceedings or claims against us could be costly and time-consuming to defend and could harm our reputation regardless of the outcome.</w:t>
      </w:r>
    </w:p>
    <w:p>
      <w:pPr>
        <w:spacing w:after="0" w:line="240" w:lineRule="exact"/>
        <w:rPr>
          <w:sz w:val="20"/>
          <w:szCs w:val="20"/>
          <w:color w:val="auto"/>
        </w:rPr>
      </w:pPr>
    </w:p>
    <w:p>
      <w:pPr>
        <w:ind w:right="60" w:firstLine="464"/>
        <w:spacing w:after="0" w:line="257" w:lineRule="auto"/>
        <w:rPr>
          <w:sz w:val="20"/>
          <w:szCs w:val="20"/>
          <w:color w:val="auto"/>
        </w:rPr>
      </w:pPr>
      <w:r>
        <w:rPr>
          <w:rFonts w:ascii="Arial" w:cs="Arial" w:eastAsia="Arial" w:hAnsi="Arial"/>
          <w:sz w:val="17"/>
          <w:szCs w:val="17"/>
          <w:color w:val="auto"/>
        </w:rPr>
        <w:t>We are and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or the costs to defend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 If we are required to make substantial payments or implement significant changes to our operations as a result of legal proceedings or claims, our business, results of operations and financial condition could be adversely affected.</w:t>
      </w:r>
    </w:p>
    <w:p>
      <w:pPr>
        <w:spacing w:after="0" w:line="179"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auto"/>
        </w:rPr>
        <w:t>Risks Related to Financial and Accounting Matters</w:t>
      </w:r>
    </w:p>
    <w:p>
      <w:pPr>
        <w:spacing w:after="0" w:line="223" w:lineRule="exact"/>
        <w:rPr>
          <w:sz w:val="20"/>
          <w:szCs w:val="20"/>
          <w:color w:val="auto"/>
        </w:rPr>
      </w:pPr>
    </w:p>
    <w:p>
      <w:pPr>
        <w:ind w:right="220" w:firstLine="464"/>
        <w:spacing w:after="0" w:line="279" w:lineRule="auto"/>
        <w:rPr>
          <w:sz w:val="20"/>
          <w:szCs w:val="20"/>
          <w:color w:val="auto"/>
        </w:rPr>
      </w:pPr>
      <w:r>
        <w:rPr>
          <w:rFonts w:ascii="Arial" w:cs="Arial" w:eastAsia="Arial" w:hAnsi="Arial"/>
          <w:sz w:val="17"/>
          <w:szCs w:val="17"/>
          <w:b w:val="1"/>
          <w:bCs w:val="1"/>
          <w:i w:val="1"/>
          <w:iCs w:val="1"/>
          <w:color w:val="auto"/>
        </w:rPr>
        <w:t>We face exposure to foreign currency exchange rate fluctuations, and such fluctuations could adversely affect our business, results of operations and financial condition.</w:t>
      </w:r>
    </w:p>
    <w:p>
      <w:pPr>
        <w:spacing w:after="0" w:line="164" w:lineRule="exact"/>
        <w:rPr>
          <w:sz w:val="20"/>
          <w:szCs w:val="20"/>
          <w:color w:val="auto"/>
        </w:rPr>
      </w:pPr>
    </w:p>
    <w:p>
      <w:pPr>
        <w:ind w:right="40" w:firstLine="464"/>
        <w:spacing w:after="0" w:line="257" w:lineRule="auto"/>
        <w:rPr>
          <w:sz w:val="20"/>
          <w:szCs w:val="20"/>
          <w:color w:val="auto"/>
        </w:rPr>
      </w:pPr>
      <w:r>
        <w:rPr>
          <w:rFonts w:ascii="Arial" w:cs="Arial" w:eastAsia="Arial" w:hAnsi="Arial"/>
          <w:sz w:val="17"/>
          <w:szCs w:val="17"/>
          <w:color w:val="auto"/>
        </w:rPr>
        <w:t>As our international operations expand, our exposure to the effects of fluctuations in currency exchange rates grows. For example, global geopolitical events, such as the war in Ukraine, economic events, public health epidemics and pandemics such as the COVID-19 pandemic, trade tariff developments and other events have caused global economic uncertainty and variability in foreign currency exchange rates. While we have primarily transacted with customers and business partners in U.S. dollars, we have also conducted business in currencies other than the U.S. dollar. We expect to significantly expand the number of transactions with customers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at our non-U.S. locations in the respective local currency. Fluctuations in the exchange rates between the U.S. dollar and other currencies could result in an increase to the U.S. dollar equivalent of such expenses.</w:t>
      </w:r>
    </w:p>
    <w:p>
      <w:pPr>
        <w:spacing w:after="0" w:line="182" w:lineRule="exact"/>
        <w:rPr>
          <w:sz w:val="20"/>
          <w:szCs w:val="20"/>
          <w:color w:val="auto"/>
        </w:rPr>
      </w:pPr>
    </w:p>
    <w:p>
      <w:pPr>
        <w:ind w:right="40" w:firstLine="464"/>
        <w:spacing w:after="0" w:line="277" w:lineRule="auto"/>
        <w:rPr>
          <w:sz w:val="20"/>
          <w:szCs w:val="20"/>
          <w:color w:val="auto"/>
        </w:rPr>
      </w:pPr>
      <w:r>
        <w:rPr>
          <w:rFonts w:ascii="Arial" w:cs="Arial" w:eastAsia="Arial" w:hAnsi="Arial"/>
          <w:sz w:val="16"/>
          <w:szCs w:val="16"/>
          <w:color w:val="auto"/>
        </w:rPr>
        <w:t>In addition, our international subsidiaries maintain net assets that are denominated in currencies other than the functional operating currencies of these entities. As we continue to expand our international operations, we become more exposed to the effects of fluctuations in currency exchange rates. Accordingly, changes in the value of foreign currencies relative to the U.S. dollar can affect our results of operations due to transactional and translational remeasurements.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and securities analysts who follow our stock, the trading price of our Class A common stock could be adversely affected.</w:t>
      </w:r>
    </w:p>
    <w:p>
      <w:pPr>
        <w:spacing w:after="0" w:line="170" w:lineRule="exact"/>
        <w:rPr>
          <w:sz w:val="20"/>
          <w:szCs w:val="20"/>
          <w:color w:val="auto"/>
        </w:rPr>
      </w:pPr>
    </w:p>
    <w:p>
      <w:pPr>
        <w:ind w:right="60" w:firstLine="464"/>
        <w:spacing w:after="0" w:line="259" w:lineRule="auto"/>
        <w:rPr>
          <w:sz w:val="20"/>
          <w:szCs w:val="20"/>
          <w:color w:val="auto"/>
        </w:rPr>
      </w:pPr>
      <w:r>
        <w:rPr>
          <w:rFonts w:ascii="Arial" w:cs="Arial" w:eastAsia="Arial" w:hAnsi="Arial"/>
          <w:sz w:val="17"/>
          <w:szCs w:val="17"/>
          <w:color w:val="auto"/>
        </w:rPr>
        <w:t>We recently implemented a program to hedge transactional exposure against the Euro, and may do so in the future with respect to other foreign currencies. We also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83" w:lineRule="exact"/>
        <w:rPr>
          <w:sz w:val="20"/>
          <w:szCs w:val="20"/>
          <w:color w:val="auto"/>
        </w:rPr>
      </w:pPr>
    </w:p>
    <w:p>
      <w:pPr>
        <w:ind w:firstLine="464"/>
        <w:spacing w:after="0" w:line="264" w:lineRule="auto"/>
        <w:rPr>
          <w:sz w:val="20"/>
          <w:szCs w:val="20"/>
          <w:color w:val="auto"/>
        </w:rPr>
      </w:pPr>
      <w:r>
        <w:rPr>
          <w:rFonts w:ascii="Arial" w:cs="Arial" w:eastAsia="Arial" w:hAnsi="Arial"/>
          <w:sz w:val="17"/>
          <w:szCs w:val="17"/>
          <w:b w:val="1"/>
          <w:bCs w:val="1"/>
          <w:i w:val="1"/>
          <w:iCs w:val="1"/>
          <w:color w:val="auto"/>
        </w:rPr>
        <w:t>We have incurred substantial indebtedness that may decrease our business flexibility, access to capital, and/or increase our borrowing costs, and we may still incur substantially more debt, which may adversely affect our operations and financial results.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2023, we had $1.0 billion of indebtedness outstanding (excluding intercompany indebtedness). Our indebtedness may:</w:t>
      </w:r>
    </w:p>
    <w:p>
      <w:pPr>
        <w:spacing w:after="0" w:line="217" w:lineRule="exact"/>
        <w:rPr>
          <w:sz w:val="20"/>
          <w:szCs w:val="20"/>
          <w:color w:val="auto"/>
        </w:rPr>
      </w:pPr>
    </w:p>
    <w:p>
      <w:pPr>
        <w:ind w:left="940" w:right="480" w:hanging="318"/>
        <w:spacing w:after="0" w:line="279" w:lineRule="auto"/>
        <w:tabs>
          <w:tab w:leader="none" w:pos="9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limit our ability to obtain additional financing to fund future working capital, capital expenditures, business opportunities, acquisitions or other general corporate requirements;</w:t>
      </w:r>
    </w:p>
    <w:p>
      <w:pPr>
        <w:spacing w:after="0" w:line="164" w:lineRule="exact"/>
        <w:rPr>
          <w:rFonts w:ascii="Arial" w:cs="Arial" w:eastAsia="Arial" w:hAnsi="Arial"/>
          <w:sz w:val="17"/>
          <w:szCs w:val="17"/>
          <w:color w:val="auto"/>
        </w:rPr>
      </w:pPr>
    </w:p>
    <w:p>
      <w:pPr>
        <w:ind w:left="940" w:right="320" w:hanging="318"/>
        <w:spacing w:after="0" w:line="312" w:lineRule="auto"/>
        <w:tabs>
          <w:tab w:leader="none" w:pos="9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require a portion of our cash flows to be dedicated to debt service payments instead of other purposes, thereby reducing the amount of cash flows available for working capital, capital expenditures, business opportunities, acquisitions and other general corporate purposes;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72" w:name="page73"/>
    <w:bookmarkEnd w:id="72"/>
    <w:p>
      <w:pPr>
        <w:ind w:left="940" w:hanging="318"/>
        <w:spacing w:after="0"/>
        <w:tabs>
          <w:tab w:leader="none" w:pos="9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increase our vulnerability to adverse changes in general economic, industry and competitive conditions;</w:t>
      </w:r>
    </w:p>
    <w:p>
      <w:pPr>
        <w:spacing w:after="0" w:line="217" w:lineRule="exact"/>
        <w:rPr>
          <w:rFonts w:ascii="Arial" w:cs="Arial" w:eastAsia="Arial" w:hAnsi="Arial"/>
          <w:sz w:val="17"/>
          <w:szCs w:val="17"/>
          <w:color w:val="auto"/>
        </w:rPr>
      </w:pPr>
    </w:p>
    <w:p>
      <w:pPr>
        <w:ind w:left="940" w:right="160" w:hanging="318"/>
        <w:spacing w:after="0" w:line="279" w:lineRule="auto"/>
        <w:tabs>
          <w:tab w:leader="none" w:pos="9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expose us to the risk of increased interest rates as certain of our borrowings, including borrowings under a future revolving credit facility, may be at variable rates of interest;</w:t>
      </w:r>
    </w:p>
    <w:p>
      <w:pPr>
        <w:spacing w:after="0" w:line="164" w:lineRule="exact"/>
        <w:rPr>
          <w:rFonts w:ascii="Arial" w:cs="Arial" w:eastAsia="Arial" w:hAnsi="Arial"/>
          <w:sz w:val="17"/>
          <w:szCs w:val="17"/>
          <w:color w:val="auto"/>
        </w:rPr>
      </w:pPr>
    </w:p>
    <w:p>
      <w:pPr>
        <w:ind w:left="940" w:hanging="318"/>
        <w:spacing w:after="0"/>
        <w:tabs>
          <w:tab w:leader="none" w:pos="9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place us at a competitive disadvantage compared to our less leveraged competitors; and</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increase our cost of borrowing.</w:t>
      </w:r>
    </w:p>
    <w:p>
      <w:pPr>
        <w:spacing w:after="0" w:line="217" w:lineRule="exact"/>
        <w:rPr>
          <w:sz w:val="20"/>
          <w:szCs w:val="20"/>
          <w:color w:val="auto"/>
        </w:rPr>
      </w:pPr>
    </w:p>
    <w:p>
      <w:pPr>
        <w:ind w:right="120" w:firstLine="464"/>
        <w:spacing w:after="0" w:line="302" w:lineRule="auto"/>
        <w:rPr>
          <w:sz w:val="20"/>
          <w:szCs w:val="20"/>
          <w:color w:val="auto"/>
        </w:rPr>
      </w:pPr>
      <w:r>
        <w:rPr>
          <w:rFonts w:ascii="Arial" w:cs="Arial" w:eastAsia="Arial" w:hAnsi="Arial"/>
          <w:sz w:val="15"/>
          <w:szCs w:val="15"/>
          <w:color w:val="auto"/>
        </w:rPr>
        <w:t>In addition, the indenture which governs our 3.625% notes due 2029 (the “2029 Notes”) and our 3.875% notes due 2031 (the “2031 Notes,” and together with the 2029 Notes, the “Notes”) contains restrictive covenants that limit our ability to engage in activities that may be in our long-term best interest. Our failure to comply with those covenants could result in an event of default which, if not cured or waived, could permit the trustee, or permit the holders of the Notes to cause the trustee, to declare all or part of the Notes to be immediately due and payable or to exercise any remedies provided to the trustee and/or result in the acceleration of substantially all of our indebtedness. Any such event would adversely affect our business, results of operations and financial condition.</w:t>
      </w:r>
    </w:p>
    <w:p>
      <w:pPr>
        <w:spacing w:after="0" w:line="152" w:lineRule="exact"/>
        <w:rPr>
          <w:sz w:val="20"/>
          <w:szCs w:val="20"/>
          <w:color w:val="auto"/>
        </w:rPr>
      </w:pPr>
    </w:p>
    <w:p>
      <w:pPr>
        <w:ind w:right="20" w:firstLine="464"/>
        <w:spacing w:after="0" w:line="256" w:lineRule="auto"/>
        <w:rPr>
          <w:sz w:val="20"/>
          <w:szCs w:val="20"/>
          <w:color w:val="auto"/>
        </w:rPr>
      </w:pPr>
      <w:r>
        <w:rPr>
          <w:rFonts w:ascii="Arial" w:cs="Arial" w:eastAsia="Arial" w:hAnsi="Arial"/>
          <w:sz w:val="17"/>
          <w:szCs w:val="17"/>
          <w:color w:val="auto"/>
        </w:rPr>
        <w:t>If our cash flows and capital resources are insufficient to fund our debt service obligations, we could face substantial liquidity problems and may be forced to reduce or delay investments and capital expenditures. We may be forced to sell assets, seek additional capital, or restructure or refinance our indebtedness, including the Notes. Our ability to restructure or refinance our debt will depend on, among other things, the condition of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and our financial condition. In the absence of such cash flows and resources, we could face substantial liquidity problems and might be required to dispose of material assets or operations to meet our debt service and other obligations.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require additional capital to support our business, and this capital might not be available on acceptable terms, if at all.</w:t>
      </w:r>
    </w:p>
    <w:p>
      <w:pPr>
        <w:spacing w:after="0" w:line="204" w:lineRule="exact"/>
        <w:rPr>
          <w:sz w:val="20"/>
          <w:szCs w:val="20"/>
          <w:color w:val="auto"/>
        </w:rPr>
      </w:pPr>
    </w:p>
    <w:p>
      <w:pPr>
        <w:ind w:firstLine="464"/>
        <w:spacing w:after="0" w:line="272" w:lineRule="auto"/>
        <w:rPr>
          <w:sz w:val="20"/>
          <w:szCs w:val="20"/>
          <w:color w:val="auto"/>
        </w:rPr>
      </w:pPr>
      <w:r>
        <w:rPr>
          <w:rFonts w:ascii="Arial" w:cs="Arial" w:eastAsia="Arial" w:hAnsi="Arial"/>
          <w:sz w:val="16"/>
          <w:szCs w:val="16"/>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restricted stock units.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Class A common stock. Any debt financing that we may secure in the future could involve restrictive covenants relating to our capital raising activities, our ability to repurchase stock, and other financial and operational matters, which may make it more difficult for us to obtain additional capital and to pursue business opportunities. We may not be able to obtain additional financing on terms favorable to us, if at all, particularly during times of market volatility and general economic instability.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spacing w:after="0" w:line="179" w:lineRule="exact"/>
        <w:rPr>
          <w:sz w:val="20"/>
          <w:szCs w:val="20"/>
          <w:color w:val="auto"/>
        </w:rPr>
      </w:pPr>
    </w:p>
    <w:p>
      <w:pPr>
        <w:ind w:right="160" w:firstLine="464"/>
        <w:spacing w:after="0" w:line="279" w:lineRule="auto"/>
        <w:rPr>
          <w:sz w:val="20"/>
          <w:szCs w:val="20"/>
          <w:color w:val="auto"/>
        </w:rPr>
      </w:pPr>
      <w:r>
        <w:rPr>
          <w:rFonts w:ascii="Arial" w:cs="Arial" w:eastAsia="Arial" w:hAnsi="Arial"/>
          <w:sz w:val="17"/>
          <w:szCs w:val="17"/>
          <w:b w:val="1"/>
          <w:bCs w:val="1"/>
          <w:i w:val="1"/>
          <w:iCs w:val="1"/>
          <w:color w:val="auto"/>
        </w:rPr>
        <w:t>We rely on assumptions and estimates to calculate certain of our key metrics, and real or perceived inaccuracies in such metrics could adversely affect our reputation and our business.</w:t>
      </w:r>
    </w:p>
    <w:p>
      <w:pPr>
        <w:spacing w:after="0" w:line="151" w:lineRule="exact"/>
        <w:rPr>
          <w:sz w:val="20"/>
          <w:szCs w:val="20"/>
          <w:color w:val="auto"/>
        </w:rPr>
      </w:pPr>
    </w:p>
    <w:p>
      <w:pPr>
        <w:ind w:right="20" w:firstLine="464"/>
        <w:spacing w:after="0" w:line="257" w:lineRule="auto"/>
        <w:rPr>
          <w:sz w:val="20"/>
          <w:szCs w:val="20"/>
          <w:color w:val="auto"/>
        </w:rPr>
      </w:pPr>
      <w:r>
        <w:rPr>
          <w:rFonts w:ascii="Arial" w:cs="Arial" w:eastAsia="Arial" w:hAnsi="Arial"/>
          <w:sz w:val="17"/>
          <w:szCs w:val="17"/>
          <w:color w:val="auto"/>
        </w:rPr>
        <w:t>We rely on assumptions and estimates to calculate certain of our key metrics, such as Active Customer Accounts and Dollar-Based Net Expansion Rate. Our key metrics are not based on any standardized industry methodology and are not necessarily calculated in the same manner or comparable to similarly titled measures presented by other companies. Similarly, our key metrics may differ from estimates published by third parties or from similarly titled metrics of our competitors due to differences in methodology. The numbers that we use to calculate Active Customer Accounts and Dollar-Based Net Expansion Rate are based on internal data. While these numbers are based on what we believe to be reasonable judgments and estimates for the applicable period of measurement, there are inherent challenges in measuring usage. We regularly review and may adjust our processes for calculating our internal metrics to improve their accuracy. If investors or analysts do not perceive our</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73" w:name="page74"/>
    <w:bookmarkEnd w:id="73"/>
    <w:p>
      <w:pPr>
        <w:ind w:right="300"/>
        <w:spacing w:after="0" w:line="279" w:lineRule="auto"/>
        <w:rPr>
          <w:sz w:val="20"/>
          <w:szCs w:val="20"/>
          <w:color w:val="auto"/>
        </w:rPr>
      </w:pPr>
      <w:r>
        <w:rPr>
          <w:rFonts w:ascii="Arial" w:cs="Arial" w:eastAsia="Arial" w:hAnsi="Arial"/>
          <w:sz w:val="17"/>
          <w:szCs w:val="17"/>
          <w:color w:val="auto"/>
        </w:rPr>
        <w:t>metrics to be accurate representations of our business, or if we discover material inaccuracies in our metrics, our reputation, business, results of operations, and financial condition would be harmed.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27" w:lineRule="exact"/>
        <w:rPr>
          <w:sz w:val="20"/>
          <w:szCs w:val="20"/>
          <w:color w:val="auto"/>
        </w:rPr>
      </w:pPr>
    </w:p>
    <w:p>
      <w:pPr>
        <w:ind w:right="100" w:firstLine="464"/>
        <w:spacing w:after="0" w:line="275"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 Item 2,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Assumptions and estimates used in preparing our consolidated financial statements include those related to revenue recognition and business combinations.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Changes in accounting standards or practices may cause adverse, unexpected financial reporting fluctuations and affect our results of operations.</w:t>
      </w:r>
    </w:p>
    <w:p>
      <w:pPr>
        <w:spacing w:after="0" w:line="240" w:lineRule="exact"/>
        <w:rPr>
          <w:sz w:val="20"/>
          <w:szCs w:val="20"/>
          <w:color w:val="auto"/>
        </w:rPr>
      </w:pPr>
    </w:p>
    <w:p>
      <w:pPr>
        <w:ind w:right="40" w:firstLine="464"/>
        <w:spacing w:after="0" w:line="257" w:lineRule="auto"/>
        <w:rPr>
          <w:sz w:val="20"/>
          <w:szCs w:val="20"/>
          <w:color w:val="auto"/>
        </w:rPr>
      </w:pPr>
      <w:r>
        <w:rPr>
          <w:rFonts w:ascii="Arial" w:cs="Arial" w:eastAsia="Arial" w:hAnsi="Arial"/>
          <w:sz w:val="17"/>
          <w:szCs w:val="17"/>
          <w:color w:val="auto"/>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Accounting Standards Codification (“ASC”) 842, “Leases” that became effective January 1, 2019, had a material impact on our consolidated financial statements as described in detail in Note 2 to the consolidated financial statements included in our Annual Report on Form 10-K for the year ended December 31, 2020. Adoption of these types of accounting standards and any difficulties in implementation of changes in accounting principles, including the ability to modify our accounting systems, could cause us to fail to meet our financial reporting obligations, which result in regulatory discipline and harm investors' confidence in us.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If our goodwill or intangible assets become impaired, we may be required to record a significant charge to earnings.</w:t>
      </w:r>
    </w:p>
    <w:p>
      <w:pPr>
        <w:spacing w:after="0" w:line="217" w:lineRule="exact"/>
        <w:rPr>
          <w:sz w:val="20"/>
          <w:szCs w:val="20"/>
          <w:color w:val="auto"/>
        </w:rPr>
      </w:pPr>
    </w:p>
    <w:p>
      <w:pPr>
        <w:ind w:right="180" w:firstLine="464"/>
        <w:spacing w:after="0" w:line="259" w:lineRule="auto"/>
        <w:rPr>
          <w:sz w:val="20"/>
          <w:szCs w:val="20"/>
          <w:color w:val="auto"/>
        </w:rPr>
      </w:pPr>
      <w:r>
        <w:rPr>
          <w:rFonts w:ascii="Arial" w:cs="Arial" w:eastAsia="Arial" w:hAnsi="Arial"/>
          <w:sz w:val="17"/>
          <w:szCs w:val="17"/>
          <w:color w:val="auto"/>
        </w:rPr>
        <w:t>We review our intangible assets for impairment when events or changes in circumstances indicate the carrying value may not be recoverable. Goodwill is required to be tested for impairment at least annually. As of June 30, 2023, we carried a net $6.0 billion of goodwill and intangible assets. An adverse change in market conditions or significant changes in accounting conclusions, particularly if such changes have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183" w:lineRule="exact"/>
        <w:rPr>
          <w:sz w:val="20"/>
          <w:szCs w:val="20"/>
          <w:color w:val="auto"/>
        </w:rPr>
      </w:pPr>
    </w:p>
    <w:p>
      <w:pPr>
        <w:ind w:right="100" w:firstLine="464"/>
        <w:spacing w:after="0" w:line="279"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64" w:lineRule="exact"/>
        <w:rPr>
          <w:sz w:val="20"/>
          <w:szCs w:val="20"/>
          <w:color w:val="auto"/>
        </w:rPr>
      </w:pPr>
    </w:p>
    <w:p>
      <w:pPr>
        <w:ind w:right="120" w:firstLine="464"/>
        <w:spacing w:after="0" w:line="259"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 Section 404 of the Sarbanes-Oxley Act of 2002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83" w:lineRule="exact"/>
        <w:rPr>
          <w:sz w:val="20"/>
          <w:szCs w:val="20"/>
          <w:color w:val="auto"/>
        </w:rPr>
      </w:pPr>
    </w:p>
    <w:p>
      <w:pPr>
        <w:ind w:firstLine="464"/>
        <w:spacing w:after="0" w:line="257"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weaknesses in our disclosure controls and internal control over financial reporting may be discovered in the future. In addition, if we acquire additional businesses, we may not be able to successfully integrate the acquired operations and technologies and maintain internal control over financial reporting, if applicable, in accordance with the requirements of Section 404 of the Sarbanes-Oxley Act.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74" w:name="page75"/>
    <w:bookmarkEnd w:id="74"/>
    <w:p>
      <w:pPr>
        <w:spacing w:after="0" w:line="283" w:lineRule="auto"/>
        <w:rPr>
          <w:sz w:val="20"/>
          <w:szCs w:val="20"/>
          <w:color w:val="auto"/>
        </w:rPr>
      </w:pPr>
      <w:r>
        <w:rPr>
          <w:rFonts w:ascii="Arial" w:cs="Arial" w:eastAsia="Arial" w:hAnsi="Arial"/>
          <w:sz w:val="16"/>
          <w:szCs w:val="16"/>
          <w:color w:val="auto"/>
        </w:rPr>
        <w:t>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and could have a material and adverse effect on our business, results of operations and financial condition and could cause a decline in the trading price of our Class A common stock. In addition, if we are unable to continue to meet these requirements, we may not be able to remain listed on the New York Stock Exchange.</w:t>
      </w:r>
    </w:p>
    <w:p>
      <w:pPr>
        <w:spacing w:after="0" w:line="158"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auto"/>
        </w:rPr>
        <w:t>Risks Related to Tax Matters</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ability to use our net operating losses and certain other tax attributes to offset future taxable income and taxes may be subject to certain limitations.</w:t>
      </w:r>
    </w:p>
    <w:p>
      <w:pPr>
        <w:spacing w:after="0" w:line="252" w:lineRule="exact"/>
        <w:rPr>
          <w:sz w:val="20"/>
          <w:szCs w:val="20"/>
          <w:color w:val="auto"/>
        </w:rPr>
      </w:pPr>
    </w:p>
    <w:p>
      <w:pPr>
        <w:ind w:firstLine="464"/>
        <w:spacing w:after="0" w:line="257" w:lineRule="auto"/>
        <w:rPr>
          <w:sz w:val="20"/>
          <w:szCs w:val="20"/>
          <w:color w:val="auto"/>
        </w:rPr>
      </w:pPr>
      <w:r>
        <w:rPr>
          <w:rFonts w:ascii="Arial" w:cs="Arial" w:eastAsia="Arial" w:hAnsi="Arial"/>
          <w:sz w:val="17"/>
          <w:szCs w:val="17"/>
          <w:color w:val="auto"/>
        </w:rPr>
        <w:t>As of December 31, 2022, we had U.S. federal, state and foreign net operating loss carryforwards (“NOLs”), of $3.7 billion, $2.7 billion and $498.5 million, respectively. Utilization of these NOL carryforwards depends on our future taxable income, and there is risk that a portion of our existing NOLs could expire unused, and that even if we achieve profitability, the use of our unexpired NOLs would be subject to limitations, which could materially and adversely affect our operating results. U.S. federal NOLs generated in taxable years beginning before January 1, 2018, may be carried forward only 20 years to offset future taxable income, if any. Under current law, U.S. federal NOLs generated in taxable years beginning after December 31, 2017, can be carried forward indefinitely, but the deductibility of such U.S. federal NOLs in taxable years beginning after December 31, 2020, is limited to 80% of taxable income. It is uncertain if and to what extent various states will conform to federal law.</w:t>
      </w:r>
    </w:p>
    <w:p>
      <w:pPr>
        <w:spacing w:after="0" w:line="185" w:lineRule="exact"/>
        <w:rPr>
          <w:sz w:val="20"/>
          <w:szCs w:val="20"/>
          <w:color w:val="auto"/>
        </w:rPr>
      </w:pPr>
    </w:p>
    <w:p>
      <w:pPr>
        <w:ind w:right="20" w:firstLine="464"/>
        <w:spacing w:after="0" w:line="297" w:lineRule="auto"/>
        <w:rPr>
          <w:sz w:val="20"/>
          <w:szCs w:val="20"/>
          <w:color w:val="auto"/>
        </w:rPr>
      </w:pPr>
      <w:r>
        <w:rPr>
          <w:rFonts w:ascii="Arial" w:cs="Arial" w:eastAsia="Arial" w:hAnsi="Arial"/>
          <w:sz w:val="15"/>
          <w:szCs w:val="15"/>
          <w:color w:val="auto"/>
        </w:rPr>
        <w:t>Under Sections 382 and 383 of the Internal Revenue Code of 1986, as amended (the “Code”), and corresponding provisions of state law,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and other pre-change tax attributes to offset post-change taxable income and taxes. Our existing NOLs and other tax attributes may be subject to limitations arising from previous ownership changes, and if we undergo an ownership change in the future, our ability to utilize NOLs could be further limited by Section 382 of the Code. Future changes in our stock ownership, some of which may be outside of our control, could result in an ownership change under Section 382 of the Code. In addition, at the state level, there may be periods during which the use of NOL carryforwards is suspended or otherwise limited, which could accelerate or permanently increase state taxes owed.</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have additional tax liabilities, which could harm our business, results of operations and financial condition.</w:t>
      </w:r>
    </w:p>
    <w:p>
      <w:pPr>
        <w:spacing w:after="0" w:line="217" w:lineRule="exact"/>
        <w:rPr>
          <w:sz w:val="20"/>
          <w:szCs w:val="20"/>
          <w:color w:val="auto"/>
        </w:rPr>
      </w:pPr>
    </w:p>
    <w:p>
      <w:pPr>
        <w:ind w:right="80" w:firstLine="464"/>
        <w:spacing w:after="0" w:line="277" w:lineRule="auto"/>
        <w:rPr>
          <w:sz w:val="20"/>
          <w:szCs w:val="20"/>
          <w:color w:val="auto"/>
        </w:rPr>
      </w:pPr>
      <w:r>
        <w:rPr>
          <w:rFonts w:ascii="Arial" w:cs="Arial" w:eastAsia="Arial" w:hAnsi="Arial"/>
          <w:sz w:val="16"/>
          <w:szCs w:val="16"/>
          <w:color w:val="auto"/>
        </w:rPr>
        <w:t>Significant judgments and estimates are required in determining our provision for income taxes and other tax liabilities. Our tax expense may be impacted, for example, if tax laws change or are clarified to our detriment or if tax authorities successfully challenge the tax positions that we take, such as, for example, positions relating to the arm’s-length pricing standards for our intercompany transactions and our indirect tax positions. In determining the adequacy of our provision for income taxes, we assess the likelihood of adverse outcomes that could result if our tax positions were challenged by the Internal Revenue Service (“IRS”), and other tax authorities. Should the IRS or other tax authorities assess additional taxes as a result of examinations, we may be required to record charges to operations that could adversely affect our results of operations and financial condition.</w:t>
      </w:r>
    </w:p>
    <w:p>
      <w:pPr>
        <w:spacing w:after="0" w:line="170" w:lineRule="exact"/>
        <w:rPr>
          <w:sz w:val="20"/>
          <w:szCs w:val="20"/>
          <w:color w:val="auto"/>
        </w:rPr>
      </w:pPr>
    </w:p>
    <w:p>
      <w:pPr>
        <w:ind w:right="40" w:firstLine="464"/>
        <w:spacing w:after="0" w:line="262" w:lineRule="auto"/>
        <w:rPr>
          <w:sz w:val="20"/>
          <w:szCs w:val="20"/>
          <w:color w:val="auto"/>
        </w:rPr>
      </w:pPr>
      <w:r>
        <w:rPr>
          <w:rFonts w:ascii="Arial" w:cs="Arial" w:eastAsia="Arial" w:hAnsi="Arial"/>
          <w:sz w:val="17"/>
          <w:szCs w:val="17"/>
          <w:color w:val="auto"/>
        </w:rPr>
        <w:t>We conduct operations in many tax jurisdictions throughout the United States and internationally. In many of these jurisdictions, non-income-based taxes, such as sales, VAT, GST, and telecommunications taxes, are assessed on our operations or our sales to customers. We are subject to indirect taxes, and may be subject to certain other taxes, in some of these jurisdictions. We collect certain telecommunications-based taxes from our customers in certain jurisdictions, and we expect to continue expanding the number of jurisdictions in which we will collect these taxes in the future.</w:t>
      </w:r>
    </w:p>
    <w:p>
      <w:pPr>
        <w:spacing w:after="0" w:line="178" w:lineRule="exact"/>
        <w:rPr>
          <w:sz w:val="20"/>
          <w:szCs w:val="20"/>
          <w:color w:val="auto"/>
        </w:rPr>
      </w:pPr>
    </w:p>
    <w:p>
      <w:pPr>
        <w:ind w:right="20" w:firstLine="464"/>
        <w:spacing w:after="0" w:line="283" w:lineRule="auto"/>
        <w:rPr>
          <w:sz w:val="20"/>
          <w:szCs w:val="20"/>
          <w:color w:val="auto"/>
        </w:rPr>
      </w:pPr>
      <w:r>
        <w:rPr>
          <w:rFonts w:ascii="Arial" w:cs="Arial" w:eastAsia="Arial" w:hAnsi="Arial"/>
          <w:sz w:val="16"/>
          <w:szCs w:val="16"/>
          <w:color w:val="auto"/>
        </w:rPr>
        <w:t>Many states are also pursuing legislative expansion of the scope of goods and services that are subject to sales and similar taxes as well as the circumstances in which a vendor of goods and services must collect such taxes. Following the United States Supreme Court decision in South Dakota v. Wayfair, Inc., states are now free to levy taxes on sales of goods and services based on an “economic nexus,” regardless of whether the seller has a physical presence in the state. Any additional fees and taxes levied on our services by any state may adversely impact our results of operations.</w:t>
      </w:r>
    </w:p>
    <w:p>
      <w:pPr>
        <w:spacing w:after="0" w:line="164" w:lineRule="exact"/>
        <w:rPr>
          <w:sz w:val="20"/>
          <w:szCs w:val="20"/>
          <w:color w:val="auto"/>
        </w:rPr>
      </w:pPr>
    </w:p>
    <w:p>
      <w:pPr>
        <w:ind w:right="20" w:firstLine="464"/>
        <w:spacing w:after="0" w:line="283" w:lineRule="auto"/>
        <w:rPr>
          <w:sz w:val="20"/>
          <w:szCs w:val="20"/>
          <w:color w:val="auto"/>
        </w:rPr>
      </w:pPr>
      <w:r>
        <w:rPr>
          <w:rFonts w:ascii="Arial" w:cs="Arial" w:eastAsia="Arial" w:hAnsi="Arial"/>
          <w:sz w:val="16"/>
          <w:szCs w:val="16"/>
          <w:color w:val="auto"/>
        </w:rPr>
        <w:t>Historically, we have not billed or collected taxes in certain jurisdictions and, in accordance with generally accepted accounting principles in the United States (“U.S. GAAP”), we have recorded a provision for our tax exposure in these jurisdictions when it is both probable that a liability has been incurred and the amount of the exposure can be reasonably estimated. We reserved $31.8 million and $20.5 million for domestic jurisdictions and jurisdictions outside of the United States, respectively, on our June 30, 2023 balance sheet for these tax payments. These estimates include several key assumptions,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75" w:name="page76"/>
    <w:bookmarkEnd w:id="75"/>
    <w:p>
      <w:pPr>
        <w:spacing w:after="0" w:line="259" w:lineRule="auto"/>
        <w:rPr>
          <w:sz w:val="20"/>
          <w:szCs w:val="20"/>
          <w:color w:val="auto"/>
        </w:rPr>
      </w:pPr>
      <w:r>
        <w:rPr>
          <w:rFonts w:ascii="Arial" w:cs="Arial" w:eastAsia="Arial" w:hAnsi="Arial"/>
          <w:sz w:val="17"/>
          <w:szCs w:val="17"/>
          <w:color w:val="auto"/>
        </w:rPr>
        <w:t>including, but not limited to, the taxability of our products, the jurisdictions in which we believe we have nexus or a permanent establishment, and the sourcing of revenues to those jurisdictions. In the event these jurisdictions challenge our assumptions and analysis, our actual exposure could differ materially from our current estimates and reserves. If the actual payments we make to any jurisdiction exceed the accrual in our balance sheet, our results of operations would be harmed. In addition, some customers may question the incremental tax charges and seek to negotiate lower pricing from us, which could adversely affect our business, results of operations and financial condition.</w:t>
      </w:r>
    </w:p>
    <w:p>
      <w:pPr>
        <w:spacing w:after="0" w:line="183" w:lineRule="exact"/>
        <w:rPr>
          <w:sz w:val="20"/>
          <w:szCs w:val="20"/>
          <w:color w:val="auto"/>
        </w:rPr>
      </w:pPr>
    </w:p>
    <w:p>
      <w:pPr>
        <w:ind w:right="80" w:firstLine="464"/>
        <w:spacing w:after="0" w:line="297" w:lineRule="auto"/>
        <w:rPr>
          <w:sz w:val="20"/>
          <w:szCs w:val="20"/>
          <w:color w:val="auto"/>
        </w:rPr>
      </w:pPr>
      <w:r>
        <w:rPr>
          <w:rFonts w:ascii="Arial" w:cs="Arial" w:eastAsia="Arial" w:hAnsi="Arial"/>
          <w:sz w:val="15"/>
          <w:szCs w:val="15"/>
          <w:color w:val="auto"/>
        </w:rPr>
        <w:t>We are in discussions with certain jurisdictions regarding potential sales and other indirect taxes for prior periods that we may owe. If any of these jurisdictions disagree with management's assumptions and analysis, the assessment of our tax exposure could differ materially from management's current estimates. For example, San Francisco City and County has assessed us for $38.8 million in taxes, including interest and penalties, which exceeded the $11.5 million we had accrued for that assessment. We have paid the full amount, as required by law, and the payment made in excess of the accrued amount is reflected as a deposit on our balance sheet. We believe, however, that this assessment is incorrect and, after failing to reach a settlement, filed a lawsuit on May 27, 2021 contesting the assessment. The previously set trial date remains vacated, and the parties expect to file an update with the Court on the status of the case in October 2023. However, litigation is uncertain and a ruling against us may adversely affect our financial position and results of operations.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global operations and structure subject us to potentially adverse tax consequences.</w:t>
      </w:r>
    </w:p>
    <w:p>
      <w:pPr>
        <w:spacing w:after="0" w:line="217" w:lineRule="exact"/>
        <w:rPr>
          <w:sz w:val="20"/>
          <w:szCs w:val="20"/>
          <w:color w:val="auto"/>
        </w:rPr>
      </w:pPr>
    </w:p>
    <w:p>
      <w:pPr>
        <w:ind w:firstLine="464"/>
        <w:spacing w:after="0" w:line="257" w:lineRule="auto"/>
        <w:rPr>
          <w:sz w:val="20"/>
          <w:szCs w:val="20"/>
          <w:color w:val="auto"/>
        </w:rPr>
      </w:pPr>
      <w:r>
        <w:rPr>
          <w:rFonts w:ascii="Arial" w:cs="Arial" w:eastAsia="Arial" w:hAnsi="Arial"/>
          <w:sz w:val="17"/>
          <w:szCs w:val="17"/>
          <w:color w:val="auto"/>
        </w:rPr>
        <w:t>We generally conduct our global operations through subsidiaries and report our taxable income in various jurisdictions worldwide based upon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Changes in, or interpretations of, tax rules and regulations or our tax positions may materially and adversely affect our income taxes.</w:t>
      </w:r>
    </w:p>
    <w:p>
      <w:pPr>
        <w:spacing w:after="0" w:line="229" w:lineRule="exact"/>
        <w:rPr>
          <w:sz w:val="20"/>
          <w:szCs w:val="20"/>
          <w:color w:val="auto"/>
        </w:rPr>
      </w:pPr>
    </w:p>
    <w:p>
      <w:pPr>
        <w:ind w:right="60" w:firstLine="464"/>
        <w:spacing w:after="0" w:line="274" w:lineRule="auto"/>
        <w:rPr>
          <w:sz w:val="20"/>
          <w:szCs w:val="20"/>
          <w:color w:val="auto"/>
        </w:rPr>
      </w:pPr>
      <w:r>
        <w:rPr>
          <w:rFonts w:ascii="Arial" w:cs="Arial" w:eastAsia="Arial" w:hAnsi="Arial"/>
          <w:sz w:val="16"/>
          <w:szCs w:val="16"/>
          <w:color w:val="auto"/>
        </w:rPr>
        <w:t>We are subject to income taxes in both the United States and numerous international jurisdictions. Significant judgment is required in determining our worldwide provision for income taxes. In the ordinary course of our business, there are many transactions and calculations where the ultimate tax determination is uncertain. Our effective tax rates may fluctuate significantly on a quarterly basis because of a variety of factors, including changes in the mix of earnings and losses in countries with differing statutory tax rates, changes in our business or structure, changes in tax laws that could adversely impact our income or non-income taxes or the expiration of or disputes about certain tax agreements in a particular country. We are subject to audit by various tax authorities. In accordance with U.S. GAAP, we recognize income tax benefits, net of required valuation allowances and accrual for uncertain tax positions. Although we believe our tax estimates are reasonable, the final determination of tax audits and any related litigation could be materially different than that which is reflected in historical income tax provisions and accruals. Should additional taxes be assessed as a result of an audit or litigation, an adverse effect on our results of operations, financial condition and cash flows in the period or periods for which that determination is made could result.</w:t>
      </w:r>
    </w:p>
    <w:p>
      <w:pPr>
        <w:spacing w:after="0" w:line="172" w:lineRule="exact"/>
        <w:rPr>
          <w:sz w:val="20"/>
          <w:szCs w:val="20"/>
          <w:color w:val="auto"/>
        </w:rPr>
      </w:pPr>
    </w:p>
    <w:p>
      <w:pPr>
        <w:ind w:right="60" w:firstLine="464"/>
        <w:spacing w:after="0" w:line="257" w:lineRule="auto"/>
        <w:rPr>
          <w:sz w:val="20"/>
          <w:szCs w:val="20"/>
          <w:color w:val="auto"/>
        </w:rPr>
      </w:pPr>
      <w:r>
        <w:rPr>
          <w:rFonts w:ascii="Arial" w:cs="Arial" w:eastAsia="Arial" w:hAnsi="Arial"/>
          <w:sz w:val="17"/>
          <w:szCs w:val="17"/>
          <w:color w:val="auto"/>
        </w:rPr>
        <w:t>Changes in tax laws (including in response to the COVID-19 pandemic)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For example, on August 16, 2022, the Inflation Reduction Act of 2022 was signed into law, with tax provisions primarily focused on implementing a 15% minimum tax on global adjusted financial statement income, effective for tax years beginning after December 31, 2022, and a 1% excise tax on share repurchases occurring after December 31, 2022, which may affect our share repurchase program.</w:t>
      </w:r>
    </w:p>
    <w:p>
      <w:pPr>
        <w:spacing w:after="0" w:line="185" w:lineRule="exact"/>
        <w:rPr>
          <w:sz w:val="20"/>
          <w:szCs w:val="20"/>
          <w:color w:val="auto"/>
        </w:rPr>
      </w:pPr>
    </w:p>
    <w:p>
      <w:pPr>
        <w:ind w:right="280" w:firstLine="464"/>
        <w:spacing w:after="0" w:line="266" w:lineRule="auto"/>
        <w:rPr>
          <w:sz w:val="20"/>
          <w:szCs w:val="20"/>
          <w:color w:val="auto"/>
        </w:rPr>
      </w:pPr>
      <w:r>
        <w:rPr>
          <w:rFonts w:ascii="Arial" w:cs="Arial" w:eastAsia="Arial" w:hAnsi="Arial"/>
          <w:sz w:val="17"/>
          <w:szCs w:val="17"/>
          <w:color w:val="auto"/>
        </w:rPr>
        <w:t>As another example, beginning in 2022, the Tax Cuts and Jobs Act of 2017 (the “Tax Act”) eliminates the option to deduct research and development expenditures currently and requires taxpayers to capitalize and amortize them over five or fifteen years pursuant to Section 174 of the Code, which impacts our effective tax rate and our cash tax liability in 2023. If the</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68" w:right="35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t>requirement to capitalize Section 174 expenditures is not modified by legislation, it may also impact our effective tax rate and our cash tax liability in the future.</w:t>
      </w:r>
    </w:p>
    <w:p>
      <w:pPr>
        <w:spacing w:after="0" w:line="229" w:lineRule="exact"/>
        <w:rPr>
          <w:sz w:val="20"/>
          <w:szCs w:val="20"/>
          <w:color w:val="auto"/>
        </w:rPr>
      </w:pPr>
    </w:p>
    <w:p>
      <w:pPr>
        <w:ind w:right="40" w:firstLine="464"/>
        <w:spacing w:after="0" w:line="257" w:lineRule="auto"/>
        <w:rPr>
          <w:sz w:val="20"/>
          <w:szCs w:val="20"/>
          <w:color w:val="auto"/>
        </w:rPr>
      </w:pPr>
      <w:r>
        <w:rPr>
          <w:rFonts w:ascii="Arial" w:cs="Arial" w:eastAsia="Arial" w:hAnsi="Arial"/>
          <w:sz w:val="17"/>
          <w:szCs w:val="17"/>
          <w:color w:val="auto"/>
        </w:rPr>
        <w:t>On October 8, 2021, the Organization for Economic Co-operation and Development (the “OECD”) announced the OECD/G20 Inclusive Framework on Base Erosion and Profit Shifting (the “Framework”) which agreed to a two-pillar solution to address tax challenges arising from digitalization of the economy. On December 20, 2021, the OECD released Pillar Two Model Rules defining the global minimum tax rules, which contemplate a minimum tax rate of 15%. The OECD continues to release additional guidance on these rules and the Framework calls for law enactment by OECD and G20 members to take effect after 2023. These changes, when enacted by various countries in which we do business, may increase our taxes in these countries. Changes to these and other areas in relation to international tax reform, including future actions taken by foreign governments in response to the Tax Act, could increase uncertainty and may adversely affect our tax rate and cash flow in future years.</w:t>
      </w:r>
    </w:p>
    <w:p>
      <w:pPr>
        <w:spacing w:after="0" w:line="179"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Risks Related to Ownership of Our Class A Common Stock</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The trading price of our Class A common stock has been volatile and may continue to be volatile, and you could lose all or part of your investment.</w:t>
      </w:r>
    </w:p>
    <w:p>
      <w:pPr>
        <w:spacing w:after="0" w:line="240"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The trading price of our Class A common stock has, and may continue to, fluctuate significantly in response to numerous factors, many of which are beyond our control and may not be related to our operating performance, including:</w:t>
      </w:r>
    </w:p>
    <w:p>
      <w:pPr>
        <w:spacing w:after="0" w:line="164" w:lineRule="exact"/>
        <w:rPr>
          <w:sz w:val="20"/>
          <w:szCs w:val="20"/>
          <w:color w:val="auto"/>
        </w:rPr>
      </w:pPr>
    </w:p>
    <w:p>
      <w:pPr>
        <w:ind w:left="940" w:hanging="318"/>
        <w:spacing w:after="0"/>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volatility in the trading prices and trading volumes of technology stocks;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228" w:lineRule="exact"/>
        <w:rPr>
          <w:rFonts w:ascii="Arial" w:cs="Arial" w:eastAsia="Arial" w:hAnsi="Arial"/>
          <w:sz w:val="16"/>
          <w:szCs w:val="16"/>
          <w:color w:val="auto"/>
        </w:rPr>
      </w:pPr>
    </w:p>
    <w:p>
      <w:pPr>
        <w:ind w:left="940" w:hanging="318"/>
        <w:spacing w:after="0"/>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sales of shares of our Class A common stock by our stockholders;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issuance or repurchase of shares of our Class A common stock;</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short selling of our Class A common stock or related derivatives;</w:t>
      </w:r>
    </w:p>
    <w:p>
      <w:pPr>
        <w:spacing w:after="0" w:line="217" w:lineRule="exact"/>
        <w:rPr>
          <w:rFonts w:ascii="Arial" w:cs="Arial" w:eastAsia="Arial" w:hAnsi="Arial"/>
          <w:sz w:val="17"/>
          <w:szCs w:val="17"/>
          <w:color w:val="auto"/>
        </w:rPr>
      </w:pPr>
    </w:p>
    <w:p>
      <w:pPr>
        <w:ind w:left="940" w:right="100" w:hanging="318"/>
        <w:spacing w:after="0" w:line="279" w:lineRule="auto"/>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164" w:lineRule="exact"/>
        <w:rPr>
          <w:rFonts w:ascii="Arial" w:cs="Arial" w:eastAsia="Arial" w:hAnsi="Arial"/>
          <w:sz w:val="17"/>
          <w:szCs w:val="17"/>
          <w:color w:val="auto"/>
        </w:rPr>
      </w:pPr>
    </w:p>
    <w:p>
      <w:pPr>
        <w:ind w:left="940" w:hanging="318"/>
        <w:spacing w:after="0"/>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or services;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204" w:lineRule="exact"/>
        <w:rPr>
          <w:rFonts w:ascii="Arial" w:cs="Arial" w:eastAsia="Arial" w:hAnsi="Arial"/>
          <w:sz w:val="17"/>
          <w:szCs w:val="17"/>
          <w:color w:val="auto"/>
        </w:rPr>
      </w:pPr>
    </w:p>
    <w:p>
      <w:pPr>
        <w:ind w:left="940" w:hanging="318"/>
        <w:spacing w:after="0"/>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laws, industry standards, regulations or regulatory enforcement in the United States or internationally;</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actual or anticipated changes in our results of operations or fluctuations in our results of operations;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our competitors’ businesses or the competitive landscape generally;</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litigation involving us, our industry or both, or investigations by regulators into our operations or those of our competitors;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products, services or technologies by us or our competitors;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68" w:right="359" w:bottom="1440" w:gutter="0" w:footer="0" w:header="0"/>
        </w:sectPr>
      </w:pPr>
    </w:p>
    <w:bookmarkStart w:id="77" w:name="page78"/>
    <w:bookmarkEnd w:id="77"/>
    <w:p>
      <w:pPr>
        <w:ind w:left="940" w:hanging="318"/>
        <w:spacing w:after="0"/>
        <w:tabs>
          <w:tab w:leader="none" w:pos="9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significant change in our management, including changes in the pace of hiring; and</w:t>
      </w:r>
    </w:p>
    <w:p>
      <w:pPr>
        <w:spacing w:after="0" w:line="217" w:lineRule="exact"/>
        <w:rPr>
          <w:rFonts w:ascii="Arial" w:cs="Arial" w:eastAsia="Arial" w:hAnsi="Arial"/>
          <w:sz w:val="17"/>
          <w:szCs w:val="17"/>
          <w:color w:val="auto"/>
        </w:rPr>
      </w:pPr>
    </w:p>
    <w:p>
      <w:pPr>
        <w:ind w:left="940" w:hanging="318"/>
        <w:spacing w:after="0" w:line="266" w:lineRule="auto"/>
        <w:tabs>
          <w:tab w:leader="none" w:pos="9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general political, social, economic and market conditions, in both domestic and foreign markets, including the effects of the COVID-19 pandemic and the war in Ukraine on the global economy, changes in the labor market, supply chain disruptions, inflation, increased interest rates, instability and volatility in the banking and financial services sector, and slow or negative growth of our markets.</w:t>
      </w:r>
    </w:p>
    <w:p>
      <w:pPr>
        <w:spacing w:after="0" w:line="175" w:lineRule="exact"/>
        <w:rPr>
          <w:sz w:val="20"/>
          <w:szCs w:val="20"/>
          <w:color w:val="auto"/>
        </w:rPr>
      </w:pPr>
    </w:p>
    <w:p>
      <w:pPr>
        <w:ind w:right="100" w:firstLine="464"/>
        <w:spacing w:after="0" w:line="266" w:lineRule="auto"/>
        <w:rPr>
          <w:sz w:val="20"/>
          <w:szCs w:val="20"/>
          <w:color w:val="auto"/>
        </w:rPr>
      </w:pPr>
      <w:r>
        <w:rPr>
          <w:rFonts w:ascii="Arial" w:cs="Arial" w:eastAsia="Arial" w:hAnsi="Arial"/>
          <w:sz w:val="17"/>
          <w:szCs w:val="17"/>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Substantial future sales of shares of our Class A common stock could cause the market price of our Class A common stock to decline.</w:t>
      </w:r>
    </w:p>
    <w:p>
      <w:pPr>
        <w:spacing w:after="0" w:line="229" w:lineRule="exact"/>
        <w:rPr>
          <w:sz w:val="20"/>
          <w:szCs w:val="20"/>
          <w:color w:val="auto"/>
        </w:rPr>
      </w:pPr>
    </w:p>
    <w:p>
      <w:pPr>
        <w:ind w:right="100" w:firstLine="464"/>
        <w:spacing w:after="0" w:line="259" w:lineRule="auto"/>
        <w:rPr>
          <w:sz w:val="20"/>
          <w:szCs w:val="20"/>
          <w:color w:val="auto"/>
        </w:rPr>
      </w:pPr>
      <w:r>
        <w:rPr>
          <w:rFonts w:ascii="Arial" w:cs="Arial" w:eastAsia="Arial" w:hAnsi="Arial"/>
          <w:sz w:val="17"/>
          <w:szCs w:val="17"/>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 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p>
    <w:p>
      <w:pPr>
        <w:spacing w:after="0" w:line="183" w:lineRule="exact"/>
        <w:rPr>
          <w:sz w:val="20"/>
          <w:szCs w:val="20"/>
          <w:color w:val="auto"/>
        </w:rPr>
      </w:pPr>
    </w:p>
    <w:p>
      <w:pPr>
        <w:ind w:right="220" w:firstLine="464"/>
        <w:spacing w:after="0" w:line="279" w:lineRule="auto"/>
        <w:rPr>
          <w:sz w:val="20"/>
          <w:szCs w:val="20"/>
          <w:color w:val="auto"/>
        </w:rPr>
      </w:pPr>
      <w:r>
        <w:rPr>
          <w:rFonts w:ascii="Arial" w:cs="Arial" w:eastAsia="Arial" w:hAnsi="Arial"/>
          <w:sz w:val="17"/>
          <w:szCs w:val="17"/>
          <w:b w:val="1"/>
          <w:bCs w:val="1"/>
          <w:i w:val="1"/>
          <w:iCs w:val="1"/>
          <w:color w:val="auto"/>
        </w:rPr>
        <w:t>We may not realize the anticipated long-term stockholder value of our share repurchase program, and any failure to repurchase our Class A common stock after we have announced our intention to do so may negatively impact our stock price.</w:t>
      </w:r>
    </w:p>
    <w:p>
      <w:pPr>
        <w:spacing w:after="0" w:line="164" w:lineRule="exact"/>
        <w:rPr>
          <w:sz w:val="20"/>
          <w:szCs w:val="20"/>
          <w:color w:val="auto"/>
        </w:rPr>
      </w:pPr>
    </w:p>
    <w:p>
      <w:pPr>
        <w:ind w:right="60" w:firstLine="464"/>
        <w:spacing w:after="0" w:line="294" w:lineRule="auto"/>
        <w:rPr>
          <w:sz w:val="20"/>
          <w:szCs w:val="20"/>
          <w:color w:val="auto"/>
        </w:rPr>
      </w:pPr>
      <w:r>
        <w:rPr>
          <w:rFonts w:ascii="Arial" w:cs="Arial" w:eastAsia="Arial" w:hAnsi="Arial"/>
          <w:sz w:val="15"/>
          <w:szCs w:val="15"/>
          <w:color w:val="auto"/>
        </w:rPr>
        <w:t>In February 2023, we announced that our Board of Directors authorized the repurchase of up to $1.0 billion of our Class A common stock from time to time through a share repurchase program. Under our share repurchase program, we may make repurchases of stock through a variety of methods, including open share market purchases, privately negotiated purchases, entering into one or more confirmations or other contractual arrangements with a financial institution counterparty to effectuate one or more accelerated stock repurchase contracts, forward purchase contracts or similar derivative instruments, Dutch auction tender offers, or through a combination of any of the foregoing, in accordance with applicable federal securities laws. Our share repurchase program terminates at 11:59 pm Pacific Time on December 31, 2024, does not obligate us to repurchase any specific number of shares, and may be suspended at any time at our discretion and without prior notice. The timing and amount of any repurchases, if any, will be subject to liquidity, stock price, market and economic conditions, compliance with applicable legal requirements such as Delaware surplus and solvency tests and other relevant factors. Any failure to repurchase stock after we have announced our intention to do so may negatively impact our reputation and investor confidence in us and may negatively impact our stock price.</w:t>
      </w:r>
    </w:p>
    <w:p>
      <w:pPr>
        <w:spacing w:after="0" w:line="161" w:lineRule="exact"/>
        <w:rPr>
          <w:sz w:val="20"/>
          <w:szCs w:val="20"/>
          <w:color w:val="auto"/>
        </w:rPr>
      </w:pPr>
    </w:p>
    <w:p>
      <w:pPr>
        <w:ind w:right="100" w:firstLine="464"/>
        <w:spacing w:after="0" w:line="262" w:lineRule="auto"/>
        <w:rPr>
          <w:sz w:val="20"/>
          <w:szCs w:val="20"/>
          <w:color w:val="auto"/>
        </w:rPr>
      </w:pPr>
      <w:r>
        <w:rPr>
          <w:rFonts w:ascii="Arial" w:cs="Arial" w:eastAsia="Arial" w:hAnsi="Arial"/>
          <w:sz w:val="17"/>
          <w:szCs w:val="17"/>
          <w:color w:val="auto"/>
        </w:rPr>
        <w:t>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Class A common stock may decline below the levels at which we repurchase shares, and short-term stock price fluctuations could reduce the effectiveness of the program.</w:t>
      </w:r>
    </w:p>
    <w:p>
      <w:pPr>
        <w:spacing w:after="0" w:line="178" w:lineRule="exact"/>
        <w:rPr>
          <w:sz w:val="20"/>
          <w:szCs w:val="20"/>
          <w:color w:val="auto"/>
        </w:rPr>
      </w:pPr>
    </w:p>
    <w:p>
      <w:pPr>
        <w:ind w:right="100" w:firstLine="464"/>
        <w:spacing w:after="0" w:line="266" w:lineRule="auto"/>
        <w:rPr>
          <w:sz w:val="20"/>
          <w:szCs w:val="20"/>
          <w:color w:val="auto"/>
        </w:rPr>
      </w:pPr>
      <w:r>
        <w:rPr>
          <w:rFonts w:ascii="Arial" w:cs="Arial" w:eastAsia="Arial" w:hAnsi="Arial"/>
          <w:sz w:val="17"/>
          <w:szCs w:val="17"/>
          <w:color w:val="auto"/>
        </w:rPr>
        <w:t>Repurchasing our Class A common stock reduces the amount of cash we have available to fund working capital, capital expenditures, strategic acquisitions or business opportunities, and other general corporate purposes, and we may fail to realize the anticipated long-term stockholder value of any share repurchase program.</w:t>
      </w:r>
    </w:p>
    <w:p>
      <w:pPr>
        <w:spacing w:after="0" w:line="175" w:lineRule="exact"/>
        <w:rPr>
          <w:sz w:val="20"/>
          <w:szCs w:val="20"/>
          <w:color w:val="auto"/>
        </w:rPr>
      </w:pPr>
    </w:p>
    <w:p>
      <w:pPr>
        <w:ind w:right="600" w:firstLine="464"/>
        <w:spacing w:after="0" w:line="279" w:lineRule="auto"/>
        <w:rPr>
          <w:sz w:val="20"/>
          <w:szCs w:val="20"/>
          <w:color w:val="auto"/>
        </w:rPr>
      </w:pPr>
      <w:r>
        <w:rPr>
          <w:rFonts w:ascii="Arial" w:cs="Arial" w:eastAsia="Arial" w:hAnsi="Arial"/>
          <w:sz w:val="17"/>
          <w:szCs w:val="17"/>
          <w:b w:val="1"/>
          <w:bCs w:val="1"/>
          <w:i w:val="1"/>
          <w:iCs w:val="1"/>
          <w:color w:val="auto"/>
        </w:rPr>
        <w:t>If securities or industry analysts change their recommendations regarding our Class A common stock adversely, the trading price of our Class A common stock and trading volume could decline.</w:t>
      </w:r>
    </w:p>
    <w:p>
      <w:pPr>
        <w:spacing w:after="0" w:line="164" w:lineRule="exact"/>
        <w:rPr>
          <w:sz w:val="20"/>
          <w:szCs w:val="20"/>
          <w:color w:val="auto"/>
        </w:rPr>
      </w:pPr>
    </w:p>
    <w:p>
      <w:pPr>
        <w:ind w:right="160" w:firstLine="464"/>
        <w:spacing w:after="0" w:line="259" w:lineRule="auto"/>
        <w:rPr>
          <w:sz w:val="20"/>
          <w:szCs w:val="20"/>
          <w:color w:val="auto"/>
        </w:rPr>
      </w:pPr>
      <w:r>
        <w:rPr>
          <w:rFonts w:ascii="Arial" w:cs="Arial" w:eastAsia="Arial" w:hAnsi="Arial"/>
          <w:sz w:val="17"/>
          <w:szCs w:val="17"/>
          <w:color w:val="auto"/>
        </w:rPr>
        <w:t>The trading market for our Class A common stock is influenced by the research and reports that securities or industry analysts may publish about us, our business, our market or our competitors. If any of the analysts who cover us change their recommendation regarding our Class A common stock adversely, or provide more favorable relative recommendations about our competitors,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78" w:name="page79"/>
    <w:bookmarkEnd w:id="78"/>
    <w:p>
      <w:pPr>
        <w:ind w:right="500" w:firstLine="464"/>
        <w:spacing w:after="0" w:line="279" w:lineRule="auto"/>
        <w:rPr>
          <w:sz w:val="20"/>
          <w:szCs w:val="20"/>
          <w:color w:val="auto"/>
        </w:rPr>
      </w:pPr>
      <w:r>
        <w:rPr>
          <w:rFonts w:ascii="Arial" w:cs="Arial" w:eastAsia="Arial" w:hAnsi="Arial"/>
          <w:sz w:val="17"/>
          <w:szCs w:val="17"/>
          <w:b w:val="1"/>
          <w:bCs w:val="1"/>
          <w:i w:val="1"/>
          <w:iCs w:val="1"/>
          <w:color w:val="auto"/>
        </w:rPr>
        <w:t>Anti-takeover provisions contained in our amended and restated certificate of incorporation and second amended and restated bylaws, as well as provisions of Delaware law, could impair a takeover attempt.</w:t>
      </w:r>
    </w:p>
    <w:p>
      <w:pPr>
        <w:spacing w:after="0" w:line="164" w:lineRule="exact"/>
        <w:rPr>
          <w:sz w:val="20"/>
          <w:szCs w:val="20"/>
          <w:color w:val="auto"/>
        </w:rPr>
      </w:pPr>
    </w:p>
    <w:p>
      <w:pPr>
        <w:jc w:val="both"/>
        <w:ind w:right="280" w:firstLine="464"/>
        <w:spacing w:after="0" w:line="266" w:lineRule="auto"/>
        <w:rPr>
          <w:sz w:val="20"/>
          <w:szCs w:val="20"/>
          <w:color w:val="auto"/>
        </w:rPr>
      </w:pPr>
      <w:r>
        <w:rPr>
          <w:rFonts w:ascii="Arial" w:cs="Arial" w:eastAsia="Arial" w:hAnsi="Arial"/>
          <w:sz w:val="17"/>
          <w:szCs w:val="17"/>
          <w:color w:val="auto"/>
        </w:rPr>
        <w:t>Our amended and restated certificate of incorporation, second amended and restated bylaws and Delaware law contain provisions which could have the effect of rendering more difficult, delaying, or preventing an acquisition deemed undesirable by our Board of Directors. Among other things, our amended and restated certificate of incorporation and second amended and restated bylaws include provisions:</w:t>
      </w:r>
    </w:p>
    <w:p>
      <w:pPr>
        <w:spacing w:after="0" w:line="175" w:lineRule="exact"/>
        <w:rPr>
          <w:sz w:val="20"/>
          <w:szCs w:val="20"/>
          <w:color w:val="auto"/>
        </w:rPr>
      </w:pPr>
    </w:p>
    <w:p>
      <w:pPr>
        <w:ind w:left="940" w:right="180" w:hanging="318"/>
        <w:spacing w:after="0" w:line="279" w:lineRule="auto"/>
        <w:tabs>
          <w:tab w:leader="none" w:pos="9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authorizing “blank check” preferred stock, which could be issued by our Board of Directors without stockholder approval and may contain voting, liquidation, dividend and other rights superior to our Class A common stock;</w:t>
      </w:r>
    </w:p>
    <w:p>
      <w:pPr>
        <w:spacing w:after="0" w:line="164" w:lineRule="exact"/>
        <w:rPr>
          <w:rFonts w:ascii="Arial" w:cs="Arial" w:eastAsia="Arial" w:hAnsi="Arial"/>
          <w:sz w:val="17"/>
          <w:szCs w:val="17"/>
          <w:color w:val="auto"/>
        </w:rPr>
      </w:pPr>
    </w:p>
    <w:p>
      <w:pPr>
        <w:ind w:left="940" w:hanging="318"/>
        <w:spacing w:after="0"/>
        <w:tabs>
          <w:tab w:leader="none" w:pos="9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limiting the liability of, and providing indemnification to, our directors and officers;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limiting the ability of our stockholders to call and bring business before special meetings;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providing that our Board of Directors is classified into three classes of directors with staggered three-year terms;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instead requiring all stockholder actions to be taken at a meeting of our stockholders;</w:t>
      </w:r>
    </w:p>
    <w:p>
      <w:pPr>
        <w:spacing w:after="0" w:line="217" w:lineRule="exact"/>
        <w:rPr>
          <w:rFonts w:ascii="Arial" w:cs="Arial" w:eastAsia="Arial" w:hAnsi="Arial"/>
          <w:sz w:val="17"/>
          <w:szCs w:val="17"/>
          <w:color w:val="auto"/>
        </w:rPr>
      </w:pPr>
    </w:p>
    <w:p>
      <w:pPr>
        <w:ind w:left="940" w:hanging="318"/>
        <w:spacing w:after="0" w:line="279" w:lineRule="auto"/>
        <w:tabs>
          <w:tab w:leader="none" w:pos="9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requiring advance notice of stockholder proposals for business to be conducted at meetings of our stockholders and for nominations of candidates for election to our Board of Directors;</w:t>
      </w:r>
    </w:p>
    <w:p>
      <w:pPr>
        <w:spacing w:after="0" w:line="164" w:lineRule="exact"/>
        <w:rPr>
          <w:rFonts w:ascii="Arial" w:cs="Arial" w:eastAsia="Arial" w:hAnsi="Arial"/>
          <w:sz w:val="17"/>
          <w:szCs w:val="17"/>
          <w:color w:val="auto"/>
        </w:rPr>
      </w:pPr>
    </w:p>
    <w:p>
      <w:pPr>
        <w:ind w:left="940" w:hanging="318"/>
        <w:spacing w:after="0"/>
        <w:tabs>
          <w:tab w:leader="none" w:pos="9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controlling the procedures for the conduct and scheduling of Board of Directors and stockholder meetings; and</w:t>
      </w:r>
    </w:p>
    <w:p>
      <w:pPr>
        <w:spacing w:after="0" w:line="217" w:lineRule="exact"/>
        <w:rPr>
          <w:rFonts w:ascii="Arial" w:cs="Arial" w:eastAsia="Arial" w:hAnsi="Arial"/>
          <w:sz w:val="17"/>
          <w:szCs w:val="17"/>
          <w:color w:val="auto"/>
        </w:rPr>
      </w:pPr>
    </w:p>
    <w:p>
      <w:pPr>
        <w:jc w:val="both"/>
        <w:ind w:left="940" w:hanging="318"/>
        <w:spacing w:after="0" w:line="266" w:lineRule="auto"/>
        <w:tabs>
          <w:tab w:leader="none" w:pos="9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providing for advance notice procedures that stockholders must comply with in order to nominate candidates to our Board of Directors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w:t>
      </w:r>
    </w:p>
    <w:p>
      <w:pPr>
        <w:spacing w:after="0" w:line="217" w:lineRule="exact"/>
        <w:rPr>
          <w:sz w:val="20"/>
          <w:szCs w:val="20"/>
          <w:color w:val="auto"/>
        </w:rPr>
      </w:pPr>
    </w:p>
    <w:p>
      <w:pPr>
        <w:ind w:right="180" w:firstLine="464"/>
        <w:spacing w:after="0" w:line="266" w:lineRule="auto"/>
        <w:rPr>
          <w:sz w:val="20"/>
          <w:szCs w:val="20"/>
          <w:color w:val="auto"/>
        </w:rPr>
      </w:pPr>
      <w:r>
        <w:rPr>
          <w:rFonts w:ascii="Arial" w:cs="Arial" w:eastAsia="Arial" w:hAnsi="Arial"/>
          <w:sz w:val="17"/>
          <w:szCs w:val="17"/>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75" w:lineRule="exact"/>
        <w:rPr>
          <w:sz w:val="20"/>
          <w:szCs w:val="20"/>
          <w:color w:val="auto"/>
        </w:rPr>
      </w:pPr>
    </w:p>
    <w:p>
      <w:pPr>
        <w:ind w:right="160" w:firstLine="464"/>
        <w:spacing w:after="0" w:line="266" w:lineRule="auto"/>
        <w:rPr>
          <w:sz w:val="20"/>
          <w:szCs w:val="20"/>
          <w:color w:val="auto"/>
        </w:rPr>
      </w:pPr>
      <w:r>
        <w:rPr>
          <w:rFonts w:ascii="Arial" w:cs="Arial" w:eastAsia="Arial" w:hAnsi="Arial"/>
          <w:sz w:val="17"/>
          <w:szCs w:val="17"/>
          <w:color w:val="auto"/>
        </w:rPr>
        <w:t>Any provision of our amended and restated certificate of incorporation, second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Class A common stock.</w:t>
      </w:r>
    </w:p>
    <w:p>
      <w:pPr>
        <w:spacing w:after="0" w:line="175" w:lineRule="exact"/>
        <w:rPr>
          <w:sz w:val="20"/>
          <w:szCs w:val="20"/>
          <w:color w:val="auto"/>
        </w:rPr>
      </w:pPr>
    </w:p>
    <w:p>
      <w:pPr>
        <w:ind w:firstLine="464"/>
        <w:spacing w:after="0" w:line="266" w:lineRule="auto"/>
        <w:rPr>
          <w:sz w:val="20"/>
          <w:szCs w:val="20"/>
          <w:color w:val="auto"/>
        </w:rPr>
      </w:pPr>
      <w:r>
        <w:rPr>
          <w:rFonts w:ascii="Arial" w:cs="Arial" w:eastAsia="Arial" w:hAnsi="Arial"/>
          <w:sz w:val="17"/>
          <w:szCs w:val="17"/>
          <w:b w:val="1"/>
          <w:bCs w:val="1"/>
          <w:i w:val="1"/>
          <w:iCs w:val="1"/>
          <w:color w:val="auto"/>
        </w:rPr>
        <w:t>Our second amended and restated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right="340" w:firstLine="464"/>
        <w:spacing w:after="0" w:line="279" w:lineRule="auto"/>
        <w:rPr>
          <w:sz w:val="20"/>
          <w:szCs w:val="20"/>
          <w:color w:val="auto"/>
        </w:rPr>
      </w:pPr>
      <w:r>
        <w:rPr>
          <w:rFonts w:ascii="Arial" w:cs="Arial" w:eastAsia="Arial" w:hAnsi="Arial"/>
          <w:sz w:val="17"/>
          <w:szCs w:val="17"/>
          <w:color w:val="auto"/>
        </w:rPr>
        <w:t>Our second amended and restated bylaws provide that the Court of Chancery of the State of Delaware is the exclusive forum for the following types of actions or proceedings under Delaware statutory or common law:</w:t>
      </w:r>
    </w:p>
    <w:p>
      <w:pPr>
        <w:spacing w:after="0" w:line="164" w:lineRule="exact"/>
        <w:rPr>
          <w:sz w:val="20"/>
          <w:szCs w:val="20"/>
          <w:color w:val="auto"/>
        </w:rPr>
      </w:pPr>
    </w:p>
    <w:p>
      <w:pPr>
        <w:ind w:left="940" w:hanging="318"/>
        <w:spacing w:after="0"/>
        <w:tabs>
          <w:tab w:leader="none" w:pos="9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action asserting a breach of fiduciary duty owed by our directors, officers, employees or our stockholders;</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action asserting a claim against us arising under the Delaware General Corporation Law; and</w:t>
      </w:r>
    </w:p>
    <w:p>
      <w:pPr>
        <w:spacing w:after="0" w:line="217" w:lineRule="exact"/>
        <w:rPr>
          <w:rFonts w:ascii="Arial" w:cs="Arial" w:eastAsia="Arial" w:hAnsi="Arial"/>
          <w:sz w:val="17"/>
          <w:szCs w:val="17"/>
          <w:color w:val="auto"/>
        </w:rPr>
      </w:pPr>
    </w:p>
    <w:p>
      <w:pPr>
        <w:ind w:left="940" w:hanging="318"/>
        <w:spacing w:after="0"/>
        <w:tabs>
          <w:tab w:leader="none" w:pos="9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action asserting a claim against us that is governed by the internal-affairs doctrine (the “Delaware Forum Provision”).</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068" w:right="399" w:bottom="1440" w:gutter="0" w:footer="0" w:header="0"/>
        </w:sectPr>
      </w:pPr>
    </w:p>
    <w:bookmarkStart w:id="79" w:name="page80"/>
    <w:bookmarkEnd w:id="79"/>
    <w:p>
      <w:pPr>
        <w:ind w:right="140" w:firstLine="464"/>
        <w:spacing w:after="0" w:line="258" w:lineRule="auto"/>
        <w:rPr>
          <w:sz w:val="20"/>
          <w:szCs w:val="20"/>
          <w:color w:val="auto"/>
        </w:rPr>
      </w:pPr>
      <w:r>
        <w:rPr>
          <w:rFonts w:ascii="Arial" w:cs="Arial" w:eastAsia="Arial" w:hAnsi="Arial"/>
          <w:sz w:val="17"/>
          <w:szCs w:val="17"/>
          <w:color w:val="auto"/>
        </w:rPr>
        <w:t>The Delaware Forum Provision would not apply to suits brought to enforce a duty or liability created by the Exchange Act or any other claim under the Securities Act, for which the United States District Court for the Northern District of California has sole and exclusive jurisdiction (the “Federal Forum Provision”), as we are based in the State of California. In addition, our second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3" w:lineRule="exact"/>
        <w:rPr>
          <w:sz w:val="20"/>
          <w:szCs w:val="20"/>
          <w:color w:val="auto"/>
        </w:rPr>
      </w:pPr>
    </w:p>
    <w:p>
      <w:pPr>
        <w:jc w:val="both"/>
        <w:ind w:right="60" w:firstLine="464"/>
        <w:spacing w:after="0" w:line="283" w:lineRule="auto"/>
        <w:rPr>
          <w:sz w:val="20"/>
          <w:szCs w:val="20"/>
          <w:color w:val="auto"/>
        </w:rPr>
      </w:pPr>
      <w:r>
        <w:rPr>
          <w:rFonts w:ascii="Arial" w:cs="Arial" w:eastAsia="Arial" w:hAnsi="Arial"/>
          <w:sz w:val="16"/>
          <w:szCs w:val="16"/>
          <w:color w:val="auto"/>
        </w:rPr>
        <w:t>The Delaware Forum Provision and the Federal Forum Provision may limit a stockholder’s ability to bring a claim in a judicial forum that it finds favorable for disputes with us or our directors, officers or employees, which may discourage lawsuits against us and our directors, officers and employees. If a court were to find the Delaware Forum Provision and the Federal Forum Provision in our second amended and restated bylaws to be inapplicable or unenforceable in an action, we may incur additional costs associated with resolving the dispute in other jurisdictions, which could seriously harm our business.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do not expect to declare any dividends in the foreseeable future.</w:t>
      </w:r>
    </w:p>
    <w:p>
      <w:pPr>
        <w:spacing w:after="0" w:line="217" w:lineRule="exact"/>
        <w:rPr>
          <w:sz w:val="20"/>
          <w:szCs w:val="20"/>
          <w:color w:val="auto"/>
        </w:rPr>
      </w:pPr>
    </w:p>
    <w:p>
      <w:pPr>
        <w:ind w:right="200" w:firstLine="464"/>
        <w:spacing w:after="0" w:line="266" w:lineRule="auto"/>
        <w:rPr>
          <w:sz w:val="20"/>
          <w:szCs w:val="20"/>
          <w:color w:val="auto"/>
        </w:rPr>
      </w:pPr>
      <w:r>
        <w:rPr>
          <w:rFonts w:ascii="Arial" w:cs="Arial" w:eastAsia="Arial" w:hAnsi="Arial"/>
          <w:sz w:val="17"/>
          <w:szCs w:val="17"/>
          <w:color w:val="auto"/>
        </w:rPr>
        <w:t>We have never paid dividends and we do not anticipate declaring any cash dividends to holders of our common stock in the foreseeable future. Consequently, investors may need to rely on sales of their Class A common stock after price appreciation, which may never occur, as the only way to realize any future gains on their investment. Investors seeking cash dividends should not purchase our Class A common stock.</w:t>
      </w:r>
    </w:p>
    <w:p>
      <w:pPr>
        <w:spacing w:after="0" w:line="169"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auto"/>
        </w:rPr>
        <w:t>General Risks</w:t>
      </w:r>
    </w:p>
    <w:p>
      <w:pPr>
        <w:spacing w:after="0" w:line="223" w:lineRule="exact"/>
        <w:rPr>
          <w:sz w:val="20"/>
          <w:szCs w:val="20"/>
          <w:color w:val="auto"/>
        </w:rPr>
      </w:pPr>
    </w:p>
    <w:p>
      <w:pPr>
        <w:ind w:right="420" w:firstLine="464"/>
        <w:spacing w:after="0" w:line="279" w:lineRule="auto"/>
        <w:rPr>
          <w:sz w:val="20"/>
          <w:szCs w:val="20"/>
          <w:color w:val="auto"/>
        </w:rPr>
      </w:pPr>
      <w:r>
        <w:rPr>
          <w:rFonts w:ascii="Arial" w:cs="Arial" w:eastAsia="Arial" w:hAnsi="Arial"/>
          <w:sz w:val="17"/>
          <w:szCs w:val="17"/>
          <w:b w:val="1"/>
          <w:bCs w:val="1"/>
          <w:i w:val="1"/>
          <w:iCs w:val="1"/>
          <w:color w:val="auto"/>
        </w:rPr>
        <w:t>Our business is subject to the risks of pandemics, earthquakes, fire, floods and other natural catastrophic events, and to interruption by man-made problems such as power disruptions, computer viruses, data security breaches, terrorism or war.</w:t>
      </w:r>
    </w:p>
    <w:p>
      <w:pPr>
        <w:spacing w:after="0" w:line="164" w:lineRule="exact"/>
        <w:rPr>
          <w:sz w:val="20"/>
          <w:szCs w:val="20"/>
          <w:color w:val="auto"/>
        </w:rPr>
      </w:pPr>
    </w:p>
    <w:p>
      <w:pPr>
        <w:ind w:right="20" w:firstLine="464"/>
        <w:spacing w:after="0" w:line="297" w:lineRule="auto"/>
        <w:rPr>
          <w:sz w:val="20"/>
          <w:szCs w:val="20"/>
          <w:color w:val="auto"/>
        </w:rPr>
      </w:pPr>
      <w:r>
        <w:rPr>
          <w:rFonts w:ascii="Arial" w:cs="Arial" w:eastAsia="Arial" w:hAnsi="Arial"/>
          <w:sz w:val="15"/>
          <w:szCs w:val="15"/>
          <w:color w:val="auto"/>
        </w:rPr>
        <w:t>Our business operations are subject to interruption by natural disasters, flooding, fire, power shortages, public health epidemics or pandemics such as COVID-19, terrorism, political unrest, cyber-attacks, geopolitical instability, war, the effects of climate change and other events beyond our control. For example, our corporate headquarters are located in the San Francisco Bay Area, a region known for seismic activity. A significant natural disaster, such as an earthquake, fire or flood, occurring at our headquarters, at one of our other facilities or where a business partner is located could adversely affect our business, results of operations and financial condition. Further, if a natural disaster or man-made problem were to affect our service providers, this could adversely affect the ability of our customers to use our products and platform. Natural disasters, public health epidemics or pandemics, such as the COVID-19 pandemic, and geopolitical events, such as the war in Ukraine, could cause disruptions in our or our customers’ businesses, national economies or the world economy as a whole.</w:t>
      </w:r>
    </w:p>
    <w:p>
      <w:pPr>
        <w:spacing w:after="0" w:line="156" w:lineRule="exact"/>
        <w:rPr>
          <w:sz w:val="20"/>
          <w:szCs w:val="20"/>
          <w:color w:val="auto"/>
        </w:rPr>
      </w:pPr>
    </w:p>
    <w:p>
      <w:pPr>
        <w:ind w:firstLine="464"/>
        <w:spacing w:after="0" w:line="259" w:lineRule="auto"/>
        <w:rPr>
          <w:sz w:val="20"/>
          <w:szCs w:val="20"/>
          <w:color w:val="auto"/>
        </w:rPr>
      </w:pPr>
      <w:r>
        <w:rPr>
          <w:rFonts w:ascii="Arial" w:cs="Arial" w:eastAsia="Arial" w:hAnsi="Arial"/>
          <w:sz w:val="17"/>
          <w:szCs w:val="17"/>
          <w:color w:val="auto"/>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83" w:lineRule="exact"/>
        <w:rPr>
          <w:sz w:val="20"/>
          <w:szCs w:val="20"/>
          <w:color w:val="auto"/>
        </w:rPr>
      </w:pPr>
    </w:p>
    <w:p>
      <w:pPr>
        <w:ind w:right="20" w:firstLine="464"/>
        <w:spacing w:after="0" w:line="257" w:lineRule="auto"/>
        <w:rPr>
          <w:sz w:val="20"/>
          <w:szCs w:val="20"/>
          <w:color w:val="auto"/>
        </w:rPr>
      </w:pPr>
      <w:r>
        <w:rPr>
          <w:rFonts w:ascii="Arial" w:cs="Arial" w:eastAsia="Arial" w:hAnsi="Arial"/>
          <w:sz w:val="17"/>
          <w:szCs w:val="17"/>
          <w:color w:val="auto"/>
        </w:rPr>
        <w:t>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integrity and availability of our products and technical infrastructure to the satisfaction of our customers may harm our reputation and our ability to retain existing customers and attract new customers. In addition, global climate change could result in certain types of natural disasters occurring more frequently or with more intense effects. Any such events may result in users being subject to service disruptions or outages, and we may not be able to recover our technical infrastructure in a timely manner to maintain or resume operations, which may adversely affect our financial results.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reputation and/or business could be negatively impacted by ESG matters and/or our reporting of such matters.</w:t>
      </w:r>
    </w:p>
    <w:p>
      <w:pPr>
        <w:spacing w:after="0" w:line="217" w:lineRule="exact"/>
        <w:rPr>
          <w:sz w:val="20"/>
          <w:szCs w:val="20"/>
          <w:color w:val="auto"/>
        </w:rPr>
      </w:pPr>
    </w:p>
    <w:p>
      <w:pPr>
        <w:ind w:right="20" w:firstLine="464"/>
        <w:spacing w:after="0" w:line="262" w:lineRule="auto"/>
        <w:rPr>
          <w:sz w:val="20"/>
          <w:szCs w:val="20"/>
          <w:color w:val="auto"/>
        </w:rPr>
      </w:pPr>
      <w:r>
        <w:rPr>
          <w:rFonts w:ascii="Arial" w:cs="Arial" w:eastAsia="Arial" w:hAnsi="Arial"/>
          <w:sz w:val="17"/>
          <w:szCs w:val="17"/>
          <w:color w:val="auto"/>
        </w:rPr>
        <w:t>There is an increasing focus from regulators, certain investors, and other stakeholders concerning ESG matters, both in the United States and internationally. We communicate certain ESG-related initiatives, goals, and/or commitments regarding environmental matters, diversity, responsible sourcing and social investments, and other matters in our annual ESG Report, on our website, in our filings with the SEC, and elsewhere. These initiatives, goals, or commitments could be difficult to achieve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80" w:name="page81"/>
    <w:bookmarkEnd w:id="80"/>
    <w:p>
      <w:pPr>
        <w:spacing w:after="0" w:line="259" w:lineRule="auto"/>
        <w:rPr>
          <w:sz w:val="20"/>
          <w:szCs w:val="20"/>
          <w:color w:val="auto"/>
        </w:rPr>
      </w:pPr>
      <w:r>
        <w:rPr>
          <w:rFonts w:ascii="Arial" w:cs="Arial" w:eastAsia="Arial" w:hAnsi="Arial"/>
          <w:sz w:val="17"/>
          <w:szCs w:val="17"/>
          <w:color w:val="auto"/>
        </w:rPr>
        <w:t>and costly to implement. We could fail to achieve, or be perceived to fail to achieve, our ESG-related initiatives, goals, or commitments. In addition, we could be criticized for the timing, scope or nature of these initiatives, goals, or commitments, or for any revisions to them. To the extent that our required and voluntary disclosures about ESG matters increase, we could be criticized for the accuracy, adequacy, or completeness of such disclosures. Our actual or perceived failure to achieve our ESG-related initiatives, goals, or commitments could negatively impact our reputation, result in ESG-focused investors not purchasing and holding our stock, or otherwise materially harm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Unregistered Sales of Equity Securities and Use of Proceeds</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Unregistered Sales of Equity Securities</w:t>
      </w:r>
    </w:p>
    <w:p>
      <w:pPr>
        <w:spacing w:after="0" w:line="178" w:lineRule="exact"/>
        <w:rPr>
          <w:sz w:val="20"/>
          <w:szCs w:val="20"/>
          <w:color w:val="auto"/>
        </w:rPr>
      </w:pPr>
    </w:p>
    <w:p>
      <w:pPr>
        <w:ind w:right="80" w:firstLine="464"/>
        <w:spacing w:after="0" w:line="279" w:lineRule="auto"/>
        <w:rPr>
          <w:sz w:val="20"/>
          <w:szCs w:val="20"/>
          <w:color w:val="auto"/>
        </w:rPr>
      </w:pPr>
      <w:r>
        <w:rPr>
          <w:rFonts w:ascii="Arial" w:cs="Arial" w:eastAsia="Arial" w:hAnsi="Arial"/>
          <w:sz w:val="16"/>
          <w:szCs w:val="16"/>
          <w:color w:val="auto"/>
        </w:rPr>
        <w:t>During the three months ended June 30, 2023, we issued 22,102 shares of our unregistered Class A common stock to an independent donor advised fund to further our Twilio.org philanthropic goals. The shares were “restricted securities” for purposes of Rule 144 under the Securities Act, and had an aggregate fair market value on the date of donation of $1.0 million. The foregoing transaction did not involve any underwriters, any underwriting discounts or commissions, or any public offering. We believe the offer, sale and issuance of the above shares were exempt from registration under the Securities Act by virtue of Section 4(a)(2) of the Securities Act because the issuance of the shares did not involve a public offering.</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Issuer Purchases of Equity Securities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share repurchase activity for the three months ended June 30, 2023:</w:t>
      </w:r>
    </w:p>
    <w:p>
      <w:pPr>
        <w:spacing w:after="0" w:line="200" w:lineRule="exact"/>
        <w:rPr>
          <w:sz w:val="20"/>
          <w:szCs w:val="20"/>
          <w:color w:val="auto"/>
        </w:rPr>
      </w:pP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8"/>
              </w:rPr>
              <w:t>Total Number of Shares</w:t>
            </w:r>
          </w:p>
        </w:tc>
        <w:tc>
          <w:tcPr>
            <w:tcW w:w="200" w:type="dxa"/>
            <w:vAlign w:val="bottom"/>
          </w:tcPr>
          <w:p>
            <w:pPr>
              <w:spacing w:after="0"/>
              <w:rPr>
                <w:sz w:val="14"/>
                <w:szCs w:val="14"/>
                <w:color w:val="auto"/>
              </w:rPr>
            </w:pPr>
          </w:p>
        </w:tc>
        <w:tc>
          <w:tcPr>
            <w:tcW w:w="2240" w:type="dxa"/>
            <w:vAlign w:val="bottom"/>
            <w:vMerge w:val="restart"/>
          </w:tcPr>
          <w:p>
            <w:pPr>
              <w:jc w:val="center"/>
              <w:ind w:right="7"/>
              <w:spacing w:after="0"/>
              <w:rPr>
                <w:sz w:val="20"/>
                <w:szCs w:val="20"/>
                <w:color w:val="auto"/>
              </w:rPr>
            </w:pPr>
            <w:r>
              <w:rPr>
                <w:rFonts w:ascii="Arial" w:cs="Arial" w:eastAsia="Arial" w:hAnsi="Arial"/>
                <w:sz w:val="14"/>
                <w:szCs w:val="14"/>
                <w:b w:val="1"/>
                <w:bCs w:val="1"/>
                <w:color w:val="auto"/>
                <w:w w:val="89"/>
              </w:rPr>
              <w:t>Approximate Dollar Value of Shares</w:t>
            </w: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vMerge w:val="restart"/>
          </w:tcPr>
          <w:p>
            <w:pPr>
              <w:jc w:val="right"/>
              <w:ind w:right="126"/>
              <w:spacing w:after="0"/>
              <w:rPr>
                <w:sz w:val="20"/>
                <w:szCs w:val="20"/>
                <w:color w:val="auto"/>
              </w:rPr>
            </w:pPr>
            <w:r>
              <w:rPr>
                <w:rFonts w:ascii="Arial" w:cs="Arial" w:eastAsia="Arial" w:hAnsi="Arial"/>
                <w:sz w:val="14"/>
                <w:szCs w:val="14"/>
                <w:b w:val="1"/>
                <w:bCs w:val="1"/>
                <w:color w:val="auto"/>
                <w:w w:val="91"/>
              </w:rPr>
              <w:t>Average Price Paid Per</w:t>
            </w:r>
          </w:p>
        </w:tc>
        <w:tc>
          <w:tcPr>
            <w:tcW w:w="100" w:type="dxa"/>
            <w:vAlign w:val="bottom"/>
          </w:tcPr>
          <w:p>
            <w:pPr>
              <w:spacing w:after="0"/>
              <w:rPr>
                <w:sz w:val="12"/>
                <w:szCs w:val="12"/>
                <w:color w:val="auto"/>
              </w:rPr>
            </w:pPr>
          </w:p>
        </w:tc>
        <w:tc>
          <w:tcPr>
            <w:tcW w:w="1880" w:type="dxa"/>
            <w:vAlign w:val="bottom"/>
          </w:tcPr>
          <w:p>
            <w:pPr>
              <w:jc w:val="right"/>
              <w:ind w:right="10"/>
              <w:spacing w:after="0" w:line="142" w:lineRule="exact"/>
              <w:rPr>
                <w:sz w:val="20"/>
                <w:szCs w:val="20"/>
                <w:color w:val="auto"/>
              </w:rPr>
            </w:pPr>
            <w:r>
              <w:rPr>
                <w:rFonts w:ascii="Arial" w:cs="Arial" w:eastAsia="Arial" w:hAnsi="Arial"/>
                <w:sz w:val="14"/>
                <w:szCs w:val="14"/>
                <w:b w:val="1"/>
                <w:bCs w:val="1"/>
                <w:color w:val="auto"/>
                <w:w w:val="90"/>
              </w:rPr>
              <w:t>Purchased as Part of Publicly</w:t>
            </w:r>
          </w:p>
        </w:tc>
        <w:tc>
          <w:tcPr>
            <w:tcW w:w="20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40" w:type="dxa"/>
            <w:vAlign w:val="bottom"/>
          </w:tcPr>
          <w:p>
            <w:pPr>
              <w:spacing w:after="0"/>
              <w:rPr>
                <w:sz w:val="12"/>
                <w:szCs w:val="12"/>
                <w:color w:val="auto"/>
              </w:rPr>
            </w:pPr>
          </w:p>
        </w:tc>
        <w:tc>
          <w:tcPr>
            <w:tcW w:w="2320" w:type="dxa"/>
            <w:vAlign w:val="bottom"/>
            <w:vMerge w:val="restart"/>
          </w:tcPr>
          <w:p>
            <w:pPr>
              <w:jc w:val="right"/>
              <w:ind w:right="6"/>
              <w:spacing w:after="0"/>
              <w:rPr>
                <w:sz w:val="20"/>
                <w:szCs w:val="20"/>
                <w:color w:val="auto"/>
              </w:rPr>
            </w:pPr>
            <w:r>
              <w:rPr>
                <w:rFonts w:ascii="Arial" w:cs="Arial" w:eastAsia="Arial" w:hAnsi="Arial"/>
                <w:sz w:val="14"/>
                <w:szCs w:val="14"/>
                <w:b w:val="1"/>
                <w:bCs w:val="1"/>
                <w:color w:val="auto"/>
                <w:w w:val="91"/>
              </w:rPr>
              <w:t>Total Number of Shares Purchased</w:t>
            </w:r>
            <w:r>
              <w:rPr>
                <w:rFonts w:ascii="Arial" w:cs="Arial" w:eastAsia="Arial" w:hAnsi="Arial"/>
                <w:sz w:val="8"/>
                <w:szCs w:val="8"/>
                <w:b w:val="1"/>
                <w:bCs w:val="1"/>
                <w:color w:val="auto"/>
                <w:w w:val="91"/>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8"/>
              </w:rPr>
              <w:t>Announced Plans or</w:t>
            </w:r>
          </w:p>
        </w:tc>
        <w:tc>
          <w:tcPr>
            <w:tcW w:w="2440" w:type="dxa"/>
            <w:vAlign w:val="bottom"/>
            <w:gridSpan w:val="2"/>
          </w:tcPr>
          <w:p>
            <w:pPr>
              <w:jc w:val="center"/>
              <w:ind w:left="25"/>
              <w:spacing w:after="0" w:line="139" w:lineRule="exact"/>
              <w:rPr>
                <w:sz w:val="20"/>
                <w:szCs w:val="20"/>
                <w:color w:val="auto"/>
              </w:rPr>
            </w:pPr>
            <w:r>
              <w:rPr>
                <w:rFonts w:ascii="Arial" w:cs="Arial" w:eastAsia="Arial" w:hAnsi="Arial"/>
                <w:sz w:val="14"/>
                <w:szCs w:val="14"/>
                <w:b w:val="1"/>
                <w:bCs w:val="1"/>
                <w:color w:val="auto"/>
                <w:w w:val="89"/>
              </w:rPr>
              <w:t>that May Yet Be Purchased Under the</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23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586"/>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8"/>
                <w:szCs w:val="8"/>
                <w:b w:val="1"/>
                <w:bCs w:val="1"/>
                <w:color w:val="auto"/>
              </w:rPr>
              <w:t>(2)</w:t>
            </w:r>
          </w:p>
        </w:tc>
        <w:tc>
          <w:tcPr>
            <w:tcW w:w="1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Programs</w:t>
            </w:r>
            <w:r>
              <w:rPr>
                <w:rFonts w:ascii="Arial" w:cs="Arial" w:eastAsia="Arial" w:hAnsi="Arial"/>
                <w:sz w:val="8"/>
                <w:szCs w:val="8"/>
                <w:b w:val="1"/>
                <w:bCs w:val="1"/>
                <w:color w:val="auto"/>
                <w:w w:val="90"/>
              </w:rPr>
              <w:t>(1)</w:t>
            </w: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center"/>
              <w:ind w:right="7"/>
              <w:spacing w:after="0"/>
              <w:rPr>
                <w:sz w:val="20"/>
                <w:szCs w:val="20"/>
                <w:color w:val="auto"/>
              </w:rPr>
            </w:pPr>
            <w:r>
              <w:rPr>
                <w:rFonts w:ascii="Arial" w:cs="Arial" w:eastAsia="Arial" w:hAnsi="Arial"/>
                <w:sz w:val="14"/>
                <w:szCs w:val="14"/>
                <w:b w:val="1"/>
                <w:bCs w:val="1"/>
                <w:color w:val="auto"/>
                <w:w w:val="89"/>
              </w:rPr>
              <w:t>Plans or Programs</w:t>
            </w:r>
            <w:r>
              <w:rPr>
                <w:rFonts w:ascii="Arial" w:cs="Arial" w:eastAsia="Arial" w:hAnsi="Arial"/>
                <w:sz w:val="8"/>
                <w:szCs w:val="8"/>
                <w:b w:val="1"/>
                <w:bCs w:val="1"/>
                <w:color w:val="auto"/>
                <w:w w:val="89"/>
              </w:rPr>
              <w:t>(1)</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5"/>
                <w:szCs w:val="15"/>
                <w:color w:val="auto"/>
              </w:rPr>
            </w:pPr>
          </w:p>
        </w:tc>
        <w:tc>
          <w:tcPr>
            <w:tcW w:w="2320" w:type="dxa"/>
            <w:vAlign w:val="bottom"/>
          </w:tcPr>
          <w:p>
            <w:pPr>
              <w:jc w:val="right"/>
              <w:ind w:right="686"/>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w w:val="89"/>
              </w:rPr>
              <w:t>(In thousands)</w:t>
            </w:r>
          </w:p>
        </w:tc>
        <w:tc>
          <w:tcPr>
            <w:tcW w:w="200" w:type="dxa"/>
            <w:vAlign w:val="bottom"/>
          </w:tcPr>
          <w:p>
            <w:pPr>
              <w:spacing w:after="0"/>
              <w:rPr>
                <w:sz w:val="15"/>
                <w:szCs w:val="15"/>
                <w:color w:val="auto"/>
              </w:rPr>
            </w:pPr>
          </w:p>
        </w:tc>
        <w:tc>
          <w:tcPr>
            <w:tcW w:w="2240" w:type="dxa"/>
            <w:vAlign w:val="bottom"/>
          </w:tcPr>
          <w:p>
            <w:pPr>
              <w:jc w:val="center"/>
              <w:ind w:right="27"/>
              <w:spacing w:after="0"/>
              <w:rPr>
                <w:sz w:val="20"/>
                <w:szCs w:val="20"/>
                <w:color w:val="auto"/>
              </w:rPr>
            </w:pPr>
            <w:r>
              <w:rPr>
                <w:rFonts w:ascii="Arial" w:cs="Arial" w:eastAsia="Arial" w:hAnsi="Arial"/>
                <w:sz w:val="14"/>
                <w:szCs w:val="14"/>
                <w:color w:val="auto"/>
                <w:w w:val="97"/>
              </w:rPr>
              <w:t>(In millions)</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April 1 - 30, 2023</w:t>
            </w:r>
          </w:p>
        </w:tc>
        <w:tc>
          <w:tcPr>
            <w:tcW w:w="2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6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58.06</w:t>
            </w:r>
          </w:p>
        </w:tc>
        <w:tc>
          <w:tcPr>
            <w:tcW w:w="198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rPr>
              <w:t>1,636</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780</w:t>
            </w:r>
          </w:p>
        </w:tc>
        <w:tc>
          <w:tcPr>
            <w:tcW w:w="0" w:type="dxa"/>
            <w:vAlign w:val="bottom"/>
          </w:tcPr>
          <w:p>
            <w:pPr>
              <w:spacing w:after="0"/>
              <w:rPr>
                <w:sz w:val="1"/>
                <w:szCs w:val="1"/>
                <w:color w:val="auto"/>
              </w:rPr>
            </w:pPr>
          </w:p>
        </w:tc>
      </w:tr>
      <w:tr>
        <w:trPr>
          <w:trHeight w:val="203"/>
        </w:trPr>
        <w:tc>
          <w:tcPr>
            <w:tcW w:w="2040" w:type="dxa"/>
            <w:vAlign w:val="bottom"/>
          </w:tcPr>
          <w:p>
            <w:pPr>
              <w:ind w:left="20"/>
              <w:spacing w:after="0"/>
              <w:rPr>
                <w:sz w:val="20"/>
                <w:szCs w:val="20"/>
                <w:color w:val="auto"/>
              </w:rPr>
            </w:pPr>
            <w:r>
              <w:rPr>
                <w:rFonts w:ascii="Arial" w:cs="Arial" w:eastAsia="Arial" w:hAnsi="Arial"/>
                <w:sz w:val="15"/>
                <w:szCs w:val="15"/>
                <w:color w:val="auto"/>
              </w:rPr>
              <w:t>May 1 - 31, 2023</w:t>
            </w:r>
          </w:p>
        </w:tc>
        <w:tc>
          <w:tcPr>
            <w:tcW w:w="2320" w:type="dxa"/>
            <w:vAlign w:val="bottom"/>
          </w:tcPr>
          <w:p>
            <w:pPr>
              <w:jc w:val="right"/>
              <w:spacing w:after="0"/>
              <w:rPr>
                <w:sz w:val="20"/>
                <w:szCs w:val="20"/>
                <w:color w:val="auto"/>
              </w:rPr>
            </w:pPr>
            <w:r>
              <w:rPr>
                <w:rFonts w:ascii="Arial" w:cs="Arial" w:eastAsia="Arial" w:hAnsi="Arial"/>
                <w:sz w:val="15"/>
                <w:szCs w:val="15"/>
                <w:color w:val="auto"/>
              </w:rPr>
              <w:t>2,991</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6"/>
              <w:spacing w:after="0"/>
              <w:rPr>
                <w:sz w:val="20"/>
                <w:szCs w:val="20"/>
                <w:color w:val="auto"/>
              </w:rPr>
            </w:pPr>
            <w:r>
              <w:rPr>
                <w:rFonts w:ascii="Arial" w:cs="Arial" w:eastAsia="Arial" w:hAnsi="Arial"/>
                <w:sz w:val="15"/>
                <w:szCs w:val="15"/>
                <w:color w:val="auto"/>
              </w:rPr>
              <w:t>53.52</w:t>
            </w:r>
          </w:p>
        </w:tc>
        <w:tc>
          <w:tcPr>
            <w:tcW w:w="1980" w:type="dxa"/>
            <w:vAlign w:val="bottom"/>
            <w:gridSpan w:val="2"/>
          </w:tcPr>
          <w:p>
            <w:pPr>
              <w:jc w:val="right"/>
              <w:ind w:right="10"/>
              <w:spacing w:after="0"/>
              <w:rPr>
                <w:sz w:val="20"/>
                <w:szCs w:val="20"/>
                <w:color w:val="auto"/>
              </w:rPr>
            </w:pPr>
            <w:r>
              <w:rPr>
                <w:rFonts w:ascii="Arial" w:cs="Arial" w:eastAsia="Arial" w:hAnsi="Arial"/>
                <w:sz w:val="15"/>
                <w:szCs w:val="15"/>
                <w:color w:val="auto"/>
              </w:rPr>
              <w:t>2,991</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2240" w:type="dxa"/>
            <w:vAlign w:val="bottom"/>
          </w:tcPr>
          <w:p>
            <w:pPr>
              <w:jc w:val="right"/>
              <w:ind w:right="7"/>
              <w:spacing w:after="0"/>
              <w:rPr>
                <w:sz w:val="20"/>
                <w:szCs w:val="20"/>
                <w:color w:val="auto"/>
              </w:rPr>
            </w:pPr>
            <w:r>
              <w:rPr>
                <w:rFonts w:ascii="Arial" w:cs="Arial" w:eastAsia="Arial" w:hAnsi="Arial"/>
                <w:sz w:val="15"/>
                <w:szCs w:val="15"/>
                <w:color w:val="auto"/>
              </w:rPr>
              <w:t>620</w:t>
            </w:r>
          </w:p>
        </w:tc>
        <w:tc>
          <w:tcPr>
            <w:tcW w:w="0" w:type="dxa"/>
            <w:vAlign w:val="bottom"/>
          </w:tcPr>
          <w:p>
            <w:pPr>
              <w:spacing w:after="0"/>
              <w:rPr>
                <w:sz w:val="1"/>
                <w:szCs w:val="1"/>
                <w:color w:val="auto"/>
              </w:rPr>
            </w:pPr>
          </w:p>
        </w:tc>
      </w:tr>
      <w:tr>
        <w:trPr>
          <w:trHeight w:val="206"/>
        </w:trPr>
        <w:tc>
          <w:tcPr>
            <w:tcW w:w="2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June 1 - 30, 2023</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6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65.85</w:t>
            </w:r>
          </w:p>
        </w:tc>
        <w:tc>
          <w:tcPr>
            <w:tcW w:w="100" w:type="dxa"/>
            <w:vAlign w:val="bottom"/>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1,747</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505</w:t>
            </w:r>
          </w:p>
        </w:tc>
        <w:tc>
          <w:tcPr>
            <w:tcW w:w="0" w:type="dxa"/>
            <w:vAlign w:val="bottom"/>
          </w:tcPr>
          <w:p>
            <w:pPr>
              <w:spacing w:after="0"/>
              <w:rPr>
                <w:sz w:val="1"/>
                <w:szCs w:val="1"/>
                <w:color w:val="auto"/>
              </w:rPr>
            </w:pPr>
          </w:p>
        </w:tc>
      </w:tr>
      <w:tr>
        <w:trPr>
          <w:trHeight w:val="199"/>
        </w:trPr>
        <w:tc>
          <w:tcPr>
            <w:tcW w:w="20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5"/>
                <w:szCs w:val="15"/>
                <w:color w:val="auto"/>
              </w:rPr>
              <w:t>6,374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980" w:type="dxa"/>
            <w:vAlign w:val="bottom"/>
            <w:gridSpan w:val="2"/>
          </w:tcPr>
          <w:p>
            <w:pPr>
              <w:jc w:val="right"/>
              <w:ind w:right="10"/>
              <w:spacing w:after="0"/>
              <w:rPr>
                <w:sz w:val="20"/>
                <w:szCs w:val="20"/>
                <w:color w:val="auto"/>
              </w:rPr>
            </w:pPr>
            <w:r>
              <w:rPr>
                <w:rFonts w:ascii="Arial" w:cs="Arial" w:eastAsia="Arial" w:hAnsi="Arial"/>
                <w:sz w:val="15"/>
                <w:szCs w:val="15"/>
                <w:color w:val="auto"/>
              </w:rPr>
              <w:t>6,374</w:t>
            </w: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40" w:type="dxa"/>
            <w:vAlign w:val="bottom"/>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_____________________________</w:t>
      </w:r>
    </w:p>
    <w:p>
      <w:pPr>
        <w:spacing w:after="0" w:line="21" w:lineRule="exact"/>
        <w:rPr>
          <w:sz w:val="20"/>
          <w:szCs w:val="20"/>
          <w:color w:val="auto"/>
        </w:rPr>
      </w:pPr>
    </w:p>
    <w:p>
      <w:pPr>
        <w:ind w:right="60" w:firstLine="3"/>
        <w:spacing w:after="0" w:line="267" w:lineRule="auto"/>
        <w:tabs>
          <w:tab w:leader="none" w:pos="156"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In February 2023, our Board of Directors authorized a share repurchase program to repurchase up to $1.0 billion in aggregate value of our Class A common stock. Repurchases under the program can be made through open market transactions, privately negotiated transactions and other means in compliance with applicable federal securities laws, including through Rule 10b5-1 plans. We have discretion in determining the conditions under which shares may be repurchased from time to time. The program expires on December 31, 2024. Refer to Note 15 — Stockholders' Equity in Part I, Item 1, of this Quarterly Report on Form 10-Q for additional information related to share repurchases.</w:t>
      </w:r>
    </w:p>
    <w:p>
      <w:pPr>
        <w:spacing w:after="0" w:line="176" w:lineRule="exact"/>
        <w:rPr>
          <w:rFonts w:ascii="Arial" w:cs="Arial" w:eastAsia="Arial" w:hAnsi="Arial"/>
          <w:sz w:val="18"/>
          <w:szCs w:val="18"/>
          <w:color w:val="auto"/>
          <w:vertAlign w:val="superscript"/>
        </w:rPr>
      </w:pPr>
    </w:p>
    <w:p>
      <w:pPr>
        <w:ind w:left="160" w:hanging="157"/>
        <w:spacing w:after="0"/>
        <w:tabs>
          <w:tab w:leader="none" w:pos="160"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Average price paid per share includes costs associated with the repurchases.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Other Information</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Securities Trading Plans of Directors and Executive Officers</w:t>
      </w:r>
    </w:p>
    <w:p>
      <w:pPr>
        <w:spacing w:after="0" w:line="178" w:lineRule="exact"/>
        <w:rPr>
          <w:sz w:val="20"/>
          <w:szCs w:val="20"/>
          <w:color w:val="auto"/>
        </w:rPr>
      </w:pPr>
    </w:p>
    <w:p>
      <w:pPr>
        <w:ind w:right="120" w:firstLine="464"/>
        <w:spacing w:after="0" w:line="279" w:lineRule="auto"/>
        <w:rPr>
          <w:sz w:val="20"/>
          <w:szCs w:val="20"/>
          <w:color w:val="auto"/>
        </w:rPr>
      </w:pPr>
      <w:r>
        <w:rPr>
          <w:rFonts w:ascii="Arial" w:cs="Arial" w:eastAsia="Arial" w:hAnsi="Arial"/>
          <w:sz w:val="17"/>
          <w:szCs w:val="17"/>
          <w:color w:val="auto"/>
        </w:rPr>
        <w:t>During the three months ended June 30, 2023, the following “Rule 10b5-1 trading arrangements” (as defined in Item 408 of Regulation S-K) were adopted or terminated by our directors and officers, each of which was intended to satisfy the affirmative defense in Rule 10b5-1(c):</w:t>
      </w:r>
    </w:p>
    <w:p>
      <w:pPr>
        <w:spacing w:after="0" w:line="139" w:lineRule="exact"/>
        <w:rPr>
          <w:sz w:val="20"/>
          <w:szCs w:val="20"/>
          <w:color w:val="auto"/>
        </w:rPr>
      </w:pPr>
    </w:p>
    <w:p>
      <w:pPr>
        <w:ind w:right="20" w:firstLine="464"/>
        <w:spacing w:after="0" w:line="266" w:lineRule="auto"/>
        <w:rPr>
          <w:sz w:val="20"/>
          <w:szCs w:val="20"/>
          <w:color w:val="auto"/>
        </w:rPr>
      </w:pPr>
      <w:r>
        <w:rPr>
          <w:rFonts w:ascii="Arial" w:cs="Arial" w:eastAsia="Arial" w:hAnsi="Arial"/>
          <w:sz w:val="17"/>
          <w:szCs w:val="17"/>
          <w:color w:val="auto"/>
        </w:rPr>
        <w:t>On May 11, 2023, Richard Dalzell, a former member of our Board of Directors who did not stand for re-election at our annual meeting of stockholders on June 13, 2023, terminated a Rule 10b5-1 trading plan in connection with the termination of his service as a director. The terminated trading plan was effective until May 15, 2024 and provided for the sale of up to 18,000 shares of our Class A common stock.</w:t>
      </w:r>
    </w:p>
    <w:p>
      <w:pPr>
        <w:spacing w:after="0" w:line="136" w:lineRule="exact"/>
        <w:rPr>
          <w:sz w:val="20"/>
          <w:szCs w:val="20"/>
          <w:color w:val="auto"/>
        </w:rPr>
      </w:pPr>
    </w:p>
    <w:p>
      <w:pPr>
        <w:ind w:firstLine="464"/>
        <w:spacing w:after="0" w:line="259" w:lineRule="auto"/>
        <w:rPr>
          <w:sz w:val="20"/>
          <w:szCs w:val="20"/>
          <w:color w:val="auto"/>
        </w:rPr>
      </w:pPr>
      <w:r>
        <w:rPr>
          <w:rFonts w:ascii="Arial" w:cs="Arial" w:eastAsia="Arial" w:hAnsi="Arial"/>
          <w:sz w:val="17"/>
          <w:szCs w:val="17"/>
          <w:color w:val="auto"/>
        </w:rPr>
        <w:t>On May 23, 2023, Dana Wagner, our Chief Legal Officer, adopted a Rule 10b5-1 trading plan (the “prior plan”) providing for the sale of shares of our Class A common stock. Due to clerical errors, prior to any sale being made pursuant to the prior plan, the prior plan was terminated on June 1, 2023. Mr. Wagner adopted a new Rule 10b5-1 trading plan (the “updated plan”) on June 5, 2023, to be effective until August 13, 2024, which provides for the sale of up to 94,379 shares of our Class A common stock, plus any shares acquired pursuant to equity awards granted after the adoption of the updated plan or purchased under our employee stock purchase plan prior to the termination of the updated plan.</w:t>
      </w:r>
    </w:p>
    <w:p>
      <w:pPr>
        <w:spacing w:after="0" w:line="144" w:lineRule="exact"/>
        <w:rPr>
          <w:sz w:val="20"/>
          <w:szCs w:val="20"/>
          <w:color w:val="auto"/>
        </w:rPr>
      </w:pPr>
    </w:p>
    <w:p>
      <w:pPr>
        <w:ind w:right="220" w:firstLine="464"/>
        <w:spacing w:after="0" w:line="349" w:lineRule="auto"/>
        <w:rPr>
          <w:sz w:val="20"/>
          <w:szCs w:val="20"/>
          <w:color w:val="auto"/>
        </w:rPr>
      </w:pPr>
      <w:r>
        <w:rPr>
          <w:rFonts w:ascii="Arial" w:cs="Arial" w:eastAsia="Arial" w:hAnsi="Arial"/>
          <w:sz w:val="15"/>
          <w:szCs w:val="15"/>
          <w:color w:val="auto"/>
        </w:rPr>
        <w:t>The number of shares listed above for Mr. Wagner includes performance-based awards presented at their target amounts and shares subject to limit orders that may or may not execute. The number of shares eligible for sale will also be reduced by shares sold in mandatory transactions to cover withholding taxes.</w:t>
      </w:r>
    </w:p>
    <w:p>
      <w:pPr>
        <w:spacing w:after="0" w:line="111"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4"/>
          <w:szCs w:val="14"/>
          <w:b w:val="1"/>
          <w:bCs w:val="1"/>
          <w:i w:val="1"/>
          <w:iCs w:val="1"/>
          <w:color w:val="auto"/>
        </w:rPr>
        <w:t>Exhibits</w:t>
      </w:r>
    </w:p>
    <w:p>
      <w:pPr>
        <w:spacing w:after="0" w:line="223" w:lineRule="exact"/>
        <w:rPr>
          <w:sz w:val="20"/>
          <w:szCs w:val="20"/>
          <w:color w:val="auto"/>
        </w:rPr>
      </w:pPr>
    </w:p>
    <w:p>
      <w:pPr>
        <w:ind w:right="260" w:firstLine="464"/>
        <w:spacing w:after="0" w:line="279" w:lineRule="auto"/>
        <w:rPr>
          <w:sz w:val="20"/>
          <w:szCs w:val="20"/>
          <w:color w:val="auto"/>
        </w:rPr>
      </w:pPr>
      <w:r>
        <w:rPr>
          <w:rFonts w:ascii="Arial" w:cs="Arial" w:eastAsia="Arial" w:hAnsi="Arial"/>
          <w:sz w:val="17"/>
          <w:szCs w:val="17"/>
          <w:color w:val="auto"/>
        </w:rPr>
        <w:t>The documents listed in the Exhibit Index of this Quarterly Report on Form 10-Q are incorporated by reference or are filed with this Quarterly Report on Form 10-Q, in each case as indicated therein.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40" w:type="dxa"/>
            <w:vAlign w:val="bottom"/>
            <w:gridSpan w:val="9"/>
          </w:tcPr>
          <w:p>
            <w:pPr>
              <w:ind w:left="3540"/>
              <w:spacing w:after="0"/>
              <w:rPr>
                <w:sz w:val="20"/>
                <w:szCs w:val="20"/>
                <w:color w:val="auto"/>
              </w:rPr>
            </w:pPr>
            <w:r>
              <w:rPr>
                <w:rFonts w:ascii="Arial" w:cs="Arial" w:eastAsia="Arial" w:hAnsi="Arial"/>
                <w:sz w:val="14"/>
                <w:szCs w:val="14"/>
                <w:b w:val="1"/>
                <w:bCs w:val="1"/>
                <w:color w:val="auto"/>
              </w:rPr>
              <w:t>EXHIBIT INDEX</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12"/>
        </w:trPr>
        <w:tc>
          <w:tcPr>
            <w:tcW w:w="100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4"/>
              </w:rPr>
              <w:t>Incorporated by Reference</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r>
        <w:trPr>
          <w:trHeight w:val="186"/>
        </w:trPr>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gridSpan w:val="7"/>
          </w:tcPr>
          <w:p>
            <w:pPr>
              <w:ind w:left="166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91"/>
              </w:rPr>
              <w:t>Form</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File No.</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Filing Date</w:t>
            </w:r>
          </w:p>
        </w:tc>
      </w:tr>
      <w:tr>
        <w:trPr>
          <w:trHeight w:val="347"/>
        </w:trPr>
        <w:tc>
          <w:tcPr>
            <w:tcW w:w="1000" w:type="dxa"/>
            <w:vAlign w:val="bottom"/>
          </w:tcPr>
          <w:p>
            <w:pPr>
              <w:ind w:left="2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tcBorders>
              <w:bottom w:val="single" w:sz="8" w:color="0000FF"/>
            </w:tcBorders>
            <w:gridSpan w:val="8"/>
          </w:tcPr>
          <w:p>
            <w:pPr>
              <w:spacing w:after="0"/>
              <w:rPr>
                <w:rFonts w:ascii="Arial" w:cs="Arial" w:eastAsia="Arial" w:hAnsi="Arial"/>
                <w:sz w:val="14"/>
                <w:szCs w:val="14"/>
                <w:color w:val="0000FF"/>
                <w:w w:val="89"/>
              </w:rPr>
            </w:pPr>
            <w:hyperlink r:id="rId94">
              <w:r>
                <w:rPr>
                  <w:rFonts w:ascii="Arial" w:cs="Arial" w:eastAsia="Arial" w:hAnsi="Arial"/>
                  <w:sz w:val="14"/>
                  <w:szCs w:val="14"/>
                  <w:color w:val="0000FF"/>
                  <w:w w:val="89"/>
                </w:rPr>
                <w:t>Certificate of Retirement of Class B Common Stock of Twilio Inc. dated June 28, 2023</w:t>
              </w:r>
            </w:hyperlink>
          </w:p>
        </w:tc>
        <w:tc>
          <w:tcPr>
            <w:tcW w:w="360" w:type="dxa"/>
            <w:vAlign w:val="bottom"/>
            <w:gridSpan w:val="3"/>
          </w:tcPr>
          <w:p>
            <w:pPr>
              <w:spacing w:after="0"/>
              <w:rPr>
                <w:sz w:val="24"/>
                <w:szCs w:val="24"/>
                <w:color w:val="auto"/>
              </w:rPr>
            </w:pPr>
          </w:p>
        </w:tc>
        <w:tc>
          <w:tcPr>
            <w:tcW w:w="840" w:type="dxa"/>
            <w:vAlign w:val="bottom"/>
          </w:tcPr>
          <w:p>
            <w:pPr>
              <w:jc w:val="center"/>
              <w:ind w:right="111"/>
              <w:spacing w:after="0"/>
              <w:rPr>
                <w:sz w:val="20"/>
                <w:szCs w:val="20"/>
                <w:color w:val="auto"/>
              </w:rPr>
            </w:pPr>
            <w:r>
              <w:rPr>
                <w:rFonts w:ascii="Arial" w:cs="Arial" w:eastAsia="Arial" w:hAnsi="Arial"/>
                <w:sz w:val="14"/>
                <w:szCs w:val="14"/>
                <w:color w:val="auto"/>
              </w:rPr>
              <w:t>8-K</w:t>
            </w:r>
          </w:p>
        </w:tc>
        <w:tc>
          <w:tcPr>
            <w:tcW w:w="1300" w:type="dxa"/>
            <w:vAlign w:val="bottom"/>
            <w:gridSpan w:val="2"/>
          </w:tcPr>
          <w:p>
            <w:pPr>
              <w:jc w:val="right"/>
              <w:ind w:right="231"/>
              <w:spacing w:after="0"/>
              <w:rPr>
                <w:sz w:val="20"/>
                <w:szCs w:val="20"/>
                <w:color w:val="auto"/>
              </w:rPr>
            </w:pPr>
            <w:r>
              <w:rPr>
                <w:rFonts w:ascii="Arial" w:cs="Arial" w:eastAsia="Arial" w:hAnsi="Arial"/>
                <w:sz w:val="14"/>
                <w:szCs w:val="14"/>
                <w:color w:val="auto"/>
              </w:rPr>
              <w:t>001-37806</w:t>
            </w:r>
          </w:p>
        </w:tc>
        <w:tc>
          <w:tcPr>
            <w:tcW w:w="1140" w:type="dxa"/>
            <w:vAlign w:val="bottom"/>
            <w:gridSpan w:val="2"/>
          </w:tcPr>
          <w:p>
            <w:pPr>
              <w:jc w:val="right"/>
              <w:ind w:right="351"/>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7"/>
              </w:rPr>
              <w:t>June 29, 2023</w:t>
            </w:r>
          </w:p>
        </w:tc>
      </w:tr>
      <w:tr>
        <w:trPr>
          <w:trHeight w:val="218"/>
        </w:trPr>
        <w:tc>
          <w:tcPr>
            <w:tcW w:w="1000" w:type="dxa"/>
            <w:vAlign w:val="bottom"/>
          </w:tcPr>
          <w:p>
            <w:pPr>
              <w:ind w:left="2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11"/>
          </w:tcPr>
          <w:p>
            <w:pPr>
              <w:spacing w:after="0"/>
              <w:rPr>
                <w:sz w:val="20"/>
                <w:szCs w:val="20"/>
                <w:color w:val="auto"/>
              </w:rPr>
            </w:pPr>
            <w:r>
              <w:rPr>
                <w:rFonts w:ascii="Arial" w:cs="Arial" w:eastAsia="Arial" w:hAnsi="Arial"/>
                <w:sz w:val="14"/>
                <w:szCs w:val="14"/>
                <w:color w:val="0000FF"/>
              </w:rPr>
              <w:t>Certification of the Chief Executive Officer pursuant to Exchange Act Rules 13a-</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9"/>
              </w:rPr>
              <w:t>Filed herewith</w:t>
            </w:r>
          </w:p>
        </w:tc>
      </w:tr>
      <w:tr>
        <w:trPr>
          <w:trHeight w:val="116"/>
        </w:trPr>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60" w:type="dxa"/>
            <w:vAlign w:val="bottom"/>
            <w:tcBorders>
              <w:top w:val="single" w:sz="8" w:color="0000FF"/>
            </w:tcBorders>
            <w:gridSpan w:val="4"/>
          </w:tcPr>
          <w:p>
            <w:pPr>
              <w:spacing w:after="0" w:line="116" w:lineRule="exact"/>
              <w:rPr>
                <w:sz w:val="20"/>
                <w:szCs w:val="20"/>
                <w:color w:val="auto"/>
              </w:rPr>
            </w:pPr>
            <w:r>
              <w:rPr>
                <w:rFonts w:ascii="Arial" w:cs="Arial" w:eastAsia="Arial" w:hAnsi="Arial"/>
                <w:sz w:val="13"/>
                <w:szCs w:val="13"/>
                <w:color w:val="0000FF"/>
                <w:w w:val="93"/>
              </w:rPr>
              <w:t>14(a) or 15d-14(a), as adopted pursuant to Section 302 of the Sarbanes-Oxley Act</w:t>
            </w:r>
          </w:p>
        </w:tc>
        <w:tc>
          <w:tcPr>
            <w:tcW w:w="700" w:type="dxa"/>
            <w:vAlign w:val="bottom"/>
            <w:gridSpan w:val="7"/>
          </w:tcPr>
          <w:p>
            <w:pPr>
              <w:ind w:left="60"/>
              <w:spacing w:after="0" w:line="116" w:lineRule="exact"/>
              <w:rPr>
                <w:sz w:val="20"/>
                <w:szCs w:val="20"/>
                <w:color w:val="auto"/>
              </w:rPr>
            </w:pPr>
            <w:r>
              <w:rPr>
                <w:rFonts w:ascii="Arial" w:cs="Arial" w:eastAsia="Arial" w:hAnsi="Arial"/>
                <w:sz w:val="13"/>
                <w:szCs w:val="13"/>
                <w:color w:val="0000FF"/>
              </w:rPr>
              <w:t>of</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22"/>
        </w:trPr>
        <w:tc>
          <w:tcPr>
            <w:tcW w:w="100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280" w:type="dxa"/>
            <w:vAlign w:val="bottom"/>
            <w:tcBorders>
              <w:top w:val="single" w:sz="8" w:color="0000FF"/>
              <w:bottom w:val="single" w:sz="8" w:color="0000FF"/>
            </w:tcBorders>
          </w:tcPr>
          <w:p>
            <w:pPr>
              <w:spacing w:after="0" w:line="122" w:lineRule="exact"/>
              <w:rPr>
                <w:sz w:val="20"/>
                <w:szCs w:val="20"/>
                <w:color w:val="auto"/>
              </w:rPr>
            </w:pPr>
            <w:r>
              <w:rPr>
                <w:rFonts w:ascii="Arial" w:cs="Arial" w:eastAsia="Arial" w:hAnsi="Arial"/>
                <w:sz w:val="14"/>
                <w:szCs w:val="14"/>
                <w:color w:val="0000FF"/>
                <w:w w:val="83"/>
              </w:rPr>
              <w:t>2002</w:t>
            </w:r>
          </w:p>
        </w:tc>
        <w:tc>
          <w:tcPr>
            <w:tcW w:w="140" w:type="dxa"/>
            <w:vAlign w:val="bottom"/>
            <w:tcBorders>
              <w:top w:val="single" w:sz="8" w:color="0000FF"/>
            </w:tcBorders>
          </w:tcPr>
          <w:p>
            <w:pPr>
              <w:spacing w:after="0"/>
              <w:rPr>
                <w:sz w:val="10"/>
                <w:szCs w:val="10"/>
                <w:color w:val="auto"/>
              </w:rPr>
            </w:pPr>
          </w:p>
        </w:tc>
        <w:tc>
          <w:tcPr>
            <w:tcW w:w="40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225"/>
        </w:trPr>
        <w:tc>
          <w:tcPr>
            <w:tcW w:w="1000" w:type="dxa"/>
            <w:vAlign w:val="bottom"/>
          </w:tcPr>
          <w:p>
            <w:pPr>
              <w:ind w:left="2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4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w w:val="90"/>
              </w:rPr>
              <w:t>Certification of the Chief Financial Officer pursuant to Exchange Act Rules 13a-</w:t>
            </w:r>
          </w:p>
        </w:tc>
        <w:tc>
          <w:tcPr>
            <w:tcW w:w="720" w:type="dxa"/>
            <w:vAlign w:val="bottom"/>
            <w:gridSpan w:val="8"/>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9"/>
              </w:rPr>
              <w:t>Filed herewith</w:t>
            </w:r>
          </w:p>
        </w:tc>
      </w:tr>
      <w:tr>
        <w:trPr>
          <w:trHeight w:val="109"/>
        </w:trPr>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160" w:type="dxa"/>
            <w:vAlign w:val="bottom"/>
            <w:gridSpan w:val="11"/>
          </w:tcPr>
          <w:p>
            <w:pPr>
              <w:spacing w:after="0" w:line="109" w:lineRule="exact"/>
              <w:rPr>
                <w:sz w:val="20"/>
                <w:szCs w:val="20"/>
                <w:color w:val="auto"/>
              </w:rPr>
            </w:pPr>
            <w:r>
              <w:rPr>
                <w:rFonts w:ascii="Arial" w:cs="Arial" w:eastAsia="Arial" w:hAnsi="Arial"/>
                <w:sz w:val="11"/>
                <w:szCs w:val="11"/>
                <w:color w:val="0000FF"/>
              </w:rPr>
              <w:t>14(a) or 15d-14(a), as adopted pursuant to Section 302 of the Sarbanes-Oxley Act of</w:t>
            </w: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22"/>
        </w:trPr>
        <w:tc>
          <w:tcPr>
            <w:tcW w:w="100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280" w:type="dxa"/>
            <w:vAlign w:val="bottom"/>
            <w:tcBorders>
              <w:top w:val="single" w:sz="8" w:color="0000FF"/>
              <w:bottom w:val="single" w:sz="8" w:color="0000FF"/>
            </w:tcBorders>
          </w:tcPr>
          <w:p>
            <w:pPr>
              <w:spacing w:after="0" w:line="122" w:lineRule="exact"/>
              <w:rPr>
                <w:sz w:val="20"/>
                <w:szCs w:val="20"/>
                <w:color w:val="auto"/>
              </w:rPr>
            </w:pPr>
            <w:r>
              <w:rPr>
                <w:rFonts w:ascii="Arial" w:cs="Arial" w:eastAsia="Arial" w:hAnsi="Arial"/>
                <w:sz w:val="14"/>
                <w:szCs w:val="14"/>
                <w:color w:val="0000FF"/>
                <w:w w:val="83"/>
              </w:rPr>
              <w:t>2002</w:t>
            </w:r>
          </w:p>
        </w:tc>
        <w:tc>
          <w:tcPr>
            <w:tcW w:w="140" w:type="dxa"/>
            <w:vAlign w:val="bottom"/>
            <w:tcBorders>
              <w:top w:val="single" w:sz="8" w:color="0000FF"/>
            </w:tcBorders>
          </w:tcPr>
          <w:p>
            <w:pPr>
              <w:spacing w:after="0"/>
              <w:rPr>
                <w:sz w:val="10"/>
                <w:szCs w:val="10"/>
                <w:color w:val="auto"/>
              </w:rPr>
            </w:pPr>
          </w:p>
        </w:tc>
        <w:tc>
          <w:tcPr>
            <w:tcW w:w="40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218"/>
        </w:trPr>
        <w:tc>
          <w:tcPr>
            <w:tcW w:w="1000" w:type="dxa"/>
            <w:vAlign w:val="bottom"/>
          </w:tcPr>
          <w:p>
            <w:pPr>
              <w:ind w:left="20"/>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11"/>
          </w:tcPr>
          <w:p>
            <w:pPr>
              <w:spacing w:after="0"/>
              <w:rPr>
                <w:sz w:val="20"/>
                <w:szCs w:val="20"/>
                <w:color w:val="auto"/>
              </w:rPr>
            </w:pPr>
            <w:r>
              <w:rPr>
                <w:rFonts w:ascii="Arial" w:cs="Arial" w:eastAsia="Arial" w:hAnsi="Arial"/>
                <w:sz w:val="14"/>
                <w:szCs w:val="14"/>
                <w:color w:val="0000FF"/>
              </w:rPr>
              <w:t>Certification of the Chief Executive Officer and Chief Financial Officer pursuant to</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9"/>
              </w:rPr>
              <w:t>Furnished herewith</w:t>
            </w:r>
          </w:p>
        </w:tc>
      </w:tr>
      <w:tr>
        <w:trPr>
          <w:trHeight w:val="116"/>
        </w:trPr>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80" w:type="dxa"/>
            <w:vAlign w:val="bottom"/>
            <w:tcBorders>
              <w:top w:val="single" w:sz="8" w:color="0000FF"/>
            </w:tcBorders>
            <w:gridSpan w:val="5"/>
          </w:tcPr>
          <w:p>
            <w:pPr>
              <w:spacing w:after="0" w:line="116" w:lineRule="exact"/>
              <w:rPr>
                <w:sz w:val="20"/>
                <w:szCs w:val="20"/>
                <w:color w:val="auto"/>
              </w:rPr>
            </w:pPr>
            <w:r>
              <w:rPr>
                <w:rFonts w:ascii="Arial" w:cs="Arial" w:eastAsia="Arial" w:hAnsi="Arial"/>
                <w:sz w:val="13"/>
                <w:szCs w:val="13"/>
                <w:color w:val="0000FF"/>
                <w:w w:val="94"/>
              </w:rPr>
              <w:t>18 U.S.C. Section 1350, as adopted pursuant to Section 906 of the Sarbanes-Oxley</w:t>
            </w:r>
          </w:p>
        </w:tc>
        <w:tc>
          <w:tcPr>
            <w:tcW w:w="580" w:type="dxa"/>
            <w:vAlign w:val="bottom"/>
            <w:gridSpan w:val="6"/>
          </w:tcPr>
          <w:p>
            <w:pPr>
              <w:spacing w:after="0" w:line="116" w:lineRule="exact"/>
              <w:rPr>
                <w:sz w:val="20"/>
                <w:szCs w:val="20"/>
                <w:color w:val="auto"/>
              </w:rPr>
            </w:pPr>
            <w:r>
              <w:rPr>
                <w:rFonts w:ascii="Arial" w:cs="Arial" w:eastAsia="Arial" w:hAnsi="Arial"/>
                <w:sz w:val="13"/>
                <w:szCs w:val="13"/>
                <w:color w:val="0000FF"/>
              </w:rPr>
              <w:t>Act</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22"/>
        </w:trPr>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80" w:type="dxa"/>
            <w:vAlign w:val="bottom"/>
            <w:tcBorders>
              <w:top w:val="single" w:sz="8" w:color="0000FF"/>
            </w:tcBorders>
            <w:gridSpan w:val="7"/>
          </w:tcPr>
          <w:p>
            <w:pPr>
              <w:spacing w:after="0" w:line="122" w:lineRule="exact"/>
              <w:rPr>
                <w:sz w:val="20"/>
                <w:szCs w:val="20"/>
                <w:color w:val="auto"/>
              </w:rPr>
            </w:pPr>
            <w:r>
              <w:rPr>
                <w:rFonts w:ascii="Arial" w:cs="Arial" w:eastAsia="Arial" w:hAnsi="Arial"/>
                <w:sz w:val="14"/>
                <w:szCs w:val="14"/>
                <w:color w:val="0000FF"/>
              </w:rPr>
              <w:t>of 2002</w:t>
            </w:r>
          </w:p>
        </w:tc>
        <w:tc>
          <w:tcPr>
            <w:tcW w:w="380" w:type="dxa"/>
            <w:vAlign w:val="bottom"/>
            <w:gridSpan w:val="4"/>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74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2"/>
        </w:trPr>
        <w:tc>
          <w:tcPr>
            <w:tcW w:w="1000" w:type="dxa"/>
            <w:vAlign w:val="bottom"/>
          </w:tcPr>
          <w:p>
            <w:pPr>
              <w:ind w:left="20"/>
              <w:spacing w:after="0"/>
              <w:rPr>
                <w:sz w:val="20"/>
                <w:szCs w:val="20"/>
                <w:color w:val="auto"/>
              </w:rPr>
            </w:pPr>
            <w:r>
              <w:rPr>
                <w:rFonts w:ascii="Arial" w:cs="Arial" w:eastAsia="Arial" w:hAnsi="Arial"/>
                <w:sz w:val="14"/>
                <w:szCs w:val="14"/>
                <w:color w:val="auto"/>
              </w:rPr>
              <w:t>101.INS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11"/>
          </w:tcPr>
          <w:p>
            <w:pPr>
              <w:spacing w:after="0"/>
              <w:rPr>
                <w:sz w:val="20"/>
                <w:szCs w:val="20"/>
                <w:color w:val="auto"/>
              </w:rPr>
            </w:pPr>
            <w:r>
              <w:rPr>
                <w:rFonts w:ascii="Arial" w:cs="Arial" w:eastAsia="Arial" w:hAnsi="Arial"/>
                <w:sz w:val="14"/>
                <w:szCs w:val="14"/>
                <w:color w:val="auto"/>
              </w:rPr>
              <w:t>Inline XBRL Instance Document - the instance document does not appear in the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9"/>
              </w:rPr>
              <w:t>Filed herewith</w:t>
            </w:r>
          </w:p>
        </w:tc>
      </w:tr>
      <w:tr>
        <w:trPr>
          <w:trHeight w:val="136"/>
        </w:trPr>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60" w:type="dxa"/>
            <w:vAlign w:val="bottom"/>
            <w:gridSpan w:val="11"/>
          </w:tcPr>
          <w:p>
            <w:pPr>
              <w:spacing w:after="0" w:line="137" w:lineRule="exact"/>
              <w:rPr>
                <w:sz w:val="20"/>
                <w:szCs w:val="20"/>
                <w:color w:val="auto"/>
              </w:rPr>
            </w:pPr>
            <w:r>
              <w:rPr>
                <w:rFonts w:ascii="Arial" w:cs="Arial" w:eastAsia="Arial" w:hAnsi="Arial"/>
                <w:sz w:val="14"/>
                <w:szCs w:val="14"/>
                <w:color w:val="auto"/>
              </w:rPr>
              <w:t>Interactive Data File because its XBRL tags are embedded within the Inline XBRL</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74"/>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60" w:type="dxa"/>
            <w:vAlign w:val="bottom"/>
            <w:gridSpan w:val="11"/>
          </w:tcPr>
          <w:p>
            <w:pPr>
              <w:spacing w:after="0"/>
              <w:rPr>
                <w:sz w:val="20"/>
                <w:szCs w:val="20"/>
                <w:color w:val="auto"/>
              </w:rPr>
            </w:pPr>
            <w:r>
              <w:rPr>
                <w:rFonts w:ascii="Arial" w:cs="Arial" w:eastAsia="Arial" w:hAnsi="Arial"/>
                <w:sz w:val="14"/>
                <w:szCs w:val="14"/>
                <w:color w:val="auto"/>
              </w:rPr>
              <w:t>document</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45"/>
        </w:trPr>
        <w:tc>
          <w:tcPr>
            <w:tcW w:w="1000" w:type="dxa"/>
            <w:vAlign w:val="bottom"/>
          </w:tcPr>
          <w:p>
            <w:pPr>
              <w:ind w:left="20"/>
              <w:spacing w:after="0"/>
              <w:rPr>
                <w:sz w:val="20"/>
                <w:szCs w:val="20"/>
                <w:color w:val="auto"/>
              </w:rPr>
            </w:pPr>
            <w:r>
              <w:rPr>
                <w:rFonts w:ascii="Arial" w:cs="Arial" w:eastAsia="Arial" w:hAnsi="Arial"/>
                <w:sz w:val="14"/>
                <w:szCs w:val="14"/>
                <w:color w:val="auto"/>
              </w:rPr>
              <w:t>101.SCH</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60" w:type="dxa"/>
            <w:vAlign w:val="bottom"/>
            <w:gridSpan w:val="11"/>
          </w:tcPr>
          <w:p>
            <w:pPr>
              <w:spacing w:after="0"/>
              <w:rPr>
                <w:sz w:val="20"/>
                <w:szCs w:val="20"/>
                <w:color w:val="auto"/>
              </w:rPr>
            </w:pPr>
            <w:r>
              <w:rPr>
                <w:rFonts w:ascii="Arial" w:cs="Arial" w:eastAsia="Arial" w:hAnsi="Arial"/>
                <w:sz w:val="14"/>
                <w:szCs w:val="14"/>
                <w:color w:val="auto"/>
              </w:rPr>
              <w:t>Inline XBRL Taxonomy Extension Schema Document</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9"/>
              </w:rPr>
              <w:t>Filed herewith</w:t>
            </w:r>
          </w:p>
        </w:tc>
      </w:tr>
      <w:tr>
        <w:trPr>
          <w:trHeight w:val="232"/>
        </w:trPr>
        <w:tc>
          <w:tcPr>
            <w:tcW w:w="1000" w:type="dxa"/>
            <w:vAlign w:val="bottom"/>
          </w:tcPr>
          <w:p>
            <w:pPr>
              <w:ind w:left="20"/>
              <w:spacing w:after="0"/>
              <w:rPr>
                <w:sz w:val="20"/>
                <w:szCs w:val="20"/>
                <w:color w:val="auto"/>
              </w:rPr>
            </w:pPr>
            <w:r>
              <w:rPr>
                <w:rFonts w:ascii="Arial" w:cs="Arial" w:eastAsia="Arial" w:hAnsi="Arial"/>
                <w:sz w:val="14"/>
                <w:szCs w:val="14"/>
                <w:color w:val="auto"/>
              </w:rPr>
              <w:t>101.CAL</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11"/>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9"/>
              </w:rPr>
              <w:t>Filed herewith</w:t>
            </w:r>
          </w:p>
        </w:tc>
      </w:tr>
      <w:tr>
        <w:trPr>
          <w:trHeight w:val="245"/>
        </w:trPr>
        <w:tc>
          <w:tcPr>
            <w:tcW w:w="1000" w:type="dxa"/>
            <w:vAlign w:val="bottom"/>
          </w:tcPr>
          <w:p>
            <w:pPr>
              <w:ind w:left="20"/>
              <w:spacing w:after="0"/>
              <w:rPr>
                <w:sz w:val="20"/>
                <w:szCs w:val="20"/>
                <w:color w:val="auto"/>
              </w:rPr>
            </w:pPr>
            <w:r>
              <w:rPr>
                <w:rFonts w:ascii="Arial" w:cs="Arial" w:eastAsia="Arial" w:hAnsi="Arial"/>
                <w:sz w:val="14"/>
                <w:szCs w:val="14"/>
                <w:color w:val="auto"/>
              </w:rPr>
              <w:t>101.DEF</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60" w:type="dxa"/>
            <w:vAlign w:val="bottom"/>
            <w:gridSpan w:val="11"/>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9"/>
              </w:rPr>
              <w:t>Filed herewith</w:t>
            </w:r>
          </w:p>
        </w:tc>
      </w:tr>
      <w:tr>
        <w:trPr>
          <w:trHeight w:val="232"/>
        </w:trPr>
        <w:tc>
          <w:tcPr>
            <w:tcW w:w="1000" w:type="dxa"/>
            <w:vAlign w:val="bottom"/>
          </w:tcPr>
          <w:p>
            <w:pPr>
              <w:ind w:left="20"/>
              <w:spacing w:after="0"/>
              <w:rPr>
                <w:sz w:val="20"/>
                <w:szCs w:val="20"/>
                <w:color w:val="auto"/>
              </w:rPr>
            </w:pPr>
            <w:r>
              <w:rPr>
                <w:rFonts w:ascii="Arial" w:cs="Arial" w:eastAsia="Arial" w:hAnsi="Arial"/>
                <w:sz w:val="14"/>
                <w:szCs w:val="14"/>
                <w:color w:val="auto"/>
              </w:rPr>
              <w:t>101.LAB</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11"/>
          </w:tcPr>
          <w:p>
            <w:pPr>
              <w:spacing w:after="0"/>
              <w:rPr>
                <w:sz w:val="20"/>
                <w:szCs w:val="20"/>
                <w:color w:val="auto"/>
              </w:rPr>
            </w:pPr>
            <w:r>
              <w:rPr>
                <w:rFonts w:ascii="Arial" w:cs="Arial" w:eastAsia="Arial" w:hAnsi="Arial"/>
                <w:sz w:val="14"/>
                <w:szCs w:val="14"/>
                <w:color w:val="auto"/>
              </w:rPr>
              <w:t>XBRL Taxonomy Extension Label Linkbase Document</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9"/>
              </w:rPr>
              <w:t>Filed herewith</w:t>
            </w:r>
          </w:p>
        </w:tc>
      </w:tr>
      <w:tr>
        <w:trPr>
          <w:trHeight w:val="245"/>
        </w:trPr>
        <w:tc>
          <w:tcPr>
            <w:tcW w:w="1000" w:type="dxa"/>
            <w:vAlign w:val="bottom"/>
          </w:tcPr>
          <w:p>
            <w:pPr>
              <w:ind w:left="20"/>
              <w:spacing w:after="0"/>
              <w:rPr>
                <w:sz w:val="20"/>
                <w:szCs w:val="20"/>
                <w:color w:val="auto"/>
              </w:rPr>
            </w:pPr>
            <w:r>
              <w:rPr>
                <w:rFonts w:ascii="Arial" w:cs="Arial" w:eastAsia="Arial" w:hAnsi="Arial"/>
                <w:sz w:val="14"/>
                <w:szCs w:val="14"/>
                <w:color w:val="auto"/>
              </w:rPr>
              <w:t>101.PRE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60" w:type="dxa"/>
            <w:vAlign w:val="bottom"/>
            <w:gridSpan w:val="11"/>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9"/>
              </w:rPr>
              <w:t>Filed herewith</w:t>
            </w:r>
          </w:p>
        </w:tc>
      </w:tr>
    </w:tbl>
    <w:p>
      <w:pPr>
        <w:spacing w:after="0" w:line="70" w:lineRule="exact"/>
        <w:rPr>
          <w:sz w:val="20"/>
          <w:szCs w:val="20"/>
          <w:color w:val="auto"/>
        </w:rPr>
      </w:pPr>
    </w:p>
    <w:p>
      <w:pPr>
        <w:ind w:left="1140" w:right="5640" w:hanging="1120"/>
        <w:spacing w:after="0" w:line="226" w:lineRule="auto"/>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Cover Page with Interactive Data File (formatted as Inline XBRL with applicable taxonomy extension information contained in Exhibits 101)</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__________________________________________</w:t>
      </w:r>
    </w:p>
    <w:p>
      <w:pPr>
        <w:spacing w:after="0" w:line="23"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Indicates management control of a compensatory plan, contract or agreement.</w:t>
      </w:r>
    </w:p>
    <w:p>
      <w:pPr>
        <w:spacing w:after="0" w:line="1" w:lineRule="exact"/>
        <w:rPr>
          <w:sz w:val="20"/>
          <w:szCs w:val="20"/>
          <w:color w:val="auto"/>
        </w:rPr>
      </w:pPr>
    </w:p>
    <w:p>
      <w:pPr>
        <w:ind w:left="620" w:right="80" w:hanging="617"/>
        <w:spacing w:after="0"/>
        <w:tabs>
          <w:tab w:leader="none" w:pos="207"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82" w:name="page83"/>
    <w:bookmarkEnd w:id="82"/>
    <w:p>
      <w:pPr>
        <w:ind w:left="5380"/>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ind w:firstLine="387"/>
        <w:spacing w:after="0" w:line="279"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201" w:lineRule="exact"/>
        <w:rPr>
          <w:sz w:val="20"/>
          <w:szCs w:val="20"/>
          <w:color w:val="auto"/>
        </w:rPr>
      </w:pPr>
    </w:p>
    <w:p>
      <w:pPr>
        <w:ind w:left="5900"/>
        <w:spacing w:after="0"/>
        <w:rPr>
          <w:sz w:val="20"/>
          <w:szCs w:val="20"/>
          <w:color w:val="auto"/>
        </w:rPr>
      </w:pPr>
      <w:r>
        <w:rPr>
          <w:rFonts w:ascii="Arial" w:cs="Arial" w:eastAsia="Arial" w:hAnsi="Arial"/>
          <w:sz w:val="15"/>
          <w:szCs w:val="15"/>
          <w:b w:val="1"/>
          <w:bCs w:val="1"/>
          <w:color w:val="auto"/>
        </w:rPr>
        <w:t>TWILIO INC.</w:t>
      </w:r>
    </w:p>
    <w:p>
      <w:pPr>
        <w:spacing w:after="0" w:line="298" w:lineRule="exact"/>
        <w:rPr>
          <w:sz w:val="20"/>
          <w:szCs w:val="20"/>
          <w:color w:val="auto"/>
        </w:rPr>
      </w:pPr>
    </w:p>
    <w:p>
      <w:pPr>
        <w:ind w:left="780"/>
        <w:spacing w:after="0"/>
        <w:tabs>
          <w:tab w:leader="none" w:pos="7760" w:val="left"/>
        </w:tabs>
        <w:rPr>
          <w:sz w:val="20"/>
          <w:szCs w:val="20"/>
          <w:color w:val="auto"/>
        </w:rPr>
      </w:pPr>
      <w:r>
        <w:rPr>
          <w:rFonts w:ascii="Arial" w:cs="Arial" w:eastAsia="Arial" w:hAnsi="Arial"/>
          <w:sz w:val="15"/>
          <w:szCs w:val="15"/>
          <w:color w:val="auto"/>
        </w:rPr>
        <w:t>August 8, 2023</w:t>
      </w:r>
      <w:r>
        <w:rPr>
          <w:sz w:val="20"/>
          <w:szCs w:val="20"/>
          <w:color w:val="auto"/>
        </w:rPr>
        <w:tab/>
      </w:r>
      <w:r>
        <w:rPr>
          <w:rFonts w:ascii="Arial" w:cs="Arial" w:eastAsia="Arial" w:hAnsi="Arial"/>
          <w:sz w:val="14"/>
          <w:szCs w:val="14"/>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18415</wp:posOffset>
            </wp:positionV>
            <wp:extent cx="3168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3168015" cy="8255"/>
                    </a:xfrm>
                    <a:prstGeom prst="rect">
                      <a:avLst/>
                    </a:prstGeom>
                    <a:noFill/>
                  </pic:spPr>
                </pic:pic>
              </a:graphicData>
            </a:graphic>
          </wp:anchor>
        </w:drawing>
      </w:r>
    </w:p>
    <w:p>
      <w:pPr>
        <w:spacing w:after="0" w:line="21" w:lineRule="exact"/>
        <w:rPr>
          <w:sz w:val="20"/>
          <w:szCs w:val="20"/>
          <w:color w:val="auto"/>
        </w:rPr>
      </w:pPr>
    </w:p>
    <w:p>
      <w:pPr>
        <w:jc w:val="center"/>
        <w:ind w:left="5520"/>
        <w:spacing w:after="0"/>
        <w:rPr>
          <w:sz w:val="20"/>
          <w:szCs w:val="20"/>
          <w:color w:val="auto"/>
        </w:rPr>
      </w:pPr>
      <w:r>
        <w:rPr>
          <w:rFonts w:ascii="Arial" w:cs="Arial" w:eastAsia="Arial" w:hAnsi="Arial"/>
          <w:sz w:val="15"/>
          <w:szCs w:val="15"/>
          <w:color w:val="auto"/>
        </w:rPr>
        <w:t>Jeff Lawson</w:t>
      </w:r>
    </w:p>
    <w:p>
      <w:pPr>
        <w:jc w:val="center"/>
        <w:ind w:left="5520"/>
        <w:spacing w:after="0"/>
        <w:rPr>
          <w:sz w:val="20"/>
          <w:szCs w:val="20"/>
          <w:color w:val="auto"/>
        </w:rPr>
      </w:pPr>
      <w:r>
        <w:rPr>
          <w:rFonts w:ascii="Arial" w:cs="Arial" w:eastAsia="Arial" w:hAnsi="Arial"/>
          <w:sz w:val="15"/>
          <w:szCs w:val="15"/>
          <w:i w:val="1"/>
          <w:iCs w:val="1"/>
          <w:color w:val="auto"/>
        </w:rPr>
        <w:t>Director and Chief Executive Officer (Principal Executive Officer)</w:t>
      </w:r>
    </w:p>
    <w:p>
      <w:pPr>
        <w:spacing w:after="0" w:line="228" w:lineRule="exact"/>
        <w:rPr>
          <w:sz w:val="20"/>
          <w:szCs w:val="20"/>
          <w:color w:val="auto"/>
        </w:rPr>
      </w:pPr>
    </w:p>
    <w:p>
      <w:pPr>
        <w:ind w:left="780"/>
        <w:spacing w:after="0"/>
        <w:tabs>
          <w:tab w:leader="none" w:pos="7620" w:val="left"/>
        </w:tabs>
        <w:rPr>
          <w:sz w:val="20"/>
          <w:szCs w:val="20"/>
          <w:color w:val="auto"/>
        </w:rPr>
      </w:pPr>
      <w:r>
        <w:rPr>
          <w:rFonts w:ascii="Arial" w:cs="Arial" w:eastAsia="Arial" w:hAnsi="Arial"/>
          <w:sz w:val="15"/>
          <w:szCs w:val="15"/>
          <w:color w:val="auto"/>
        </w:rPr>
        <w:t>August 8, 2023</w:t>
      </w:r>
      <w:r>
        <w:rPr>
          <w:sz w:val="20"/>
          <w:szCs w:val="20"/>
          <w:color w:val="auto"/>
        </w:rPr>
        <w:tab/>
      </w:r>
      <w:r>
        <w:rPr>
          <w:rFonts w:ascii="Arial" w:cs="Arial" w:eastAsia="Arial" w:hAnsi="Arial"/>
          <w:sz w:val="15"/>
          <w:szCs w:val="15"/>
          <w:color w:val="auto"/>
        </w:rPr>
        <w:t>/s/ AIDAN VIGGIANO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18415</wp:posOffset>
            </wp:positionV>
            <wp:extent cx="3168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3168015" cy="8255"/>
                    </a:xfrm>
                    <a:prstGeom prst="rect">
                      <a:avLst/>
                    </a:prstGeom>
                    <a:noFill/>
                  </pic:spPr>
                </pic:pic>
              </a:graphicData>
            </a:graphic>
          </wp:anchor>
        </w:drawing>
      </w:r>
    </w:p>
    <w:p>
      <w:pPr>
        <w:spacing w:after="0" w:line="21" w:lineRule="exact"/>
        <w:rPr>
          <w:sz w:val="20"/>
          <w:szCs w:val="20"/>
          <w:color w:val="auto"/>
        </w:rPr>
      </w:pPr>
    </w:p>
    <w:p>
      <w:pPr>
        <w:jc w:val="center"/>
        <w:ind w:left="5520"/>
        <w:spacing w:after="0"/>
        <w:rPr>
          <w:sz w:val="20"/>
          <w:szCs w:val="20"/>
          <w:color w:val="auto"/>
        </w:rPr>
      </w:pPr>
      <w:r>
        <w:rPr>
          <w:rFonts w:ascii="Arial" w:cs="Arial" w:eastAsia="Arial" w:hAnsi="Arial"/>
          <w:sz w:val="15"/>
          <w:szCs w:val="15"/>
          <w:color w:val="auto"/>
        </w:rPr>
        <w:t>Aidan Viggiano</w:t>
      </w:r>
    </w:p>
    <w:p>
      <w:pPr>
        <w:jc w:val="center"/>
        <w:ind w:left="5520"/>
        <w:spacing w:after="0"/>
        <w:rPr>
          <w:sz w:val="20"/>
          <w:szCs w:val="20"/>
          <w:color w:val="auto"/>
        </w:rPr>
      </w:pPr>
      <w:r>
        <w:rPr>
          <w:rFonts w:ascii="Arial" w:cs="Arial" w:eastAsia="Arial" w:hAnsi="Arial"/>
          <w:sz w:val="15"/>
          <w:szCs w:val="15"/>
          <w:i w:val="1"/>
          <w:iCs w:val="1"/>
          <w:color w:val="auto"/>
        </w:rPr>
        <w:t>Chief Financial Officer (Principal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0800"/>
          </w:cols>
          <w:pgMar w:left="320" w:top="1062" w:right="779" w:bottom="1440" w:gutter="0" w:footer="0" w:header="0"/>
        </w:sectPr>
      </w:pPr>
    </w:p>
    <w:bookmarkStart w:id="83" w:name="page84"/>
    <w:bookmarkEnd w:id="83"/>
    <w:p>
      <w:pPr>
        <w:ind w:left="10440"/>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 RULE 13a-14(a) OR 15d-14(a) OF</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 SECTION 302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SARBANES-OXLEY ACT OF 2002</w:t>
      </w: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color w:val="auto"/>
        </w:rPr>
        <w:t>I, Jeff Lawson, certify that:</w:t>
      </w:r>
    </w:p>
    <w:p>
      <w:pPr>
        <w:spacing w:after="0" w:line="176" w:lineRule="exact"/>
        <w:rPr>
          <w:sz w:val="20"/>
          <w:szCs w:val="20"/>
          <w:color w:val="auto"/>
        </w:rPr>
      </w:pPr>
    </w:p>
    <w:p>
      <w:pPr>
        <w:ind w:left="1240" w:hanging="618"/>
        <w:spacing w:after="0"/>
        <w:tabs>
          <w:tab w:leader="none" w:pos="12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Twilio Inc.;</w:t>
      </w:r>
    </w:p>
    <w:p>
      <w:pPr>
        <w:spacing w:after="0" w:line="188" w:lineRule="exact"/>
        <w:rPr>
          <w:rFonts w:ascii="Arial" w:cs="Arial" w:eastAsia="Arial" w:hAnsi="Arial"/>
          <w:sz w:val="15"/>
          <w:szCs w:val="15"/>
          <w:color w:val="auto"/>
        </w:rPr>
      </w:pPr>
    </w:p>
    <w:p>
      <w:pPr>
        <w:ind w:right="300" w:firstLine="622"/>
        <w:spacing w:after="0" w:line="283" w:lineRule="auto"/>
        <w:tabs>
          <w:tab w:leader="none" w:pos="1238"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5"/>
          <w:szCs w:val="15"/>
          <w:color w:val="auto"/>
        </w:rPr>
      </w:pPr>
    </w:p>
    <w:p>
      <w:pPr>
        <w:ind w:right="380" w:firstLine="622"/>
        <w:spacing w:after="0" w:line="301" w:lineRule="auto"/>
        <w:tabs>
          <w:tab w:leader="none" w:pos="1238"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5"/>
          <w:szCs w:val="15"/>
          <w:color w:val="auto"/>
        </w:rPr>
      </w:pPr>
    </w:p>
    <w:p>
      <w:pPr>
        <w:ind w:right="100" w:firstLine="622"/>
        <w:spacing w:after="0" w:line="340" w:lineRule="auto"/>
        <w:tabs>
          <w:tab w:leader="none" w:pos="1238"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5" w:lineRule="exact"/>
        <w:rPr>
          <w:rFonts w:ascii="Arial" w:cs="Arial" w:eastAsia="Arial" w:hAnsi="Arial"/>
          <w:sz w:val="14"/>
          <w:szCs w:val="14"/>
          <w:color w:val="auto"/>
        </w:rPr>
      </w:pPr>
    </w:p>
    <w:p>
      <w:pPr>
        <w:ind w:right="20" w:firstLine="1241"/>
        <w:spacing w:after="0" w:line="276" w:lineRule="auto"/>
        <w:tabs>
          <w:tab w:leader="none" w:pos="1857" w:val="left"/>
        </w:tabs>
        <w:numPr>
          <w:ilvl w:val="1"/>
          <w:numId w:val="4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Arial" w:cs="Arial" w:eastAsia="Arial" w:hAnsi="Arial"/>
          <w:sz w:val="15"/>
          <w:szCs w:val="15"/>
          <w:color w:val="auto"/>
        </w:rPr>
      </w:pPr>
    </w:p>
    <w:p>
      <w:pPr>
        <w:ind w:firstLine="1241"/>
        <w:spacing w:after="0" w:line="276" w:lineRule="auto"/>
        <w:tabs>
          <w:tab w:leader="none" w:pos="1857" w:val="left"/>
        </w:tabs>
        <w:numPr>
          <w:ilvl w:val="1"/>
          <w:numId w:val="45"/>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5"/>
          <w:szCs w:val="15"/>
          <w:color w:val="auto"/>
        </w:rPr>
      </w:pPr>
    </w:p>
    <w:p>
      <w:pPr>
        <w:ind w:right="20" w:firstLine="1241"/>
        <w:spacing w:after="0" w:line="301" w:lineRule="auto"/>
        <w:tabs>
          <w:tab w:leader="none" w:pos="1857" w:val="left"/>
        </w:tabs>
        <w:numPr>
          <w:ilvl w:val="1"/>
          <w:numId w:val="4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5"/>
          <w:szCs w:val="15"/>
          <w:color w:val="auto"/>
        </w:rPr>
      </w:pPr>
    </w:p>
    <w:p>
      <w:pPr>
        <w:jc w:val="both"/>
        <w:ind w:right="220" w:firstLine="1241"/>
        <w:spacing w:after="0" w:line="276" w:lineRule="auto"/>
        <w:tabs>
          <w:tab w:leader="none" w:pos="1857" w:val="left"/>
        </w:tabs>
        <w:numPr>
          <w:ilvl w:val="1"/>
          <w:numId w:val="45"/>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Arial" w:cs="Arial" w:eastAsia="Arial" w:hAnsi="Arial"/>
          <w:sz w:val="15"/>
          <w:szCs w:val="15"/>
          <w:color w:val="auto"/>
        </w:rPr>
      </w:pPr>
    </w:p>
    <w:p>
      <w:pPr>
        <w:ind w:right="20" w:firstLine="622"/>
        <w:spacing w:after="0" w:line="283" w:lineRule="auto"/>
        <w:tabs>
          <w:tab w:leader="none" w:pos="1238"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5"/>
          <w:szCs w:val="15"/>
          <w:color w:val="auto"/>
        </w:rPr>
      </w:pPr>
    </w:p>
    <w:p>
      <w:pPr>
        <w:ind w:right="120" w:firstLine="1241"/>
        <w:spacing w:after="0" w:line="283" w:lineRule="auto"/>
        <w:tabs>
          <w:tab w:leader="none" w:pos="1857" w:val="left"/>
        </w:tabs>
        <w:numPr>
          <w:ilvl w:val="1"/>
          <w:numId w:val="4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5"/>
          <w:szCs w:val="15"/>
          <w:color w:val="auto"/>
        </w:rPr>
      </w:pPr>
    </w:p>
    <w:p>
      <w:pPr>
        <w:ind w:left="1860" w:hanging="619"/>
        <w:spacing w:after="0"/>
        <w:tabs>
          <w:tab w:leader="none" w:pos="1860" w:val="left"/>
        </w:tabs>
        <w:numPr>
          <w:ilvl w:val="1"/>
          <w:numId w:val="4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Date: August 8, 2023</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50018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Jeff Lawson</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Chief Executive Officer (Principal Executive Officer)</w:t>
      </w:r>
    </w:p>
    <w:p>
      <w:pPr>
        <w:sectPr>
          <w:pgSz w:w="11900" w:h="16838" w:orient="portrait"/>
          <w:cols w:equalWidth="0" w:num="1">
            <w:col w:w="11240"/>
          </w:cols>
          <w:pgMar w:left="320" w:top="1028" w:right="339" w:bottom="1440" w:gutter="0" w:footer="0" w:header="0"/>
        </w:sectPr>
      </w:pPr>
    </w:p>
    <w:bookmarkStart w:id="84" w:name="page85"/>
    <w:bookmarkEnd w:id="84"/>
    <w:p>
      <w:pPr>
        <w:ind w:left="10440"/>
        <w:spacing w:after="0"/>
        <w:rPr>
          <w:sz w:val="20"/>
          <w:szCs w:val="20"/>
          <w:color w:val="auto"/>
        </w:rPr>
      </w:pPr>
      <w:r>
        <w:rPr>
          <w:rFonts w:ascii="Arial" w:cs="Arial" w:eastAsia="Arial" w:hAnsi="Arial"/>
          <w:sz w:val="14"/>
          <w:szCs w:val="14"/>
          <w:b w:val="1"/>
          <w:bCs w:val="1"/>
          <w:color w:val="auto"/>
        </w:rPr>
        <w:t>Exhibit 31.2</w:t>
      </w:r>
    </w:p>
    <w:p>
      <w:pPr>
        <w:spacing w:after="0" w:line="37" w:lineRule="exact"/>
        <w:rPr>
          <w:sz w:val="20"/>
          <w:szCs w:val="20"/>
          <w:color w:val="auto"/>
        </w:rPr>
      </w:pPr>
    </w:p>
    <w:p>
      <w:pPr>
        <w:ind w:left="3280"/>
        <w:spacing w:after="0"/>
        <w:rPr>
          <w:sz w:val="20"/>
          <w:szCs w:val="20"/>
          <w:color w:val="auto"/>
        </w:rPr>
      </w:pPr>
      <w:r>
        <w:rPr>
          <w:rFonts w:ascii="Arial" w:cs="Arial" w:eastAsia="Arial" w:hAnsi="Arial"/>
          <w:sz w:val="15"/>
          <w:szCs w:val="15"/>
          <w:b w:val="1"/>
          <w:bCs w:val="1"/>
          <w:color w:val="auto"/>
        </w:rPr>
        <w:t>CERTIFICATION PURSUANT TO RULE 13a-14(a) OR 15d-14(a) OF</w:t>
      </w:r>
    </w:p>
    <w:p>
      <w:pPr>
        <w:spacing w:after="0" w:line="11" w:lineRule="exact"/>
        <w:rPr>
          <w:sz w:val="20"/>
          <w:szCs w:val="20"/>
          <w:color w:val="auto"/>
        </w:rPr>
      </w:pPr>
    </w:p>
    <w:p>
      <w:pPr>
        <w:ind w:left="4000"/>
        <w:spacing w:after="0"/>
        <w:rPr>
          <w:sz w:val="20"/>
          <w:szCs w:val="20"/>
          <w:color w:val="auto"/>
        </w:rPr>
      </w:pPr>
      <w:r>
        <w:rPr>
          <w:rFonts w:ascii="Arial" w:cs="Arial" w:eastAsia="Arial" w:hAnsi="Arial"/>
          <w:sz w:val="15"/>
          <w:szCs w:val="15"/>
          <w:b w:val="1"/>
          <w:bCs w:val="1"/>
          <w:color w:val="auto"/>
        </w:rPr>
        <w:t>THE SECURITIES EXCHANGE ACT OF 1934,</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 SECTION 302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I, Aidan Viggiano, certify that:</w:t>
      </w:r>
    </w:p>
    <w:p>
      <w:pPr>
        <w:spacing w:after="0" w:line="188" w:lineRule="exact"/>
        <w:rPr>
          <w:sz w:val="20"/>
          <w:szCs w:val="20"/>
          <w:color w:val="auto"/>
        </w:rPr>
      </w:pPr>
    </w:p>
    <w:p>
      <w:pPr>
        <w:ind w:left="1240" w:hanging="618"/>
        <w:spacing w:after="0"/>
        <w:tabs>
          <w:tab w:leader="none" w:pos="12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Twilio Inc.;</w:t>
      </w:r>
    </w:p>
    <w:p>
      <w:pPr>
        <w:spacing w:after="0" w:line="175" w:lineRule="exact"/>
        <w:rPr>
          <w:rFonts w:ascii="Arial" w:cs="Arial" w:eastAsia="Arial" w:hAnsi="Arial"/>
          <w:sz w:val="15"/>
          <w:szCs w:val="15"/>
          <w:color w:val="auto"/>
        </w:rPr>
      </w:pPr>
    </w:p>
    <w:p>
      <w:pPr>
        <w:ind w:right="300" w:firstLine="622"/>
        <w:spacing w:after="0" w:line="301" w:lineRule="auto"/>
        <w:tabs>
          <w:tab w:leader="none" w:pos="1238"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right="380" w:firstLine="622"/>
        <w:spacing w:after="0" w:line="283" w:lineRule="auto"/>
        <w:tabs>
          <w:tab w:leader="none" w:pos="1238"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5"/>
          <w:szCs w:val="15"/>
          <w:color w:val="auto"/>
        </w:rPr>
      </w:pPr>
    </w:p>
    <w:p>
      <w:pPr>
        <w:ind w:right="100" w:firstLine="622"/>
        <w:spacing w:after="0" w:line="321" w:lineRule="auto"/>
        <w:tabs>
          <w:tab w:leader="none" w:pos="1238"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4"/>
          <w:szCs w:val="14"/>
          <w:color w:val="auto"/>
        </w:rPr>
      </w:pPr>
    </w:p>
    <w:p>
      <w:pPr>
        <w:ind w:right="20" w:firstLine="1241"/>
        <w:spacing w:after="0" w:line="276" w:lineRule="auto"/>
        <w:tabs>
          <w:tab w:leader="none" w:pos="1857" w:val="left"/>
        </w:tabs>
        <w:numPr>
          <w:ilvl w:val="1"/>
          <w:numId w:val="4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5"/>
          <w:szCs w:val="15"/>
          <w:color w:val="auto"/>
        </w:rPr>
      </w:pPr>
    </w:p>
    <w:p>
      <w:pPr>
        <w:ind w:firstLine="1241"/>
        <w:spacing w:after="0" w:line="276" w:lineRule="auto"/>
        <w:tabs>
          <w:tab w:leader="none" w:pos="1857" w:val="left"/>
        </w:tabs>
        <w:numPr>
          <w:ilvl w:val="1"/>
          <w:numId w:val="46"/>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Arial" w:cs="Arial" w:eastAsia="Arial" w:hAnsi="Arial"/>
          <w:sz w:val="15"/>
          <w:szCs w:val="15"/>
          <w:color w:val="auto"/>
        </w:rPr>
      </w:pPr>
    </w:p>
    <w:p>
      <w:pPr>
        <w:ind w:right="20" w:firstLine="1241"/>
        <w:spacing w:after="0" w:line="283" w:lineRule="auto"/>
        <w:tabs>
          <w:tab w:leader="none" w:pos="1857" w:val="left"/>
        </w:tabs>
        <w:numPr>
          <w:ilvl w:val="1"/>
          <w:numId w:val="4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5"/>
          <w:szCs w:val="15"/>
          <w:color w:val="auto"/>
        </w:rPr>
      </w:pPr>
    </w:p>
    <w:p>
      <w:pPr>
        <w:jc w:val="both"/>
        <w:ind w:right="220" w:firstLine="1241"/>
        <w:spacing w:after="0" w:line="276" w:lineRule="auto"/>
        <w:tabs>
          <w:tab w:leader="none" w:pos="1857" w:val="left"/>
        </w:tabs>
        <w:numPr>
          <w:ilvl w:val="1"/>
          <w:numId w:val="4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5"/>
          <w:szCs w:val="15"/>
          <w:color w:val="auto"/>
        </w:rPr>
      </w:pPr>
    </w:p>
    <w:p>
      <w:pPr>
        <w:ind w:right="20" w:firstLine="622"/>
        <w:spacing w:after="0" w:line="301" w:lineRule="auto"/>
        <w:tabs>
          <w:tab w:leader="none" w:pos="1238"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Arial" w:cs="Arial" w:eastAsia="Arial" w:hAnsi="Arial"/>
          <w:sz w:val="15"/>
          <w:szCs w:val="15"/>
          <w:color w:val="auto"/>
        </w:rPr>
      </w:pPr>
    </w:p>
    <w:p>
      <w:pPr>
        <w:ind w:right="120" w:firstLine="1241"/>
        <w:spacing w:after="0" w:line="301" w:lineRule="auto"/>
        <w:tabs>
          <w:tab w:leader="none" w:pos="1857" w:val="left"/>
        </w:tabs>
        <w:numPr>
          <w:ilvl w:val="1"/>
          <w:numId w:val="4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5"/>
          <w:szCs w:val="15"/>
          <w:color w:val="auto"/>
        </w:rPr>
      </w:pPr>
    </w:p>
    <w:p>
      <w:pPr>
        <w:ind w:left="1860" w:hanging="619"/>
        <w:spacing w:after="0"/>
        <w:tabs>
          <w:tab w:leader="none" w:pos="1860" w:val="left"/>
        </w:tabs>
        <w:numPr>
          <w:ilvl w:val="1"/>
          <w:numId w:val="4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w:t>
      </w:r>
    </w:p>
    <w:p>
      <w:pPr>
        <w:spacing w:after="0" w:line="3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Date: August 8, 2023</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5"/>
          <w:szCs w:val="15"/>
          <w:color w:val="auto"/>
        </w:rPr>
        <w:t>/s/ AIDAN VIGGIANO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39128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912870" cy="825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Arial" w:cs="Arial" w:eastAsia="Arial" w:hAnsi="Arial"/>
          <w:sz w:val="15"/>
          <w:szCs w:val="15"/>
          <w:color w:val="auto"/>
        </w:rPr>
        <w:t>Aidan Viggiano</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Chief Financial Officer (Principal Accounting and Financial Officer)</w:t>
      </w:r>
    </w:p>
    <w:p>
      <w:pPr>
        <w:sectPr>
          <w:pgSz w:w="11900" w:h="16838" w:orient="portrait"/>
          <w:cols w:equalWidth="0" w:num="1">
            <w:col w:w="11240"/>
          </w:cols>
          <w:pgMar w:left="320" w:top="860"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5"/>
          <w:szCs w:val="15"/>
          <w:b w:val="1"/>
          <w:bCs w:val="1"/>
          <w:color w:val="auto"/>
        </w:rPr>
        <w:t>Exhibit 32.1</w:t>
      </w:r>
    </w:p>
    <w:p>
      <w:pPr>
        <w:spacing w:after="0" w:line="240" w:lineRule="exact"/>
        <w:rPr>
          <w:sz w:val="20"/>
          <w:szCs w:val="20"/>
          <w:color w:val="auto"/>
        </w:rPr>
      </w:pPr>
    </w:p>
    <w:p>
      <w:pPr>
        <w:ind w:left="2500"/>
        <w:spacing w:after="0"/>
        <w:rPr>
          <w:sz w:val="20"/>
          <w:szCs w:val="20"/>
          <w:color w:val="auto"/>
        </w:rPr>
      </w:pPr>
      <w:r>
        <w:rPr>
          <w:rFonts w:ascii="Arial" w:cs="Arial" w:eastAsia="Arial" w:hAnsi="Arial"/>
          <w:sz w:val="15"/>
          <w:szCs w:val="15"/>
          <w:b w:val="1"/>
          <w:bCs w:val="1"/>
          <w:color w:val="auto"/>
        </w:rPr>
        <w:t>CERTIFICATION OF CHIEF EXECUTIVE OFFICER AND CHIEF FINANCIAL OFFICER</w:t>
      </w:r>
    </w:p>
    <w:p>
      <w:pPr>
        <w:spacing w:after="0" w:line="29"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PURSUANT TO</w:t>
      </w:r>
    </w:p>
    <w:p>
      <w:pPr>
        <w:spacing w:after="0" w:line="18" w:lineRule="exact"/>
        <w:rPr>
          <w:sz w:val="20"/>
          <w:szCs w:val="20"/>
          <w:color w:val="auto"/>
        </w:rPr>
      </w:pPr>
    </w:p>
    <w:p>
      <w:pPr>
        <w:ind w:left="4760"/>
        <w:spacing w:after="0"/>
        <w:rPr>
          <w:sz w:val="20"/>
          <w:szCs w:val="20"/>
          <w:color w:val="auto"/>
        </w:rPr>
      </w:pPr>
      <w:r>
        <w:rPr>
          <w:rFonts w:ascii="Arial" w:cs="Arial" w:eastAsia="Arial" w:hAnsi="Arial"/>
          <w:sz w:val="15"/>
          <w:szCs w:val="15"/>
          <w:b w:val="1"/>
          <w:bCs w:val="1"/>
          <w:color w:val="auto"/>
        </w:rPr>
        <w:t>18 U.S.C. SECTION 1350,</w:t>
      </w:r>
    </w:p>
    <w:p>
      <w:pPr>
        <w:spacing w:after="0" w:line="11" w:lineRule="exact"/>
        <w:rPr>
          <w:sz w:val="20"/>
          <w:szCs w:val="20"/>
          <w:color w:val="auto"/>
        </w:rPr>
      </w:pPr>
    </w:p>
    <w:p>
      <w:pPr>
        <w:ind w:left="4560"/>
        <w:spacing w:after="0"/>
        <w:rPr>
          <w:sz w:val="20"/>
          <w:szCs w:val="20"/>
          <w:color w:val="auto"/>
        </w:rPr>
      </w:pPr>
      <w:r>
        <w:rPr>
          <w:rFonts w:ascii="Arial" w:cs="Arial" w:eastAsia="Arial" w:hAnsi="Arial"/>
          <w:sz w:val="15"/>
          <w:szCs w:val="15"/>
          <w:b w:val="1"/>
          <w:bCs w:val="1"/>
          <w:color w:val="auto"/>
        </w:rPr>
        <w:t>AS ADOPTED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76" w:lineRule="exact"/>
        <w:rPr>
          <w:sz w:val="20"/>
          <w:szCs w:val="20"/>
          <w:color w:val="auto"/>
        </w:rPr>
      </w:pPr>
    </w:p>
    <w:p>
      <w:pPr>
        <w:ind w:right="40" w:firstLine="619"/>
        <w:spacing w:after="0" w:line="267" w:lineRule="auto"/>
        <w:rPr>
          <w:sz w:val="20"/>
          <w:szCs w:val="20"/>
          <w:color w:val="auto"/>
        </w:rPr>
      </w:pPr>
      <w:r>
        <w:rPr>
          <w:rFonts w:ascii="Arial" w:cs="Arial" w:eastAsia="Arial" w:hAnsi="Arial"/>
          <w:sz w:val="15"/>
          <w:szCs w:val="15"/>
          <w:color w:val="auto"/>
        </w:rPr>
        <w:t>Pursuant to the requirement set forth in Rule 13a-14(b) of the Securities Exchange Act of 1934, as amended, (the “Exchange Act”) and Section 1350 of Chapter 63 of Title 18 of the United States Code (18 U.S.C. §1350), as adopted pursuant to §906 of the Sarbanes-Oxley Act of 2002, Jeff Lawson, Chief Executive Officer of Twilio Inc. (the “Company”), and Aidan Viggiano, Chief Financial Officer of the Company, each hereby certifies that, to the best of their knowledge:</w:t>
      </w:r>
    </w:p>
    <w:p>
      <w:pPr>
        <w:spacing w:after="0" w:line="146" w:lineRule="exact"/>
        <w:rPr>
          <w:sz w:val="20"/>
          <w:szCs w:val="20"/>
          <w:color w:val="auto"/>
        </w:rPr>
      </w:pPr>
    </w:p>
    <w:p>
      <w:pPr>
        <w:ind w:right="500" w:firstLine="622"/>
        <w:spacing w:after="0" w:line="301" w:lineRule="auto"/>
        <w:tabs>
          <w:tab w:leader="none" w:pos="1238"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Company’s Quarterly Report on Form 10-Q for the quarter ended June 30, 2023, to which this Certification is attached as Exhibit 32.1 (the “Periodic Report”), fully complies with the requirements of Section 13(a) or Section 15(d) of the Exchange Act; and</w:t>
      </w:r>
    </w:p>
    <w:p>
      <w:pPr>
        <w:spacing w:after="0" w:line="108" w:lineRule="exact"/>
        <w:rPr>
          <w:rFonts w:ascii="Arial" w:cs="Arial" w:eastAsia="Arial" w:hAnsi="Arial"/>
          <w:sz w:val="15"/>
          <w:szCs w:val="15"/>
          <w:color w:val="auto"/>
        </w:rPr>
      </w:pPr>
    </w:p>
    <w:p>
      <w:pPr>
        <w:ind w:left="1240" w:hanging="618"/>
        <w:spacing w:after="0"/>
        <w:tabs>
          <w:tab w:leader="none" w:pos="12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Date: August 8, 2023</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18415</wp:posOffset>
            </wp:positionV>
            <wp:extent cx="39046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904615" cy="8255"/>
                    </a:xfrm>
                    <a:prstGeom prst="rect">
                      <a:avLst/>
                    </a:prstGeom>
                    <a:noFill/>
                  </pic:spPr>
                </pic:pic>
              </a:graphicData>
            </a:graphic>
          </wp:anchor>
        </w:drawing>
      </w:r>
    </w:p>
    <w:p>
      <w:pPr>
        <w:spacing w:after="0" w:line="52"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Jeff Lawson</w:t>
      </w:r>
    </w:p>
    <w:p>
      <w:pPr>
        <w:spacing w:after="0" w:line="60" w:lineRule="exact"/>
        <w:rPr>
          <w:sz w:val="20"/>
          <w:szCs w:val="20"/>
          <w:color w:val="auto"/>
        </w:rPr>
      </w:pPr>
    </w:p>
    <w:p>
      <w:pPr>
        <w:ind w:left="1240"/>
        <w:spacing w:after="0"/>
        <w:rPr>
          <w:sz w:val="20"/>
          <w:szCs w:val="20"/>
          <w:color w:val="auto"/>
        </w:rPr>
      </w:pPr>
      <w:r>
        <w:rPr>
          <w:rFonts w:ascii="Arial" w:cs="Arial" w:eastAsia="Arial" w:hAnsi="Arial"/>
          <w:sz w:val="15"/>
          <w:szCs w:val="15"/>
          <w:i w:val="1"/>
          <w:iCs w:val="1"/>
          <w:color w:val="auto"/>
        </w:rPr>
        <w:t>Chief Executive Officer (Principal Executive Officer)</w:t>
      </w:r>
    </w:p>
    <w:p>
      <w:pPr>
        <w:spacing w:after="0" w:line="279"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/s/ AIDAN VIGGIANO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18415</wp:posOffset>
            </wp:positionV>
            <wp:extent cx="39046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3904615" cy="8255"/>
                    </a:xfrm>
                    <a:prstGeom prst="rect">
                      <a:avLst/>
                    </a:prstGeom>
                    <a:noFill/>
                  </pic:spPr>
                </pic:pic>
              </a:graphicData>
            </a:graphic>
          </wp:anchor>
        </w:drawing>
      </w:r>
    </w:p>
    <w:p>
      <w:pPr>
        <w:spacing w:after="0" w:line="52"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Aidan Viggiano</w:t>
      </w:r>
    </w:p>
    <w:p>
      <w:pPr>
        <w:spacing w:after="0" w:line="60" w:lineRule="exact"/>
        <w:rPr>
          <w:sz w:val="20"/>
          <w:szCs w:val="20"/>
          <w:color w:val="auto"/>
        </w:rPr>
      </w:pPr>
    </w:p>
    <w:p>
      <w:pPr>
        <w:ind w:left="1240"/>
        <w:spacing w:after="0"/>
        <w:rPr>
          <w:sz w:val="20"/>
          <w:szCs w:val="20"/>
          <w:color w:val="auto"/>
        </w:rPr>
      </w:pPr>
      <w:r>
        <w:rPr>
          <w:rFonts w:ascii="Arial" w:cs="Arial" w:eastAsia="Arial" w:hAnsi="Arial"/>
          <w:sz w:val="15"/>
          <w:szCs w:val="15"/>
          <w:i w:val="1"/>
          <w:iCs w:val="1"/>
          <w:color w:val="auto"/>
        </w:rPr>
        <w:t>Chief Financial Officer (Principal Accounting and Financial Officer)</w:t>
      </w:r>
    </w:p>
    <w:sectPr>
      <w:pgSz w:w="11900" w:h="16838" w:orient="portrait"/>
      <w:cols w:equalWidth="0" w:num="1">
        <w:col w:w="11240"/>
      </w:cols>
      <w:pgMar w:left="320" w:top="8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lowerLetter"/>
      <w:start w:val="1"/>
    </w:lvl>
  </w:abstractNum>
  <w:abstractNum w:abstractNumId="3">
    <w:nsid w:val="4353D0CD"/>
    <w:multiLevelType w:val="hybridMultilevel"/>
    <w:lvl w:ilvl="0">
      <w:lvlJc w:val="left"/>
      <w:lvlText w:val="(%1)"/>
      <w:numFmt w:val="lowerLetter"/>
      <w:start w:val="2"/>
    </w:lvl>
  </w:abstractNum>
  <w:abstractNum w:abstractNumId="4">
    <w:nsid w:val="B03E0C6"/>
    <w:multiLevelType w:val="hybridMultilevel"/>
    <w:lvl w:ilvl="0">
      <w:lvlJc w:val="left"/>
      <w:lvlText w:val="(%1)"/>
      <w:numFmt w:val="lowerLetter"/>
      <w:start w:val="3"/>
    </w:lvl>
  </w:abstractNum>
  <w:abstractNum w:abstractNumId="5">
    <w:nsid w:val="189A769B"/>
    <w:multiLevelType w:val="hybridMultilevel"/>
    <w:lvl w:ilvl="0">
      <w:lvlJc w:val="left"/>
      <w:lvlText w:val="(%1)"/>
      <w:numFmt w:val="lowerLetter"/>
      <w:start w:val="4"/>
    </w:lvl>
  </w:abstractNum>
  <w:abstractNum w:abstractNumId="6">
    <w:nsid w:val="54E49EB4"/>
    <w:multiLevelType w:val="hybridMultilevel"/>
    <w:lvl w:ilvl="0">
      <w:lvlJc w:val="left"/>
      <w:lvlText w:val="(%1)"/>
      <w:numFmt w:val="lowerLetter"/>
      <w:start w:val="5"/>
    </w:lvl>
  </w:abstractNum>
  <w:abstractNum w:abstractNumId="7">
    <w:nsid w:val="71F32454"/>
    <w:multiLevelType w:val="hybridMultilevel"/>
    <w:lvl w:ilvl="0">
      <w:lvlJc w:val="left"/>
      <w:lvlText w:val="(%1)"/>
      <w:numFmt w:val="lowerLetter"/>
      <w:start w:val="6"/>
    </w:lvl>
  </w:abstractNum>
  <w:abstractNum w:abstractNumId="8">
    <w:nsid w:val="2CA88611"/>
    <w:multiLevelType w:val="hybridMultilevel"/>
    <w:lvl w:ilvl="0">
      <w:lvlJc w:val="left"/>
      <w:lvlText w:val="(%1)"/>
      <w:numFmt w:val="lowerLetter"/>
      <w:start w:val="7"/>
    </w:lvl>
  </w:abstractNum>
  <w:abstractNum w:abstractNumId="9">
    <w:nsid w:val="836C40E"/>
    <w:multiLevelType w:val="hybridMultilevel"/>
    <w:lvl w:ilvl="0">
      <w:lvlJc w:val="left"/>
      <w:lvlText w:val="(%1)"/>
      <w:numFmt w:val="lowerLetter"/>
      <w:start w:val="8"/>
    </w:lvl>
  </w:abstractNum>
  <w:abstractNum w:abstractNumId="10">
    <w:nsid w:val="2901D82"/>
    <w:multiLevelType w:val="hybridMultilevel"/>
    <w:lvl w:ilvl="0">
      <w:lvlJc w:val="left"/>
      <w:lvlText w:val="(%1)"/>
      <w:numFmt w:val="lowerRoman"/>
      <w:start w:val="1"/>
    </w:lvl>
  </w:abstractNum>
  <w:abstractNum w:abstractNumId="11">
    <w:nsid w:val="3A95F874"/>
    <w:multiLevelType w:val="hybridMultilevel"/>
    <w:lvl w:ilvl="0">
      <w:lvlJc w:val="left"/>
      <w:lvlText w:val="%1."/>
      <w:numFmt w:val="decimal"/>
      <w:start w:val="3"/>
    </w:lvl>
  </w:abstractNum>
  <w:abstractNum w:abstractNumId="12">
    <w:nsid w:val="8138641"/>
    <w:multiLevelType w:val="hybridMultilevel"/>
    <w:lvl w:ilvl="0">
      <w:lvlJc w:val="left"/>
      <w:lvlText w:val="(%1)"/>
      <w:numFmt w:val="decimal"/>
      <w:start w:val="2"/>
    </w:lvl>
  </w:abstractNum>
  <w:abstractNum w:abstractNumId="13">
    <w:nsid w:val="1E7FF521"/>
    <w:multiLevelType w:val="hybridMultilevel"/>
    <w:lvl w:ilvl="0">
      <w:lvlJc w:val="left"/>
      <w:lvlText w:val="(%1)"/>
      <w:numFmt w:val="lowerLetter"/>
      <w:start w:val="1"/>
    </w:lvl>
  </w:abstractNum>
  <w:abstractNum w:abstractNumId="14">
    <w:nsid w:val="7C3DBD3D"/>
    <w:multiLevelType w:val="hybridMultilevel"/>
    <w:lvl w:ilvl="0">
      <w:lvlJc w:val="left"/>
      <w:lvlText w:val="(%1)"/>
      <w:numFmt w:val="lowerLetter"/>
      <w:start w:val="2"/>
    </w:lvl>
  </w:abstractNum>
  <w:abstractNum w:abstractNumId="15">
    <w:nsid w:val="737B8DDC"/>
    <w:multiLevelType w:val="hybridMultilevel"/>
    <w:lvl w:ilvl="0">
      <w:lvlJc w:val="left"/>
      <w:lvlText w:val="(%1)"/>
      <w:numFmt w:val="lowerLetter"/>
      <w:start w:val="3"/>
    </w:lvl>
  </w:abstractNum>
  <w:abstractNum w:abstractNumId="16">
    <w:nsid w:val="6CEAF087"/>
    <w:multiLevelType w:val="hybridMultilevel"/>
    <w:lvl w:ilvl="0">
      <w:lvlJc w:val="left"/>
      <w:lvlText w:val="(%1)"/>
      <w:numFmt w:val="lowerLetter"/>
      <w:start w:val="4"/>
    </w:lvl>
  </w:abstractNum>
  <w:abstractNum w:abstractNumId="17">
    <w:nsid w:val="22221A70"/>
    <w:multiLevelType w:val="hybridMultilevel"/>
    <w:lvl w:ilvl="0">
      <w:lvlJc w:val="left"/>
      <w:lvlText w:val="%1."/>
      <w:numFmt w:val="decimal"/>
      <w:start w:val="15"/>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lowerRoman"/>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04"/>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94" Type="http://schemas.openxmlformats.org/officeDocument/2006/relationships/hyperlink" Target="https://www.sec.gov/Archives/edgar/data/1447669/000144766923000139/certificateofretirementdu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2023-08-09T05:29:52Z</dcterms:created>
  <dcterms:modified xsi:type="dcterms:W3CDTF">2023-08-09T05:29:52Z</dcterms:modified>
</cp:coreProperties>
</file>