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w:t>
      </w:r>
    </w:p>
    <w:p>
      <w:pPr>
        <w:spacing w:after="0" w:line="1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7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w:t>
      </w:r>
    </w:p>
    <w:p>
      <w:pPr>
        <w:spacing w:after="0" w:line="320" w:lineRule="exact"/>
        <w:rPr>
          <w:sz w:val="24"/>
          <w:szCs w:val="24"/>
          <w:color w:val="auto"/>
        </w:rPr>
      </w:pPr>
    </w:p>
    <w:p>
      <w:pPr>
        <w:ind w:left="700" w:hanging="634"/>
        <w:spacing w:after="0"/>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248" w:lineRule="exact"/>
        <w:rPr>
          <w:sz w:val="24"/>
          <w:szCs w:val="24"/>
          <w:color w:val="auto"/>
        </w:rPr>
      </w:pPr>
    </w:p>
    <w:p>
      <w:pPr>
        <w:ind w:left="700" w:hanging="640"/>
        <w:spacing w:after="0"/>
        <w:tabs>
          <w:tab w:leader="none" w:pos="7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001-37806</w:t>
      </w:r>
    </w:p>
    <w:p>
      <w:pPr>
        <w:spacing w:after="0" w:line="2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3236595</wp:posOffset>
            </wp:positionH>
            <wp:positionV relativeFrom="paragraph">
              <wp:posOffset>47625</wp:posOffset>
            </wp:positionV>
            <wp:extent cx="668655"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655" cy="29146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TWILIO INC.</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w:t>
      </w:r>
    </w:p>
    <w:p>
      <w:pPr>
        <w:spacing w:after="0" w:line="167" w:lineRule="exact"/>
        <w:rPr>
          <w:sz w:val="24"/>
          <w:szCs w:val="24"/>
          <w:color w:val="auto"/>
        </w:rPr>
      </w:pPr>
    </w:p>
    <w:p>
      <w:pPr>
        <w:ind w:left="2360"/>
        <w:spacing w:after="0"/>
        <w:tabs>
          <w:tab w:leader="none" w:pos="808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26-2574840</w:t>
      </w:r>
    </w:p>
    <w:p>
      <w:pPr>
        <w:spacing w:after="0" w:line="28" w:lineRule="exact"/>
        <w:rPr>
          <w:sz w:val="24"/>
          <w:szCs w:val="24"/>
          <w:color w:val="auto"/>
        </w:rPr>
      </w:pPr>
    </w:p>
    <w:p>
      <w:pPr>
        <w:ind w:left="980"/>
        <w:spacing w:after="0"/>
        <w:tabs>
          <w:tab w:leader="none" w:pos="744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3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101 Spear Street, Fifth Floor</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San Francisco, California 94105</w:t>
      </w:r>
    </w:p>
    <w:p>
      <w:pPr>
        <w:jc w:val="center"/>
        <w:ind w:right="-3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(415) 390-2337</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9" w:lineRule="exact"/>
        <w:rPr>
          <w:sz w:val="24"/>
          <w:szCs w:val="24"/>
          <w:color w:val="auto"/>
        </w:rPr>
      </w:pPr>
    </w:p>
    <w:tbl>
      <w:tblPr>
        <w:tblLayout w:type="fixed"/>
        <w:tblInd w:w="100" w:type="dxa"/>
        <w:tblCellMar>
          <w:top w:w="0" w:type="dxa"/>
          <w:left w:w="0" w:type="dxa"/>
          <w:bottom w:w="0" w:type="dxa"/>
          <w:right w:w="0" w:type="dxa"/>
        </w:tblCellMar>
      </w:tblPr>
      <w:tr>
        <w:trPr>
          <w:trHeight w:val="215"/>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TWLO</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0" w:lineRule="exact"/>
        <w:rPr>
          <w:sz w:val="24"/>
          <w:szCs w:val="24"/>
          <w:color w:val="auto"/>
        </w:rPr>
      </w:pPr>
    </w:p>
    <w:p>
      <w:pPr>
        <w:spacing w:after="0" w:line="22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October 16, 2026, 154,734,032 shares of the registrant’s Class A common stock were outstanding.</w:t>
      </w:r>
    </w:p>
    <w:p>
      <w:pPr>
        <w:spacing w:after="0" w:line="123" w:lineRule="exact"/>
        <w:rPr>
          <w:sz w:val="24"/>
          <w:szCs w:val="24"/>
          <w:color w:val="auto"/>
        </w:rPr>
      </w:pPr>
    </w:p>
    <w:p>
      <w:pPr>
        <w:ind w:right="420" w:firstLine="648"/>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18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firstLine="648"/>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1880" w:type="dxa"/>
        <w:tblCellMar>
          <w:top w:w="0" w:type="dxa"/>
          <w:left w:w="0" w:type="dxa"/>
          <w:bottom w:w="0" w:type="dxa"/>
          <w:right w:w="0" w:type="dxa"/>
        </w:tblCellMar>
      </w:tblPr>
      <w:tr>
        <w:trPr>
          <w:trHeight w:val="203"/>
        </w:trPr>
        <w:tc>
          <w:tcPr>
            <w:tcW w:w="222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Accelerated filer</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22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2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64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Emerging growth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38" w:lineRule="exact"/>
        <w:rPr>
          <w:sz w:val="24"/>
          <w:szCs w:val="24"/>
          <w:color w:val="auto"/>
        </w:rPr>
      </w:pPr>
    </w:p>
    <w:p>
      <w:pPr>
        <w:ind w:right="560" w:firstLine="648"/>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63" w:lineRule="exact"/>
        <w:rPr>
          <w:sz w:val="24"/>
          <w:szCs w:val="24"/>
          <w:color w:val="auto"/>
        </w:rPr>
      </w:pPr>
    </w:p>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vMerge w:val="restart"/>
          </w:tcPr>
          <w:p>
            <w:pPr>
              <w:spacing w:after="0"/>
              <w:rPr>
                <w:sz w:val="20"/>
                <w:szCs w:val="20"/>
                <w:color w:val="auto"/>
              </w:rPr>
            </w:pPr>
          </w:p>
        </w:tc>
        <w:tc>
          <w:tcPr>
            <w:tcW w:w="28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00FF"/>
              </w:rPr>
              <w:t>PART I - FINANCIAL INFORMATION</w:t>
            </w:r>
          </w:p>
        </w:tc>
        <w:tc>
          <w:tcPr>
            <w:tcW w:w="3400" w:type="dxa"/>
            <w:vAlign w:val="bottom"/>
            <w:gridSpan w:val="7"/>
            <w:vMerge w:val="restart"/>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820" w:type="dxa"/>
            <w:vAlign w:val="bottom"/>
            <w:tcBorders>
              <w:bottom w:val="single" w:sz="8" w:color="0000FF"/>
            </w:tcBorders>
            <w:gridSpan w:val="5"/>
            <w:vMerge w:val="continue"/>
          </w:tcPr>
          <w:p>
            <w:pPr>
              <w:spacing w:after="0"/>
              <w:rPr>
                <w:sz w:val="13"/>
                <w:szCs w:val="13"/>
                <w:color w:val="auto"/>
              </w:rPr>
            </w:pPr>
          </w:p>
        </w:tc>
        <w:tc>
          <w:tcPr>
            <w:tcW w:w="3400" w:type="dxa"/>
            <w:vAlign w:val="bottom"/>
            <w:gridSpan w:val="7"/>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2026 and December 31, 2025</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2026 and 2025</w:t>
            </w:r>
          </w:p>
        </w:tc>
        <w:tc>
          <w:tcPr>
            <w:tcW w:w="940" w:type="dxa"/>
            <w:vAlign w:val="bottom"/>
            <w:gridSpan w:val="3"/>
          </w:tcPr>
          <w:p>
            <w:pPr>
              <w:spacing w:after="0"/>
              <w:rPr>
                <w:sz w:val="24"/>
                <w:szCs w:val="24"/>
                <w:color w:val="auto"/>
              </w:rPr>
            </w:pP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 2026 and</w:t>
            </w:r>
          </w:p>
        </w:tc>
        <w:tc>
          <w:tcPr>
            <w:tcW w:w="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0000FF"/>
              </w:rPr>
              <w:t>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2025</w:t>
            </w: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2"/>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14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2026 and 2025</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2026 and 2025</w:t>
            </w:r>
          </w:p>
        </w:tc>
        <w:tc>
          <w:tcPr>
            <w:tcW w:w="144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660" w:type="dxa"/>
            <w:vAlign w:val="bottom"/>
            <w:gridSpan w:val="4"/>
          </w:tcPr>
          <w:p>
            <w:pPr>
              <w:spacing w:after="0"/>
              <w:rPr>
                <w:sz w:val="24"/>
                <w:szCs w:val="24"/>
                <w:color w:val="auto"/>
              </w:rPr>
            </w:pP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70"/>
              </w:rPr>
              <w:t>11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25</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453"/>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80" w:type="dxa"/>
            <w:vAlign w:val="bottom"/>
            <w:gridSpan w:val="11"/>
          </w:tcPr>
          <w:p>
            <w:pPr>
              <w:jc w:val="center"/>
              <w:ind w:right="3540"/>
              <w:spacing w:after="0"/>
              <w:rPr>
                <w:sz w:val="20"/>
                <w:szCs w:val="20"/>
                <w:color w:val="auto"/>
              </w:rPr>
            </w:pPr>
            <w:r>
              <w:rPr>
                <w:rFonts w:ascii="Times New Roman" w:cs="Times New Roman" w:eastAsia="Times New Roman" w:hAnsi="Times New Roman"/>
                <w:sz w:val="16"/>
                <w:szCs w:val="16"/>
                <w:b w:val="1"/>
                <w:bCs w:val="1"/>
                <w:color w:val="0000FF"/>
                <w:w w:val="99"/>
              </w:rPr>
              <w:t>PART II - OTHER INFORMATION</w:t>
            </w:r>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35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540" w:type="dxa"/>
            <w:vAlign w:val="bottom"/>
            <w:tcBorders>
              <w:top w:val="single" w:sz="8" w:color="0000FF"/>
            </w:tcBorders>
            <w:gridSpan w:val="3"/>
          </w:tcPr>
          <w:p>
            <w:pPr>
              <w:spacing w:after="0"/>
              <w:rPr>
                <w:sz w:val="24"/>
                <w:szCs w:val="24"/>
                <w:color w:val="auto"/>
              </w:rPr>
            </w:pPr>
          </w:p>
        </w:tc>
        <w:tc>
          <w:tcPr>
            <w:tcW w:w="3540" w:type="dxa"/>
            <w:vAlign w:val="bottom"/>
            <w:gridSpan w:val="8"/>
          </w:tcPr>
          <w:p>
            <w:pPr>
              <w:spacing w:after="0"/>
              <w:rPr>
                <w:sz w:val="24"/>
                <w:szCs w:val="24"/>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60" w:type="dxa"/>
            <w:vAlign w:val="bottom"/>
            <w:tcBorders>
              <w:left w:val="single" w:sz="8" w:color="0000FF"/>
            </w:tcBorders>
            <w:gridSpan w:val="6"/>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32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680" w:type="dxa"/>
            <w:vAlign w:val="bottom"/>
            <w:gridSpan w:val="16"/>
          </w:tcPr>
          <w:p>
            <w:pPr>
              <w:spacing w:after="0"/>
              <w:rPr>
                <w:sz w:val="24"/>
                <w:szCs w:val="24"/>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20" w:type="dxa"/>
            <w:vAlign w:val="bottom"/>
            <w:tcBorders>
              <w:bottom w:val="single" w:sz="8" w:color="0000FF"/>
            </w:tcBorders>
          </w:tcPr>
          <w:p>
            <w:pPr>
              <w:spacing w:after="0"/>
              <w:rPr>
                <w:sz w:val="24"/>
                <w:szCs w:val="24"/>
                <w:color w:val="auto"/>
              </w:rPr>
            </w:pP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20" w:type="dxa"/>
            <w:vAlign w:val="bottom"/>
            <w:gridSpan w:val="9"/>
          </w:tcPr>
          <w:p>
            <w:pPr>
              <w:spacing w:after="0"/>
              <w:rPr>
                <w:sz w:val="24"/>
                <w:szCs w:val="24"/>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71</w:t>
            </w:r>
          </w:p>
        </w:tc>
        <w:tc>
          <w:tcPr>
            <w:tcW w:w="0" w:type="dxa"/>
            <w:vAlign w:val="bottom"/>
          </w:tcPr>
          <w:p>
            <w:pPr>
              <w:spacing w:after="0"/>
              <w:rPr>
                <w:sz w:val="1"/>
                <w:szCs w:val="1"/>
                <w:color w:val="auto"/>
              </w:rPr>
            </w:pPr>
          </w:p>
        </w:tc>
      </w:tr>
      <w:tr>
        <w:trPr>
          <w:trHeight w:val="46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28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2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820" w:type="dxa"/>
            <w:vAlign w:val="bottom"/>
            <w:gridSpan w:val="17"/>
          </w:tcPr>
          <w:p>
            <w:pPr>
              <w:spacing w:after="0"/>
              <w:rPr>
                <w:sz w:val="24"/>
                <w:szCs w:val="24"/>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360" w:type="dxa"/>
            <w:vAlign w:val="bottom"/>
          </w:tcPr>
          <w:p>
            <w:pPr>
              <w:spacing w:after="0"/>
              <w:rPr>
                <w:sz w:val="18"/>
                <w:szCs w:val="18"/>
                <w:color w:val="auto"/>
              </w:rPr>
            </w:pPr>
          </w:p>
        </w:tc>
        <w:tc>
          <w:tcPr>
            <w:tcW w:w="17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1"/>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1,061,531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682,335</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1,829,940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1,788,007</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755,015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636,736</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338,971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469,650</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3,985,457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3,576,728</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176,963</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39,031</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method investment</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301,642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142,065</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5,291,893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5,291,787</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assets</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222,648</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Deferred tax asset</w:t>
            </w: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1,059,490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20,026</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11,106,939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9,770,890</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8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61,624</w:t>
            </w:r>
          </w:p>
        </w:tc>
        <w:tc>
          <w:tcPr>
            <w:tcW w:w="1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85,089</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646,245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608,119</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 and customer deposits</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158,677</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35,123</w:t>
            </w:r>
          </w:p>
        </w:tc>
        <w:tc>
          <w:tcPr>
            <w:tcW w:w="0" w:type="dxa"/>
            <w:vAlign w:val="bottom"/>
          </w:tcPr>
          <w:p>
            <w:pPr>
              <w:spacing w:after="0"/>
              <w:rPr>
                <w:sz w:val="1"/>
                <w:szCs w:val="1"/>
                <w:color w:val="auto"/>
              </w:rPr>
            </w:pPr>
          </w:p>
        </w:tc>
      </w:tr>
      <w:tr>
        <w:trPr>
          <w:trHeight w:val="207"/>
        </w:trPr>
        <w:tc>
          <w:tcPr>
            <w:tcW w:w="6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891,498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887,008</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54,162</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 net</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993,606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992,287</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15,887</w:t>
            </w:r>
          </w:p>
        </w:tc>
        <w:tc>
          <w:tcPr>
            <w:tcW w:w="0" w:type="dxa"/>
            <w:vAlign w:val="bottom"/>
          </w:tcPr>
          <w:p>
            <w:pPr>
              <w:spacing w:after="0"/>
              <w:rPr>
                <w:sz w:val="1"/>
                <w:szCs w:val="1"/>
                <w:color w:val="auto"/>
              </w:rPr>
            </w:pPr>
          </w:p>
        </w:tc>
      </w:tr>
      <w:tr>
        <w:trPr>
          <w:trHeight w:val="207"/>
        </w:trPr>
        <w:tc>
          <w:tcPr>
            <w:tcW w:w="6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1,936,346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1,949,344</w:t>
            </w:r>
          </w:p>
        </w:tc>
        <w:tc>
          <w:tcPr>
            <w:tcW w:w="0" w:type="dxa"/>
            <w:vAlign w:val="bottom"/>
          </w:tcPr>
          <w:p>
            <w:pPr>
              <w:spacing w:after="0"/>
              <w:rPr>
                <w:sz w:val="1"/>
                <w:szCs w:val="1"/>
                <w:color w:val="auto"/>
              </w:rPr>
            </w:pPr>
          </w:p>
        </w:tc>
      </w:tr>
      <w:tr>
        <w:trPr>
          <w:trHeight w:val="19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w:t>
            </w: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Class A common stock</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16,657,626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16,148,190</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15,668</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(7,470,668)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(8,342,464)</w:t>
            </w:r>
          </w:p>
        </w:tc>
        <w:tc>
          <w:tcPr>
            <w:tcW w:w="0" w:type="dxa"/>
            <w:vAlign w:val="bottom"/>
          </w:tcPr>
          <w:p>
            <w:pPr>
              <w:spacing w:after="0"/>
              <w:rPr>
                <w:sz w:val="1"/>
                <w:szCs w:val="1"/>
                <w:color w:val="auto"/>
              </w:rPr>
            </w:pPr>
          </w:p>
        </w:tc>
      </w:tr>
      <w:tr>
        <w:trPr>
          <w:trHeight w:val="207"/>
        </w:trPr>
        <w:tc>
          <w:tcPr>
            <w:tcW w:w="6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9,170,593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7,821,546</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11,106,939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9,770,890</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266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5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1,559,536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4,465,532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3,701,290</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799,006</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668,325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2,294,892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1,884,906</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760,530</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632,077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2,170,640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1,816,384</w:t>
            </w:r>
          </w:p>
        </w:tc>
        <w:tc>
          <w:tcPr>
            <w:tcW w:w="0" w:type="dxa"/>
            <w:vAlign w:val="bottom"/>
          </w:tcPr>
          <w:p>
            <w:pPr>
              <w:spacing w:after="0"/>
              <w:rPr>
                <w:sz w:val="1"/>
                <w:szCs w:val="1"/>
                <w:color w:val="auto"/>
              </w:rPr>
            </w:pPr>
          </w:p>
        </w:tc>
      </w:tr>
      <w:tr>
        <w:trPr>
          <w:trHeight w:val="19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280,367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815,850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760,101</w:t>
            </w:r>
          </w:p>
        </w:tc>
        <w:tc>
          <w:tcPr>
            <w:tcW w:w="0" w:type="dxa"/>
            <w:vAlign w:val="bottom"/>
          </w:tcPr>
          <w:p>
            <w:pPr>
              <w:spacing w:after="0"/>
              <w:rPr>
                <w:sz w:val="1"/>
                <w:szCs w:val="1"/>
                <w:color w:val="auto"/>
              </w:rPr>
            </w:pPr>
          </w:p>
        </w:tc>
      </w:tr>
      <w:tr>
        <w:trPr>
          <w:trHeight w:val="213"/>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216,646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645,314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653,464</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301,800</w:t>
            </w:r>
          </w:p>
        </w:tc>
        <w:tc>
          <w:tcPr>
            <w:tcW w:w="0" w:type="dxa"/>
            <w:vAlign w:val="bottom"/>
          </w:tcPr>
          <w:p>
            <w:pPr>
              <w:spacing w:after="0"/>
              <w:rPr>
                <w:sz w:val="1"/>
                <w:szCs w:val="1"/>
                <w:color w:val="auto"/>
              </w:rPr>
            </w:pPr>
          </w:p>
        </w:tc>
      </w:tr>
      <w:tr>
        <w:trPr>
          <w:trHeight w:val="213"/>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Impairment loss on prepaid assets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611,900</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591,129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1,829,798</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1,715,365</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from operations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148,630</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40,948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340,842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101,019</w:t>
            </w:r>
          </w:p>
        </w:tc>
        <w:tc>
          <w:tcPr>
            <w:tcW w:w="0" w:type="dxa"/>
            <w:vAlign w:val="bottom"/>
          </w:tcPr>
          <w:p>
            <w:pPr>
              <w:spacing w:after="0"/>
              <w:rPr>
                <w:sz w:val="1"/>
                <w:szCs w:val="1"/>
                <w:color w:val="auto"/>
              </w:rPr>
            </w:pPr>
          </w:p>
        </w:tc>
      </w:tr>
      <w:tr>
        <w:trPr>
          <w:trHeight w:val="19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 net: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(77,058)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(72,199)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64,040</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other expenses, net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(9,501)</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(8,159)</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before benefit from (provision for)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139,129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316,887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92,860</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1,001,618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(13,172)</w:t>
            </w:r>
          </w:p>
        </w:tc>
        <w:tc>
          <w:tcPr>
            <w:tcW w:w="0" w:type="dxa"/>
            <w:vAlign w:val="bottom"/>
          </w:tcPr>
          <w:p>
            <w:pPr>
              <w:spacing w:after="0"/>
              <w:rPr>
                <w:sz w:val="1"/>
                <w:szCs w:val="1"/>
                <w:color w:val="auto"/>
              </w:rPr>
            </w:pPr>
          </w:p>
        </w:tc>
      </w:tr>
      <w:tr>
        <w:trPr>
          <w:trHeight w:val="235"/>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161,157</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1,318,505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79,688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share attributable to common stockholders: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0" w:type="dxa"/>
            <w:vAlign w:val="bottom"/>
          </w:tcPr>
          <w:p>
            <w:pPr>
              <w:spacing w:after="0"/>
              <w:rPr>
                <w:sz w:val="1"/>
                <w:szCs w:val="1"/>
                <w:color w:val="auto"/>
              </w:rPr>
            </w:pPr>
          </w:p>
        </w:tc>
      </w:tr>
      <w:tr>
        <w:trPr>
          <w:trHeight w:val="213"/>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r>
        <w:trPr>
          <w:trHeight w:val="165"/>
        </w:trPr>
        <w:tc>
          <w:tcPr>
            <w:tcW w:w="5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Weighted-average shares used to compute net income per share attributable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 common stockholders: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154,378,183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153,119,639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153,187,084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153,211,538</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161,746,027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159,209,951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159,728,935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160,212,338</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242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5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1"/>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(In thousands)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1,318,505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79,688</w:t>
            </w:r>
          </w:p>
        </w:tc>
        <w:tc>
          <w:tcPr>
            <w:tcW w:w="0" w:type="dxa"/>
            <w:vAlign w:val="bottom"/>
          </w:tcPr>
          <w:p>
            <w:pPr>
              <w:spacing w:after="0"/>
              <w:rPr>
                <w:sz w:val="1"/>
                <w:szCs w:val="1"/>
                <w:color w:val="auto"/>
              </w:rPr>
            </w:pPr>
          </w:p>
        </w:tc>
      </w:tr>
      <w:tr>
        <w:trPr>
          <w:trHeight w:val="21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(loss) gain on marketable securities, net of tax</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5,941</w:t>
            </w:r>
          </w:p>
        </w:tc>
        <w:tc>
          <w:tcPr>
            <w:tcW w:w="0" w:type="dxa"/>
            <w:vAlign w:val="bottom"/>
          </w:tcPr>
          <w:p>
            <w:pPr>
              <w:spacing w:after="0"/>
              <w:rPr>
                <w:sz w:val="1"/>
                <w:szCs w:val="1"/>
                <w:color w:val="auto"/>
              </w:rPr>
            </w:pPr>
          </w:p>
        </w:tc>
      </w:tr>
      <w:tr>
        <w:trPr>
          <w:trHeight w:val="162"/>
        </w:trPr>
        <w:tc>
          <w:tcPr>
            <w:tcW w:w="538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Net change in market value of effective foreign currency</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(5,634)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(10,619)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18,573</w:t>
            </w:r>
          </w:p>
        </w:tc>
        <w:tc>
          <w:tcPr>
            <w:tcW w:w="0" w:type="dxa"/>
            <w:vAlign w:val="bottom"/>
          </w:tcPr>
          <w:p>
            <w:pPr>
              <w:spacing w:after="0"/>
              <w:rPr>
                <w:sz w:val="1"/>
                <w:szCs w:val="1"/>
                <w:color w:val="auto"/>
              </w:rPr>
            </w:pPr>
          </w:p>
        </w:tc>
      </w:tr>
      <w:tr>
        <w:trPr>
          <w:trHeight w:val="213"/>
        </w:trPr>
        <w:tc>
          <w:tcPr>
            <w:tcW w:w="5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forward exchange contracts, net of tax</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38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Share of other comprehensive income (loss) from equity</w:t>
            </w: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method investment, net of tax</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(32,188)</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23,907</w:t>
            </w:r>
          </w:p>
        </w:tc>
        <w:tc>
          <w:tcPr>
            <w:tcW w:w="0" w:type="dxa"/>
            <w:vAlign w:val="bottom"/>
          </w:tcPr>
          <w:p>
            <w:pPr>
              <w:spacing w:after="0"/>
              <w:rPr>
                <w:sz w:val="1"/>
                <w:szCs w:val="1"/>
                <w:color w:val="auto"/>
              </w:rPr>
            </w:pPr>
          </w:p>
        </w:tc>
      </w:tr>
      <w:tr>
        <w:trPr>
          <w:trHeight w:val="145"/>
        </w:trPr>
        <w:tc>
          <w:tcPr>
            <w:tcW w:w="5380" w:type="dxa"/>
            <w:vAlign w:val="bottom"/>
            <w:shd w:val="clear" w:color="auto" w:fill="CCEEFF"/>
          </w:tcPr>
          <w:p>
            <w:pPr>
              <w:ind w:left="800"/>
              <w:spacing w:after="0" w:line="145" w:lineRule="exact"/>
              <w:rPr>
                <w:sz w:val="20"/>
                <w:szCs w:val="20"/>
                <w:color w:val="auto"/>
              </w:rPr>
            </w:pPr>
            <w:r>
              <w:rPr>
                <w:rFonts w:ascii="Times New Roman" w:cs="Times New Roman" w:eastAsia="Times New Roman" w:hAnsi="Times New Roman"/>
                <w:sz w:val="16"/>
                <w:szCs w:val="16"/>
                <w:color w:val="auto"/>
              </w:rPr>
              <w:t>Comprehensive income attributable to common</w:t>
            </w: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149,907</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35,138</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1,286,317</w:t>
            </w: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103,595</w:t>
            </w: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stockholders</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September 30, 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40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7"/>
                <w:szCs w:val="7"/>
                <w:color w:val="auto"/>
              </w:rPr>
            </w:pPr>
          </w:p>
        </w:tc>
        <w:tc>
          <w:tcPr>
            <w:tcW w:w="1020" w:type="dxa"/>
            <w:vAlign w:val="bottom"/>
            <w:gridSpan w:val="2"/>
            <w:vMerge w:val="restart"/>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restart"/>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5400" w:type="dxa"/>
            <w:vAlign w:val="bottom"/>
          </w:tcPr>
          <w:p>
            <w:pPr>
              <w:spacing w:after="0"/>
              <w:rPr>
                <w:sz w:val="5"/>
                <w:szCs w:val="5"/>
                <w:color w:val="auto"/>
              </w:rPr>
            </w:pPr>
          </w:p>
        </w:tc>
        <w:tc>
          <w:tcPr>
            <w:tcW w:w="130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10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8"/>
        </w:trPr>
        <w:tc>
          <w:tcPr>
            <w:tcW w:w="54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color w:val="auto"/>
                <w:w w:val="97"/>
              </w:rPr>
              <w:t>(In thousands, except share amounts)</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153,571,872</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16,488,013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(5,270)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(7,505,089)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8,977,808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0" w:type="dxa"/>
            <w:vAlign w:val="bottom"/>
            <w:tcBorders>
              <w:top w:val="single" w:sz="8" w:color="CCEEFF"/>
            </w:tcBorders>
            <w:vMerge w:val="continue"/>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161,157</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161,157</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w:t>
            </w:r>
          </w:p>
        </w:tc>
        <w:tc>
          <w:tcPr>
            <w:tcW w:w="0" w:type="dxa"/>
            <w:vAlign w:val="bottom"/>
          </w:tcPr>
          <w:p>
            <w:pPr>
              <w:spacing w:after="0"/>
              <w:rPr>
                <w:sz w:val="1"/>
                <w:szCs w:val="1"/>
                <w:color w:val="auto"/>
              </w:rPr>
            </w:pPr>
          </w:p>
        </w:tc>
      </w:tr>
      <w:tr>
        <w:trPr>
          <w:trHeight w:val="195"/>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1,620,673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5"/>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of Class A common stock issued and donated to charity</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5,527</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w:t>
            </w:r>
          </w:p>
        </w:tc>
        <w:tc>
          <w:tcPr>
            <w:tcW w:w="0" w:type="dxa"/>
            <w:vAlign w:val="bottom"/>
          </w:tcPr>
          <w:p>
            <w:pPr>
              <w:spacing w:after="0"/>
              <w:rPr>
                <w:sz w:val="1"/>
                <w:szCs w:val="1"/>
                <w:color w:val="auto"/>
              </w:rPr>
            </w:pPr>
          </w:p>
        </w:tc>
      </w:tr>
      <w:tr>
        <w:trPr>
          <w:trHeight w:val="195"/>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shares of Class A common stock including related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(536,576)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(126,737)</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change in market value of effective foreign currency forward exchange contracts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95"/>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of other comprehensive income from equity method investment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159,605</w:t>
            </w:r>
          </w:p>
        </w:tc>
        <w:tc>
          <w:tcPr>
            <w:tcW w:w="0" w:type="dxa"/>
            <w:vAlign w:val="bottom"/>
          </w:tcPr>
          <w:p>
            <w:pPr>
              <w:spacing w:after="0"/>
              <w:rPr>
                <w:sz w:val="1"/>
                <w:szCs w:val="1"/>
                <w:color w:val="auto"/>
              </w:rPr>
            </w:pPr>
          </w:p>
        </w:tc>
      </w:tr>
      <w:tr>
        <w:trPr>
          <w:trHeight w:val="19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154,749,685</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16,657,626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(16,520)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(7,470,668)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9,170,593</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September 30, 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40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7"/>
                <w:szCs w:val="7"/>
                <w:color w:val="auto"/>
              </w:rPr>
            </w:pPr>
          </w:p>
        </w:tc>
        <w:tc>
          <w:tcPr>
            <w:tcW w:w="1020" w:type="dxa"/>
            <w:vAlign w:val="bottom"/>
            <w:gridSpan w:val="2"/>
            <w:vMerge w:val="restart"/>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restart"/>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5400" w:type="dxa"/>
            <w:vAlign w:val="bottom"/>
          </w:tcPr>
          <w:p>
            <w:pPr>
              <w:spacing w:after="0"/>
              <w:rPr>
                <w:sz w:val="5"/>
                <w:szCs w:val="5"/>
                <w:color w:val="auto"/>
              </w:rPr>
            </w:pPr>
          </w:p>
        </w:tc>
        <w:tc>
          <w:tcPr>
            <w:tcW w:w="130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10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8"/>
        </w:trPr>
        <w:tc>
          <w:tcPr>
            <w:tcW w:w="54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color w:val="auto"/>
                <w:w w:val="97"/>
              </w:rPr>
              <w:t>(In thousands, except share amounts)</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152,411,346</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16,148,190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15,668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(8,342,464)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7,821,546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0" w:type="dxa"/>
            <w:vAlign w:val="bottom"/>
            <w:tcBorders>
              <w:top w:val="single" w:sz="8" w:color="CCEEFF"/>
            </w:tcBorders>
            <w:vMerge w:val="continue"/>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1,318,505</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1,318,505</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14,072</w:t>
            </w:r>
          </w:p>
        </w:tc>
        <w:tc>
          <w:tcPr>
            <w:tcW w:w="0" w:type="dxa"/>
            <w:vAlign w:val="bottom"/>
          </w:tcPr>
          <w:p>
            <w:pPr>
              <w:spacing w:after="0"/>
              <w:rPr>
                <w:sz w:val="1"/>
                <w:szCs w:val="1"/>
                <w:color w:val="auto"/>
              </w:rPr>
            </w:pPr>
          </w:p>
        </w:tc>
      </w:tr>
      <w:tr>
        <w:trPr>
          <w:trHeight w:val="195"/>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4,960,942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5"/>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under ESPP</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227,243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23,221</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of Class A common stock issued and donated to charity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12,328</w:t>
            </w:r>
          </w:p>
        </w:tc>
        <w:tc>
          <w:tcPr>
            <w:tcW w:w="0" w:type="dxa"/>
            <w:vAlign w:val="bottom"/>
          </w:tcPr>
          <w:p>
            <w:pPr>
              <w:spacing w:after="0"/>
              <w:rPr>
                <w:sz w:val="1"/>
                <w:szCs w:val="1"/>
                <w:color w:val="auto"/>
              </w:rPr>
            </w:pPr>
          </w:p>
        </w:tc>
      </w:tr>
      <w:tr>
        <w:trPr>
          <w:trHeight w:val="195"/>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Release of income tax valuation allowance related to previously settled capped call</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8,675</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(22,164)</w:t>
            </w:r>
          </w:p>
        </w:tc>
        <w:tc>
          <w:tcPr>
            <w:tcW w:w="0" w:type="dxa"/>
            <w:vAlign w:val="bottom"/>
          </w:tcPr>
          <w:p>
            <w:pPr>
              <w:spacing w:after="0"/>
              <w:rPr>
                <w:sz w:val="1"/>
                <w:szCs w:val="1"/>
                <w:color w:val="auto"/>
              </w:rPr>
            </w:pPr>
          </w:p>
        </w:tc>
      </w:tr>
      <w:tr>
        <w:trPr>
          <w:trHeight w:val="195"/>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shares of Class A common stock including related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(3,120,600)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(446,709)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(446,712)</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change in market value of effective foreign currency forward exchange contracts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(10,619)</w:t>
            </w:r>
          </w:p>
        </w:tc>
        <w:tc>
          <w:tcPr>
            <w:tcW w:w="0" w:type="dxa"/>
            <w:vAlign w:val="bottom"/>
          </w:tcPr>
          <w:p>
            <w:pPr>
              <w:spacing w:after="0"/>
              <w:rPr>
                <w:sz w:val="1"/>
                <w:szCs w:val="1"/>
                <w:color w:val="auto"/>
              </w:rPr>
            </w:pPr>
          </w:p>
        </w:tc>
      </w:tr>
      <w:tr>
        <w:trPr>
          <w:trHeight w:val="195"/>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of other comprehensive income from equity method investment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451,208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451,208</w:t>
            </w:r>
          </w:p>
        </w:tc>
        <w:tc>
          <w:tcPr>
            <w:tcW w:w="0" w:type="dxa"/>
            <w:vAlign w:val="bottom"/>
          </w:tcPr>
          <w:p>
            <w:pPr>
              <w:spacing w:after="0"/>
              <w:rPr>
                <w:sz w:val="1"/>
                <w:szCs w:val="1"/>
                <w:color w:val="auto"/>
              </w:rPr>
            </w:pPr>
          </w:p>
        </w:tc>
      </w:tr>
      <w:tr>
        <w:trPr>
          <w:trHeight w:val="19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154,749,685</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16,657,626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(16,520)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(7,470,668)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9,170,593</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Three Months Ended September 30, 2025</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40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7"/>
                <w:szCs w:val="7"/>
                <w:color w:val="auto"/>
              </w:rPr>
            </w:pPr>
          </w:p>
        </w:tc>
        <w:tc>
          <w:tcPr>
            <w:tcW w:w="102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restart"/>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5400" w:type="dxa"/>
            <w:vAlign w:val="bottom"/>
          </w:tcPr>
          <w:p>
            <w:pPr>
              <w:spacing w:after="0"/>
              <w:rPr>
                <w:sz w:val="5"/>
                <w:szCs w:val="5"/>
                <w:color w:val="auto"/>
              </w:rPr>
            </w:pPr>
          </w:p>
        </w:tc>
        <w:tc>
          <w:tcPr>
            <w:tcW w:w="130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10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8"/>
        </w:trPr>
        <w:tc>
          <w:tcPr>
            <w:tcW w:w="54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color w:val="auto"/>
                <w:w w:val="97"/>
              </w:rPr>
              <w:t>(In thousands, except share amounts)</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153,576,158</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15,805,141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24,716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(7,786,089)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8,043,922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0" w:type="dxa"/>
            <w:vAlign w:val="bottom"/>
            <w:tcBorders>
              <w:top w:val="single" w:sz="8" w:color="CCEEFF"/>
            </w:tcBorders>
            <w:vMerge w:val="continue"/>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37,248</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37,248</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95"/>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1,832,097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5"/>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of Class A common stock issued and donated to charity</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0" w:type="dxa"/>
            <w:vAlign w:val="bottom"/>
          </w:tcPr>
          <w:p>
            <w:pPr>
              <w:spacing w:after="0"/>
              <w:rPr>
                <w:sz w:val="1"/>
                <w:szCs w:val="1"/>
                <w:color w:val="auto"/>
              </w:rPr>
            </w:pPr>
          </w:p>
        </w:tc>
      </w:tr>
      <w:tr>
        <w:trPr>
          <w:trHeight w:val="195"/>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shares of Class A common stock including related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(3,389,028)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(349,795)</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change in market value of effective foreign currency forward exchange contracts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(5,634)</w:t>
            </w:r>
          </w:p>
        </w:tc>
        <w:tc>
          <w:tcPr>
            <w:tcW w:w="0" w:type="dxa"/>
            <w:vAlign w:val="bottom"/>
          </w:tcPr>
          <w:p>
            <w:pPr>
              <w:spacing w:after="0"/>
              <w:rPr>
                <w:sz w:val="1"/>
                <w:szCs w:val="1"/>
                <w:color w:val="auto"/>
              </w:rPr>
            </w:pPr>
          </w:p>
        </w:tc>
      </w:tr>
      <w:tr>
        <w:trPr>
          <w:trHeight w:val="195"/>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of other comprehensive income from equity method investment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163,621</w:t>
            </w:r>
          </w:p>
        </w:tc>
        <w:tc>
          <w:tcPr>
            <w:tcW w:w="0" w:type="dxa"/>
            <w:vAlign w:val="bottom"/>
          </w:tcPr>
          <w:p>
            <w:pPr>
              <w:spacing w:after="0"/>
              <w:rPr>
                <w:sz w:val="1"/>
                <w:szCs w:val="1"/>
                <w:color w:val="auto"/>
              </w:rPr>
            </w:pPr>
          </w:p>
        </w:tc>
      </w:tr>
      <w:tr>
        <w:trPr>
          <w:trHeight w:val="19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152,067,819</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15,971,163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22,606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(8,098,632)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7,895,289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September 30,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42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7"/>
                <w:szCs w:val="7"/>
                <w:color w:val="auto"/>
              </w:rPr>
            </w:pPr>
          </w:p>
        </w:tc>
        <w:tc>
          <w:tcPr>
            <w:tcW w:w="1020" w:type="dxa"/>
            <w:vAlign w:val="bottom"/>
            <w:gridSpan w:val="2"/>
            <w:vMerge w:val="restart"/>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restart"/>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5420" w:type="dxa"/>
            <w:vAlign w:val="bottom"/>
          </w:tcPr>
          <w:p>
            <w:pPr>
              <w:spacing w:after="0"/>
              <w:rPr>
                <w:sz w:val="5"/>
                <w:szCs w:val="5"/>
                <w:color w:val="auto"/>
              </w:rPr>
            </w:pPr>
          </w:p>
        </w:tc>
        <w:tc>
          <w:tcPr>
            <w:tcW w:w="130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10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8"/>
        </w:trPr>
        <w:tc>
          <w:tcPr>
            <w:tcW w:w="54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3"/>
                <w:szCs w:val="13"/>
                <w:color w:val="auto"/>
                <w:w w:val="96"/>
              </w:rPr>
              <w:t>(In thousands, except share amounts)</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152,610,697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15,476,124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(7,522,010)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7,952,966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20" w:type="dxa"/>
            <w:vAlign w:val="bottom"/>
            <w:tcBorders>
              <w:top w:val="single" w:sz="8" w:color="CCEEFF"/>
            </w:tcBorders>
            <w:vMerge w:val="continue"/>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79,688</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79,688</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384,295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5,523</w:t>
            </w:r>
          </w:p>
        </w:tc>
        <w:tc>
          <w:tcPr>
            <w:tcW w:w="0" w:type="dxa"/>
            <w:vAlign w:val="bottom"/>
          </w:tcPr>
          <w:p>
            <w:pPr>
              <w:spacing w:after="0"/>
              <w:rPr>
                <w:sz w:val="1"/>
                <w:szCs w:val="1"/>
                <w:color w:val="auto"/>
              </w:rPr>
            </w:pPr>
          </w:p>
        </w:tc>
      </w:tr>
      <w:tr>
        <w:trPr>
          <w:trHeight w:val="195"/>
        </w:trPr>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5,175,927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95"/>
        </w:trPr>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under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253,298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20,757</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of Class A common stock issued and donated to charity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7,118</w:t>
            </w:r>
          </w:p>
        </w:tc>
        <w:tc>
          <w:tcPr>
            <w:tcW w:w="0" w:type="dxa"/>
            <w:vAlign w:val="bottom"/>
          </w:tcPr>
          <w:p>
            <w:pPr>
              <w:spacing w:after="0"/>
              <w:rPr>
                <w:sz w:val="1"/>
                <w:szCs w:val="1"/>
                <w:color w:val="auto"/>
              </w:rPr>
            </w:pPr>
          </w:p>
        </w:tc>
      </w:tr>
      <w:tr>
        <w:trPr>
          <w:trHeight w:val="195"/>
        </w:trPr>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5,941</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shares of Class A common stock including related costs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(6,421,039)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(656,310)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(656,317)</w:t>
            </w:r>
          </w:p>
        </w:tc>
        <w:tc>
          <w:tcPr>
            <w:tcW w:w="0" w:type="dxa"/>
            <w:vAlign w:val="bottom"/>
          </w:tcPr>
          <w:p>
            <w:pPr>
              <w:spacing w:after="0"/>
              <w:rPr>
                <w:sz w:val="1"/>
                <w:szCs w:val="1"/>
                <w:color w:val="auto"/>
              </w:rPr>
            </w:pPr>
          </w:p>
        </w:tc>
      </w:tr>
      <w:tr>
        <w:trPr>
          <w:trHeight w:val="195"/>
        </w:trPr>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change in market value of effective foreign currency forward exchange contracts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18,573</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of other comprehensive loss from equity method investment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96"/>
        </w:trPr>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461,860</w:t>
            </w:r>
          </w:p>
        </w:tc>
        <w:tc>
          <w:tcPr>
            <w:tcW w:w="0" w:type="dxa"/>
            <w:vAlign w:val="bottom"/>
          </w:tcPr>
          <w:p>
            <w:pPr>
              <w:spacing w:after="0"/>
              <w:rPr>
                <w:sz w:val="1"/>
                <w:szCs w:val="1"/>
                <w:color w:val="auto"/>
              </w:rPr>
            </w:pPr>
          </w:p>
        </w:tc>
      </w:tr>
      <w:tr>
        <w:trPr>
          <w:trHeight w:val="228"/>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152,067,819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15,971,163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(8,098,632)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7,895,289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TWILIO INC</w:t>
      </w:r>
      <w:r>
        <w:rPr>
          <w:rFonts w:ascii="Times New Roman" w:cs="Times New Roman" w:eastAsia="Times New Roman" w:hAnsi="Times New Roman"/>
          <w:sz w:val="14"/>
          <w:szCs w:val="14"/>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4"/>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8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87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center"/>
              <w:ind w:left="439"/>
              <w:spacing w:after="0"/>
              <w:rPr>
                <w:sz w:val="20"/>
                <w:szCs w:val="20"/>
                <w:color w:val="auto"/>
              </w:rPr>
            </w:pPr>
            <w:r>
              <w:rPr>
                <w:rFonts w:ascii="Times New Roman" w:cs="Times New Roman" w:eastAsia="Times New Roman" w:hAnsi="Times New Roman"/>
                <w:sz w:val="14"/>
                <w:szCs w:val="14"/>
                <w:color w:val="auto"/>
              </w:rPr>
              <w:t>(In thousands)</w:t>
            </w:r>
          </w:p>
        </w:tc>
        <w:tc>
          <w:tcPr>
            <w:tcW w:w="780" w:type="dxa"/>
            <w:vAlign w:val="bottom"/>
            <w:shd w:val="clear" w:color="auto" w:fill="CCEEFF"/>
          </w:tcPr>
          <w:p>
            <w:pPr>
              <w:spacing w:after="0"/>
              <w:rPr>
                <w:sz w:val="17"/>
                <w:szCs w:val="17"/>
                <w:color w:val="auto"/>
              </w:rPr>
            </w:pP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1,318,505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79,688</w:t>
            </w: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147,901</w:t>
            </w: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reduction to the right-of-use asset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16,634</w:t>
            </w: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amortization of investment premium and discount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(11,473)</w:t>
            </w: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446,693</w:t>
            </w: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56,895</w:t>
            </w: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6,361</w:t>
            </w: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Value of shares of Class A common stock issued and donated to charity</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7,118</w:t>
            </w: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72,199</w:t>
            </w:r>
          </w:p>
        </w:tc>
      </w:tr>
      <w:tr>
        <w:trPr>
          <w:trHeight w:val="216"/>
        </w:trPr>
        <w:tc>
          <w:tcPr>
            <w:tcW w:w="8780" w:type="dxa"/>
            <w:vAlign w:val="bottom"/>
          </w:tcPr>
          <w:p>
            <w:pPr>
              <w:ind w:left="220"/>
              <w:spacing w:after="0" w:line="184" w:lineRule="exact"/>
              <w:rPr>
                <w:sz w:val="20"/>
                <w:szCs w:val="20"/>
                <w:color w:val="auto"/>
              </w:rPr>
            </w:pPr>
            <w:r>
              <w:rPr>
                <w:rFonts w:ascii="Times New Roman" w:cs="Times New Roman" w:eastAsia="Times New Roman" w:hAnsi="Times New Roman"/>
                <w:sz w:val="16"/>
                <w:szCs w:val="16"/>
                <w:color w:val="auto"/>
              </w:rPr>
              <w:t>Impairment of capitalized internal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use software development costs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6,642</w:t>
            </w:r>
          </w:p>
        </w:tc>
      </w:tr>
      <w:tr>
        <w:trPr>
          <w:trHeight w:val="216"/>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benefit related to release of valuation allowance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(937,077)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loss on prepaid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adjustments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(30,942)</w:t>
            </w:r>
          </w:p>
        </w:tc>
      </w:tr>
      <w:tr>
        <w:trPr>
          <w:trHeight w:val="213"/>
        </w:trPr>
        <w:tc>
          <w:tcPr>
            <w:tcW w:w="8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77,596</w:t>
            </w:r>
          </w:p>
        </w:tc>
      </w:tr>
      <w:tr>
        <w:trPr>
          <w:trHeight w:val="219"/>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tax asset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r>
      <w:tr>
        <w:trPr>
          <w:trHeight w:val="213"/>
        </w:trPr>
        <w:tc>
          <w:tcPr>
            <w:tcW w:w="8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(62,592)</w:t>
            </w:r>
          </w:p>
        </w:tc>
      </w:tr>
      <w:tr>
        <w:trPr>
          <w:trHeight w:val="219"/>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(59,798)</w:t>
            </w:r>
          </w:p>
        </w:tc>
      </w:tr>
      <w:tr>
        <w:trPr>
          <w:trHeight w:val="213"/>
        </w:trPr>
        <w:tc>
          <w:tcPr>
            <w:tcW w:w="8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w:t>
            </w:r>
          </w:p>
        </w:tc>
      </w:tr>
      <w:tr>
        <w:trPr>
          <w:trHeight w:val="219"/>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revenue and customer deposits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w:t>
            </w:r>
          </w:p>
        </w:tc>
      </w:tr>
      <w:tr>
        <w:trPr>
          <w:trHeight w:val="213"/>
        </w:trPr>
        <w:tc>
          <w:tcPr>
            <w:tcW w:w="8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(26,868)</w:t>
            </w:r>
          </w:p>
        </w:tc>
      </w:tr>
      <w:tr>
        <w:trPr>
          <w:trHeight w:val="219"/>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07"/>
        </w:trPr>
        <w:tc>
          <w:tcPr>
            <w:tcW w:w="87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914,755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731,689</w:t>
            </w:r>
          </w:p>
        </w:tc>
      </w:tr>
      <w:tr>
        <w:trPr>
          <w:trHeight w:val="19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Acquisitions, net of cash acquired and payments related to prior period acquisitions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marketable securities and other investments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(751,923)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(780,234)</w:t>
            </w: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sales and maturities of marketable securities and other investments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688,244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1,043,977</w:t>
            </w: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(37,964)</w:t>
            </w:r>
          </w:p>
        </w:tc>
      </w:tr>
      <w:tr>
        <w:trPr>
          <w:trHeight w:val="213"/>
        </w:trPr>
        <w:tc>
          <w:tcPr>
            <w:tcW w:w="8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Purchases of long-lived assets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(4,402)</w:t>
            </w:r>
          </w:p>
        </w:tc>
      </w:tr>
      <w:tr>
        <w:trPr>
          <w:trHeight w:val="212"/>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(124,500)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221,377</w:t>
            </w:r>
          </w:p>
        </w:tc>
      </w:tr>
      <w:tr>
        <w:trPr>
          <w:trHeight w:val="19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w:t>
            </w: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Value of equity awards withheld for tax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Repurchases of shares of Class A common stock and related costs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(448,296)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(670,472)</w:t>
            </w:r>
          </w:p>
        </w:tc>
      </w:tr>
      <w:tr>
        <w:trPr>
          <w:trHeight w:val="213"/>
        </w:trPr>
        <w:tc>
          <w:tcPr>
            <w:tcW w:w="8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exercises of stock options and shares of Class A common stock issued under ESPP</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37,293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26,280</w:t>
            </w:r>
          </w:p>
        </w:tc>
      </w:tr>
      <w:tr>
        <w:trPr>
          <w:trHeight w:val="212"/>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(411,258)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(649,660)</w:t>
            </w:r>
          </w:p>
        </w:tc>
      </w:tr>
      <w:tr>
        <w:trPr>
          <w:trHeight w:val="207"/>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378,997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303,406</w:t>
            </w:r>
          </w:p>
        </w:tc>
      </w:tr>
      <w:tr>
        <w:trPr>
          <w:trHeight w:val="21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682,534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431,437</w:t>
            </w:r>
          </w:p>
        </w:tc>
      </w:tr>
      <w:tr>
        <w:trPr>
          <w:trHeight w:val="212"/>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1,061,531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734,843</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5"/>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15,947</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37,516</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37,571</w:t>
            </w:r>
          </w:p>
        </w:tc>
      </w:tr>
      <w:tr>
        <w:trPr>
          <w:trHeight w:val="20"/>
        </w:trPr>
        <w:tc>
          <w:tcPr>
            <w:tcW w:w="8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Twilio Inc. (the “Company”) was incorporated in the state of Delaware on March 13, 2008. Twilio provides the infrastructure for customer engagement in the AI era. By combining global communications, memory, and AI orchestration with identity, governance, and observability, the Company enables businesses to deliver continuous, contextual, personal, and secure conversations across every channel and participant — human or AI.</w:t>
      </w:r>
    </w:p>
    <w:p>
      <w:pPr>
        <w:spacing w:after="0" w:line="176"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Company’s headquarters are located in San Francisco, California, and the Company has subsidiaries across North America, South America, Europe, Asia and Australia.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1300" w:hanging="806"/>
        <w:spacing w:after="0"/>
        <w:tabs>
          <w:tab w:leader="none" w:pos="130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unaudited condensed consolidated financial statements should be read in conjunction with the consolidated financial statements and notes included in the Company’s Annual Report on Form 10-K filed with the SEC on February 24, 2026 (“Annual Report”). Certain prior year amounts in the unaudited condensed consolidated financial statements have been reclassified to conform to current year presentation.</w:t>
      </w:r>
    </w:p>
    <w:p>
      <w:pPr>
        <w:spacing w:after="0" w:line="18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balance sheet as of December 31, 2025, included herein, was derived from the audited financial statements as of that date, but may not include all disclosures including certain notes required by U.S. GAAP on an annual reporting basis.</w:t>
      </w:r>
    </w:p>
    <w:p>
      <w:pPr>
        <w:spacing w:after="0" w:line="16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present fairly the financial position, results of operations, comprehensive income, stockholders’ equity and cash flows for the interim periods, but are not necessarily indicative of the results of operations to be anticipated for the full year 2026 or any future period.</w:t>
      </w:r>
    </w:p>
    <w:p>
      <w:pPr>
        <w:spacing w:after="0" w:line="172" w:lineRule="exact"/>
        <w:rPr>
          <w:sz w:val="20"/>
          <w:szCs w:val="20"/>
          <w:color w:val="auto"/>
        </w:rPr>
      </w:pPr>
    </w:p>
    <w:p>
      <w:pPr>
        <w:ind w:left="1300" w:hanging="806"/>
        <w:spacing w:after="0"/>
        <w:tabs>
          <w:tab w:leader="none" w:pos="130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Company and its wholly owned subsidiaries. All intercompany balances and transactions have been eliminated.</w:t>
      </w:r>
    </w:p>
    <w:p>
      <w:pPr>
        <w:spacing w:after="0" w:line="158" w:lineRule="exact"/>
        <w:rPr>
          <w:sz w:val="20"/>
          <w:szCs w:val="20"/>
          <w:color w:val="auto"/>
        </w:rPr>
      </w:pPr>
    </w:p>
    <w:p>
      <w:pPr>
        <w:ind w:left="1300" w:hanging="806"/>
        <w:spacing w:after="0"/>
        <w:tabs>
          <w:tab w:leader="none" w:pos="130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capitalization and useful life of the Company’s capitalized internal-use software development costs; fair values of acquired intangible assets, goodwill and equity method investments; valuation allowances against deferred tax assets;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spacing w:after="0" w:line="188" w:lineRule="exact"/>
        <w:rPr>
          <w:sz w:val="20"/>
          <w:szCs w:val="20"/>
          <w:color w:val="auto"/>
        </w:rPr>
      </w:pPr>
    </w:p>
    <w:p>
      <w:pPr>
        <w:ind w:left="1300" w:hanging="806"/>
        <w:spacing w:after="0"/>
        <w:tabs>
          <w:tab w:leader="none" w:pos="130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for contracts with durations of more than one year was $120.9 million as of September 30, 2026, of which 74% is expected to be recognized over the next 12 months and 97% is expected to be recognized over the next 24 months.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300" w:hanging="806"/>
        <w:spacing w:after="0"/>
        <w:tabs>
          <w:tab w:leader="none" w:pos="130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Revenue and Customer Deposits</w:t>
      </w:r>
    </w:p>
    <w:p>
      <w:pPr>
        <w:spacing w:after="0" w:line="229" w:lineRule="exact"/>
        <w:rPr>
          <w:sz w:val="20"/>
          <w:szCs w:val="20"/>
          <w:color w:val="auto"/>
        </w:rPr>
      </w:pPr>
    </w:p>
    <w:p>
      <w:pPr>
        <w:jc w:val="both"/>
        <w:ind w:right="20" w:firstLine="486"/>
        <w:spacing w:after="0" w:line="256" w:lineRule="auto"/>
        <w:rPr>
          <w:sz w:val="20"/>
          <w:szCs w:val="20"/>
          <w:color w:val="auto"/>
        </w:rPr>
      </w:pPr>
      <w:r>
        <w:rPr>
          <w:rFonts w:ascii="Times New Roman" w:cs="Times New Roman" w:eastAsia="Times New Roman" w:hAnsi="Times New Roman"/>
          <w:sz w:val="18"/>
          <w:szCs w:val="18"/>
          <w:color w:val="auto"/>
        </w:rPr>
        <w:t>As of September 30, 2026, and December 31, 2025, the Company recorded $157.0 million and $158.7 million as its deferred revenue and customer deposits, respectively, that are included in deferred revenue and customer deposits in the accompanying unaudited condensed consolidated balance sheets. During the three months ended September 30, 2026 and 2025, the Company recognized $20.3 million and $20.6 million of revenue, respectively, that was included in the deferred revenue and customer deposits balances as of the end of the previous year. During the nine months ended September 30, 2026 and 2025, the Company recognized $133.3 million and $125.8 million of revenue, respectively, that was included in the deferred revenue and customer deposits balances as of the end of the previous year.</w:t>
      </w:r>
    </w:p>
    <w:p>
      <w:pPr>
        <w:spacing w:after="0" w:line="183" w:lineRule="exact"/>
        <w:rPr>
          <w:sz w:val="20"/>
          <w:szCs w:val="20"/>
          <w:color w:val="auto"/>
        </w:rPr>
      </w:pPr>
    </w:p>
    <w:p>
      <w:pPr>
        <w:ind w:left="1300" w:hanging="806"/>
        <w:spacing w:after="0"/>
        <w:tabs>
          <w:tab w:leader="none" w:pos="130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Certain balances held by such financial institutions exceed insured limits.</w:t>
      </w:r>
    </w:p>
    <w:p>
      <w:pPr>
        <w:spacing w:after="0" w:line="176" w:lineRule="exact"/>
        <w:rPr>
          <w:sz w:val="20"/>
          <w:szCs w:val="20"/>
          <w:color w:val="auto"/>
        </w:rPr>
      </w:pPr>
    </w:p>
    <w:p>
      <w:pPr>
        <w:ind w:right="260" w:firstLine="486"/>
        <w:spacing w:after="0" w:line="256" w:lineRule="auto"/>
        <w:rPr>
          <w:sz w:val="20"/>
          <w:szCs w:val="20"/>
          <w:color w:val="auto"/>
        </w:rPr>
      </w:pPr>
      <w:r>
        <w:rPr>
          <w:rFonts w:ascii="Times New Roman" w:cs="Times New Roman" w:eastAsia="Times New Roman" w:hAnsi="Times New Roman"/>
          <w:sz w:val="18"/>
          <w:szCs w:val="18"/>
          <w:color w:val="auto"/>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significant customers and periodic re-evaluations, as needed, of existing customers. The Company does not require collateral from its credit customers and maintains reserves for estimated credit losses on customer accounts when considered necessary. Actual credit losses may differ from the Company’s estimates. As of September 30, 2026, and December 31, 2025, the allowance for doubtful accounts was $25.6 million and $21.5 million, respectively, and is recorded in accounts receivable, net, in the accompanying unaudited condensed consolidated balance sheets.</w:t>
      </w:r>
    </w:p>
    <w:p>
      <w:pPr>
        <w:spacing w:after="0" w:line="187"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In the three and nine months ended September 30, 2026 and 2025, no customer organization accounted for more than 10% of the Company’s total revenue.</w:t>
      </w:r>
    </w:p>
    <w:p>
      <w:pPr>
        <w:spacing w:after="0" w:line="162"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no customer organization represented more than 10% of the Company’s gross accounts receivable.</w:t>
      </w:r>
    </w:p>
    <w:p>
      <w:pPr>
        <w:spacing w:after="0" w:line="158" w:lineRule="exact"/>
        <w:rPr>
          <w:sz w:val="20"/>
          <w:szCs w:val="20"/>
          <w:color w:val="auto"/>
        </w:rPr>
      </w:pPr>
    </w:p>
    <w:p>
      <w:pPr>
        <w:ind w:left="1300" w:hanging="806"/>
        <w:spacing w:after="0"/>
        <w:tabs>
          <w:tab w:leader="none" w:pos="130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Company operates in and reports its results in a single operating and reportable segment. Operating and reportable segments are determined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which requires financial information to be reported based on how the chief operating decision maker (“CODM”), who is the Company's Chief Executive Officer, reviews and manages the business, and establishes criteria for aggregating operating segments into reportable segments. The financial information of the Company regularly provided to the CODM is on a consolidated level and consolidated net income is its measure of profitability. This measure of profitability is used by the CODM to allocate resources and assess performance of the Company by comparing its actual results to the comparable results in prior periods and to any internally or externally set expectations. The consolidated financial information provided to the CODM, including significant expenses, is presented in a manner consistent with the information already disclosed in the accompanying unaudited condensed consolidated financial statements and the notes thereof.</w:t>
      </w:r>
    </w:p>
    <w:p>
      <w:pPr>
        <w:spacing w:after="0" w:line="188" w:lineRule="exact"/>
        <w:rPr>
          <w:sz w:val="20"/>
          <w:szCs w:val="20"/>
          <w:color w:val="auto"/>
        </w:rPr>
      </w:pPr>
    </w:p>
    <w:p>
      <w:pPr>
        <w:ind w:left="1300" w:hanging="806"/>
        <w:spacing w:after="0"/>
        <w:tabs>
          <w:tab w:leader="none" w:pos="130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Issued Accounting Guidance, Not yet Adopted</w:t>
      </w:r>
    </w:p>
    <w:p>
      <w:pPr>
        <w:spacing w:after="0" w:line="227"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Financial Accounting Standards Board (“FASB”) issued Accounting Standards Update (“ASU”) 2025-06, </w:t>
      </w:r>
      <w:r>
        <w:rPr>
          <w:rFonts w:ascii="Times New Roman" w:cs="Times New Roman" w:eastAsia="Times New Roman" w:hAnsi="Times New Roman"/>
          <w:sz w:val="18"/>
          <w:szCs w:val="18"/>
          <w:i w:val="1"/>
          <w:iCs w:val="1"/>
          <w:color w:val="auto"/>
        </w:rPr>
        <w:t xml:space="preserve">“Intangibles-Goodwill and Other-Internal-Use Software (Subtopic 350-40): Targeted Improvements to the Accounting for Internal-Use Software,” </w:t>
      </w:r>
      <w:r>
        <w:rPr>
          <w:rFonts w:ascii="Times New Roman" w:cs="Times New Roman" w:eastAsia="Times New Roman" w:hAnsi="Times New Roman"/>
          <w:sz w:val="18"/>
          <w:szCs w:val="18"/>
          <w:color w:val="auto"/>
        </w:rPr>
        <w:t>which modernizes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internal-use software by replacing the previous stage-based model and aligning the capitalization process with current development practices, especially agile and iterative methods. ASU 2025-06 is effective for annual reporting periods beginning after December 15, 2027, and may be applied prospectively, retrospectively, or using a modified transition approach. Early adoption is permitted. The Company is in the process of evaluating the impact of the adoption of this ASU on its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which requires disaggregation of certain expenses in the notes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to provide enhanced transparency into the expense captions presented on the face of the statements of operations. ASU 2024-03 is effective for annual reporting periods beginning after December 15, 2026, and interim periods beginning after December 15, 2027, and may be applied prospectively or retrospectively. Early adoption is permitted.</w:t>
      </w:r>
    </w:p>
    <w:p>
      <w:pPr>
        <w:spacing w:after="0" w:line="181" w:lineRule="exact"/>
        <w:rPr>
          <w:sz w:val="20"/>
          <w:szCs w:val="20"/>
          <w:color w:val="auto"/>
        </w:rPr>
      </w:pPr>
    </w:p>
    <w:p>
      <w:pPr>
        <w:ind w:left="500" w:right="9080" w:hanging="492"/>
        <w:spacing w:after="0" w:line="532" w:lineRule="auto"/>
        <w:tabs>
          <w:tab w:leader="none" w:pos="19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i w:val="1"/>
          <w:iCs w:val="1"/>
          <w:color w:val="auto"/>
        </w:rPr>
        <w:t>Financial Assets</w:t>
      </w:r>
    </w:p>
    <w:p>
      <w:pPr>
        <w:spacing w:after="0" w:line="1" w:lineRule="exact"/>
        <w:rPr>
          <w:rFonts w:ascii="Times New Roman" w:cs="Times New Roman" w:eastAsia="Times New Roman" w:hAnsi="Times New Roman"/>
          <w:sz w:val="17"/>
          <w:szCs w:val="17"/>
          <w:b w:val="1"/>
          <w:bCs w:val="1"/>
          <w:color w:val="auto"/>
        </w:rPr>
      </w:pP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tables provide the financial assets measured at fair value on a recurring basis: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10"/>
            <w:vMerge w:val="restart"/>
          </w:tcPr>
          <w:p>
            <w:pPr>
              <w:jc w:val="center"/>
              <w:ind w:left="430"/>
              <w:spacing w:after="0"/>
              <w:rPr>
                <w:sz w:val="20"/>
                <w:szCs w:val="20"/>
                <w:color w:val="auto"/>
              </w:rPr>
            </w:pPr>
            <w:r>
              <w:rPr>
                <w:rFonts w:ascii="Times New Roman" w:cs="Times New Roman" w:eastAsia="Times New Roman" w:hAnsi="Times New Roman"/>
                <w:sz w:val="13"/>
                <w:szCs w:val="13"/>
                <w:b w:val="1"/>
                <w:bCs w:val="1"/>
                <w:color w:val="auto"/>
                <w:w w:val="95"/>
              </w:rPr>
              <w:t>Fair Value Hierarchy as of</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160" w:type="dxa"/>
            <w:vAlign w:val="bottom"/>
            <w:gridSpan w:val="10"/>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6"/>
          </w:tcPr>
          <w:p>
            <w:pPr>
              <w:jc w:val="center"/>
              <w:ind w:right="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September 30, 2026</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tcPr>
          <w:p>
            <w:pPr>
              <w:jc w:val="center"/>
              <w:ind w:right="280"/>
              <w:spacing w:after="0" w:line="61" w:lineRule="exact"/>
              <w:rPr>
                <w:sz w:val="20"/>
                <w:szCs w:val="20"/>
                <w:color w:val="auto"/>
              </w:rPr>
            </w:pPr>
            <w:r>
              <w:rPr>
                <w:rFonts w:ascii="Times New Roman" w:cs="Times New Roman" w:eastAsia="Times New Roman" w:hAnsi="Times New Roman"/>
                <w:sz w:val="7"/>
                <w:szCs w:val="7"/>
                <w:b w:val="1"/>
                <w:bCs w:val="1"/>
                <w:color w:val="auto"/>
              </w:rPr>
              <w:t>Cost or</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Gross</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Unrealized</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Losses More</w:t>
            </w: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Losses Less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4"/>
              </w:rPr>
              <w:t>Than</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51"/>
              <w:spacing w:after="0" w:line="129"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Than 12 Months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12 Months</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gridSpan w:val="6"/>
            <w:shd w:val="clear" w:color="auto" w:fill="CCEEFF"/>
          </w:tcPr>
          <w:p>
            <w:pPr>
              <w:jc w:val="right"/>
              <w:ind w:right="53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755,656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center"/>
              <w:ind w:left="413"/>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755,656</w:t>
            </w:r>
          </w:p>
        </w:tc>
        <w:tc>
          <w:tcPr>
            <w:tcW w:w="3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755,656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 paper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left="413"/>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 bills</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ind w:left="513"/>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680" w:type="dxa"/>
            <w:vAlign w:val="bottom"/>
          </w:tcPr>
          <w:p>
            <w:pPr>
              <w:jc w:val="center"/>
              <w:ind w:right="388"/>
              <w:spacing w:after="0" w:line="119" w:lineRule="exact"/>
              <w:rPr>
                <w:sz w:val="20"/>
                <w:szCs w:val="20"/>
                <w:color w:val="auto"/>
              </w:rPr>
            </w:pPr>
            <w:r>
              <w:rPr>
                <w:rFonts w:ascii="Times New Roman" w:cs="Times New Roman" w:eastAsia="Times New Roman" w:hAnsi="Times New Roman"/>
                <w:sz w:val="13"/>
                <w:szCs w:val="13"/>
                <w:color w:val="auto"/>
              </w:rPr>
              <w:t>Total included in cash</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767,156</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vMerge w:val="restart"/>
          </w:tcPr>
          <w:p>
            <w:pPr>
              <w:jc w:val="center"/>
              <w:ind w:left="413"/>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762,156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767,156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68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and cash equivalents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U.S. Treasury securities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left="413"/>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143,189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143,189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680" w:type="dxa"/>
            <w:vAlign w:val="bottom"/>
            <w:shd w:val="clear" w:color="auto" w:fill="CCEEFF"/>
          </w:tcPr>
          <w:p>
            <w:pPr>
              <w:ind w:left="300"/>
              <w:spacing w:after="0" w:line="147" w:lineRule="exact"/>
              <w:rPr>
                <w:sz w:val="20"/>
                <w:szCs w:val="20"/>
                <w:color w:val="auto"/>
              </w:rPr>
            </w:pPr>
            <w:r>
              <w:rPr>
                <w:rFonts w:ascii="Times New Roman" w:cs="Times New Roman" w:eastAsia="Times New Roman" w:hAnsi="Times New Roman"/>
                <w:sz w:val="14"/>
                <w:szCs w:val="14"/>
                <w:color w:val="auto"/>
              </w:rPr>
              <w:t>Corporate debt securities and</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1,704,485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left="493"/>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1,686,751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1,686,751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commercial paper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CCEEFF"/>
            </w:tcBorders>
          </w:tcPr>
          <w:p>
            <w:pPr>
              <w:jc w:val="center"/>
              <w:ind w:right="188"/>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1,849,098</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(19,392)</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center"/>
              <w:ind w:left="493"/>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143,189</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1,686,751</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1,829,940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680" w:type="dxa"/>
            <w:vAlign w:val="bottom"/>
            <w:tcBorders>
              <w:bottom w:val="single" w:sz="8" w:color="CCEEFF"/>
            </w:tcBorders>
            <w:shd w:val="clear" w:color="auto" w:fill="CCEEFF"/>
          </w:tcPr>
          <w:p>
            <w:pPr>
              <w:jc w:val="center"/>
              <w:ind w:right="368"/>
              <w:spacing w:after="0"/>
              <w:rPr>
                <w:sz w:val="20"/>
                <w:szCs w:val="20"/>
                <w:color w:val="auto"/>
              </w:rPr>
            </w:pPr>
            <w:r>
              <w:rPr>
                <w:rFonts w:ascii="Times New Roman" w:cs="Times New Roman" w:eastAsia="Times New Roman" w:hAnsi="Times New Roman"/>
                <w:sz w:val="14"/>
                <w:szCs w:val="14"/>
                <w:color w:val="auto"/>
              </w:rPr>
              <w:t>Total financial assets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2,616,254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center"/>
              <w:ind w:left="493"/>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905,345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1,691,751</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Amortized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10"/>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Fair Value Hierarchy as of</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Cost or</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Losses More</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Carrying</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Unrealized</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Losses Less</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tcPr>
          <w:p>
            <w:pPr>
              <w:jc w:val="center"/>
              <w:ind w:right="180"/>
              <w:spacing w:after="0" w:line="61" w:lineRule="exact"/>
              <w:rPr>
                <w:sz w:val="20"/>
                <w:szCs w:val="20"/>
                <w:color w:val="auto"/>
              </w:rPr>
            </w:pPr>
            <w:r>
              <w:rPr>
                <w:rFonts w:ascii="Times New Roman" w:cs="Times New Roman" w:eastAsia="Times New Roman" w:hAnsi="Times New Roman"/>
                <w:sz w:val="7"/>
                <w:szCs w:val="7"/>
                <w:b w:val="1"/>
                <w:bCs w:val="1"/>
                <w:color w:val="auto"/>
              </w:rPr>
              <w:t>Than</w:t>
            </w:r>
          </w:p>
        </w:tc>
        <w:tc>
          <w:tcPr>
            <w:tcW w:w="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jc w:val="right"/>
              <w:ind w:right="111"/>
              <w:spacing w:after="0" w:line="61" w:lineRule="exact"/>
              <w:rPr>
                <w:sz w:val="20"/>
                <w:szCs w:val="20"/>
                <w:color w:val="auto"/>
              </w:rPr>
            </w:pPr>
            <w:r>
              <w:rPr>
                <w:rFonts w:ascii="Times New Roman" w:cs="Times New Roman" w:eastAsia="Times New Roman" w:hAnsi="Times New Roman"/>
                <w:sz w:val="7"/>
                <w:szCs w:val="7"/>
                <w:b w:val="1"/>
                <w:bCs w:val="1"/>
                <w:color w:val="auto"/>
              </w:rPr>
              <w:t>Aggregate</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6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Than 12 Months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12 Months</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gridSpan w:val="6"/>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454,505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454,505</w:t>
            </w:r>
          </w:p>
        </w:tc>
        <w:tc>
          <w:tcPr>
            <w:tcW w:w="32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Commercial paper</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37,517</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37,517</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37,517</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680" w:type="dxa"/>
            <w:vAlign w:val="bottom"/>
            <w:shd w:val="clear" w:color="auto" w:fill="CCEEFF"/>
          </w:tcPr>
          <w:p>
            <w:pPr>
              <w:jc w:val="center"/>
              <w:ind w:right="388"/>
              <w:spacing w:after="0" w:line="122" w:lineRule="exact"/>
              <w:rPr>
                <w:sz w:val="20"/>
                <w:szCs w:val="20"/>
                <w:color w:val="auto"/>
              </w:rPr>
            </w:pPr>
            <w:r>
              <w:rPr>
                <w:rFonts w:ascii="Times New Roman" w:cs="Times New Roman" w:eastAsia="Times New Roman" w:hAnsi="Times New Roman"/>
                <w:sz w:val="14"/>
                <w:szCs w:val="14"/>
                <w:color w:val="auto"/>
              </w:rPr>
              <w:t>Total included in cash</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492,022</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3"/>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454,505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37,517</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492,022</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jc w:val="center"/>
              <w:ind w:right="188"/>
              <w:spacing w:after="0"/>
              <w:rPr>
                <w:sz w:val="20"/>
                <w:szCs w:val="20"/>
                <w:color w:val="auto"/>
              </w:rPr>
            </w:pPr>
            <w:r>
              <w:rPr>
                <w:rFonts w:ascii="Times New Roman" w:cs="Times New Roman" w:eastAsia="Times New Roman" w:hAnsi="Times New Roman"/>
                <w:sz w:val="14"/>
                <w:szCs w:val="14"/>
                <w:color w:val="auto"/>
              </w:rPr>
              <w:t>and cash equivalents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Treasury securities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249,396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250,577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Corporate debt securities and</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1,523,935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1,533,210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1,533,210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commercial paper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680" w:type="dxa"/>
            <w:vAlign w:val="bottom"/>
            <w:tcBorders>
              <w:bottom w:val="single" w:sz="8" w:color="CCEEFF"/>
            </w:tcBorders>
          </w:tcPr>
          <w:p>
            <w:pPr>
              <w:jc w:val="right"/>
              <w:ind w:right="1108"/>
              <w:spacing w:after="0"/>
              <w:rPr>
                <w:sz w:val="20"/>
                <w:szCs w:val="20"/>
                <w:color w:val="auto"/>
              </w:rPr>
            </w:pPr>
            <w:r>
              <w:rPr>
                <w:rFonts w:ascii="Times New Roman" w:cs="Times New Roman" w:eastAsia="Times New Roman" w:hAnsi="Times New Roman"/>
                <w:sz w:val="14"/>
                <w:szCs w:val="14"/>
                <w:color w:val="auto"/>
              </w:rPr>
              <w:t>Total debt securities</w:t>
            </w:r>
          </w:p>
        </w:tc>
        <w:tc>
          <w:tcPr>
            <w:tcW w:w="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1,773,331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250,577</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1,533,210</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1,783,787</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680" w:type="dxa"/>
            <w:vAlign w:val="bottom"/>
          </w:tcPr>
          <w:p>
            <w:pPr>
              <w:ind w:left="260"/>
              <w:spacing w:after="0" w:line="115" w:lineRule="exact"/>
              <w:rPr>
                <w:sz w:val="20"/>
                <w:szCs w:val="20"/>
                <w:color w:val="auto"/>
              </w:rPr>
            </w:pPr>
            <w:r>
              <w:rPr>
                <w:rFonts w:ascii="Times New Roman" w:cs="Times New Roman" w:eastAsia="Times New Roman" w:hAnsi="Times New Roman"/>
                <w:sz w:val="13"/>
                <w:szCs w:val="13"/>
                <w:color w:val="auto"/>
              </w:rPr>
              <w:t>Total marketable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1,777,551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10,550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254,797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1,533,210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1,788,007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securities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80" w:type="dxa"/>
            <w:vAlign w:val="bottom"/>
            <w:tcBorders>
              <w:top w:val="single" w:sz="8" w:color="CCEEFF"/>
              <w:bottom w:val="single" w:sz="8" w:color="CCEEFF"/>
            </w:tcBorders>
            <w:shd w:val="clear" w:color="auto" w:fill="CCEEFF"/>
          </w:tcPr>
          <w:p>
            <w:pPr>
              <w:jc w:val="center"/>
              <w:ind w:right="368"/>
              <w:spacing w:after="0"/>
              <w:rPr>
                <w:sz w:val="20"/>
                <w:szCs w:val="20"/>
                <w:color w:val="auto"/>
              </w:rPr>
            </w:pPr>
            <w:r>
              <w:rPr>
                <w:rFonts w:ascii="Times New Roman" w:cs="Times New Roman" w:eastAsia="Times New Roman" w:hAnsi="Times New Roman"/>
                <w:sz w:val="14"/>
                <w:szCs w:val="14"/>
                <w:color w:val="auto"/>
              </w:rPr>
              <w:t>Total financial assets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2,269,573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709,302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1,570,727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2,280,029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Company’s primary objective when investing excess cash is preservation of capital, hence the Company’s debt securities primarily consist of U.S. Treasury securities, high credit quality corporate debt securities and commercial paper. Because the Company views its debt securities as available to support current operations, it has classified all available for sale securities as short-term.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earned on debt securities was $18.3 million and $53.6 million in the three and nine months ended September 30, 2026, respectively,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$16.3 million and $53.2 million in the three and nine months ended September 30, 2025, respectively. The interest is recorded as other income, net,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accompanying unaudited condensed consolidated statements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debt securities: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80" w:type="dxa"/>
            <w:vAlign w:val="bottom"/>
          </w:tcPr>
          <w:p>
            <w:pPr>
              <w:spacing w:after="0"/>
              <w:rPr>
                <w:sz w:val="18"/>
                <w:szCs w:val="18"/>
                <w:color w:val="auto"/>
              </w:rPr>
            </w:pPr>
          </w:p>
        </w:tc>
        <w:tc>
          <w:tcPr>
            <w:tcW w:w="244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59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tcBorders>
              <w:top w:val="single" w:sz="8" w:color="auto"/>
              <w:bottom w:val="single" w:sz="8" w:color="auto"/>
            </w:tcBorders>
          </w:tcPr>
          <w:p>
            <w:pPr>
              <w:spacing w:after="0"/>
              <w:rPr>
                <w:sz w:val="18"/>
                <w:szCs w:val="18"/>
                <w:color w:val="auto"/>
              </w:rPr>
            </w:pPr>
          </w:p>
        </w:tc>
      </w:tr>
      <w:tr>
        <w:trPr>
          <w:trHeight w:val="157"/>
        </w:trPr>
        <w:tc>
          <w:tcPr>
            <w:tcW w:w="5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3"/>
                <w:szCs w:val="13"/>
                <w:color w:val="auto"/>
              </w:rPr>
            </w:pPr>
          </w:p>
        </w:tc>
        <w:tc>
          <w:tcPr>
            <w:tcW w:w="1080" w:type="dxa"/>
            <w:vAlign w:val="bottom"/>
          </w:tcPr>
          <w:p>
            <w:pPr>
              <w:jc w:val="right"/>
              <w:ind w:right="201"/>
              <w:spacing w:after="0" w:line="158" w:lineRule="exact"/>
              <w:rPr>
                <w:sz w:val="20"/>
                <w:szCs w:val="20"/>
                <w:color w:val="auto"/>
              </w:rPr>
            </w:pPr>
            <w:r>
              <w:rPr>
                <w:rFonts w:ascii="Times New Roman" w:cs="Times New Roman" w:eastAsia="Times New Roman" w:hAnsi="Times New Roman"/>
                <w:sz w:val="16"/>
                <w:szCs w:val="16"/>
                <w:b w:val="1"/>
                <w:bCs w:val="1"/>
                <w:color w:val="auto"/>
              </w:rPr>
              <w:t>Aggregate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106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Aggregate</w:t>
            </w:r>
          </w:p>
        </w:tc>
      </w:tr>
      <w:tr>
        <w:trPr>
          <w:trHeight w:val="214"/>
        </w:trPr>
        <w:tc>
          <w:tcPr>
            <w:tcW w:w="5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54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one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694,747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693,843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588,022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590,997</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 to three years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1,154,351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1,136,097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1,185,309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1,192,790</w:t>
            </w:r>
          </w:p>
        </w:tc>
      </w:tr>
      <w:tr>
        <w:trPr>
          <w:trHeight w:val="207"/>
        </w:trPr>
        <w:tc>
          <w:tcPr>
            <w:tcW w:w="5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1,849,098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1,829,940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1,773,331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1,783,787</w:t>
            </w:r>
          </w:p>
        </w:tc>
      </w:tr>
      <w:tr>
        <w:trPr>
          <w:trHeight w:val="23"/>
        </w:trPr>
        <w:tc>
          <w:tcPr>
            <w:tcW w:w="5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Strategic Investments</w:t>
      </w:r>
    </w:p>
    <w:p>
      <w:pPr>
        <w:spacing w:after="0" w:line="227"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Company held strategic investments with a carrying value of $24.2 million and $24.5 million, respectively, recorded as other long-term assets in the accompanying unaudited condensed consolidated balance sheets. There were no significant impairments or adjustments recorded in the three and nine months ended September 30, 2026 and 2025 related to these securities.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227"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Company’s financial liabilities that are measured at fair value on a recurring basis consist of foreign currency derivative liabilities and are classified as Level 2 financial instruments in the fair value hierarchy. As of September 30, 2026, and December 31, 2025, the aggregate fair value of these liabilities and the associated unrealized losses were not significant.</w:t>
      </w:r>
    </w:p>
    <w:p>
      <w:pPr>
        <w:spacing w:after="0" w:line="176" w:lineRule="exact"/>
        <w:rPr>
          <w:sz w:val="20"/>
          <w:szCs w:val="20"/>
          <w:color w:val="auto"/>
        </w:rPr>
      </w:pPr>
    </w:p>
    <w:p>
      <w:pPr>
        <w:ind w:right="300" w:firstLine="486"/>
        <w:spacing w:after="0" w:line="289" w:lineRule="auto"/>
        <w:rPr>
          <w:sz w:val="20"/>
          <w:szCs w:val="20"/>
          <w:color w:val="auto"/>
        </w:rPr>
      </w:pPr>
      <w:r>
        <w:rPr>
          <w:rFonts w:ascii="Times New Roman" w:cs="Times New Roman" w:eastAsia="Times New Roman" w:hAnsi="Times New Roman"/>
          <w:sz w:val="17"/>
          <w:szCs w:val="17"/>
          <w:color w:val="auto"/>
        </w:rPr>
        <w:t>The Company’s financial liabilities that are not measured at fair value on a recurring basis are its Senior Notes due 2029 (“2029 Notes”) and its Senior Notes due 2031 (“2031 Notes”). As of September 30, 2026, the fair values of the 2029 Notes and 2031 Notes were $474.0 million and $455.5 million, respectively. As of December 31, 2025, the fair values of the 2029 Notes and 2031 Notes were $489.7 million and $483.9 million,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8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7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1"/>
        </w:trPr>
        <w:tc>
          <w:tcPr>
            <w:tcW w:w="7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20" w:type="dxa"/>
            <w:vAlign w:val="bottom"/>
            <w:gridSpan w:val="4"/>
          </w:tcPr>
          <w:p>
            <w:pPr>
              <w:jc w:val="right"/>
              <w:ind w:right="1459"/>
              <w:spacing w:after="0"/>
              <w:rPr>
                <w:sz w:val="20"/>
                <w:szCs w:val="20"/>
                <w:color w:val="auto"/>
              </w:rPr>
            </w:pPr>
            <w:r>
              <w:rPr>
                <w:rFonts w:ascii="Times New Roman" w:cs="Times New Roman" w:eastAsia="Times New Roman" w:hAnsi="Times New Roman"/>
                <w:sz w:val="14"/>
                <w:szCs w:val="14"/>
                <w:color w:val="auto"/>
              </w:rPr>
              <w:t>(In thousands)</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 development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421,795</w:t>
            </w: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Data center equipment</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27,843</w:t>
            </w: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62,143</w:t>
            </w: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equipment</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46,709</w:t>
            </w: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10,399</w:t>
            </w:r>
          </w:p>
        </w:tc>
      </w:tr>
      <w:tr>
        <w:trPr>
          <w:trHeight w:val="21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14,927</w:t>
            </w:r>
          </w:p>
        </w:tc>
      </w:tr>
      <w:tr>
        <w:trPr>
          <w:trHeight w:val="212"/>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628,265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583,816</w:t>
            </w:r>
          </w:p>
        </w:tc>
      </w:tr>
      <w:tr>
        <w:trPr>
          <w:trHeight w:val="21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(444,395)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(406,853)</w:t>
            </w:r>
          </w:p>
        </w:tc>
      </w:tr>
      <w:tr>
        <w:trPr>
          <w:trHeight w:val="237"/>
        </w:trPr>
        <w:tc>
          <w:tcPr>
            <w:tcW w:w="7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176,963</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$18.4 million and $21.1 million in the three months ended September 30, 2026 and 2025, respectively, and $53.1 million and $65.2 million in the nine months ended September 30, 2026 and 2025, respectively.</w:t>
      </w:r>
    </w:p>
    <w:p>
      <w:pPr>
        <w:spacing w:after="0" w:line="121" w:lineRule="exact"/>
        <w:rPr>
          <w:sz w:val="20"/>
          <w:szCs w:val="20"/>
          <w:color w:val="auto"/>
        </w:rPr>
      </w:pPr>
    </w:p>
    <w:p>
      <w:pPr>
        <w:ind w:right="40" w:firstLine="486"/>
        <w:spacing w:after="0" w:line="245" w:lineRule="exact"/>
        <w:rPr>
          <w:sz w:val="20"/>
          <w:szCs w:val="20"/>
          <w:color w:val="auto"/>
        </w:rPr>
      </w:pPr>
      <w:r>
        <w:rPr>
          <w:rFonts w:ascii="Times New Roman" w:cs="Times New Roman" w:eastAsia="Times New Roman" w:hAnsi="Times New Roman"/>
          <w:sz w:val="18"/>
          <w:szCs w:val="18"/>
          <w:color w:val="auto"/>
        </w:rPr>
        <w:t>The Company capitalized $20.0 million and $19.3 million in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development costs in the three months ended September 30, 2026 and 2025, respectively, and $66.1 million and $53.1 million in the nine months ended September 30, 2026 and 2025,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and Hedging</w:t>
      </w:r>
    </w:p>
    <w:p>
      <w:pPr>
        <w:spacing w:after="0" w:line="22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Company’s outstanding foreign currency forward contracts designated as cash flow hedges had a total sell notional value of $348.7 million. The notional value represents the amount that will be sold upon maturity of the forward contract. As of September 30, 2026, these contracts had maturities of up to seventeen months. Gains and losses associated with these foreign currency forward contracts were not significant.</w:t>
      </w:r>
    </w:p>
    <w:p>
      <w:pPr>
        <w:spacing w:after="0" w:line="176"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unaudited condensed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September 30, 2026, the Company did not have any offsetting arrangements.</w:t>
      </w:r>
    </w:p>
    <w:p>
      <w:pPr>
        <w:spacing w:after="0" w:line="183" w:lineRule="exact"/>
        <w:rPr>
          <w:sz w:val="20"/>
          <w:szCs w:val="20"/>
          <w:color w:val="auto"/>
        </w:rPr>
      </w:pPr>
    </w:p>
    <w:p>
      <w:pPr>
        <w:ind w:left="500" w:right="8660" w:hanging="492"/>
        <w:spacing w:after="0" w:line="503" w:lineRule="auto"/>
        <w:tabs>
          <w:tab w:leader="none" w:pos="19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goodwill balance as of September 30, 2026 and December 31, 2025, and the changes during the period,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6"/>
        </w:trPr>
        <w:tc>
          <w:tcPr>
            <w:tcW w:w="9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4"/>
                <w:szCs w:val="14"/>
                <w:color w:val="auto"/>
              </w:rPr>
              <w:t>(In thousands)</w:t>
            </w:r>
          </w:p>
        </w:tc>
      </w:tr>
      <w:tr>
        <w:trPr>
          <w:trHeight w:val="213"/>
        </w:trPr>
        <w:tc>
          <w:tcPr>
            <w:tcW w:w="9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5,291,787</w:t>
            </w:r>
          </w:p>
        </w:tc>
      </w:tr>
      <w:tr>
        <w:trPr>
          <w:trHeight w:val="216"/>
        </w:trPr>
        <w:tc>
          <w:tcPr>
            <w:tcW w:w="9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Measurement period adjustment and other</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2"/>
        </w:trPr>
        <w:tc>
          <w:tcPr>
            <w:tcW w:w="9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2026</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5,291,893</w:t>
            </w:r>
          </w:p>
        </w:tc>
      </w:tr>
      <w:tr>
        <w:trPr>
          <w:trHeight w:val="20"/>
        </w:trPr>
        <w:tc>
          <w:tcPr>
            <w:tcW w:w="9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3"/>
                <w:szCs w:val="13"/>
                <w:color w:val="auto"/>
              </w:rPr>
            </w:pPr>
          </w:p>
        </w:tc>
        <w:tc>
          <w:tcPr>
            <w:tcW w:w="10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Developed technology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(373,497)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24,708</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72,369</w:t>
            </w:r>
          </w:p>
        </w:tc>
        <w:tc>
          <w:tcPr>
            <w:tcW w:w="0" w:type="dxa"/>
            <w:vAlign w:val="bottom"/>
          </w:tcPr>
          <w:p>
            <w:pPr>
              <w:spacing w:after="0"/>
              <w:rPr>
                <w:sz w:val="1"/>
                <w:szCs w:val="1"/>
                <w:color w:val="auto"/>
              </w:rPr>
            </w:pPr>
          </w:p>
        </w:tc>
      </w:tr>
      <w:tr>
        <w:trPr>
          <w:trHeight w:val="21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Supplier relationships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names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Patent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w:t>
            </w:r>
          </w:p>
        </w:tc>
        <w:tc>
          <w:tcPr>
            <w:tcW w:w="0" w:type="dxa"/>
            <w:vAlign w:val="bottom"/>
          </w:tcPr>
          <w:p>
            <w:pPr>
              <w:spacing w:after="0"/>
              <w:rPr>
                <w:sz w:val="1"/>
                <w:szCs w:val="1"/>
                <w:color w:val="auto"/>
              </w:rPr>
            </w:pPr>
          </w:p>
        </w:tc>
      </w:tr>
      <w:tr>
        <w:trPr>
          <w:trHeight w:val="212"/>
        </w:trPr>
        <w:tc>
          <w:tcPr>
            <w:tcW w:w="6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828,180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(728,094)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100,086</w:t>
            </w:r>
          </w:p>
        </w:tc>
        <w:tc>
          <w:tcPr>
            <w:tcW w:w="0" w:type="dxa"/>
            <w:vAlign w:val="bottom"/>
          </w:tcPr>
          <w:p>
            <w:pPr>
              <w:spacing w:after="0"/>
              <w:rPr>
                <w:sz w:val="1"/>
                <w:szCs w:val="1"/>
                <w:color w:val="auto"/>
              </w:rPr>
            </w:pPr>
          </w:p>
        </w:tc>
      </w:tr>
      <w:tr>
        <w:trPr>
          <w:trHeight w:val="19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Non-amortizable intangible assets: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Telecommunication licenses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0" w:type="dxa"/>
            <w:vAlign w:val="bottom"/>
          </w:tcPr>
          <w:p>
            <w:pPr>
              <w:spacing w:after="0"/>
              <w:rPr>
                <w:sz w:val="1"/>
                <w:szCs w:val="1"/>
                <w:color w:val="auto"/>
              </w:rPr>
            </w:pPr>
          </w:p>
        </w:tc>
      </w:tr>
      <w:tr>
        <w:trPr>
          <w:trHeight w:val="21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Trademarks and other</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37"/>
        </w:trPr>
        <w:tc>
          <w:tcPr>
            <w:tcW w:w="69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(728,094)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105,301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3"/>
                <w:szCs w:val="13"/>
                <w:color w:val="auto"/>
              </w:rPr>
            </w:pPr>
          </w:p>
        </w:tc>
        <w:tc>
          <w:tcPr>
            <w:tcW w:w="10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69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Developed technology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398,205</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(359,450)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38,755</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90,067</w:t>
            </w:r>
          </w:p>
        </w:tc>
        <w:tc>
          <w:tcPr>
            <w:tcW w:w="0" w:type="dxa"/>
            <w:vAlign w:val="bottom"/>
          </w:tcPr>
          <w:p>
            <w:pPr>
              <w:spacing w:after="0"/>
              <w:rPr>
                <w:sz w:val="1"/>
                <w:szCs w:val="1"/>
                <w:color w:val="auto"/>
              </w:rPr>
            </w:pPr>
          </w:p>
        </w:tc>
      </w:tr>
      <w:tr>
        <w:trPr>
          <w:trHeight w:val="213"/>
        </w:trPr>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Supplier relationships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5,313</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names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Patent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828,180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(691,330)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136,850</w:t>
            </w:r>
          </w:p>
        </w:tc>
        <w:tc>
          <w:tcPr>
            <w:tcW w:w="0" w:type="dxa"/>
            <w:vAlign w:val="bottom"/>
          </w:tcPr>
          <w:p>
            <w:pPr>
              <w:spacing w:after="0"/>
              <w:rPr>
                <w:sz w:val="1"/>
                <w:szCs w:val="1"/>
                <w:color w:val="auto"/>
              </w:rPr>
            </w:pPr>
          </w:p>
        </w:tc>
      </w:tr>
      <w:tr>
        <w:trPr>
          <w:trHeight w:val="19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Non-amortizable intangible assets: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Telecommunication licenses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0" w:type="dxa"/>
            <w:vAlign w:val="bottom"/>
          </w:tcPr>
          <w:p>
            <w:pPr>
              <w:spacing w:after="0"/>
              <w:rPr>
                <w:sz w:val="1"/>
                <w:szCs w:val="1"/>
                <w:color w:val="auto"/>
              </w:rPr>
            </w:pPr>
          </w:p>
        </w:tc>
      </w:tr>
      <w:tr>
        <w:trPr>
          <w:trHeight w:val="213"/>
        </w:trPr>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Trademarks and other</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37"/>
        </w:trPr>
        <w:tc>
          <w:tcPr>
            <w:tcW w:w="69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833,395</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(691,330)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Amortization expense was $8.8 million and $26.9 million for the three months ended September 30, 2026 and 2025, respectively, and $36.8 million and $81.2 million for the nine months ended September 30, 2026 and 2025, respectively.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estimated future amortization expense is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r>
      <w:tr>
        <w:trPr>
          <w:trHeight w:val="161"/>
        </w:trPr>
        <w:tc>
          <w:tcPr>
            <w:tcW w:w="20" w:type="dxa"/>
            <w:vAlign w:val="bottom"/>
          </w:tcPr>
          <w:p>
            <w:pPr>
              <w:spacing w:after="0"/>
              <w:rPr>
                <w:sz w:val="14"/>
                <w:szCs w:val="14"/>
                <w:color w:val="auto"/>
              </w:rPr>
            </w:pPr>
          </w:p>
        </w:tc>
        <w:tc>
          <w:tcPr>
            <w:tcW w:w="89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Year Ended December 31,</w:t>
            </w:r>
          </w:p>
        </w:tc>
        <w:tc>
          <w:tcPr>
            <w:tcW w:w="200" w:type="dxa"/>
            <w:vAlign w:val="bottom"/>
          </w:tcPr>
          <w:p>
            <w:pPr>
              <w:spacing w:after="0"/>
              <w:rPr>
                <w:sz w:val="14"/>
                <w:szCs w:val="14"/>
                <w:color w:val="auto"/>
              </w:rPr>
            </w:pPr>
          </w:p>
        </w:tc>
        <w:tc>
          <w:tcPr>
            <w:tcW w:w="2120" w:type="dxa"/>
            <w:vAlign w:val="bottom"/>
          </w:tcPr>
          <w:p>
            <w:pPr>
              <w:jc w:val="right"/>
              <w:ind w:right="660"/>
              <w:spacing w:after="0"/>
              <w:rPr>
                <w:sz w:val="20"/>
                <w:szCs w:val="20"/>
                <w:color w:val="auto"/>
              </w:rPr>
            </w:pPr>
            <w:r>
              <w:rPr>
                <w:rFonts w:ascii="Times New Roman" w:cs="Times New Roman" w:eastAsia="Times New Roman" w:hAnsi="Times New Roman"/>
                <w:sz w:val="14"/>
                <w:szCs w:val="14"/>
                <w:color w:val="auto"/>
              </w:rPr>
              <w:t>(In thousands)</w:t>
            </w: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 (remaining three months)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7,851</w:t>
            </w:r>
          </w:p>
        </w:tc>
      </w:tr>
      <w:tr>
        <w:trPr>
          <w:trHeight w:val="21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27,796</w:t>
            </w:r>
          </w:p>
        </w:tc>
      </w:tr>
      <w:tr>
        <w:trPr>
          <w:trHeight w:val="219"/>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21,520</w:t>
            </w:r>
          </w:p>
        </w:tc>
      </w:tr>
      <w:tr>
        <w:trPr>
          <w:trHeight w:val="21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17,353</w:t>
            </w:r>
          </w:p>
        </w:tc>
      </w:tr>
      <w:tr>
        <w:trPr>
          <w:trHeight w:val="219"/>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7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16,614</w:t>
            </w:r>
          </w:p>
        </w:tc>
      </w:tr>
      <w:tr>
        <w:trPr>
          <w:trHeight w:val="213"/>
        </w:trPr>
        <w:tc>
          <w:tcPr>
            <w:tcW w:w="20" w:type="dxa"/>
            <w:vAlign w:val="bottom"/>
            <w:tcBorders>
              <w:bottom w:val="single" w:sz="8" w:color="CCEEFF"/>
            </w:tcBorders>
          </w:tcPr>
          <w:p>
            <w:pPr>
              <w:spacing w:after="0"/>
              <w:rPr>
                <w:sz w:val="18"/>
                <w:szCs w:val="18"/>
                <w:color w:val="auto"/>
              </w:rPr>
            </w:pPr>
          </w:p>
        </w:tc>
        <w:tc>
          <w:tcPr>
            <w:tcW w:w="8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8,952</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89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Balance Sheet Components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Prepaid expenses</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8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6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1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84"/>
        </w:trPr>
        <w:tc>
          <w:tcPr>
            <w:tcW w:w="180" w:type="dxa"/>
            <w:vAlign w:val="bottom"/>
          </w:tcPr>
          <w:p>
            <w:pPr>
              <w:spacing w:after="0"/>
              <w:rPr>
                <w:sz w:val="15"/>
                <w:szCs w:val="15"/>
                <w:color w:val="auto"/>
              </w:rPr>
            </w:pPr>
          </w:p>
        </w:tc>
        <w:tc>
          <w:tcPr>
            <w:tcW w:w="3620" w:type="dxa"/>
            <w:vAlign w:val="bottom"/>
            <w:gridSpan w:val="4"/>
          </w:tcPr>
          <w:p>
            <w:pPr>
              <w:jc w:val="right"/>
              <w:ind w:right="1399"/>
              <w:spacing w:after="0"/>
              <w:rPr>
                <w:sz w:val="20"/>
                <w:szCs w:val="20"/>
                <w:color w:val="auto"/>
              </w:rPr>
            </w:pPr>
            <w:r>
              <w:rPr>
                <w:rFonts w:ascii="Times New Roman" w:cs="Times New Roman" w:eastAsia="Times New Roman" w:hAnsi="Times New Roman"/>
                <w:sz w:val="14"/>
                <w:szCs w:val="14"/>
                <w:color w:val="auto"/>
              </w:rPr>
              <w:t>(In thousands)</w:t>
            </w:r>
          </w:p>
        </w:tc>
      </w:tr>
      <w:tr>
        <w:trPr>
          <w:trHeight w:val="224"/>
        </w:trPr>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229,198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307,263</w:t>
            </w:r>
          </w:p>
        </w:tc>
      </w:tr>
      <w:tr>
        <w:trPr>
          <w:trHeight w:val="219"/>
        </w:trPr>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109,773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162,387</w:t>
            </w:r>
          </w:p>
        </w:tc>
      </w:tr>
      <w:tr>
        <w:trPr>
          <w:trHeight w:val="210"/>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338,971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469,650</w:t>
            </w:r>
          </w:p>
        </w:tc>
      </w:tr>
      <w:tr>
        <w:trPr>
          <w:trHeight w:val="23"/>
        </w:trPr>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ectPr>
          <w:pgSz w:w="11900" w:h="16838" w:orient="portrait"/>
          <w:cols w:equalWidth="0" w:num="2">
            <w:col w:w="6720" w:space="720"/>
            <w:col w:w="38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ind w:right="320" w:firstLine="8"/>
        <w:spacing w:after="0" w:line="278" w:lineRule="auto"/>
        <w:tabs>
          <w:tab w:leader="none" w:pos="149"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the nine months ended September 30, 2026, the Company recorded a $32.8 million impairment loss on prepaid assets, which contributed to a decrease in prepaid expenses from December 31, 2025. The impairment loss was due to the Company’s determination that it would be unable to consume certain network services that were prepaid in previous periods due to operational and financial challenges experienced by two network service providers.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40" w:type="dxa"/>
            <w:vAlign w:val="bottom"/>
          </w:tcPr>
          <w:p>
            <w:pPr>
              <w:spacing w:after="0"/>
              <w:rPr>
                <w:sz w:val="18"/>
                <w:szCs w:val="18"/>
                <w:color w:val="auto"/>
              </w:rPr>
            </w:pP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75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1"/>
        </w:trPr>
        <w:tc>
          <w:tcPr>
            <w:tcW w:w="7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20" w:type="dxa"/>
            <w:vAlign w:val="bottom"/>
            <w:gridSpan w:val="4"/>
          </w:tcPr>
          <w:p>
            <w:pPr>
              <w:jc w:val="right"/>
              <w:ind w:right="1339"/>
              <w:spacing w:after="0"/>
              <w:rPr>
                <w:sz w:val="20"/>
                <w:szCs w:val="20"/>
                <w:color w:val="auto"/>
              </w:rPr>
            </w:pPr>
            <w:r>
              <w:rPr>
                <w:rFonts w:ascii="Times New Roman" w:cs="Times New Roman" w:eastAsia="Times New Roman" w:hAnsi="Times New Roman"/>
                <w:sz w:val="14"/>
                <w:szCs w:val="14"/>
                <w:color w:val="auto"/>
              </w:rPr>
              <w:t>(In thousands)</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related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95,795</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Company-wide bonus program liability</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136,221</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sales bonus and commissions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21,922</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cost of revenue</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226,878</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other taxes payable</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58,259</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ESPP contributions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6,925</w:t>
            </w: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other expense</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62,119</w:t>
            </w:r>
          </w:p>
        </w:tc>
      </w:tr>
      <w:tr>
        <w:trPr>
          <w:trHeight w:val="212"/>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646,245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608,119</w:t>
            </w:r>
          </w:p>
        </w:tc>
      </w:tr>
      <w:tr>
        <w:trPr>
          <w:trHeight w:val="21"/>
        </w:trPr>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net, consists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60" w:type="dxa"/>
            <w:vAlign w:val="bottom"/>
          </w:tcPr>
          <w:p>
            <w:pPr>
              <w:spacing w:after="0"/>
              <w:rPr>
                <w:sz w:val="18"/>
                <w:szCs w:val="18"/>
                <w:color w:val="auto"/>
              </w:rPr>
            </w:pPr>
          </w:p>
        </w:tc>
        <w:tc>
          <w:tcPr>
            <w:tcW w:w="1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74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1"/>
        </w:trPr>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gridSpan w:val="4"/>
          </w:tcPr>
          <w:p>
            <w:pPr>
              <w:jc w:val="right"/>
              <w:ind w:right="1379"/>
              <w:spacing w:after="0"/>
              <w:rPr>
                <w:sz w:val="20"/>
                <w:szCs w:val="20"/>
                <w:color w:val="auto"/>
              </w:rPr>
            </w:pPr>
            <w:r>
              <w:rPr>
                <w:rFonts w:ascii="Times New Roman" w:cs="Times New Roman" w:eastAsia="Times New Roman" w:hAnsi="Times New Roman"/>
                <w:sz w:val="14"/>
                <w:szCs w:val="14"/>
                <w:color w:val="auto"/>
              </w:rPr>
              <w:t>(In thousands)</w:t>
            </w:r>
          </w:p>
        </w:tc>
      </w:tr>
      <w:tr>
        <w:trPr>
          <w:trHeight w:val="223"/>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2029 Senior Notes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Principal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Unamortized discount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w:t>
            </w:r>
          </w:p>
        </w:tc>
      </w:tr>
      <w:tr>
        <w:trPr>
          <w:trHeight w:val="213"/>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Unamortized issuance costs</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212"/>
        </w:trPr>
        <w:tc>
          <w:tcPr>
            <w:tcW w:w="7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carrying amount</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497,398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496,652</w:t>
            </w:r>
          </w:p>
        </w:tc>
      </w:tr>
      <w:tr>
        <w:trPr>
          <w:trHeight w:val="194"/>
        </w:trPr>
        <w:tc>
          <w:tcPr>
            <w:tcW w:w="74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2031 Senior Notes</w:t>
            </w: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8"/>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Principal</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Unamortized discount</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w:t>
            </w: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Unamortized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r>
      <w:tr>
        <w:trPr>
          <w:trHeight w:val="207"/>
        </w:trPr>
        <w:tc>
          <w:tcPr>
            <w:tcW w:w="74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carrying amount</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496,208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495,635</w:t>
            </w:r>
          </w:p>
        </w:tc>
      </w:tr>
      <w:tr>
        <w:trPr>
          <w:trHeight w:val="237"/>
        </w:trPr>
        <w:tc>
          <w:tcPr>
            <w:tcW w:w="74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long-term debt,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993,606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992,287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2026, the Company was in compliance with all of its covenants under the related indentures.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 by Geographic Area</w:t>
      </w:r>
    </w:p>
    <w:p>
      <w:pPr>
        <w:spacing w:after="0" w:line="22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Revenue by geographic area is based on the IP address or the mailing address of the customer at the time of registration. The following table sets forth revenue by geographic area: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2560" w:type="dxa"/>
            <w:vAlign w:val="bottom"/>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8"/>
                <w:szCs w:val="18"/>
                <w:color w:val="auto"/>
              </w:rPr>
            </w:pPr>
          </w:p>
        </w:tc>
      </w:tr>
      <w:tr>
        <w:trPr>
          <w:trHeight w:val="209"/>
        </w:trPr>
        <w:tc>
          <w:tcPr>
            <w:tcW w:w="5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area:</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(In thousands)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997,341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830,665</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2,857,587</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2,367,079</w:t>
            </w:r>
          </w:p>
        </w:tc>
      </w:tr>
      <w:tr>
        <w:trPr>
          <w:trHeight w:val="21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562,195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1,607,945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1,334,211</w:t>
            </w:r>
          </w:p>
        </w:tc>
      </w:tr>
      <w:tr>
        <w:trPr>
          <w:trHeight w:val="207"/>
        </w:trPr>
        <w:tc>
          <w:tcPr>
            <w:tcW w:w="5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1,559,536</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1,300,402</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4,465,532</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3,701,290</w:t>
            </w:r>
          </w:p>
        </w:tc>
      </w:tr>
      <w:tr>
        <w:trPr>
          <w:trHeight w:val="23"/>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15"/>
        </w:trPr>
        <w:tc>
          <w:tcPr>
            <w:tcW w:w="5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Percentage of revenue by geographic area:</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1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52" w:lineRule="exact"/>
        <w:rPr>
          <w:sz w:val="20"/>
          <w:szCs w:val="20"/>
          <w:color w:val="auto"/>
        </w:rPr>
      </w:pPr>
    </w:p>
    <w:p>
      <w:pPr>
        <w:ind w:left="1300" w:hanging="806"/>
        <w:spacing w:after="0"/>
        <w:tabs>
          <w:tab w:leader="none" w:pos="130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 and Other Commitments</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leases its facilities under various non-cancelable operating lease agreements. In the three and nine months ended September 30, 2026, the Company did not enter into any significant new lease agreements.</w:t>
      </w:r>
    </w:p>
    <w:p>
      <w:pPr>
        <w:spacing w:after="0" w:line="16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Company has non-cancelable contractual commitments with its cloud infrastructure provider, network service providers and other vendors. The Company had $1.3 billion of non-cancelable purchase commitments as of September 30, 2026 with remaining terms of up to four years.</w:t>
      </w:r>
    </w:p>
    <w:p>
      <w:pPr>
        <w:spacing w:after="0" w:line="158" w:lineRule="exact"/>
        <w:rPr>
          <w:sz w:val="20"/>
          <w:szCs w:val="20"/>
          <w:color w:val="auto"/>
        </w:rPr>
      </w:pPr>
    </w:p>
    <w:p>
      <w:pPr>
        <w:ind w:left="1300" w:hanging="806"/>
        <w:spacing w:after="0"/>
        <w:tabs>
          <w:tab w:leader="none" w:pos="130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subject to legal actions, claims, and government investigations or inquiries arising in the ordinary course of business. These matters may include, but are not limited to, matters involving privacy, data protection, data security, intellectual property, competition, telecommunications, consumer protection, taxation, securities, employment and contractual rights. While the Company currently believes that the final outcomes of these matters will not have a material adverse effect on its business, the results of any current or future litigation cannot be predicted with certainty, and regardless of the outcome, litigation can have an adverse impact on the Company because of defense and settlement costs, diversion of management resources and other factors.</w:t>
      </w:r>
    </w:p>
    <w:p>
      <w:pPr>
        <w:spacing w:after="0" w:line="18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 accrues for contingencies associated with legal matters when it believes that a loss is probable and that it can be reasonably estimated. To the extent there is a reasonable possibility that a loss may be incurred that is in excess of amounts already recognized and such additional loss amount may be material, the Company either discloses the estimated additional loss amount or states that such an estimate cannot be made. Significant judgment is required to determine the probability of a loss and to estimate the amount of any probable loss.</w:t>
      </w:r>
    </w:p>
    <w:p>
      <w:pPr>
        <w:spacing w:after="0" w:line="180"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Legal fees and other costs related to litigation and other legal proceedings are expensed as incurred and are included in general and administrative expenses in the accompanying unaudited condensed consolidated statements of operations.</w:t>
      </w:r>
    </w:p>
    <w:p>
      <w:pPr>
        <w:spacing w:after="0" w:line="158" w:lineRule="exact"/>
        <w:rPr>
          <w:sz w:val="20"/>
          <w:szCs w:val="20"/>
          <w:color w:val="auto"/>
        </w:rPr>
      </w:pPr>
    </w:p>
    <w:p>
      <w:pPr>
        <w:ind w:left="1300" w:hanging="806"/>
        <w:spacing w:after="0"/>
        <w:tabs>
          <w:tab w:leader="none" w:pos="130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and in connection with its financing and business combination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products or its acts or omissions.</w:t>
      </w:r>
    </w:p>
    <w:p>
      <w:pPr>
        <w:spacing w:after="0" w:line="207"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Company has also signed indemnification agreements with all of its board members and executive officers and certain employees that may require the Company to indemnify them for certain events in connection with their services to the Company or its direct or indirect subsidiaries.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2026, and December 31, 2025, no amounts were accrued related to any outstanding indemnification agreements.</w:t>
      </w:r>
    </w:p>
    <w:p>
      <w:pPr>
        <w:spacing w:after="0" w:line="221" w:lineRule="exact"/>
        <w:rPr>
          <w:sz w:val="20"/>
          <w:szCs w:val="20"/>
          <w:color w:val="auto"/>
        </w:rPr>
      </w:pPr>
    </w:p>
    <w:p>
      <w:pPr>
        <w:ind w:left="1300" w:hanging="806"/>
        <w:spacing w:after="0"/>
        <w:tabs>
          <w:tab w:leader="none" w:pos="130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Taxes</w:t>
      </w:r>
    </w:p>
    <w:p>
      <w:pPr>
        <w:spacing w:after="0" w:line="22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conducts operations in many tax jurisdictions within and outside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can be reasonably estimated. These reserves are based on estimates which include several key assumptions including, but not limited to, the taxability of the Company’s services, the jurisdictions in which management believes it had nexus and the sourcing of revenues to those jurisdictions.</w:t>
      </w:r>
    </w:p>
    <w:p>
      <w:pPr>
        <w:spacing w:after="0" w:line="183"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2026, the liabilities accrued for non-income-based taxes were $24.0 million for domestic jurisdictions and $22.0 million for jurisdictions outside of the United States. As of December 31, 2025, these liabilities were $21.1 million and $21.8 million, respectively.</w:t>
      </w:r>
    </w:p>
    <w:p>
      <w:pPr>
        <w:spacing w:after="0" w:line="158"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authorized 100,000,000 shares of preferred stock, par value $0.001 per share, of which no shares were issued and outstanding.</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authorized 1,000,000,000 shares of Class A common stock, par value $0.001 per share. As of September 30, 2026 and December 31, 2025, 154,749,685 and 152,411,346 shares of Class A common stock, respectively, were issued and outstanding.</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reserved shares of common stock for issuance as follows:</w:t>
      </w:r>
    </w:p>
    <w:p>
      <w:pPr>
        <w:sectPr>
          <w:pgSz w:w="11900" w:h="16838" w:orient="portrait"/>
          <w:cols w:equalWidth="0" w:num="1">
            <w:col w:w="11240"/>
          </w:cols>
          <w:pgMar w:left="320" w:top="121" w:right="339" w:bottom="1440" w:gutter="0" w:footer="0" w:header="0"/>
        </w:sectPr>
      </w:pPr>
    </w:p>
    <w:p>
      <w:pPr>
        <w:spacing w:after="0" w:line="268"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6"/>
          <w:szCs w:val="16"/>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21590</wp:posOffset>
            </wp:positionV>
            <wp:extent cx="11569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26"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6"/>
          <w:szCs w:val="16"/>
          <w:b w:val="1"/>
          <w:bCs w:val="1"/>
          <w:color w:val="auto"/>
        </w:rPr>
        <w:t>2026</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21590</wp:posOffset>
            </wp:positionV>
            <wp:extent cx="11747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2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8" w:lineRule="exact"/>
        <w:rPr>
          <w:sz w:val="20"/>
          <w:szCs w:val="20"/>
          <w:color w:val="auto"/>
        </w:rPr>
      </w:pPr>
    </w:p>
    <w:p>
      <w:pPr>
        <w:sectPr>
          <w:pgSz w:w="11900" w:h="16838" w:orient="portrait"/>
          <w:cols w:equalWidth="0" w:num="2">
            <w:col w:w="9060" w:space="580"/>
            <w:col w:w="1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issued and outstanding</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695,754</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902,120</w:t>
            </w: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issued and outstanding</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10,370,158</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13,663,977</w:t>
            </w: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reserved for Twilio.org</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198,919</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265,225</w:t>
            </w: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awards available for grant under 2016 equity plan</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10,706,113</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28,543,969</w:t>
            </w:r>
          </w:p>
        </w:tc>
      </w:tr>
      <w:tr>
        <w:trPr>
          <w:trHeight w:val="219"/>
        </w:trPr>
        <w:tc>
          <w:tcPr>
            <w:tcW w:w="74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Shares of Class A common stock reserved for issuance pursuant to ESPP</w:t>
            </w:r>
            <w:r>
              <w:rPr>
                <w:rFonts w:ascii="Times New Roman" w:cs="Times New Roman" w:eastAsia="Times New Roman" w:hAnsi="Times New Roman"/>
                <w:sz w:val="21"/>
                <w:szCs w:val="21"/>
                <w:color w:val="auto"/>
                <w:vertAlign w:val="superscript"/>
              </w:rPr>
              <w:t>(1)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12,133,808</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10,836,938</w:t>
            </w:r>
          </w:p>
        </w:tc>
      </w:tr>
      <w:tr>
        <w:trPr>
          <w:trHeight w:val="207"/>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34,104,752</w:t>
            </w:r>
          </w:p>
        </w:tc>
        <w:tc>
          <w:tcPr>
            <w:tcW w:w="12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54,212,229</w:t>
            </w:r>
          </w:p>
        </w:tc>
      </w:tr>
      <w:tr>
        <w:trPr>
          <w:trHeight w:val="23"/>
        </w:trPr>
        <w:tc>
          <w:tcPr>
            <w:tcW w:w="74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5" w:lineRule="exact"/>
        <w:rPr>
          <w:sz w:val="20"/>
          <w:szCs w:val="20"/>
          <w:color w:val="auto"/>
        </w:rPr>
      </w:pPr>
    </w:p>
    <w:p>
      <w:pPr>
        <w:ind w:right="140" w:firstLine="8"/>
        <w:spacing w:after="0" w:line="285" w:lineRule="auto"/>
        <w:tabs>
          <w:tab w:leader="none" w:pos="149"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amount as of September 30, 2026, reflects the number of shares of Class A common stock reserved for issuance pursuant to the ESPP governing the current offering period as of that date. See Note 12 for further details.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January 2025, the board of directors of the Company authorized a share repurchase program to repurchase up to $2.0 billion in aggregate value of the Company’s outstanding Class A common stock. Repurchases under this program can be made through open market, private transactions or other means, in compliance with applicable federal securities laws, and can include repurchases pursuant to Rule 10b5-1 trading plans. The Company has discretion in determining the conditions under which shares may be repurchased from time to time. The program expires on December 31, 2027.</w:t>
      </w:r>
    </w:p>
    <w:p>
      <w:pPr>
        <w:spacing w:after="0" w:line="20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In the three months ended September 30, 2026 and 2025, the Company repurchased 0.5 million and 3.4 million shares of its Class A common stock, respectively, for an aggregate purchase price of $127.2 million and $349.7 million, respectively. In the nine months ended September 30, 2026 and 2025, the Company repurchased 3.1 million and 6.4 million shares of its Class A common stock, respectively, for an aggregate purchase price of $446.7 million and $656.7 million, respectively. As of September 30, 2026, approximately $698.7 million of the amount authorized in January 2025 for share repurchases remained available for future repurchases.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Stock Option and Incentive Plan</w:t>
      </w:r>
    </w:p>
    <w:p>
      <w:pPr>
        <w:spacing w:after="0" w:line="227"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Company’s 2016 Stock Option and Incentive Plan (the “Prior Equity Plan”) that originally became effective on June 21, 2016, and was scheduled to expire in June 2026, was amended on June 16, 2026 (the “Amendment Date”), pursuant to the Company’s stockholders’ approval. The amended 2016 Stock Option and Incentive Plan (the “Amended Equity Plan”) superseded the Prior Equity Plan and will expire on June 16, 2036. As of its effective date, the Amended Equity Plan reduced the number of shares reserved for issuance under the plan to a maximum of 10,500,000 shares of the Company’s Class A common stock, which will be increased by the amount of any shares subject to awards granted under the Amended Equity Plan (or the Prior Equity Plan prior to the Amendment Date) that are forfeited, canceled, reacquired by the Company prior to vesting</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otherwise terminated. The Amended Equity Plan does not provide for automatic annual increases of available shares in the plan.</w:t>
      </w:r>
    </w:p>
    <w:p>
      <w:pPr>
        <w:spacing w:after="0" w:line="225"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The types of awards permitted for granting under the Amended Equity Plan remain unchanged and include stock options, restricted stock units (“RSUs”), restricted stock awards, stock appreciation rights, unrestricted stock awards, performance share awards, dividend equivalent rights and cash-based awards by the Company to be granted to its employees, directors and consultants.</w:t>
      </w:r>
    </w:p>
    <w:p>
      <w:pPr>
        <w:spacing w:after="0" w:line="176"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Certain of the Company’s outstanding equity awards were granted under equity incentive plans that are no longer active but continue to govern the outstanding equity awards granted thereunder.</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Company’s 2016 Employee Stock Purchase Plan (the “Prior ESPP”) that originally became effective on June 21, 2016, and was scheduled to expire in June 2026, was amended on June 16, 2026, pursuant to the Company's stockholders’ approval. The amended 2016 Employee Stock Purchase Plan (the “Amended ESPP”) superseded the Prior ESPP and will remain effective until terminated by the Company’s board of directors in its discretion. As of its effective date, the Amended ESPP reduced the number of shares reserved for issuance thereunder to a maximum of 4,000,000 shares of the Company’s Class A common stock. The Amended ESPP does not provide for automatic annual increases of available shares in the plan.</w:t>
      </w:r>
    </w:p>
    <w:p>
      <w:pPr>
        <w:spacing w:after="0" w:line="183"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Both the Prior ESPP and the Amended ESPP allow eligible employees to purchase shares of the Company’s Class A common stock at a discount of 15% through payroll deductions of their eligible compensation, and provide for separate six-month offering periods beginning in May and November of each year. The initial offering under the Amended ESPP will begin on November 16, 2026, following the conclusion of the current six-month offering period that commenced in May 2026 under the Prior ESPP. On each purchase date, eligible employees purchase shares of the Company’s Class A common stock at a price per share equal to 85% of the lesser of (i) the fair market value of the Company’s Class A common stock on the offering date or (ii) the fair market value of the Company’s Class A common stock on the purchase date.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w:t>
      </w:r>
    </w:p>
    <w:p>
      <w:pPr>
        <w:spacing w:after="0" w:line="22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the first quarter of 2026, the Company granted to certain of its executive employees performance-based restricted stock units (“PSUs”) covering 210,301 shares of Class A common stock that had an aggregate grant date fair value of $24.8 million. The PSUs will vest if certain operational performance conditions, as defined in the grant agreements, are met during the three-year performance achievement period, which expires on December 31, 2028. Additionally, if certain market conditions are met during the performance achievement period, the number of shares that ultimately vest may further increase or decrease. At the end of the vesting period, the number of shares actually issued may range from 0% to 200% of the target based on levels of performance.</w:t>
      </w:r>
    </w:p>
    <w:p>
      <w:pPr>
        <w:spacing w:after="0" w:line="187"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PSUs was determined using a Monte-Carlo simulation model. The expense is recognized on a straight-line basis when it is probable that the performance target will be achieved during the performance period. The probability of achievement is assessed each reporting period and cumulative adjustments are recorded in periods in which the probability assessment changes.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total stock-based compensation expense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242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210"/>
        </w:trPr>
        <w:tc>
          <w:tcPr>
            <w:tcW w:w="5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1"/>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12,663</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79,204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226,917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244,676</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98,761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102,076</w:t>
            </w:r>
          </w:p>
        </w:tc>
      </w:tr>
      <w:tr>
        <w:trPr>
          <w:trHeight w:val="21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36,151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31,540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96,928</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87,278</w:t>
            </w:r>
          </w:p>
        </w:tc>
      </w:tr>
      <w:tr>
        <w:trPr>
          <w:trHeight w:val="235"/>
        </w:trPr>
        <w:tc>
          <w:tcPr>
            <w:tcW w:w="5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153,916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158,169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432,339</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446,693</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440"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2026, total unrecognized compensation cost related to unvested RSUs, including PSUs, was $962.0 million, which will be amortized over a weighted-average period of 2.1 years. As of September 30, 2026, total unrecognized compensation cost related to the ESPP was not significant.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Share Attributable to Common Stockholders</w:t>
      </w:r>
    </w:p>
    <w:p>
      <w:pPr>
        <w:spacing w:after="0" w:line="229"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calculation of basic and diluted net income per share attributable to common stockholders during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242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242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57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5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attributable to common stockholders (in thousands)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161,157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37,248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1,318,505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79,688</w:t>
            </w:r>
          </w:p>
        </w:tc>
      </w:tr>
      <w:tr>
        <w:trPr>
          <w:trHeight w:val="21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5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Weighted-average shares outstanding, basic</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154,378,183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153,119,639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153,187,084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153,211,538</w:t>
            </w: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Dilutive effect of outstanding common stock equivalents</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7,367,844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6,090,312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6,541,851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7,000,800</w:t>
            </w:r>
          </w:p>
        </w:tc>
      </w:tr>
      <w:tr>
        <w:trPr>
          <w:trHeight w:val="212"/>
        </w:trPr>
        <w:tc>
          <w:tcPr>
            <w:tcW w:w="5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Weighted-average shares outstanding, diluted</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161,746,027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159,209,951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159,728,935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160,212,338</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attributable to common stockholders:</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3"/>
        </w:trPr>
        <w:tc>
          <w:tcPr>
            <w:tcW w:w="5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0.52</w:t>
            </w:r>
          </w:p>
        </w:tc>
      </w:tr>
      <w:tr>
        <w:trPr>
          <w:trHeight w:val="219"/>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the diluted net income per share attributable to common stockholders because their effect would have been anti-dilutive: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284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7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660" w:type="dxa"/>
            <w:vAlign w:val="bottom"/>
          </w:tcPr>
          <w:p>
            <w:pPr>
              <w:spacing w:after="0"/>
              <w:rPr>
                <w:sz w:val="18"/>
                <w:szCs w:val="18"/>
                <w:color w:val="auto"/>
              </w:rPr>
            </w:pPr>
          </w:p>
        </w:tc>
        <w:tc>
          <w:tcPr>
            <w:tcW w:w="1880" w:type="dxa"/>
            <w:vAlign w:val="bottom"/>
            <w:tcBorders>
              <w:bottom w:val="single" w:sz="8" w:color="auto"/>
            </w:tcBorders>
            <w:gridSpan w:val="3"/>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bottom w:val="single" w:sz="8" w:color="auto"/>
            </w:tcBorders>
            <w:gridSpan w:val="3"/>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10"/>
        </w:trPr>
        <w:tc>
          <w:tcPr>
            <w:tcW w:w="56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1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issued and outstanding</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304,275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94,123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145,350</w:t>
            </w:r>
          </w:p>
        </w:tc>
      </w:tr>
      <w:tr>
        <w:trPr>
          <w:trHeight w:val="216"/>
        </w:trPr>
        <w:tc>
          <w:tcPr>
            <w:tcW w:w="56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Unvested restricted stock units issued and outstanding</w:t>
            </w:r>
            <w:r>
              <w:rPr>
                <w:rFonts w:ascii="Times New Roman" w:cs="Times New Roman" w:eastAsia="Times New Roman" w:hAnsi="Times New Roman"/>
                <w:sz w:val="21"/>
                <w:szCs w:val="21"/>
                <w:color w:val="auto"/>
                <w:vertAlign w:val="superscript"/>
              </w:rPr>
              <w:t>(1)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370,314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3,910,813</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370,314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3,712,970</w:t>
            </w:r>
          </w:p>
        </w:tc>
      </w:tr>
      <w:tr>
        <w:trPr>
          <w:trHeight w:val="235"/>
        </w:trPr>
        <w:tc>
          <w:tcPr>
            <w:tcW w:w="5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464,437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4,215,088</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464,437</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3,858,320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ind w:right="120" w:firstLine="8"/>
        <w:spacing w:after="0" w:line="286" w:lineRule="auto"/>
        <w:tabs>
          <w:tab w:leader="none" w:pos="149"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 portion of these unvested restricted stock units are PSUs. The number of PSUs that ultimately vest may increase or decrease the number of shares that will be issued at the end of the performance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56"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Company computes its benefit from (provision for) income taxes for interim periods using an estimated annual effective tax rate based on anticipated annual pretax income or loss. The estimated annual effective tax rate is applied to the Company’s year-to-date income or loss, and is adjusted for discrete items recorded in the period.</w:t>
      </w:r>
    </w:p>
    <w:p>
      <w:pPr>
        <w:spacing w:after="0" w:line="20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2026, the primary difference between the Company’s effective tax rate and federal statutory rate relates to the tax benefit recognized from the U.S. valuation allowance released during the second quarter of 2026. In prior periods, the primary difference between the Company’s effective tax rate and the federal statutory rate related to the valuation allowance the Company established on its federal, state and certain foreign net operating losses and credits.</w:t>
      </w:r>
    </w:p>
    <w:p>
      <w:pPr>
        <w:spacing w:after="0" w:line="203" w:lineRule="exact"/>
        <w:rPr>
          <w:sz w:val="20"/>
          <w:szCs w:val="20"/>
          <w:color w:val="auto"/>
        </w:rPr>
      </w:pPr>
    </w:p>
    <w:p>
      <w:pPr>
        <w:jc w:val="both"/>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benefit for income taxes recorded in the nine months ended September 30, 2026 consists primarily of the release of the valuation allowance on U.S. deferred tax assets that occurred in the second quarter of 2026. The benefit for income taxes recorded in the three and nine months ended September 30, 2026 was also impacted by the excess benefit on share-based payment awards, offset by U.S. state and foreign income taxes and withholding taxes in foreign jurisdictions in which the Company conducts business.</w:t>
      </w:r>
    </w:p>
    <w:p>
      <w:pPr>
        <w:spacing w:after="0" w:line="20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benefit for income taxes recorded in the three months ended September 30, 2025 is primarily attributable to the impact of the One Big Beautiful Bill Act (“OBBBA”). The provision for income taxes recorded in the nine months ended September 30, 2025 consists primarily of federal, state and foreign income taxes and withholding taxes in foreign jurisdictions in which the Company conducts business, offset by the impact of the OBBBA.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on its deferred tax assets. In making that assessment, the Company considers both positive and negative evidence related to the likelihood of realization of the deferred tax assets to determine, based on the weight of all available evidence, whether it is more-likely-than-not that some or all of the deferred tax assets will be realized. The determination of the realizability of deferred tax assets requires significant judgment and relies on management's estimates of future taxable income.</w:t>
      </w:r>
    </w:p>
    <w:p>
      <w:pPr>
        <w:spacing w:after="0" w:line="20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Company has demonstrated sustained profitability in the U.S. over a cumulative period of three years based on the U.S. pre-tax book income adjusted for permanent book-tax differences, and expects to continue to sustain this profitability position in the U.S. for the annual period ended December 31, 2026. This evidence is objective and verifiable and represents strong positive evidence that carries significant weight.</w:t>
      </w:r>
    </w:p>
    <w:p>
      <w:pPr>
        <w:spacing w:after="0" w:line="203"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Based on the Company’s analysis of all available positive and negative evidence, including the objective and verifiable positive evidence as described above, and anticipated future earnings, in the prior quarter the Company concluded that it was more likely than not that the majority of its U.S. deferred tax assets were realizable. As a result of this change in estimate, the Company released a significant portion of the valuation allowance on its U.S. deferred tax assets in the second quarter of 2026. The majority of the released valuation allowance related to the U.S. federal and state net operating losses, tax credit carryforwards, and capitalized R&amp;D expenditures. As the change in estimate occurred during an interim period, the Company included the change in valuation allowance resulting from the current year income in the estimated annual effective tax rate and recorded the release of the valuation allowance as a discrete tax benefit in the second quarter. The release resulted in recognition of deferred tax assets and an income tax benefit of</w:t>
      </w:r>
    </w:p>
    <w:p>
      <w:pPr>
        <w:spacing w:after="0" w:line="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$937.1 million for the nine month period ended September 30, 2026. An additional $8.7 million of the valuation allowance release related to deferred tax assets that arose from a previously settled capped call was recorded in the statement of shareholders’ equity in the second quarter of 2026.</w:t>
      </w:r>
    </w:p>
    <w:p>
      <w:pPr>
        <w:spacing w:after="0" w:line="208"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Company’s judgment regarding the need for a valuation allowance may reasonably change in future reporting periods due to many factors, including changes in expectations of future profitability in the U.S. and changes in tax laws or regulations. The Company will continue to maintain a valuation allowance against deferred tax assets where the Company believes that it is more likely than not that they will not be realized. The remaining valuation allowance as of September 30, 2026 was $521.1 million, maintained against deferred tax assets related to investments, certain state research and development credits and certain foreign deferred tax assets.</w:t>
      </w:r>
    </w:p>
    <w:p>
      <w:pPr>
        <w:spacing w:after="0" w:line="210"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Company is subject to taxation in the U.S. and various other state and foreign jurisdictions. Because the Company has net operating loss carryforwards for U.S. federal and state jurisdictions, the statute of limitations is open for all tax years. In February 2026, the Internal Revenue Service notified the Company of its intent to commence an audit of the Company's federal income tax return for the year ended December 31, 2023. The audit is currently ongoing. While the final outcome of this audit is uncertain, management believes that adequate amounts have been reserved for any adjustments that may result and does not expect the audit to have a material adverse effect on the Company's consolidated financial position, results of operations, or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In May 2022, the Company and Syniverse Corporation (“Syniverse”), an equity method investee, entered into a wholesale agreement pursuant to which Syniverse would process, route and deliver application-to-person messages originating and/or terminating between the Company’s customers and mobile network operators. For the three and nine months ended September 30, 2026, the value of transactions that occurred between the Company and Syniverse were $1.3 million and $45.3 million, respectively. For the three and nine months ended September 30, 2025, the value of the transactions that occurred between the Company and Syniverse were $35.6 million and $104.6 million, respectively. These transactions were recorded as cost of revenue in the accompanying unaudited condensed consolidated statements of operations.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980" w:right="52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conditions and uncertainty and significant market volatility on our business, customers and partners;</w:t>
      </w:r>
    </w:p>
    <w:p>
      <w:pPr>
        <w:spacing w:after="0" w:line="161" w:lineRule="exact"/>
        <w:rPr>
          <w:rFonts w:ascii="Times New Roman" w:cs="Times New Roman" w:eastAsia="Times New Roman" w:hAnsi="Times New Roman"/>
          <w:sz w:val="18"/>
          <w:szCs w:val="18"/>
          <w:color w:val="auto"/>
        </w:rPr>
      </w:pPr>
    </w:p>
    <w:p>
      <w:pPr>
        <w:jc w:val="both"/>
        <w:ind w:left="980" w:right="140" w:hanging="324"/>
        <w:spacing w:after="0" w:line="26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expectations regarding our revenue, revenue growth, cost of revenue, gross profit, gross margin, operating expenses, and stock-based compensation, our ability to generate positive cash flow and our ability to achieve, improve and sustain profitability;</w:t>
      </w:r>
    </w:p>
    <w:p>
      <w:pPr>
        <w:spacing w:after="0" w:line="17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factors affecting our results of operations, the timing of future expenses, and the assumptions underlying such expectations;</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vision for our platform, including delivering new product releases and enhancements, reducing friction across our platform and streamlining cross-channel orchestration;</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deliver an interoperable platform that allows businesses to harness the power of customer data and consumer insights to improve customer engagement;</w:t>
      </w:r>
    </w:p>
    <w:p>
      <w:pPr>
        <w:spacing w:after="0" w:line="161"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and ability to leverage artificial intelligence (“AI”) and machine learning, including to develop and commercialize products and features for our customers and deploy internal applications for our own operational efficiency;</w:t>
      </w:r>
    </w:p>
    <w:p>
      <w:pPr>
        <w:spacing w:after="0" w:line="161" w:lineRule="exact"/>
        <w:rPr>
          <w:rFonts w:ascii="Times New Roman" w:cs="Times New Roman" w:eastAsia="Times New Roman" w:hAnsi="Times New Roman"/>
          <w:sz w:val="18"/>
          <w:szCs w:val="18"/>
          <w:color w:val="auto"/>
        </w:rPr>
      </w:pPr>
    </w:p>
    <w:p>
      <w:pPr>
        <w:ind w:left="980" w:right="500" w:hanging="324"/>
        <w:spacing w:after="0" w:line="26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durable, profitable growth and increase our market share, including through product innovation, leveraging artificial intelligence, forming and enhancing relationships with independent software vendors and other partners, improving our self-service capabilities, cross-selling our products and expanding internationally;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simplify and modernize our business processes and improve our overall operating efficiency;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an intensely competitive market, including our ability to set optimal prices for our products and adapt and respond effectively to rising costs, competing offerings, rapidly changing technology and technology trends, and evolving customer needs and preferences;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investments in sales and marketing, research and development and additional systems and processes to support our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reliable service levels for our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our ability to comply with, modified or new industry standards, laws and regulations applying to our business, including legislative developments that may affect our tax obligations or tax expense;</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changes in network service provider fees that we pay in connection with the delivery of communications on our platform, including A2P messaging fees, our ability to manage such fees and their impact on our financial results;</w:t>
      </w:r>
    </w:p>
    <w:p>
      <w:pPr>
        <w:spacing w:after="0" w:line="161" w:lineRule="exact"/>
        <w:rPr>
          <w:rFonts w:ascii="Times New Roman" w:cs="Times New Roman" w:eastAsia="Times New Roman" w:hAnsi="Times New Roman"/>
          <w:sz w:val="18"/>
          <w:szCs w:val="18"/>
          <w:color w:val="auto"/>
        </w:rPr>
      </w:pPr>
    </w:p>
    <w:p>
      <w:pPr>
        <w:ind w:left="980" w:right="80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costs required to prevent, detect and remediate potential cybersecurity threats, incidents and breaches of our or our customers’ systems or information;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our network service provider coverage and connectivity;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work closely with email inbox service providers to maintain deliverability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expected results from changes in our relationships with our larger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meet our liquidity needs;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share repurchases;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results of our foreign currency hedging activities;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the interest on our 3.625% senior notes due 2029 (“2029 Notes”) and on our 3.875% notes due 2031 (“2031 Notes,” and together with the 2029 Notes, the “Notes”), and repay such Notes;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and other platform users’ violation of our policies or other misuse of our platform; and</w:t>
      </w:r>
    </w:p>
    <w:p>
      <w:pPr>
        <w:spacing w:after="0" w:line="22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and realize the benefits of our past or future strategic acquisitions, divestitures or investments.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and financial condition. The outcome of the events described in these forward-looking statements is subject to risks, uncertainties and other factors described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7"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Quarterly Report on Form 10-Q to “Twilio,” the “Company,” “we,” “our,” “us,” or similar terms are to Twilio Inc. and its consolidated subsidiaries.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ind w:right="14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included in our Annual Report on Form 10-K for the year ended December 31, 2025.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We envision a world in which every digital interaction is amazing. The Twilio platform combines our communications channels and software solutions with contextual data and AI-powered orchestration, enabling businesses to deliver amazing customer engagement across the entire customer journey. Our platform provides a trusted, simple, and smart infrastructure foundation that customers can build on.</w:t>
      </w:r>
    </w:p>
    <w:p>
      <w:pPr>
        <w:spacing w:after="0" w:line="176"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offer highly customizable communications APIs that enable developers to embed numerous forms of messaging, voice, email, and video interactions into their customer-facing applications, as well as software products that target specific engagement needs, including our digital engagement centers, marketing campaigns, and user authentication and identity solutions. This combination of flexible APIs and software solutions, together with our customer data capabilities, helps businesses of all sizes and across numerous industries to benefit from smarter and more streamlined engagement at every step of the customer journey, including reduced customer acquisition costs, lasting loyalty, and increased customer value. The value proposition of our offerings has become stronger and our products have become more strategic to our customers as businesses are increasingly prioritizing building more personalized and differentiated customer engagement experiences through digital channels.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are focused on innovation and durable, profitable growth. To increase revenue and grow market share, we intend to drive product innovation, leverage predictive and generative AI, further enhance our independent software vendor (“ISV”), reseller and other partner relationships, improve our self-service capabilities, cross-sell our products, and expand internationally. We also intend to optimize our business and take measures to reduce costs, including simplifying and further automating our business processes, modernizing our infrastructure, leveraging AI, enacting certain workforce planning initiatives, optimizing utilization of our distributed workforce and implementing other initiatives targeted at improving efficiencies in our business. We are focused on driving leverage through these cost savings and efficiency initiatives, as well as efforts to drive growth in higher margin products.</w:t>
      </w:r>
    </w:p>
    <w:p>
      <w:pPr>
        <w:spacing w:after="0" w:line="187"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Our revenue is primarily derived from usage-based fees, which can lead to variability in our results of operations and at times create differences between our forecasts and actual results. Our usage-based revenue is also more immediately impacted by changes in consumer spending and macroeconomic conditions than our subscription-based revenue. We also experience seasonal trends due to increased consumer activity in the fourth quarter, which may result in lower sequential revenue in the first quarter.</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gross profit and gross margin are impacted by a number of factors, including our product mix; our ability to manage our cloud</w:t>
      </w:r>
    </w:p>
    <w:p>
      <w:pPr>
        <w:spacing w:after="0" w:line="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infrastructure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and network service provider fees, including A2P messaging fees; changes in foreign exchange rates; the timing of amortization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software development costs and acquired intangibles; the extent to which we periodically choose to adjust prices of our products; and the timing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extent of our investments in our operations. Our gross margin is also impacted by the mix of U.S. messaging termination compared to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messaging termination, as international messaging has lower gross margins.</w:t>
      </w:r>
    </w:p>
    <w:p>
      <w:pPr>
        <w:spacing w:after="0" w:line="207"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In recent quarters, major U.S. mobile carriers have increased network service provider fees for A2P messages delivered to their subscribers, and such fees may increase further over time. We pass these fees through to our customers at cost. As a result, we recognize an equal amount of revenue and cost of revenue related to these fees. The increased fees do not impact our gross profit, but they create a headwind to our gross margins.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regularly assess the need for a valuation allowance on our deferred tax assets. In the second quarter of 2026, based on our analysis of both positive and negative evidence, including the amount of pre-tax book income in the U.S. in recent periods and our expectation of future profits in the U.S., we concluded that it is more likely than not that the majority of our U.S. deferred tax assets are realizable. As a result, we released a significant portion of our valuation allowance on the net deferred tax assets in the U.S., resulting in the recognition of deferred tax assets and income tax benefit, which was $937.1 million for the nine months ended September 30, 2026. For further detail refer to Note 14 to our unaudited condensed consolidated financial statements included elsewhere in this Quarterly Report on Form 10-Q.</w:t>
      </w:r>
    </w:p>
    <w:p>
      <w:pPr>
        <w:spacing w:after="0" w:line="187"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Our results of operations have in the past been, and could in the future be, impacted by adverse macroeconomic conditions. We are continuing to monitor actual and potential effects of recent macroeconomic and political conditions and uncertainty on our business. For additional details, see Part II, Item 1A, “Risk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review a number of operational and financial metrics, including Dollar-Based Net Expansion Rate (“DBNE”), to evaluate our business, measure our performance, identify trends affecting our business, formulate business plans and make strategic decisions.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year-over-year revenue growth and DBNE for the three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4"/>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8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Borders>
              <w:bottom w:val="single" w:sz="8" w:color="auto"/>
            </w:tcBorders>
          </w:tcPr>
          <w:p>
            <w:pPr>
              <w:spacing w:after="0"/>
              <w:rPr>
                <w:sz w:val="19"/>
                <w:szCs w:val="19"/>
                <w:color w:val="auto"/>
              </w:rPr>
            </w:pPr>
          </w:p>
        </w:tc>
      </w:tr>
      <w:tr>
        <w:trPr>
          <w:trHeight w:val="209"/>
        </w:trPr>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 (in thousands)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1,559,536</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1,300,402</w:t>
            </w: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Total Revenue Growth Rate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20 %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15 %</w:t>
            </w: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Dollar-Based Net Expansion Rate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109 %</w:t>
            </w:r>
          </w:p>
        </w:tc>
      </w:tr>
    </w:tbl>
    <w:p>
      <w:pPr>
        <w:spacing w:after="0" w:line="2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Dollar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Net Expansion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-43815</wp:posOffset>
            </wp:positionV>
            <wp:extent cx="6413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4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DBNE compares the total revenue in a quarter from all individual customer accounts, as identified by a unique account identifier, for which we have recognized at least $5 of revenue in the last month of the quarter, to revenue from those same accounts in the same quarter in the prior year. A single customer organization may constitute multiple unique customer accounts if it has multiple account identifiers. To calculate DBNE, we first identify the cohort of such customer accounts in the same quarter of the prior year. DBNE is the quotient obtained by dividing the revenue generated from that cohort in a quarter, by the revenue generated from that same cohort in the corresponding quarter in the prior year. When we calculate DBNE for periods longer than one quarter, we use the average of the applicable quarterly DBNEs for each of the quarters in such period. Revenue from acquisitions does not impact the DBNE calculation until the quarter following the one-year anniversary of the applicable acquisition, unless the acquisition closing date is the first day of a quarter. Revenue from divestitures does not impact the DBNE calculation beginning in the quarter the divestiture closed, unless the divestiture closing date is the last day of a quarter.</w:t>
      </w:r>
    </w:p>
    <w:p>
      <w:pPr>
        <w:spacing w:after="0" w:line="18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measuring DBNE provides an important indication of the performance of our efforts to increase revenue from existing customers. Our ability to drive growth and generate incremental revenue depends, in part, on our ability to maintain and grow our relationships with existing customers and to increase their use of the platform. An important way in which we have historically tracked performance in this area is by measuring the DBNE for such customer accounts. Our DBNE increases when these customers increase their usage of a product, extend their usage of a product to new applications or adopt a new product. Our DBNE decreases when these customers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customer account, this new account is tied to, and revenue from this new account is included with, the original customer account for the purposes of calculating this metric.</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Statements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ind w:right="3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recognize revenue from our products on either a usage basis or a subscription basis, depending on the nature of the product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customer contract.</w:t>
      </w:r>
    </w:p>
    <w:p>
      <w:pPr>
        <w:spacing w:after="0" w:line="16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majority of our revenue is derived from usage-based fees. The usage-based fees are earned when customers access our cloud-based platform and start using our products. Examples of our primarily usage-based products are Messaging and Voice. For Messaging products, we primarily charge fees related to the number of text messages sent or received. For Voice products, we primarily charge fees for minutes of call duration. Examples of our primarily subscription-based products are Email and Segment. For subscription-based revenue derived from these products, we recognize revenue evenly over the contract term. When our usage-based products are embedded into our subscription-based products, or when multiple products are purchased together as a solution, we charge for each product separately on a usage or subscription basis, as applicable.</w:t>
      </w:r>
    </w:p>
    <w:p>
      <w:pPr>
        <w:spacing w:after="0" w:line="187" w:lineRule="exact"/>
        <w:rPr>
          <w:sz w:val="20"/>
          <w:szCs w:val="20"/>
          <w:color w:val="auto"/>
        </w:rPr>
      </w:pPr>
    </w:p>
    <w:p>
      <w:pPr>
        <w:jc w:val="both"/>
        <w:ind w:right="60" w:firstLine="486"/>
        <w:spacing w:after="0" w:line="255" w:lineRule="auto"/>
        <w:rPr>
          <w:sz w:val="20"/>
          <w:szCs w:val="20"/>
          <w:color w:val="auto"/>
        </w:rPr>
      </w:pPr>
      <w:r>
        <w:rPr>
          <w:rFonts w:ascii="Times New Roman" w:cs="Times New Roman" w:eastAsia="Times New Roman" w:hAnsi="Times New Roman"/>
          <w:sz w:val="18"/>
          <w:szCs w:val="18"/>
          <w:color w:val="auto"/>
        </w:rPr>
        <w:t>Most of our usage-based customers gain access to our platform through a self-service process, which requires an upfront prepayment via credit card that is drawn down as they use our products. Pricing is generally based on a publicly available, self-serve pricing matrix that generally allows customers to receive tiered discounts as their usage of our products increases. Many of our larger usage-based customers enter into contractual arrangements with us for a period of at least 12 months. These contracts may include negotiated terms and typically include minimum revenue commitments of varying durations.</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Usage-based customers subject to such contracts are typically invoiced monthly in arrears for products used. In the three months ended September 30, 2026 and 2025, we generated 76% and 75% of our revenue, respectively, from usage-based fees.</w:t>
      </w:r>
    </w:p>
    <w:p>
      <w:pPr>
        <w:spacing w:after="0" w:line="181" w:lineRule="exact"/>
        <w:rPr>
          <w:sz w:val="20"/>
          <w:szCs w:val="20"/>
          <w:color w:val="auto"/>
        </w:rPr>
      </w:pPr>
    </w:p>
    <w:p>
      <w:pPr>
        <w:jc w:val="both"/>
        <w:ind w:right="260" w:firstLine="486"/>
        <w:spacing w:after="0" w:line="220" w:lineRule="exact"/>
        <w:rPr>
          <w:sz w:val="20"/>
          <w:szCs w:val="20"/>
          <w:color w:val="auto"/>
        </w:rPr>
      </w:pPr>
      <w:r>
        <w:rPr>
          <w:rFonts w:ascii="Times New Roman" w:cs="Times New Roman" w:eastAsia="Times New Roman" w:hAnsi="Times New Roman"/>
          <w:sz w:val="18"/>
          <w:szCs w:val="18"/>
          <w:color w:val="auto"/>
        </w:rPr>
        <w:t>Subscription-based fees are earned in accordance with subscription pricing terms. For our subscription-based products, customers generally enter into negotiated contracts, which are typically one to three years in duration. Subscription customers are generally invoiced in advance at the start of the contract term. In the three months ended September 30, 2026 and 2025, we generated 24% and 25% of our revenue, respectively, from non-usage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fees.</w:t>
      </w:r>
    </w:p>
    <w:p>
      <w:pPr>
        <w:spacing w:after="0" w:line="200"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spacing w:after="0" w:line="180"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define U.S. revenue as revenue from customers with IP addresses or mailing addresses at the time of registration in the United States. We define international revenue as revenue from customers with IP addresses or mailing addresses at the time of registration outside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227" w:lineRule="exact"/>
        <w:rPr>
          <w:sz w:val="20"/>
          <w:szCs w:val="20"/>
          <w:color w:val="auto"/>
        </w:rPr>
      </w:pPr>
    </w:p>
    <w:p>
      <w:pPr>
        <w:ind w:right="120" w:firstLine="486"/>
        <w:spacing w:after="0" w:line="221" w:lineRule="exact"/>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consists primarily of fees paid to network service providers. Cost of revenue also includes cloud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direct costs of personnel, such as salaries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our customer support employees, and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personnel costs, such as depreciation and amortization expense related to data centers and hosting equipment, and amortization of capitalized internal-use software development costs and acquired intangible assets.</w:t>
      </w:r>
    </w:p>
    <w:p>
      <w:pPr>
        <w:spacing w:after="0" w:line="19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arrangements with network service providers require us to pay fees, including fees based on the volume of phone calls initiated or text messages sent, as well as the number of telephone numbers acquired by us to service our customers. Our arrangements with our cloud infrastructure providers require us to pay fees based on our server capacity consumption.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represents revenue less cost of revenue.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420" w:firstLine="486"/>
        <w:spacing w:after="0" w:line="239" w:lineRule="exact"/>
        <w:rPr>
          <w:sz w:val="20"/>
          <w:szCs w:val="20"/>
          <w:color w:val="auto"/>
        </w:rPr>
      </w:pPr>
      <w:r>
        <w:rPr>
          <w:rFonts w:ascii="Times New Roman" w:cs="Times New Roman" w:eastAsia="Times New Roman" w:hAnsi="Times New Roman"/>
          <w:sz w:val="18"/>
          <w:szCs w:val="18"/>
          <w:color w:val="auto"/>
        </w:rPr>
        <w:t>The most significant components of operating expenses are personnel costs, which consist of salaries, benefits, sales commissions, bonuses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We also incur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personnel costs related to our general overhead expenses.</w:t>
      </w:r>
    </w:p>
    <w:p>
      <w:pPr>
        <w:spacing w:after="0" w:line="168" w:lineRule="exact"/>
        <w:rPr>
          <w:sz w:val="20"/>
          <w:szCs w:val="20"/>
          <w:color w:val="auto"/>
        </w:rPr>
      </w:pPr>
    </w:p>
    <w:p>
      <w:pPr>
        <w:ind w:right="2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personnel costs, outsourced engineering services,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fees for staging and development of our products, depreciation, amortization of capitalized internal-use software development costs and an allocation of our general overhead expenses. We capitalize the portion of our software development costs that meets the criteria for capitalization.</w:t>
      </w:r>
    </w:p>
    <w:p>
      <w:pPr>
        <w:spacing w:after="0" w:line="175"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are focusing our research and development investment in the highest impact product areas for our future. We are investing strategically in alignment with our focus on combining communications, memory, and AI orchestration with identity, governance and observability to enable businesses to deliver continuous, personal and secure conversations.</w:t>
      </w:r>
    </w:p>
    <w:p>
      <w:pPr>
        <w:spacing w:after="0" w:line="17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personnel costs, including commissions and bonuses to our sales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expenses also include expenditures related to advertising, marketing, brand awareness activities, costs related to our SIGNAL customer and developer conferences, credit card processing fees, professional services fees, depreciation, amortization of acquired intangible assets and an allocation of our general overhead expenses.</w:t>
      </w:r>
    </w:p>
    <w:p>
      <w:pPr>
        <w:spacing w:after="0" w:line="182" w:lineRule="exact"/>
        <w:rPr>
          <w:sz w:val="20"/>
          <w:szCs w:val="20"/>
          <w:color w:val="auto"/>
        </w:rPr>
      </w:pPr>
    </w:p>
    <w:p>
      <w:pPr>
        <w:ind w:right="820" w:firstLine="486"/>
        <w:spacing w:after="0" w:line="282" w:lineRule="auto"/>
        <w:rPr>
          <w:sz w:val="20"/>
          <w:szCs w:val="20"/>
          <w:color w:val="auto"/>
        </w:rPr>
      </w:pPr>
      <w:r>
        <w:rPr>
          <w:rFonts w:ascii="Times New Roman" w:cs="Times New Roman" w:eastAsia="Times New Roman" w:hAnsi="Times New Roman"/>
          <w:sz w:val="18"/>
          <w:szCs w:val="18"/>
          <w:color w:val="auto"/>
        </w:rPr>
        <w:t>We focus our sales and marketing efforts on generating awareness of our company, platform and products, creating sales leads, expanding relationships with existing customers and establishing and promoting our brand, both domestically and internationally.</w:t>
      </w:r>
    </w:p>
    <w:p>
      <w:pPr>
        <w:spacing w:after="0" w:line="160"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personnel costs for our accounting, finance, legal,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and administrative support personnel. General and administrative expenses also include costs related to business acquisitions and dispositions, legal and other professional services fees, certain taxes, depreciation and amortization, charitable contributions and an allocation of our general overhead expenses.</w:t>
      </w:r>
    </w:p>
    <w:p>
      <w:pPr>
        <w:spacing w:after="0" w:line="180" w:lineRule="exact"/>
        <w:rPr>
          <w:sz w:val="20"/>
          <w:szCs w:val="20"/>
          <w:color w:val="auto"/>
        </w:rPr>
      </w:pPr>
    </w:p>
    <w:p>
      <w:pPr>
        <w:ind w:right="4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Loss on Prepaid Assets. </w:t>
      </w:r>
      <w:r>
        <w:rPr>
          <w:rFonts w:ascii="Times New Roman" w:cs="Times New Roman" w:eastAsia="Times New Roman" w:hAnsi="Times New Roman"/>
          <w:sz w:val="18"/>
          <w:szCs w:val="18"/>
          <w:color w:val="auto"/>
        </w:rPr>
        <w:t>Impairment loss on prepaid assets consists of certain losses related to network services we prepaid in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that we will be unable to consume due to operational and financial challenges experienced by two network service providers.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Our other expenses, net, consist primarily of our share of losses from our equity method investment, impairment charges and gains and losses related to our strategic investments, realized gains and losses from marketable securities, interest income and expense and debt-related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229"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Our benefit from (provision for) income taxes consists primarily of the income tax benefit from the release of a significant portion of our U.S. valuation allowance; and also federal, state and foreign income taxes and withholding taxes in foreign jurisdictions in which we conduct business. From time to time, we may recognize tax benefits arising from various matters, including newly enacted legislations. Benefits from income taxes may fully or partially offset the provision for income taxes within a reporting period.</w:t>
      </w:r>
    </w:p>
    <w:p>
      <w:pPr>
        <w:spacing w:after="0" w:line="180"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In 2026, the primary difference between our effective tax rate and federal statutory rate relates to the income tax benefit recognized from the U.S. valuation allowance released during the second quarter of 2026. In prior periods, the primary difference between our effective tax rate and the federal statutory rate related to the valuation allowance we established on the federal, state and certain foreign deferred tax assets.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The period-to-period comparison of our historical results are not indicative of the results that may be expected in the future.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58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5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7"/>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Data:</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100" w:type="dxa"/>
            <w:vAlign w:val="bottom"/>
            <w:gridSpan w:val="7"/>
          </w:tcPr>
          <w:p>
            <w:pPr>
              <w:ind w:left="10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1,559,536</w:t>
            </w:r>
          </w:p>
        </w:tc>
        <w:tc>
          <w:tcPr>
            <w:tcW w:w="60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1,300,402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4,465,532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3,701,290</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1"/>
                <w:szCs w:val="21"/>
                <w:color w:val="auto"/>
                <w:vertAlign w:val="superscript"/>
              </w:rPr>
              <w:t>(1) (2)</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799,006</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668,325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2,294,892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1,884,906</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760,530</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632,077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2,170,640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1,816,384</w:t>
            </w:r>
          </w:p>
        </w:tc>
        <w:tc>
          <w:tcPr>
            <w:tcW w:w="0" w:type="dxa"/>
            <w:vAlign w:val="bottom"/>
          </w:tcPr>
          <w:p>
            <w:pPr>
              <w:spacing w:after="0"/>
              <w:rPr>
                <w:sz w:val="1"/>
                <w:szCs w:val="1"/>
                <w:color w:val="auto"/>
              </w:rPr>
            </w:pPr>
          </w:p>
        </w:tc>
      </w:tr>
      <w:tr>
        <w:trPr>
          <w:trHeight w:val="19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815,850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760,101</w:t>
            </w: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Sales and marketing </w:t>
            </w:r>
            <w:r>
              <w:rPr>
                <w:rFonts w:ascii="Times New Roman" w:cs="Times New Roman" w:eastAsia="Times New Roman" w:hAnsi="Times New Roman"/>
                <w:sz w:val="21"/>
                <w:szCs w:val="21"/>
                <w:color w:val="auto"/>
                <w:vertAlign w:val="superscript"/>
              </w:rPr>
              <w:t>(1) (2)</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216,646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645,314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653,464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301,800</w:t>
            </w:r>
          </w:p>
        </w:tc>
        <w:tc>
          <w:tcPr>
            <w:tcW w:w="0" w:type="dxa"/>
            <w:vAlign w:val="bottom"/>
          </w:tcPr>
          <w:p>
            <w:pPr>
              <w:spacing w:after="0"/>
              <w:rPr>
                <w:sz w:val="1"/>
                <w:szCs w:val="1"/>
                <w:color w:val="auto"/>
              </w:rPr>
            </w:pPr>
          </w:p>
        </w:tc>
      </w:tr>
      <w:tr>
        <w:trPr>
          <w:trHeight w:val="213"/>
        </w:trPr>
        <w:tc>
          <w:tcPr>
            <w:tcW w:w="5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loss on prepaid assets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36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611,900</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591,129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1,829,798</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1,715,365</w:t>
            </w:r>
          </w:p>
        </w:tc>
        <w:tc>
          <w:tcPr>
            <w:tcW w:w="0" w:type="dxa"/>
            <w:vAlign w:val="bottom"/>
          </w:tcPr>
          <w:p>
            <w:pPr>
              <w:spacing w:after="0"/>
              <w:rPr>
                <w:sz w:val="1"/>
                <w:szCs w:val="1"/>
                <w:color w:val="auto"/>
              </w:rPr>
            </w:pPr>
          </w:p>
        </w:tc>
      </w:tr>
      <w:tr>
        <w:trPr>
          <w:trHeight w:val="207"/>
        </w:trPr>
        <w:tc>
          <w:tcPr>
            <w:tcW w:w="5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148,630</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40,948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340,842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101,019</w:t>
            </w:r>
          </w:p>
        </w:tc>
        <w:tc>
          <w:tcPr>
            <w:tcW w:w="0" w:type="dxa"/>
            <w:vAlign w:val="bottom"/>
          </w:tcPr>
          <w:p>
            <w:pPr>
              <w:spacing w:after="0"/>
              <w:rPr>
                <w:sz w:val="1"/>
                <w:szCs w:val="1"/>
                <w:color w:val="auto"/>
              </w:rPr>
            </w:pPr>
          </w:p>
        </w:tc>
      </w:tr>
      <w:tr>
        <w:trPr>
          <w:trHeight w:val="19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 net: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(72,199)</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64,040</w:t>
            </w:r>
          </w:p>
        </w:tc>
        <w:tc>
          <w:tcPr>
            <w:tcW w:w="0" w:type="dxa"/>
            <w:vAlign w:val="bottom"/>
          </w:tcPr>
          <w:p>
            <w:pPr>
              <w:spacing w:after="0"/>
              <w:rPr>
                <w:sz w:val="1"/>
                <w:szCs w:val="1"/>
                <w:color w:val="auto"/>
              </w:rPr>
            </w:pPr>
          </w:p>
        </w:tc>
      </w:tr>
      <w:tr>
        <w:trPr>
          <w:trHeight w:val="207"/>
        </w:trPr>
        <w:tc>
          <w:tcPr>
            <w:tcW w:w="5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other expenses, net</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(9,501)</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(8,159)</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before benefit from (provision for) income taxes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139,129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316,887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92,860</w:t>
            </w:r>
          </w:p>
        </w:tc>
        <w:tc>
          <w:tcPr>
            <w:tcW w:w="0" w:type="dxa"/>
            <w:vAlign w:val="bottom"/>
          </w:tcPr>
          <w:p>
            <w:pPr>
              <w:spacing w:after="0"/>
              <w:rPr>
                <w:sz w:val="1"/>
                <w:szCs w:val="1"/>
                <w:color w:val="auto"/>
              </w:rPr>
            </w:pPr>
          </w:p>
        </w:tc>
      </w:tr>
      <w:tr>
        <w:trPr>
          <w:trHeight w:val="213"/>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22,028</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1,001,618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(13,172)</w:t>
            </w:r>
          </w:p>
        </w:tc>
        <w:tc>
          <w:tcPr>
            <w:tcW w:w="0" w:type="dxa"/>
            <w:vAlign w:val="bottom"/>
          </w:tcPr>
          <w:p>
            <w:pPr>
              <w:spacing w:after="0"/>
              <w:rPr>
                <w:sz w:val="1"/>
                <w:szCs w:val="1"/>
                <w:color w:val="auto"/>
              </w:rPr>
            </w:pPr>
          </w:p>
        </w:tc>
      </w:tr>
      <w:tr>
        <w:trPr>
          <w:trHeight w:val="237"/>
        </w:trPr>
        <w:tc>
          <w:tcPr>
            <w:tcW w:w="5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161,157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1,318,505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79,688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3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60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0" w:type="dxa"/>
            <w:vAlign w:val="bottom"/>
          </w:tcPr>
          <w:p>
            <w:pPr>
              <w:spacing w:after="0"/>
              <w:rPr>
                <w:sz w:val="1"/>
                <w:szCs w:val="1"/>
                <w:color w:val="auto"/>
              </w:rPr>
            </w:pPr>
          </w:p>
        </w:tc>
      </w:tr>
      <w:tr>
        <w:trPr>
          <w:trHeight w:val="213"/>
        </w:trPr>
        <w:tc>
          <w:tcPr>
            <w:tcW w:w="5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6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used to compute net income per share: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154,378,183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153,119,639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153,187,084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153,211,538</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161,746,027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159,209,951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159,728,935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160,212,338</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Includes stock-based compensation expense as follows:</w:t>
      </w:r>
    </w:p>
    <w:p>
      <w:pPr>
        <w:spacing w:after="0" w:line="201" w:lineRule="exact"/>
        <w:rPr>
          <w:sz w:val="20"/>
          <w:szCs w:val="20"/>
          <w:color w:val="auto"/>
        </w:rPr>
      </w:pPr>
    </w:p>
    <w:tbl>
      <w:tblPr>
        <w:tblLayout w:type="fixed"/>
        <w:tblInd w:w="74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8"/>
                <w:szCs w:val="18"/>
                <w:color w:val="auto"/>
              </w:rPr>
            </w:pPr>
          </w:p>
        </w:tc>
        <w:tc>
          <w:tcPr>
            <w:tcW w:w="260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1"/>
        </w:trPr>
        <w:tc>
          <w:tcPr>
            <w:tcW w:w="3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1"/>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4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color w:val="auto"/>
              </w:rPr>
              <w:t>(In thousands)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12,663</w:t>
            </w: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79,204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86,020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226,917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244,676</w:t>
            </w: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98,761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102,076</w:t>
            </w:r>
          </w:p>
        </w:tc>
      </w:tr>
      <w:tr>
        <w:trPr>
          <w:trHeight w:val="213"/>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36,151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31,540</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96,928</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87,278</w:t>
            </w:r>
          </w:p>
        </w:tc>
      </w:tr>
      <w:tr>
        <w:trPr>
          <w:trHeight w:val="237"/>
        </w:trPr>
        <w:tc>
          <w:tcPr>
            <w:tcW w:w="3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153,916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158,169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432,339</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446,693</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Includes amortization of acquired intangibles as follows:</w:t>
      </w:r>
    </w:p>
    <w:p>
      <w:pPr>
        <w:spacing w:after="0" w:line="188" w:lineRule="exact"/>
        <w:rPr>
          <w:sz w:val="20"/>
          <w:szCs w:val="20"/>
          <w:color w:val="auto"/>
        </w:rPr>
      </w:pPr>
    </w:p>
    <w:tbl>
      <w:tblPr>
        <w:tblLayout w:type="fixed"/>
        <w:tblInd w:w="72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252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5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1"/>
        </w:trPr>
        <w:tc>
          <w:tcPr>
            <w:tcW w:w="35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1"/>
        </w:trPr>
        <w:tc>
          <w:tcPr>
            <w:tcW w:w="3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(In thousands)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3,484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15,446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46,722</w:t>
            </w:r>
          </w:p>
        </w:tc>
      </w:tr>
      <w:tr>
        <w:trPr>
          <w:trHeight w:val="213"/>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5,229</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11,412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17,738</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34,280</w:t>
            </w:r>
          </w:p>
        </w:tc>
      </w:tr>
      <w:tr>
        <w:trPr>
          <w:trHeight w:val="237"/>
        </w:trPr>
        <w:tc>
          <w:tcPr>
            <w:tcW w:w="3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8,713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26,858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36,615</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81,002</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each of the periods presented as a percentage of our total revenue: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520" w:type="dxa"/>
            <w:vAlign w:val="bottom"/>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1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Borders>
              <w:bottom w:val="single" w:sz="8" w:color="auto"/>
            </w:tcBorders>
            <w:gridSpan w:val="3"/>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09"/>
        </w:trPr>
        <w:tc>
          <w:tcPr>
            <w:tcW w:w="5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46"/>
        </w:trPr>
        <w:tc>
          <w:tcPr>
            <w:tcW w:w="516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Condensed Consolidated Statements of Operations, as a</w:t>
            </w:r>
          </w:p>
        </w:tc>
        <w:tc>
          <w:tcPr>
            <w:tcW w:w="9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r>
      <w:tr>
        <w:trPr>
          <w:trHeight w:val="214"/>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percentage of revenue: **</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w:t>
            </w:r>
          </w:p>
        </w:tc>
      </w:tr>
      <w:tr>
        <w:trPr>
          <w:trHeight w:val="212"/>
        </w:trPr>
        <w:tc>
          <w:tcPr>
            <w:tcW w:w="51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w:t>
            </w:r>
          </w:p>
        </w:tc>
      </w:tr>
      <w:tr>
        <w:trPr>
          <w:trHeight w:val="19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Impairment loss on prepaid assets</w:t>
            </w:r>
          </w:p>
        </w:tc>
        <w:tc>
          <w:tcPr>
            <w:tcW w:w="1580" w:type="dxa"/>
            <w:vAlign w:val="bottom"/>
            <w:gridSpan w:val="3"/>
          </w:tcPr>
          <w:p>
            <w:pPr>
              <w:jc w:val="right"/>
              <w:ind w:right="12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6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r>
      <w:tr>
        <w:trPr>
          <w:trHeight w:val="207"/>
        </w:trPr>
        <w:tc>
          <w:tcPr>
            <w:tcW w:w="5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from operations</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r>
      <w:tr>
        <w:trPr>
          <w:trHeight w:val="19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 net</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51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other expenses, net</w:t>
            </w:r>
          </w:p>
        </w:tc>
        <w:tc>
          <w:tcPr>
            <w:tcW w:w="9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before benefit from (provision for) income taxes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 Less than 0.5% of revenue.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 Columns may not sum due to rounding.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3"/>
          </w:tcPr>
          <w:p>
            <w:pPr>
              <w:jc w:val="center"/>
              <w:ind w:right="20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center"/>
              <w:ind w:right="20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6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Borders>
              <w:bottom w:val="single" w:sz="8" w:color="auto"/>
            </w:tcBorders>
          </w:tcPr>
          <w:p>
            <w:pPr>
              <w:spacing w:after="0"/>
              <w:rPr>
                <w:sz w:val="18"/>
                <w:szCs w:val="18"/>
                <w:color w:val="auto"/>
              </w:rPr>
            </w:pPr>
          </w:p>
        </w:tc>
      </w:tr>
      <w:tr>
        <w:trPr>
          <w:trHeight w:val="191"/>
        </w:trPr>
        <w:tc>
          <w:tcPr>
            <w:tcW w:w="6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1,559,536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1,300,402</w:t>
            </w:r>
          </w:p>
        </w:tc>
        <w:tc>
          <w:tcPr>
            <w:tcW w:w="4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259,134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three months ended September 30, 2026, revenue increased by $259.1 million, or 20%, compared to the same period last year. This increase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primarily attributable to the increased usage of our products by our existing customers, as reflected in our DBNE of 114%, as well as an increase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$81.0 million in revenue derived from customer accounts not captured in our DBNE calculation, which are primarily new customer accounts. The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$53.1 million in revenue related to the incremental A2P fees introduced by major U.S. carriers since the third quarter of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3"/>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6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Borders>
              <w:bottom w:val="single" w:sz="8" w:color="auto"/>
            </w:tcBorders>
          </w:tcPr>
          <w:p>
            <w:pPr>
              <w:spacing w:after="0"/>
              <w:rPr>
                <w:sz w:val="18"/>
                <w:szCs w:val="18"/>
                <w:color w:val="auto"/>
              </w:rPr>
            </w:pPr>
          </w:p>
        </w:tc>
      </w:tr>
      <w:tr>
        <w:trPr>
          <w:trHeight w:val="191"/>
        </w:trPr>
        <w:tc>
          <w:tcPr>
            <w:tcW w:w="6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(Dollars in thousands)</w:t>
            </w: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799,006</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center"/>
              <w:ind w:left="361"/>
              <w:spacing w:after="0"/>
              <w:rPr>
                <w:sz w:val="20"/>
                <w:szCs w:val="20"/>
                <w:color w:val="auto"/>
              </w:rPr>
            </w:pPr>
            <w:r>
              <w:rPr>
                <w:rFonts w:ascii="Times New Roman" w:cs="Times New Roman" w:eastAsia="Times New Roman" w:hAnsi="Times New Roman"/>
                <w:sz w:val="16"/>
                <w:szCs w:val="16"/>
                <w:color w:val="auto"/>
                <w:w w:val="99"/>
              </w:rPr>
              <w:t>668,325</w:t>
            </w:r>
          </w:p>
        </w:tc>
        <w:tc>
          <w:tcPr>
            <w:tcW w:w="4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130,681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760,530</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center"/>
              <w:ind w:left="361"/>
              <w:spacing w:after="0"/>
              <w:rPr>
                <w:sz w:val="20"/>
                <w:szCs w:val="20"/>
                <w:color w:val="auto"/>
              </w:rPr>
            </w:pPr>
            <w:r>
              <w:rPr>
                <w:rFonts w:ascii="Times New Roman" w:cs="Times New Roman" w:eastAsia="Times New Roman" w:hAnsi="Times New Roman"/>
                <w:sz w:val="16"/>
                <w:szCs w:val="16"/>
                <w:color w:val="auto"/>
                <w:w w:val="99"/>
              </w:rPr>
              <w:t>632,077</w:t>
            </w:r>
          </w:p>
        </w:tc>
        <w:tc>
          <w:tcPr>
            <w:tcW w:w="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128,453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bl>
    <w:p>
      <w:pPr>
        <w:spacing w:after="0" w:line="28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30, 2026, cost of revenue increased by $130.7 million, or 20%, compared to the same period last year. The increase was primarily attributable to a $129.3 million increase in network service provider costs, net of the impact of hedging instruments, which includes a $53.1 million increase due to the incremental A2P fees introduced by major U.S. carriers since the third quarter of 2025.</w:t>
      </w:r>
    </w:p>
    <w:p>
      <w:pPr>
        <w:spacing w:after="0" w:line="176"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In the three months ended September 30, 2026, gross profit increased by $128.5 million, or 20%, compared to the same period last year. This increase was attributable to the factors impacting our revenue and cost of revenue,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64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Borders>
              <w:bottom w:val="single" w:sz="8" w:color="auto"/>
            </w:tcBorders>
          </w:tcPr>
          <w:p>
            <w:pPr>
              <w:spacing w:after="0"/>
              <w:rPr>
                <w:sz w:val="18"/>
                <w:szCs w:val="18"/>
                <w:color w:val="auto"/>
              </w:rPr>
            </w:pPr>
          </w:p>
        </w:tc>
      </w:tr>
      <w:tr>
        <w:trPr>
          <w:trHeight w:val="191"/>
        </w:trPr>
        <w:tc>
          <w:tcPr>
            <w:tcW w:w="6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(Dollars in thousands)</w:t>
            </w: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ind w:left="361"/>
              <w:spacing w:after="0"/>
              <w:rPr>
                <w:sz w:val="20"/>
                <w:szCs w:val="20"/>
                <w:color w:val="auto"/>
              </w:rPr>
            </w:pPr>
            <w:r>
              <w:rPr>
                <w:rFonts w:ascii="Times New Roman" w:cs="Times New Roman" w:eastAsia="Times New Roman" w:hAnsi="Times New Roman"/>
                <w:sz w:val="16"/>
                <w:szCs w:val="16"/>
                <w:color w:val="auto"/>
                <w:w w:val="99"/>
              </w:rPr>
              <w:t>262,311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18,056</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left="361"/>
              <w:spacing w:after="0"/>
              <w:rPr>
                <w:sz w:val="20"/>
                <w:szCs w:val="20"/>
                <w:color w:val="auto"/>
              </w:rPr>
            </w:pPr>
            <w:r>
              <w:rPr>
                <w:rFonts w:ascii="Times New Roman" w:cs="Times New Roman" w:eastAsia="Times New Roman" w:hAnsi="Times New Roman"/>
                <w:sz w:val="16"/>
                <w:szCs w:val="16"/>
                <w:color w:val="auto"/>
                <w:w w:val="99"/>
              </w:rPr>
              <w:t>220,627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61"/>
              <w:spacing w:after="0"/>
              <w:rPr>
                <w:sz w:val="20"/>
                <w:szCs w:val="20"/>
                <w:color w:val="auto"/>
              </w:rPr>
            </w:pPr>
            <w:r>
              <w:rPr>
                <w:rFonts w:ascii="Times New Roman" w:cs="Times New Roman" w:eastAsia="Times New Roman" w:hAnsi="Times New Roman"/>
                <w:sz w:val="16"/>
                <w:szCs w:val="16"/>
                <w:color w:val="auto"/>
                <w:w w:val="99"/>
              </w:rPr>
              <w:t>108,191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6,696</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09"/>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611,900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6"/>
                <w:szCs w:val="16"/>
                <w:color w:val="auto"/>
                <w:w w:val="99"/>
              </w:rPr>
              <w:t>591,129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20,771</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
        </w:trPr>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0" w:firstLine="486"/>
        <w:spacing w:after="0" w:line="222" w:lineRule="exact"/>
        <w:rPr>
          <w:sz w:val="20"/>
          <w:szCs w:val="20"/>
          <w:color w:val="auto"/>
        </w:rPr>
      </w:pPr>
      <w:r>
        <w:rPr>
          <w:rFonts w:ascii="Times New Roman" w:cs="Times New Roman" w:eastAsia="Times New Roman" w:hAnsi="Times New Roman"/>
          <w:sz w:val="18"/>
          <w:szCs w:val="18"/>
          <w:color w:val="auto"/>
        </w:rPr>
        <w:t>In the three months ended September 30, 2026, research and development expenses increased by $18.1 million, or 7%, compared to the same period last year. The increase was primarily attributable to an $8.0 million increase in impairment of capitalized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development costs, a $5.9 million increase in hosting fees to support development and staging of our products and a $2.9 million increase in software subscription fees.</w:t>
      </w:r>
    </w:p>
    <w:p>
      <w:pPr>
        <w:spacing w:after="0" w:line="19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In the three months ended September 30, 2026, sales and marketing expenses decreased by $4.0 million, or 2%, compared to the same period last year. Fluctuations in the various sales and marketing expense categories were not significant either individually or in the aggregate.</w:t>
      </w:r>
    </w:p>
    <w:p>
      <w:pPr>
        <w:spacing w:after="0" w:line="16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In the three months ended September 30, 2026, general and administrative expenses increased by $6.7 million, or 6%, compared to the same period last year. Fluctuations in the various general and administrative expense categories were not significant either individually or in the aggregate.</w:t>
      </w:r>
    </w:p>
    <w:p>
      <w:pPr>
        <w:sectPr>
          <w:pgSz w:w="11900" w:h="16838" w:orient="portrait"/>
          <w:cols w:equalWidth="0" w:num="1">
            <w:col w:w="11240"/>
          </w:cols>
          <w:pgMar w:left="320" w:top="121"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income, net</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Total other expenses,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spacing w:after="0"/>
              <w:rPr>
                <w:sz w:val="18"/>
                <w:szCs w:val="18"/>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4"/>
        </w:trPr>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8"/>
                <w:szCs w:val="18"/>
                <w:color w:val="auto"/>
              </w:rPr>
            </w:pPr>
          </w:p>
        </w:tc>
      </w:tr>
      <w:tr>
        <w:trPr>
          <w:trHeight w:val="184"/>
        </w:trPr>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color w:val="auto"/>
              </w:rPr>
              <w:t>(Dollars in thousands)</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24"/>
        </w:trPr>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(25,489)</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(27,506)</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w w:val="99"/>
              </w:rPr>
              <w:t>2,017</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19,242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(3,254)</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(1,237)</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-453390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-179070</wp:posOffset>
            </wp:positionV>
            <wp:extent cx="713232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4840"/>
          </w:cols>
          <w:pgMar w:left="320" w:top="121" w:right="339" w:bottom="1440" w:gutter="0" w:footer="0" w:header="0"/>
          <w:type w:val="continuous"/>
        </w:sectPr>
      </w:pP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 the three months ended September 30, 2026, other expenses, net, increased by $1.2 million, or 15%, compared to the same period last year.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in the various other expenses, net, categories were not significant either individually or in the aggregate.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Income Taxes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3"/>
          </w:tcPr>
          <w:p>
            <w:pPr>
              <w:jc w:val="center"/>
              <w:ind w:right="22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center"/>
              <w:ind w:right="22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4"/>
        </w:trPr>
        <w:tc>
          <w:tcPr>
            <w:tcW w:w="6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8"/>
                <w:szCs w:val="18"/>
                <w:color w:val="auto"/>
              </w:rPr>
            </w:pPr>
          </w:p>
        </w:tc>
      </w:tr>
      <w:tr>
        <w:trPr>
          <w:trHeight w:val="191"/>
        </w:trPr>
        <w:tc>
          <w:tcPr>
            <w:tcW w:w="6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(Dollars in thousands)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22,028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4,564</w:t>
            </w:r>
          </w:p>
        </w:tc>
        <w:tc>
          <w:tcPr>
            <w:tcW w:w="4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17,464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383 %</w:t>
            </w:r>
          </w:p>
        </w:tc>
      </w:tr>
    </w:tbl>
    <w:p>
      <w:pPr>
        <w:spacing w:after="0" w:line="292" w:lineRule="exact"/>
        <w:rPr>
          <w:sz w:val="20"/>
          <w:szCs w:val="20"/>
          <w:color w:val="auto"/>
        </w:rPr>
      </w:pPr>
    </w:p>
    <w:p>
      <w:pPr>
        <w:ind w:right="60" w:firstLine="486"/>
        <w:spacing w:after="0" w:line="289" w:lineRule="auto"/>
        <w:rPr>
          <w:sz w:val="20"/>
          <w:szCs w:val="20"/>
          <w:color w:val="auto"/>
        </w:rPr>
      </w:pPr>
      <w:r>
        <w:rPr>
          <w:rFonts w:ascii="Times New Roman" w:cs="Times New Roman" w:eastAsia="Times New Roman" w:hAnsi="Times New Roman"/>
          <w:sz w:val="17"/>
          <w:szCs w:val="17"/>
          <w:color w:val="auto"/>
        </w:rPr>
        <w:t>In the three months ended September 30, 2026, benefit from income taxes increased by $17.5 million, or 383%, compared to the same period last year. The increase was primarily attributable to the excess benefits on share-based payment awards, which had a greater impact on the benefit from income taxes in the current period as a result of the release of our valuation allowance on U.S. federal and state deferred tax assets in the second quarter of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3"/>
          </w:tcPr>
          <w:p>
            <w:pPr>
              <w:jc w:val="center"/>
              <w:ind w:right="22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center"/>
              <w:ind w:right="20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6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Borders>
              <w:bottom w:val="single" w:sz="8" w:color="auto"/>
            </w:tcBorders>
          </w:tcPr>
          <w:p>
            <w:pPr>
              <w:spacing w:after="0"/>
              <w:rPr>
                <w:sz w:val="18"/>
                <w:szCs w:val="18"/>
                <w:color w:val="auto"/>
              </w:rPr>
            </w:pPr>
          </w:p>
        </w:tc>
      </w:tr>
      <w:tr>
        <w:trPr>
          <w:trHeight w:val="191"/>
        </w:trPr>
        <w:tc>
          <w:tcPr>
            <w:tcW w:w="6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4,465,532</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3,701,290</w:t>
            </w:r>
          </w:p>
        </w:tc>
        <w:tc>
          <w:tcPr>
            <w:tcW w:w="4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764,242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bl>
    <w:p>
      <w:pPr>
        <w:spacing w:after="0" w:line="279" w:lineRule="exact"/>
        <w:rPr>
          <w:sz w:val="20"/>
          <w:szCs w:val="20"/>
          <w:color w:val="auto"/>
        </w:rPr>
      </w:pPr>
    </w:p>
    <w:p>
      <w:pPr>
        <w:ind w:right="260" w:firstLine="486"/>
        <w:spacing w:after="0" w:line="281" w:lineRule="auto"/>
        <w:rPr>
          <w:sz w:val="20"/>
          <w:szCs w:val="20"/>
          <w:color w:val="auto"/>
        </w:rPr>
      </w:pPr>
      <w:r>
        <w:rPr>
          <w:rFonts w:ascii="Times New Roman" w:cs="Times New Roman" w:eastAsia="Times New Roman" w:hAnsi="Times New Roman"/>
          <w:sz w:val="17"/>
          <w:szCs w:val="17"/>
          <w:color w:val="auto"/>
        </w:rPr>
        <w:t>In the nine months ended September 30, 2026, revenue increased by $764.2 million, or 21%, compared to the same period last year. This increase was primarily attributable to the increased usage of our products by our existing customers, as reflected in our DBNE of 115%, as well as an increase of $227.6 million in revenue derived from customer accounts not captured in our DBNE calculation, which are primarily new customer accounts. This includes an increase of $167.8 million in revenue related to the incremental A2P fees introduced by major U.S. carriers since the beginning of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3"/>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6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Borders>
              <w:bottom w:val="single" w:sz="8" w:color="auto"/>
            </w:tcBorders>
          </w:tcPr>
          <w:p>
            <w:pPr>
              <w:spacing w:after="0"/>
              <w:rPr>
                <w:sz w:val="18"/>
                <w:szCs w:val="18"/>
                <w:color w:val="auto"/>
              </w:rPr>
            </w:pPr>
          </w:p>
        </w:tc>
      </w:tr>
      <w:tr>
        <w:trPr>
          <w:trHeight w:val="191"/>
        </w:trPr>
        <w:tc>
          <w:tcPr>
            <w:tcW w:w="6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(Dollars in thousands)</w:t>
            </w: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2,294,892</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1,884,906</w:t>
            </w:r>
          </w:p>
        </w:tc>
        <w:tc>
          <w:tcPr>
            <w:tcW w:w="4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409,986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2,170,640</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1,816,384</w:t>
            </w:r>
          </w:p>
        </w:tc>
        <w:tc>
          <w:tcPr>
            <w:tcW w:w="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354,256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bl>
    <w:p>
      <w:pPr>
        <w:spacing w:after="0" w:line="298"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2026, cost of revenue increased by $410.0 million, or 22%, compared to the same period last year. This increase was primarily attributable to a $386.3 million increase in network service providers’ costs, net of the impact of hedging instruments, which includes an increase of $167.8 million due to the incremental A2P fees introduced by major U.S. carriers since the beginning of 2025.</w:t>
      </w:r>
    </w:p>
    <w:p>
      <w:pPr>
        <w:spacing w:after="0" w:line="17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2026, gross profit increased by $354.3 million, or 20%, compared to the same period last year. The increase was attributable to the factors impacting our revenue and cost of revenue, as described above.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64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Borders>
              <w:bottom w:val="single" w:sz="8" w:color="auto"/>
            </w:tcBorders>
          </w:tcPr>
          <w:p>
            <w:pPr>
              <w:spacing w:after="0"/>
              <w:rPr>
                <w:sz w:val="18"/>
                <w:szCs w:val="18"/>
                <w:color w:val="auto"/>
              </w:rPr>
            </w:pPr>
          </w:p>
        </w:tc>
      </w:tr>
      <w:tr>
        <w:trPr>
          <w:trHeight w:val="191"/>
        </w:trPr>
        <w:tc>
          <w:tcPr>
            <w:tcW w:w="6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color w:val="auto"/>
              </w:rPr>
              <w:t>(Dollars in thousands)</w:t>
            </w: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55,749</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645,314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653,464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34,063</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on prepaid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32,771</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37"/>
        </w:trPr>
        <w:tc>
          <w:tcPr>
            <w:tcW w:w="6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1,829,798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1,715,365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114,433</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Percentage not meaningful</w:t>
      </w:r>
    </w:p>
    <w:p>
      <w:pPr>
        <w:spacing w:after="0" w:line="19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2026, research and development expenses increased by $55.7 million, or 7%, compared to the same period last year. The increase was primarily attributable to a $28.5 million increase in hosting fees to support development and staging of our products, a $13.4 million increase in total personnel costs and an $8.4 million increase in software subscription fees.</w:t>
      </w:r>
    </w:p>
    <w:p>
      <w:pPr>
        <w:spacing w:after="0" w:line="176"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2026, sales and marketing expenses decreased by $8.2 million, or 1%, compared to the same period last year. Fluctuations in the various sales and marketing expense categories were not significant either individually or in the aggregate.</w:t>
      </w:r>
    </w:p>
    <w:p>
      <w:pPr>
        <w:spacing w:after="0" w:line="16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2026, general and administrative expenses increased by $34.1 million, or 11%, compared to the same period last year. The increase was primarily attributable to an $18.1 million increase in total personnel costs, primarily driven by an increase in stock-based compensation related to a probability assessment change on existing performance-based restricted stock units (“PSUs”) and the grant of additional PSUs in the first quarter of 2026; an $8.7 million increase in the provision for doubtful accounts and a $3.8 million increase in professional services fees.</w:t>
      </w:r>
    </w:p>
    <w:p>
      <w:pPr>
        <w:spacing w:after="0" w:line="180" w:lineRule="exact"/>
        <w:rPr>
          <w:sz w:val="20"/>
          <w:szCs w:val="20"/>
          <w:color w:val="auto"/>
        </w:rPr>
      </w:pPr>
    </w:p>
    <w:p>
      <w:pPr>
        <w:jc w:val="both"/>
        <w:ind w:right="460" w:firstLine="486"/>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2026, impairment loss on prepaid assets was $32.8 million. The impairment relates to certain prepaid network services that we determined we would be unable to consume due to operational and financial challenges experienced by two network service providers during the second quarter of 2026. No such impairments occurred in the prior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4"/>
        </w:trPr>
        <w:tc>
          <w:tcPr>
            <w:tcW w:w="64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8"/>
                <w:szCs w:val="18"/>
                <w:color w:val="auto"/>
              </w:rPr>
            </w:pPr>
          </w:p>
        </w:tc>
      </w:tr>
      <w:tr>
        <w:trPr>
          <w:trHeight w:val="191"/>
        </w:trPr>
        <w:tc>
          <w:tcPr>
            <w:tcW w:w="6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color w:val="auto"/>
              </w:rPr>
              <w:t>(Dollars in thousands)</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w w:val="98"/>
              </w:rPr>
              <w:t>(77,058)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(4,859)</w:t>
            </w: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left="339"/>
              <w:spacing w:after="0"/>
              <w:rPr>
                <w:sz w:val="20"/>
                <w:szCs w:val="20"/>
                <w:color w:val="auto"/>
              </w:rPr>
            </w:pPr>
            <w:r>
              <w:rPr>
                <w:rFonts w:ascii="Times New Roman" w:cs="Times New Roman" w:eastAsia="Times New Roman" w:hAnsi="Times New Roman"/>
                <w:sz w:val="16"/>
                <w:szCs w:val="16"/>
                <w:color w:val="auto"/>
                <w:w w:val="99"/>
              </w:rPr>
              <w:t>53,103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64,040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(10,937)</w:t>
            </w:r>
          </w:p>
        </w:tc>
        <w:tc>
          <w:tcPr>
            <w:tcW w:w="3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6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other expenses,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w w:val="98"/>
              </w:rPr>
              <w:t>(23,955)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(15,796)</w:t>
            </w:r>
          </w:p>
        </w:tc>
        <w:tc>
          <w:tcPr>
            <w:tcW w:w="3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2026, other expenses, net, increased by $15.8 million, or 194%, compared to the same period last year. The increase is primarily attributable to a $10.9 million decrease in other income, net, primarily driven by unrealized losses from fluctuations in foreign currency exchange rates, and a $4.9 million increase in our share of losses from our equity method investment.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3"/>
          </w:tcPr>
          <w:p>
            <w:pPr>
              <w:jc w:val="center"/>
              <w:ind w:right="22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center"/>
              <w:ind w:right="22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4"/>
        </w:trPr>
        <w:tc>
          <w:tcPr>
            <w:tcW w:w="6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Borders>
              <w:bottom w:val="single" w:sz="8" w:color="auto"/>
            </w:tcBorders>
          </w:tcPr>
          <w:p>
            <w:pPr>
              <w:spacing w:after="0"/>
              <w:rPr>
                <w:sz w:val="18"/>
                <w:szCs w:val="18"/>
                <w:color w:val="auto"/>
              </w:rPr>
            </w:pPr>
          </w:p>
        </w:tc>
      </w:tr>
      <w:tr>
        <w:trPr>
          <w:trHeight w:val="191"/>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(Dollars in thousands)</w:t>
            </w: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1,001,618</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(13,172)</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1,014,790</w:t>
            </w: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NM</w:t>
            </w: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Percentage not meaningful</w:t>
      </w:r>
    </w:p>
    <w:p>
      <w:pPr>
        <w:spacing w:after="0" w:line="19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2026, benefit from (provision for) income taxes increased by $1.0 billion compared to the same period last year. The increase was primarily attributable to the release of our income tax valuation allowance on certain of our U.S. federal and state deferred tax assets in the second quarter of 2026, which generated a $937.1 million income tax benefit in the nine months ending September 30, 2026. For further detail refer to Note 14 to our unaudited condensed consolidated financial statements included elsewhere in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8" w:lineRule="exact"/>
        <w:rPr>
          <w:sz w:val="20"/>
          <w:szCs w:val="20"/>
          <w:color w:val="auto"/>
        </w:rPr>
      </w:pPr>
    </w:p>
    <w:p>
      <w:pPr>
        <w:ind w:right="20" w:firstLine="486"/>
        <w:spacing w:after="0" w:line="226" w:lineRule="exact"/>
        <w:rPr>
          <w:sz w:val="20"/>
          <w:szCs w:val="20"/>
          <w:color w:val="auto"/>
        </w:rPr>
      </w:pPr>
      <w:r>
        <w:rPr>
          <w:rFonts w:ascii="Times New Roman" w:cs="Times New Roman" w:eastAsia="Times New Roman" w:hAnsi="Times New Roman"/>
          <w:sz w:val="18"/>
          <w:szCs w:val="18"/>
          <w:color w:val="auto"/>
        </w:rPr>
        <w:t>We use the following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to evaluate our ongoing operations and for internal planning and forecasting purposes. We believe that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may be helpful to investors because it provides consistency and comparability with past financial performance, facilitates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comparisons of results of operations and assists in comparisons with other companies, many of which use similar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to supplement their results of operations reported in accordance with generally accepted accounting principles (“GAAP”). We believe free cash flow and free cash flow margin provide useful supplemental information to help investors understand underlying trends in our business and our liquidity.</w:t>
      </w:r>
    </w:p>
    <w:p>
      <w:pPr>
        <w:spacing w:after="0" w:line="161" w:lineRule="exact"/>
        <w:rPr>
          <w:sz w:val="20"/>
          <w:szCs w:val="20"/>
          <w:color w:val="auto"/>
        </w:rPr>
      </w:pPr>
    </w:p>
    <w:p>
      <w:pPr>
        <w:ind w:right="140" w:firstLine="486"/>
        <w:spacing w:after="0" w:line="228"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is presented for supplemental informational purposes only, should not be considered a substitute for financial information presented in accordance with GAAP, and may be different from similarly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titled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measures used by other companies. Whenever we use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a reconciliation is provided to the most closely applicable financial measure stated in accordance with GAAP. The users of our consolidated financial statements are encouraged to review the related GAAP financial measures and the reconciliation of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their most directly comparable GAAP financial measures.</w:t>
      </w:r>
    </w:p>
    <w:p>
      <w:pPr>
        <w:spacing w:after="0" w:line="158"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Gross Profit and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-43815</wp:posOffset>
            </wp:positionV>
            <wp:extent cx="6413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1904365</wp:posOffset>
            </wp:positionH>
            <wp:positionV relativeFrom="paragraph">
              <wp:posOffset>-43815</wp:posOffset>
            </wp:positionV>
            <wp:extent cx="6413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ind w:right="780" w:firstLine="486"/>
        <w:spacing w:after="0" w:line="245" w:lineRule="exact"/>
        <w:rPr>
          <w:sz w:val="20"/>
          <w:szCs w:val="20"/>
          <w:color w:val="auto"/>
        </w:rPr>
      </w:pPr>
      <w:r>
        <w:rPr>
          <w:rFonts w:ascii="Times New Roman" w:cs="Times New Roman" w:eastAsia="Times New Roman" w:hAnsi="Times New Roman"/>
          <w:sz w:val="18"/>
          <w:szCs w:val="18"/>
          <w:color w:val="auto"/>
        </w:rPr>
        <w:t>For the periods presented, we define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gross profit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gross margin as GAAP gross profit and GAAP gross margin, respectively, adjusted to exclude, as applicable, certain expenses as presented in the table below:</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4"/>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8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ind w:left="6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7"/>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40" w:type="dxa"/>
            <w:vAlign w:val="bottom"/>
          </w:tcPr>
          <w:p>
            <w:pPr>
              <w:spacing w:after="0"/>
              <w:rPr>
                <w:sz w:val="17"/>
                <w:szCs w:val="17"/>
                <w:color w:val="auto"/>
              </w:rPr>
            </w:pPr>
          </w:p>
        </w:tc>
        <w:tc>
          <w:tcPr>
            <w:tcW w:w="1820" w:type="dxa"/>
            <w:vAlign w:val="bottom"/>
            <w:gridSpan w:val="3"/>
          </w:tcPr>
          <w:p>
            <w:pPr>
              <w:jc w:val="center"/>
              <w:ind w:left="600"/>
              <w:spacing w:after="0"/>
              <w:rPr>
                <w:sz w:val="20"/>
                <w:szCs w:val="20"/>
                <w:color w:val="auto"/>
              </w:rPr>
            </w:pPr>
            <w:r>
              <w:rPr>
                <w:rFonts w:ascii="Times New Roman" w:cs="Times New Roman" w:eastAsia="Times New Roman" w:hAnsi="Times New Roman"/>
                <w:sz w:val="14"/>
                <w:szCs w:val="14"/>
                <w:color w:val="auto"/>
              </w:rPr>
              <w:t>(In thousands)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gross profit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760,530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632,077</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gross margin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3,248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4,305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15,446</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Non-GAAP gross profit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767,800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652,097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6"/>
                <w:szCs w:val="16"/>
                <w:color w:val="auto"/>
              </w:rPr>
              <w:t>Non-GAAP gross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-43815</wp:posOffset>
            </wp:positionV>
            <wp:extent cx="6413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ind w:right="100" w:firstLine="486"/>
        <w:spacing w:after="0" w:line="245" w:lineRule="exact"/>
        <w:rPr>
          <w:sz w:val="20"/>
          <w:szCs w:val="20"/>
          <w:color w:val="auto"/>
        </w:rPr>
      </w:pPr>
      <w:r>
        <w:rPr>
          <w:rFonts w:ascii="Times New Roman" w:cs="Times New Roman" w:eastAsia="Times New Roman" w:hAnsi="Times New Roman"/>
          <w:sz w:val="18"/>
          <w:szCs w:val="18"/>
          <w:color w:val="auto"/>
        </w:rPr>
        <w:t>For the periods presented, we define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operating expenses (including categories of operating expenses) as GAAP operating expenses (and categories of operating expenses) adjusted to exclude, as applicable, certain expenses as presented in the table below:</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09"/>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40" w:type="dxa"/>
            <w:vAlign w:val="bottom"/>
          </w:tcPr>
          <w:p>
            <w:pPr>
              <w:spacing w:after="0"/>
              <w:rPr>
                <w:sz w:val="17"/>
                <w:szCs w:val="17"/>
                <w:color w:val="auto"/>
              </w:rPr>
            </w:pPr>
          </w:p>
        </w:tc>
        <w:tc>
          <w:tcPr>
            <w:tcW w:w="1700" w:type="dxa"/>
            <w:vAlign w:val="bottom"/>
            <w:gridSpan w:val="3"/>
          </w:tcPr>
          <w:p>
            <w:pPr>
              <w:jc w:val="center"/>
              <w:ind w:left="520"/>
              <w:spacing w:after="0"/>
              <w:rPr>
                <w:sz w:val="20"/>
                <w:szCs w:val="20"/>
                <w:color w:val="auto"/>
              </w:rPr>
            </w:pPr>
            <w:r>
              <w:rPr>
                <w:rFonts w:ascii="Times New Roman" w:cs="Times New Roman" w:eastAsia="Times New Roman" w:hAnsi="Times New Roman"/>
                <w:sz w:val="14"/>
                <w:szCs w:val="14"/>
                <w:color w:val="auto"/>
              </w:rPr>
              <w:t>(In thousands)</w:t>
            </w:r>
          </w:p>
        </w:tc>
        <w:tc>
          <w:tcPr>
            <w:tcW w:w="940" w:type="dxa"/>
            <w:vAlign w:val="bottom"/>
          </w:tcPr>
          <w:p>
            <w:pPr>
              <w:spacing w:after="0"/>
              <w:rPr>
                <w:sz w:val="17"/>
                <w:szCs w:val="17"/>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operating expenses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591,129</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(153,864)</w:t>
            </w:r>
          </w:p>
        </w:tc>
      </w:tr>
      <w:tr>
        <w:trPr>
          <w:trHeight w:val="213"/>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(11,412)</w:t>
            </w:r>
          </w:p>
        </w:tc>
      </w:tr>
      <w:tr>
        <w:trPr>
          <w:trHeight w:val="21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and divestiture related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w:t>
            </w:r>
          </w:p>
        </w:tc>
      </w:tr>
      <w:tr>
        <w:trPr>
          <w:trHeight w:val="21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Charitable contributions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(5,104)</w:t>
            </w:r>
          </w:p>
        </w:tc>
      </w:tr>
      <w:tr>
        <w:trPr>
          <w:trHeight w:val="213"/>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Restructuring costs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442,069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417,589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Income from Operations and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-43815</wp:posOffset>
            </wp:positionV>
            <wp:extent cx="6413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-43815</wp:posOffset>
            </wp:positionV>
            <wp:extent cx="6413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92"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For the periods presented, we define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income from operations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operating margin as GAAP income from operations and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operating margin, respectively, adjusted to exclude, as applicable, certain expenses as presented in the table below:</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4"/>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8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ind w:left="6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Borders>
              <w:bottom w:val="single" w:sz="8" w:color="auto"/>
            </w:tcBorders>
          </w:tcPr>
          <w:p>
            <w:pPr>
              <w:spacing w:after="0"/>
              <w:rPr>
                <w:sz w:val="19"/>
                <w:szCs w:val="19"/>
                <w:color w:val="auto"/>
              </w:rPr>
            </w:pPr>
          </w:p>
        </w:tc>
      </w:tr>
      <w:tr>
        <w:trPr>
          <w:trHeight w:val="209"/>
        </w:trPr>
        <w:tc>
          <w:tcPr>
            <w:tcW w:w="8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7"/>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40" w:type="dxa"/>
            <w:vAlign w:val="bottom"/>
          </w:tcPr>
          <w:p>
            <w:pPr>
              <w:spacing w:after="0"/>
              <w:rPr>
                <w:sz w:val="17"/>
                <w:szCs w:val="17"/>
                <w:color w:val="auto"/>
              </w:rPr>
            </w:pPr>
          </w:p>
        </w:tc>
        <w:tc>
          <w:tcPr>
            <w:tcW w:w="1820" w:type="dxa"/>
            <w:vAlign w:val="bottom"/>
            <w:gridSpan w:val="3"/>
          </w:tcPr>
          <w:p>
            <w:pPr>
              <w:jc w:val="center"/>
              <w:ind w:left="600"/>
              <w:spacing w:after="0"/>
              <w:rPr>
                <w:sz w:val="20"/>
                <w:szCs w:val="20"/>
                <w:color w:val="auto"/>
              </w:rPr>
            </w:pPr>
            <w:r>
              <w:rPr>
                <w:rFonts w:ascii="Times New Roman" w:cs="Times New Roman" w:eastAsia="Times New Roman" w:hAnsi="Times New Roman"/>
                <w:sz w:val="14"/>
                <w:szCs w:val="14"/>
                <w:color w:val="auto"/>
              </w:rPr>
              <w:t>(In thousands)</w:t>
            </w:r>
          </w:p>
        </w:tc>
        <w:tc>
          <w:tcPr>
            <w:tcW w:w="1020" w:type="dxa"/>
            <w:vAlign w:val="bottom"/>
          </w:tcPr>
          <w:p>
            <w:pPr>
              <w:spacing w:after="0"/>
              <w:rPr>
                <w:sz w:val="17"/>
                <w:szCs w:val="17"/>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income from operations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148,630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40,948</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operating margin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153,916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158,169</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26,858</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and divestiture related expenses</w:t>
            </w:r>
          </w:p>
        </w:tc>
        <w:tc>
          <w:tcPr>
            <w:tcW w:w="34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3,429</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Charitable contributions</w:t>
            </w:r>
          </w:p>
        </w:tc>
        <w:tc>
          <w:tcPr>
            <w:tcW w:w="34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5,527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5,104</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 costs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325,731</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234,508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Non-GAAP operating margin</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22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For the periods presented, we define free cash flow as net cash provided by operating activities less capitalized software development costs and purchases of long-lived assets, and we define free cash flow margin as free cash flow divided by revenue, as presented in the table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4"/>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80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Borders>
              <w:bottom w:val="single" w:sz="8" w:color="auto"/>
            </w:tcBorders>
          </w:tcPr>
          <w:p>
            <w:pPr>
              <w:spacing w:after="0"/>
              <w:rPr>
                <w:sz w:val="19"/>
                <w:szCs w:val="19"/>
                <w:color w:val="auto"/>
              </w:rPr>
            </w:pPr>
          </w:p>
        </w:tc>
      </w:tr>
      <w:tr>
        <w:trPr>
          <w:trHeight w:val="209"/>
        </w:trPr>
        <w:tc>
          <w:tcPr>
            <w:tcW w:w="8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7"/>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60" w:type="dxa"/>
            <w:vAlign w:val="bottom"/>
          </w:tcPr>
          <w:p>
            <w:pPr>
              <w:spacing w:after="0"/>
              <w:rPr>
                <w:sz w:val="17"/>
                <w:szCs w:val="17"/>
                <w:color w:val="auto"/>
              </w:rPr>
            </w:pPr>
          </w:p>
        </w:tc>
        <w:tc>
          <w:tcPr>
            <w:tcW w:w="1820" w:type="dxa"/>
            <w:vAlign w:val="bottom"/>
            <w:gridSpan w:val="3"/>
          </w:tcPr>
          <w:p>
            <w:pPr>
              <w:jc w:val="center"/>
              <w:ind w:left="580"/>
              <w:spacing w:after="0"/>
              <w:rPr>
                <w:sz w:val="20"/>
                <w:szCs w:val="20"/>
                <w:color w:val="auto"/>
              </w:rPr>
            </w:pPr>
            <w:r>
              <w:rPr>
                <w:rFonts w:ascii="Times New Roman" w:cs="Times New Roman" w:eastAsia="Times New Roman" w:hAnsi="Times New Roman"/>
                <w:sz w:val="14"/>
                <w:szCs w:val="14"/>
                <w:color w:val="auto"/>
              </w:rPr>
              <w:t>(In thousands)</w:t>
            </w:r>
          </w:p>
        </w:tc>
        <w:tc>
          <w:tcPr>
            <w:tcW w:w="1020" w:type="dxa"/>
            <w:vAlign w:val="bottom"/>
          </w:tcPr>
          <w:p>
            <w:pPr>
              <w:spacing w:after="0"/>
              <w:rPr>
                <w:sz w:val="17"/>
                <w:szCs w:val="17"/>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net cash provided by operating activities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389,164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263,563</w:t>
            </w: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cash flow margin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60" w:type="dxa"/>
            <w:vAlign w:val="bottom"/>
          </w:tcPr>
          <w:p>
            <w:pPr>
              <w:spacing w:after="0"/>
              <w:rPr>
                <w:sz w:val="18"/>
                <w:szCs w:val="18"/>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(14,585)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(13,812)</w:t>
            </w:r>
          </w:p>
        </w:tc>
      </w:tr>
      <w:tr>
        <w:trPr>
          <w:trHeight w:val="216"/>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long-lived assets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(4,950)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(2,235)</w:t>
            </w:r>
          </w:p>
        </w:tc>
      </w:tr>
      <w:tr>
        <w:trPr>
          <w:trHeight w:val="212"/>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Free cash flow</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369,629</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247,516</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Free cash flow margin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net cash used in investing activities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(30,064)</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(161,502)</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net cash used in financing activities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(120,830)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(347,952)</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2026, we had cash and cash equivalents of $1.1 billion and short-term marketable securities of $1.8 billion. Cash equivalents consist of money market funds, commercial paper and U.S. treasury bills. Short-term marketable securities consist primarily of U.S. treasury securities, high credit quality corporate debt securities and commercial paper. The cash and cash equivalents and short-term marketable securities are held for working capital purposes.</w:t>
      </w:r>
    </w:p>
    <w:p>
      <w:pPr>
        <w:spacing w:after="0" w:line="180" w:lineRule="exact"/>
        <w:rPr>
          <w:sz w:val="20"/>
          <w:szCs w:val="20"/>
          <w:color w:val="auto"/>
        </w:rPr>
      </w:pPr>
    </w:p>
    <w:p>
      <w:pPr>
        <w:ind w:right="100" w:firstLine="486"/>
        <w:spacing w:after="0" w:line="312" w:lineRule="auto"/>
        <w:rPr>
          <w:sz w:val="20"/>
          <w:szCs w:val="20"/>
          <w:color w:val="auto"/>
        </w:rPr>
      </w:pPr>
      <w:r>
        <w:rPr>
          <w:rFonts w:ascii="Times New Roman" w:cs="Times New Roman" w:eastAsia="Times New Roman" w:hAnsi="Times New Roman"/>
          <w:sz w:val="17"/>
          <w:szCs w:val="17"/>
          <w:color w:val="auto"/>
        </w:rPr>
        <w:t>Our principal sources of liquidity have been (i) the payments received from customers using our products; (ii) public equity offerings, most recently in February 2021; and (iii) debt financings, most recently the issuance of our 2029 Notes and 2031 Notes (each, as defined below) in March 2021.</w:t>
      </w:r>
    </w:p>
    <w:p>
      <w:pPr>
        <w:spacing w:after="0" w:line="14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Our primary uses of cash include operating costs, such as personnel-related costs, network service provider costs, cloud infrastructure costs, facility-related spending, acquisitions and investments we may make from time to time, and repurchases of common stock under our share repurchase program. Our principal contractual and other commitments consist of obligations under our 2029 Notes and 2031 Notes, our operating leases for office space that we occupy, sublease or hold, and contractual commitments to our cloud infrastructure and network service providers. Refer to Note 8 and Note 10(a) to our unaudited condensed consolidated financial statements included elsewhere in this Quarterly Report on Form 10-Q for discussions of our obligations and commitments related to leases, debt and other purchase obligations.</w:t>
      </w:r>
    </w:p>
    <w:p>
      <w:pPr>
        <w:spacing w:after="0" w:line="18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may, from time to time, consider acquisitions of, or investments in, complementary businesses, products, services, capital infrastructure or technologies which might affect our liquidity requirements or cause us to secure additional financing or issue additional equity or debt securities. There can be no assurance that additional credit lines or financing instruments will be available in amounts or on terms acceptable to us, if at all.</w:t>
      </w:r>
    </w:p>
    <w:p>
      <w:pPr>
        <w:spacing w:after="0" w:line="176" w:lineRule="exact"/>
        <w:rPr>
          <w:sz w:val="20"/>
          <w:szCs w:val="20"/>
          <w:color w:val="auto"/>
        </w:rPr>
      </w:pPr>
    </w:p>
    <w:p>
      <w:pPr>
        <w:ind w:right="500" w:firstLine="486"/>
        <w:spacing w:after="0" w:line="261" w:lineRule="auto"/>
        <w:rPr>
          <w:sz w:val="20"/>
          <w:szCs w:val="20"/>
          <w:color w:val="auto"/>
        </w:rPr>
      </w:pPr>
      <w:r>
        <w:rPr>
          <w:rFonts w:ascii="Times New Roman" w:cs="Times New Roman" w:eastAsia="Times New Roman" w:hAnsi="Times New Roman"/>
          <w:sz w:val="18"/>
          <w:szCs w:val="18"/>
          <w:color w:val="auto"/>
        </w:rPr>
        <w:t>We believe that our cash, cash equivalents and marketable securities balances, as well as the cash flows generated by our operations, will be sufficient to satisfy our anticipated cash needs for working capital and capital expenditure needs, including authorized share repurchases, for the next</w:t>
      </w:r>
    </w:p>
    <w:p>
      <w:pPr>
        <w:ind w:right="20"/>
        <w:spacing w:after="0" w:line="252" w:lineRule="auto"/>
        <w:rPr>
          <w:sz w:val="20"/>
          <w:szCs w:val="20"/>
          <w:color w:val="auto"/>
        </w:rPr>
      </w:pPr>
      <w:r>
        <w:rPr>
          <w:rFonts w:ascii="Times New Roman" w:cs="Times New Roman" w:eastAsia="Times New Roman" w:hAnsi="Times New Roman"/>
          <w:sz w:val="18"/>
          <w:szCs w:val="18"/>
          <w:color w:val="auto"/>
        </w:rPr>
        <w:t>12 months and beyond. However, our belief may prove to be incorrect, and we could utilize our available financial resources sooner than we currently expect. We may be required to seek additional equity or debt financing in order to meet our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Our future capital requirements, the adequacy of our available funds and our cash from operations depend on many factors and are affected by various risks and uncertainties, including those set forth in Part II, Item 1A, “Risk Factors.”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January 2025, our board of directors authorized the repurchase of up to $2.0 billion in aggregate value of our Class A common stock. Repurchases under this program can be made through open market, private transactions or other means, in compliance with applicable federal securities laws, and can include repurchases pursuant to Rule 10b5-1 trading plans. We have discretion in determining the conditions under which shares may be repurchased from time to time. The program expires on December 31, 2027.</w:t>
      </w:r>
    </w:p>
    <w:p>
      <w:pPr>
        <w:spacing w:after="0" w:line="180"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30, 2026, we repurchased $127.2 million in aggregate value, or 0.5 million shares, and $446.7 million in aggregate value, or 3.1 million shares, respectively, of our Class A common stock. As of September 30, 2026, approximately $698.7 million of the amount authorized in January 2025 for share repurchases remained available for future repurchases.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Notes and 2031 Notes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March 2021, we issued and sold $1.0 billion in aggregate principal amount of senior notes, consisting of $500.0 million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3.625% notes due 2029 (the “2029 Notes”) and $500.0 million principal amount of 3.875% notes due 2031 (the “2031 Notes,” and together with the 2029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the “Notes”). The Notes are described in detail in Note 15 to our Annual Report on Form 10-K filed with the SEC on February 24,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8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8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191"/>
        </w:trPr>
        <w:tc>
          <w:tcPr>
            <w:tcW w:w="8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740" w:type="dxa"/>
            <w:vAlign w:val="bottom"/>
          </w:tcPr>
          <w:p>
            <w:pPr>
              <w:spacing w:after="0"/>
              <w:rPr>
                <w:sz w:val="16"/>
                <w:szCs w:val="16"/>
                <w:color w:val="auto"/>
              </w:rPr>
            </w:pP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w w:val="99"/>
              </w:rPr>
              <w:t>914,755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731,689</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provided by investing activities</w:t>
            </w:r>
          </w:p>
        </w:tc>
        <w:tc>
          <w:tcPr>
            <w:tcW w:w="240" w:type="dxa"/>
            <w:vAlign w:val="bottom"/>
          </w:tcPr>
          <w:p>
            <w:pPr>
              <w:spacing w:after="0"/>
              <w:rPr>
                <w:sz w:val="18"/>
                <w:szCs w:val="18"/>
                <w:color w:val="auto"/>
              </w:rPr>
            </w:pPr>
          </w:p>
        </w:tc>
        <w:tc>
          <w:tcPr>
            <w:tcW w:w="86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(124,500)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221,377</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(411,258)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(649,660)</w:t>
            </w:r>
          </w:p>
        </w:tc>
      </w:tr>
      <w:tr>
        <w:trPr>
          <w:trHeight w:val="210"/>
        </w:trPr>
        <w:tc>
          <w:tcPr>
            <w:tcW w:w="8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center"/>
              <w:ind w:left="140"/>
              <w:spacing w:after="0"/>
              <w:rPr>
                <w:sz w:val="20"/>
                <w:szCs w:val="20"/>
                <w:color w:val="auto"/>
              </w:rPr>
            </w:pPr>
            <w:r>
              <w:rPr>
                <w:rFonts w:ascii="Times New Roman" w:cs="Times New Roman" w:eastAsia="Times New Roman" w:hAnsi="Times New Roman"/>
                <w:sz w:val="16"/>
                <w:szCs w:val="16"/>
                <w:color w:val="auto"/>
                <w:w w:val="99"/>
              </w:rPr>
              <w:t>378,997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303,406</w:t>
            </w:r>
          </w:p>
        </w:tc>
      </w:tr>
      <w:tr>
        <w:trPr>
          <w:trHeight w:val="20"/>
        </w:trPr>
        <w:tc>
          <w:tcPr>
            <w:tcW w:w="8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the nine months ended September 30, 2026, cash provided by operating activities consisted primarily of our net income of $1.3 billion adjusted for non-cash items, including $937.1 million of income tax benefit related to release of our U.S. valuation allowance, $432.3 million of stock-based compensation expense, $91.4 million of depreciation and amortization expense, $77.1 million of our share of losses from an equity method investment, $48.9 million of amortization of deferred commissions, $14.2 million of non-cash reduction in our operating right-of-use asset, and $200.8 million of cumulative changes in operating assets and liabilities. With respect to changes in operating assets and liabilities, deferred tax assets increased $82.2 million driven by the release of our valuation allowance on U.S. federal and state deferred tax assets during the nine months ended September 30, 2026, other long-term assets increased $57.5 million primarily due to an increase in long-term prepayments to support our business and deferred sales commissions related to the growth of our business, and accounts receivable and prepaid expenses increased $40.2 million primarily due to the growth of our business and timing of cash receipts.</w:t>
      </w:r>
    </w:p>
    <w:p>
      <w:pPr>
        <w:spacing w:after="0" w:line="18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the nine months ended September 30, 2025, cash provided by operating activities consisted primarily of our net income of $79.7 million adjusted for non-cash items, including $446.7 million of stock-based compensation expense, $147.9 million of depreciation and amortization expense, $72.2 million of our share of losses from an equity method investment, $56.9 million of amortization of deferred commissions, $16.6 million of non-cash reduction in our operating right-of-use asset, and $97.2 million of cumulative changes in operating assets and liabilities. With respect to changes in operating assets and liabilities, accounts receivable and prepaid expenses decreased $46.7 million primarily due to timing of cash receipts and prepayments of certain operating expenses. Accounts payable and other current liabilities decreased $55.9 million primarily driven by timing of payments to vendors. Other long-term assets increased $64.3 million primarily due to an increase in long-term prepayments to support our business and an increase in deferred sales commissions related to the growth of our business. Operating lease liabilities decreased $26.9 million due to payments made against our operating lease obligations.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2026, cash used in investing activities was $124.5 million, primarily consisting of $63.7 million of purchases of marketable securities and other investments, net of proceeds from sales and maturities of marketable securities and other investments, $48.0 million related to capitalized software development costs, and $12.2 million related to purchases of long-lived assets.</w:t>
      </w:r>
    </w:p>
    <w:p>
      <w:pPr>
        <w:spacing w:after="0" w:line="176"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2025, cash provided by investing activities was $221.4 million, primarily consisting of $263.7 million of maturities and sales of marketable securities, net of purchases, partially offset by $38.0 million related to capitalized software development costs, and $4.4 million related to purchases of long-lived assets.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2026, cash used in financing activities was $411.3 million primarily consisting of $448.3 million of cash paid to repurchase 3.1 million shares of our Class A common stock, including related costs, partially offset by $37.3 million in proceeds from exercises of stock options and shares of Class A common stock issued under the Company’s ESPP.</w:t>
      </w:r>
    </w:p>
    <w:p>
      <w:pPr>
        <w:spacing w:after="0" w:line="176"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2025, cash used in financing activities was $649.7 million primarily consisting of $670.5 million of cash paid to repurchase 6.4 million shares of our Class A common stock, including related costs, partially offset by $26.3 million in proceeds from exercises of stock options and shares of Class A common stock issued under the Company’s ESPP.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approach. Deferred tax assets and liabilities are recognized for future tax consequences attributable to temporary differences between the financial statement carrying amounts of existing assets and liabilities and their respective tax bases, as well as net operating losses and tax credit carry-forwards. Deferred tax amounts are determined by using the enacted tax rates expected to be in effect when the temporary differences are expected to be recovered or settled. The effect on deferred tax assets and liabilities of a change in tax rates is recognized in income in the period that includes the enactment date. A valuation allowance reduces the deferred tax assets to the amount that is more likely than not to be realized.</w:t>
      </w:r>
    </w:p>
    <w:p>
      <w:pPr>
        <w:spacing w:after="0" w:line="187"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We recognize the effect of uncertain income tax positions only if those positions are more likely than not of being sustained. Recognized income tax positions are measured at the largest amount that is more than 50% likely to be realized. Changes in recognition or measurement are reflected in the period in which the change in judgment occurs.</w:t>
      </w:r>
    </w:p>
    <w:p>
      <w:pPr>
        <w:spacing w:after="0" w:line="17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regularly assess the need for a valuation allowance on our deferred tax assets. In making that assessment, we consider both positive and negative evidence related to the likelihood of realization of the deferred tax assets to determine, based on the weight of all available evidence, whether it is more-likely-than-not that some or all of our deferred tax assets will be realized. The determination of the realizability of deferred tax assets requires significant judgment and relies on management's estimates of future taxable income.</w:t>
      </w:r>
    </w:p>
    <w:p>
      <w:pPr>
        <w:spacing w:after="0" w:line="180"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We have demonstrated sustained profitability in the U.S. over a cumulative period of three years based on the U.S. pre-tax book income adjusted for permanent book-tax differences, and we expect to continue to sustain this profitability position in the U.S. for the annual period ended December 31, 2026. This evidence is objective and verifiable and represents strong positive evidence that carries significant weight.</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Based on our analysis of all available positive and negative evidence, including the objective and verifiable positive evidence as described above, and anticipated future earnings, in the prior quarter we concluded that it is more likely than not that the majority of our U.S. deferred tax assets were realizable. As a result of this change in estimate, we released a significant portion of the valuation allowance on our U.S. deferred tax assets in the second quarter of 2026. For further detail refer to Note 14 to our condensed consolidated financial statements included elsewhere in this Quarterly Report on Form 10-Q.</w:t>
      </w:r>
    </w:p>
    <w:p>
      <w:pPr>
        <w:spacing w:after="0" w:line="183" w:lineRule="exact"/>
        <w:rPr>
          <w:sz w:val="20"/>
          <w:szCs w:val="20"/>
          <w:color w:val="auto"/>
        </w:rPr>
      </w:pPr>
    </w:p>
    <w:p>
      <w:pPr>
        <w:jc w:val="both"/>
        <w:ind w:right="520" w:firstLine="486"/>
        <w:spacing w:after="0" w:line="266" w:lineRule="auto"/>
        <w:rPr>
          <w:sz w:val="20"/>
          <w:szCs w:val="20"/>
          <w:color w:val="auto"/>
        </w:rPr>
      </w:pPr>
      <w:r>
        <w:rPr>
          <w:rFonts w:ascii="Times New Roman" w:cs="Times New Roman" w:eastAsia="Times New Roman" w:hAnsi="Times New Roman"/>
          <w:sz w:val="18"/>
          <w:szCs w:val="18"/>
          <w:color w:val="auto"/>
        </w:rPr>
        <w:t>Our judgment regarding the need for a valuation allowance may reasonably change in future reporting periods due to many factors, including changes in expectations of future profitability in the U.S. and changes in tax laws or regulations. We will continue to maintain a valuation allowance against deferred tax assets where we believe that it is more likely than not that they will not be realized.</w:t>
      </w:r>
    </w:p>
    <w:p>
      <w:pPr>
        <w:spacing w:after="0" w:line="176"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other changes to our critical accounting policies and estimates as described in our Annual Report on Form 10-K filed with the SEC on February 24,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29"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Refer to Note 2 to the unaudited condensed consolidated financial statements included elsewhere in this Quarterly Report on Form 10-Q for a discussion of recent accounting pronouncements not yet adopted.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including sensitivities as follows: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40" w:firstLine="486"/>
        <w:spacing w:after="0" w:line="218" w:lineRule="exact"/>
        <w:rPr>
          <w:sz w:val="20"/>
          <w:szCs w:val="20"/>
          <w:color w:val="auto"/>
        </w:rPr>
      </w:pPr>
      <w:r>
        <w:rPr>
          <w:rFonts w:ascii="Times New Roman" w:cs="Times New Roman" w:eastAsia="Times New Roman" w:hAnsi="Times New Roman"/>
          <w:sz w:val="18"/>
          <w:szCs w:val="18"/>
          <w:color w:val="auto"/>
        </w:rPr>
        <w:t>We had cash and cash equivalents of $1.1 billion and marketable securities of $1.8 billion as of September 30, 2026. In any given period, cash, cash equivalents and restricted cash may consist of bank deposits, money market funds, reverse repurchase agreements, commercial paper and U.S. Treasury bills. Marketable securities consist primarily of U.S. treasury securities, high credit quality corporate debt securities and commercial paper. The cash and cash equivalents and marketable securities are held for working capital purposes. Such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unaudited condensed consolidated financial statements included elsewhere in this Quarterly Report on Form 10-Q.</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Risks</w:t>
      </w:r>
    </w:p>
    <w:p>
      <w:pPr>
        <w:spacing w:after="0" w:line="22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functional currency of most of our foreign subsidiaries is the U.S. dollar. The local currencies of our foreign subsidiaries are the Australian dollar, the Brazilian real, the British pound, the Canadian dollar, the Colombian peso, the Euro, the Hong Kong dollar, the Indian rupee, the Japanese yen, the Mexican peso, the Polish zloty, the Singapore dollar and the Swedish krona.</w:t>
      </w:r>
    </w:p>
    <w:p>
      <w:pPr>
        <w:spacing w:after="0" w:line="17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majority of 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unaudited condensed consolidated statements of operations included elsewhere in this Quarterly Report on Form 10-Q.</w:t>
      </w:r>
    </w:p>
    <w:p>
      <w:pPr>
        <w:spacing w:after="0" w:line="183"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enter into foreign currency derivative hedging transactions to mitigate our exposure to market risks that may result from changes in foreign currency exchange rates. For further information, refer to Note 5 to our unaudited condensed consolidated financial statements included elsewhere in this Quarterly Report on Form 10-Q.</w:t>
      </w:r>
    </w:p>
    <w:p>
      <w:pPr>
        <w:spacing w:after="0" w:line="176"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 hypothetical 10% change in foreign exchange rates during any of the periods presented would not have had a material impact on our unaudited condensed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880" w:hanging="386"/>
        <w:spacing w:after="0"/>
        <w:tabs>
          <w:tab w:leader="none" w:pos="8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w:t>
      </w:r>
    </w:p>
    <w:p>
      <w:pPr>
        <w:spacing w:after="0" w:line="17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September 30, 2026,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79" w:lineRule="exact"/>
        <w:rPr>
          <w:sz w:val="20"/>
          <w:szCs w:val="20"/>
          <w:color w:val="auto"/>
        </w:rPr>
      </w:pPr>
    </w:p>
    <w:p>
      <w:pPr>
        <w:ind w:left="5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Internal Control</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in connection with the evaluation required by Rule 13a-15(d) and 15d-15(d) of the Exchange Act that occurred during the three months ended September 30, 2026, that materially affected, or are reasonably likely to materially affect, our internal control over financial reporting.</w:t>
      </w:r>
    </w:p>
    <w:p>
      <w:pPr>
        <w:spacing w:after="0" w:line="226" w:lineRule="exact"/>
        <w:rPr>
          <w:sz w:val="20"/>
          <w:szCs w:val="20"/>
          <w:color w:val="auto"/>
        </w:rPr>
      </w:pPr>
    </w:p>
    <w:p>
      <w:pPr>
        <w:ind w:left="50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Inherent Limitations on Effectiveness of Controls</w:t>
      </w:r>
    </w:p>
    <w:p>
      <w:pPr>
        <w:spacing w:after="0" w:line="270" w:lineRule="exact"/>
        <w:rPr>
          <w:sz w:val="20"/>
          <w:szCs w:val="20"/>
          <w:color w:val="auto"/>
        </w:rPr>
      </w:pPr>
    </w:p>
    <w:p>
      <w:pPr>
        <w:ind w:right="120" w:firstLine="486"/>
        <w:spacing w:after="0" w:line="222" w:lineRule="exact"/>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control system, misstatements due to error or fraud may occur and not be detected.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Refer to Note 10(b) to our unaudited condensed consolidated financial statements included elsewhere in this Quarterly Report on Form 10-Q for a description of our current material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firstLine="486"/>
        <w:spacing w:after="0" w:line="275" w:lineRule="auto"/>
        <w:rPr>
          <w:sz w:val="20"/>
          <w:szCs w:val="20"/>
          <w:color w:val="auto"/>
        </w:rPr>
      </w:pPr>
      <w:r>
        <w:rPr>
          <w:rFonts w:ascii="Times New Roman" w:cs="Times New Roman" w:eastAsia="Times New Roman" w:hAnsi="Times New Roman"/>
          <w:sz w:val="17"/>
          <w:szCs w:val="17"/>
          <w:i w:val="1"/>
          <w:iCs w:val="1"/>
          <w:color w:val="auto"/>
        </w:rPr>
        <w:t>Investing in our Class A common stock (“common stock”) involves a high degree of risk. 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before making a decision to invest in our common stock. The risks and uncertainties described below may not be the only ones we face. If any of the risks actually occur, our business, results of operations and financial condition could be adversely affected. In that event, the market price of our common stock could decline, and you could lose part or all of your investment.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Our business operations are subject to numerous risks and uncertainties, including those outside of our control, that could cause our business, results of operations, and financial condition to be harmed, including risks regarding the following: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Business and Industry</w:t>
      </w:r>
    </w:p>
    <w:p>
      <w:pPr>
        <w:spacing w:after="0" w:line="6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global economic and political conditions, including macroeconomic and political uncertainties;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our quarterly results and our ability to meet securities analysts’ and investors’ expectations;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the levels of our customers’ usage of our platform;</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attract new customers and increase usage of our products by existing customers effectively and in a cost-efficient manner;</w:t>
      </w:r>
    </w:p>
    <w:p>
      <w:pPr>
        <w:spacing w:after="0" w:line="63" w:lineRule="exact"/>
        <w:rPr>
          <w:rFonts w:ascii="Times New Roman" w:cs="Times New Roman" w:eastAsia="Times New Roman" w:hAnsi="Times New Roman"/>
          <w:sz w:val="18"/>
          <w:szCs w:val="18"/>
          <w:i w:val="1"/>
          <w:iCs w:val="1"/>
          <w:color w:val="auto"/>
        </w:rPr>
      </w:pPr>
    </w:p>
    <w:p>
      <w:pPr>
        <w:ind w:left="660" w:right="540" w:hanging="328"/>
        <w:spacing w:after="0" w:line="281" w:lineRule="auto"/>
        <w:tabs>
          <w:tab w:leader="none" w:pos="65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develop new products and enhancements that achieve market acceptance and adapt to changing technology, regulations, and industry standards;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integrate our products with third-party products and ensure they operate effectively;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effectively manage our growth and strategic changes to our business;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compete effectively in intensely competitive and rapidly evolving markets;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maintain profitability;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hire, integrate and retain highly skilled personnel;</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maintain and enhance our brand and increase market awareness of our company and products;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network service providers and internet service providers for network service and connectivity;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set optimal prices for our products;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international operations;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integrate and achieve the expected benefits of acquisitions, partnerships and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Cybersecurity, Data Privacy, AI and Intellectual Property</w:t>
      </w:r>
    </w:p>
    <w:p>
      <w:pPr>
        <w:spacing w:after="0" w:line="6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breaches of or incidents impacting our networks or systems, or those of our service providers or broader supply chain;</w:t>
      </w:r>
    </w:p>
    <w:p>
      <w:pPr>
        <w:spacing w:after="0" w:line="63" w:lineRule="exact"/>
        <w:rPr>
          <w:rFonts w:ascii="Times New Roman" w:cs="Times New Roman" w:eastAsia="Times New Roman" w:hAnsi="Times New Roman"/>
          <w:sz w:val="18"/>
          <w:szCs w:val="18"/>
          <w:i w:val="1"/>
          <w:iCs w:val="1"/>
          <w:color w:val="auto"/>
        </w:rPr>
      </w:pPr>
    </w:p>
    <w:p>
      <w:pPr>
        <w:ind w:left="660" w:right="40" w:hanging="328"/>
        <w:spacing w:after="0" w:line="281" w:lineRule="auto"/>
        <w:tabs>
          <w:tab w:leader="none" w:pos="6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actual or perceived failure to comply with increasingly stringent laws, regulations and obligations relating to privacy, data protection, AI and cybersecurity;</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protect our intellectual property rights;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use of open source software;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third-party technology and intellectual property;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use of AI technologies in our platform and business;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Legal and Regulatory Matters</w:t>
      </w:r>
    </w:p>
    <w:p>
      <w:pPr>
        <w:spacing w:after="0" w:line="6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comply with evolving telecommunications-related regulations and industry standards;</w:t>
      </w:r>
    </w:p>
    <w:p>
      <w:pPr>
        <w:spacing w:after="0" w:line="63" w:lineRule="exact"/>
        <w:rPr>
          <w:rFonts w:ascii="Times New Roman" w:cs="Times New Roman" w:eastAsia="Times New Roman" w:hAnsi="Times New Roman"/>
          <w:sz w:val="18"/>
          <w:szCs w:val="18"/>
          <w:i w:val="1"/>
          <w:iCs w:val="1"/>
          <w:color w:val="auto"/>
        </w:rPr>
      </w:pPr>
    </w:p>
    <w:p>
      <w:pPr>
        <w:ind w:left="660" w:right="280" w:hanging="328"/>
        <w:spacing w:after="0" w:line="281" w:lineRule="auto"/>
        <w:tabs>
          <w:tab w:leader="none" w:pos="65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assign or retain geographical, mobile, regional, local or toll-free numbers and to effectively process requests to port such numbers in a timely manner due to industry regulations;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federal and state legislation and international laws imposing obligations on the senders of commercial emails;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unwanted, fraudulent or illegal usage of or activity relating to our products;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laws and regulations related to the internet or its infrastructure;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applicable laws and regulations, including export controls, economic sanctions, customs and anti-corruption regulations;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standards imposed by private entities and inbox service providers that interfere with the effectiveness of our platform;</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legal proceedings or claims against 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Financial and Accounting Matters</w:t>
      </w:r>
    </w:p>
    <w:p>
      <w:pPr>
        <w:spacing w:after="0" w:line="6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exposure to foreign currency exchange rate fluctuations;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substantial indebtedness that may decrease our business flexibility;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additional capital to support our business and its availability on acceptable terms;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accuracy of our metrics, and assumptions and estimates used to calculate them;</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accuracy of our estimates and judgments related to our critical accounting policies;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standards that may cause adverse financial reporting fluctuations;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our goodwill or intangible assets could become impaired;</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maintain an effective system of disclosure controls and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Tax Matters</w:t>
      </w:r>
    </w:p>
    <w:p>
      <w:pPr>
        <w:spacing w:after="0" w:line="6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use our net operating losses and certain other tax attributes to offset future taxable income and taxes;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additional tax liabilities or potentially adverse tax consequences of our global operations and structure;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tax rules and regulations;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Ownership of Our Common Stock</w:t>
      </w:r>
    </w:p>
    <w:p>
      <w:pPr>
        <w:spacing w:after="0" w:line="6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volatility of the trading price of our common stock;</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decline in the market price of our common stock due to substantial future sales of shares;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we may not realize the anticipated long-term stockholder value of our share repurchase program;</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securities or industry analysts changing their recommendations regarding our common stock;</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anti-takeover provisions contained in our governing documents and the exclusive forum provision in our bylaws;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Risks</w:t>
      </w:r>
    </w:p>
    <w:p>
      <w:pPr>
        <w:spacing w:after="0" w:line="6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occurrence of natural catastrophic events and other events beyond our control; and</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environmental, social and governance (“ESG”) matters.</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macroeconomic and political uncertainties, have had, and may continue to have, an adverse impact on our business, results of operations and financial condition.</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market volatility, changes in international economic and trade relations, supply chain disruptions, changes in the labor market, increased energy and commodity price volatility, elevated interest rates and potential increases in inflation, foreign currency exchange rate fluctuations and recession risks, which may continue for an extended period. Additionally, the instability in the political environment in many parts of the world, including in the United States, geopolitical instability, including related to conflicts in the Middle East, and changes and uncertainty with respect to trade policies, actual or threatened tariffs, treaties, government regulations, executive orders, directives and enforcement priorities, as well as any ongoing or potential U.S. federal government shutdown, have contributed to further disruptions in global trade and have adversely affected, and may continue to adversely affect, the global economy and/or our business. Given that a majority of our revenue is usage-based and therefore impacted by general consumer sentiment and activity, our business may be more immediately and severely impacted by adverse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macroeconomic conditions than those that rely primarily on subscription revenue. Additionally, increased prices resulting from the effects of tariffs and inflation could increase our operating expenses.</w:t>
      </w:r>
    </w:p>
    <w:p>
      <w:pPr>
        <w:spacing w:after="0" w:line="162" w:lineRule="exact"/>
        <w:rPr>
          <w:sz w:val="20"/>
          <w:szCs w:val="20"/>
          <w:color w:val="auto"/>
        </w:rPr>
      </w:pPr>
    </w:p>
    <w:p>
      <w:pPr>
        <w:ind w:firstLine="486"/>
        <w:spacing w:after="0" w:line="272" w:lineRule="auto"/>
        <w:rPr>
          <w:sz w:val="20"/>
          <w:szCs w:val="20"/>
          <w:color w:val="auto"/>
        </w:rPr>
      </w:pPr>
      <w:r>
        <w:rPr>
          <w:rFonts w:ascii="Times New Roman" w:cs="Times New Roman" w:eastAsia="Times New Roman" w:hAnsi="Times New Roman"/>
          <w:sz w:val="17"/>
          <w:szCs w:val="17"/>
          <w:color w:val="auto"/>
        </w:rPr>
        <w:t>Adverse macroeconomic conditions have in the past resulted in, and may in the future result in, decreased or delayed business spending by our current and prospective customers and business partners, reduced demand for or usage of our products, lower renewal rates by our customers, longer or delayed sales cycles, including current and prospective customers delaying contract signing or contract renewals, reduced budgets or minimum commitments related to the products that we offer, or delays in customer payments or our ability to collect accounts receivable, all of which could negatively affect revenue and revenue growth. Additionally, our customers may be affected by changes and uncertainty in the global political environment with respect to trade and other policies. For example, tariffs imposed by the U.S. administration, uncertainty related thereto, and potential or actual retaliatory measures, have adversely affected trade relations, pressured supply chains, and led to increased market volatility, and such effects may continue. Any resulting harm to our customers’ businesses could depress their usage levels and/or purchasing power and lead them to reduce their spending with us.</w:t>
      </w:r>
    </w:p>
    <w:p>
      <w:pPr>
        <w:spacing w:after="0" w:line="17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Macroeconomic and political conditions and uncertainties have in the past adversely affected, and may in the future adversely affect, our business, results of operations and financial condition, and could exacerbate many of the other risks described in this “Risk Factors” section.</w:t>
      </w:r>
    </w:p>
    <w:p>
      <w:pPr>
        <w:spacing w:after="0" w:line="158" w:lineRule="exact"/>
        <w:rPr>
          <w:sz w:val="20"/>
          <w:szCs w:val="20"/>
          <w:color w:val="auto"/>
        </w:rPr>
      </w:pPr>
    </w:p>
    <w:p>
      <w:pPr>
        <w:ind w:right="2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results of operations have fluctuated in the past and may continue to do so in the future. As a result, we may fail to meet securities analysts’ and investors’ expectations, which could cause the price of our common stock to decline.</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quarterly and annual results of operations have fluctuated in the past and may continue to do so in the future due to a variety of factors, many of which are outside of our control. These fluctuations and the related impacts to any earnings guidance we may issue from time to time could cause the price of our common stock to change significantly or decline. In addition to the other risks described in this “Risk Factors” section, some of the factors that may result in fluctuations to our results of operations include:</w:t>
      </w:r>
    </w:p>
    <w:p>
      <w:pPr>
        <w:spacing w:after="0" w:line="180"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pricing of, or usage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features and enhancements;</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customer base and the markets that our products address, attract and retain new customers, obtain renewals from existing customers and cross-sell or otherwise increase revenue from existing customers;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automate, and leverage more of our self-service capabilities for customers;</w:t>
      </w:r>
    </w:p>
    <w:p>
      <w:pPr>
        <w:spacing w:after="0" w:line="22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relationships with resellers, distributors, and strategic partners, including ISVs, technology partners, and systems integrators;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combine our communications products with contextual data and AI and introduce compelling new products and enhancements that address the changing nature of our markets and customer needs and preferences;</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the actions of our competitors, including pricing changes and the introduction of new technologies, products, services and geographies;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or incidents impacting our platform, or interruptions to the delivery and use of our products;</w:t>
      </w:r>
    </w:p>
    <w:p>
      <w:pPr>
        <w:spacing w:after="0" w:line="22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cloud infrastructure, network services and other third-party technology, including the fees charged by their providers and the impact of such fees on our pricing and customers;</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the productivity of our sales force, and the length and complexity of the sales cycle for certain of our products or customers;</w:t>
      </w:r>
    </w:p>
    <w:p>
      <w:pPr>
        <w:spacing w:after="0" w:line="161"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or amount of products that our customers use, and that are sold in the United States versus internationally, during a particular period;</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trends, including due to increased consumer activity in the fourth quarter;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related to the operations and expansion of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payments and our ability to collect accounts receivable from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existing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 connection with mergers, acquisitions, dispositions, or other strategic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and our ability to effectively hedge our foreign currency exposure;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or other dispute-related settlement payments;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industry standards and regulations that affect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and other tax determinations by authorities in the jurisdictions in which we conduct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heightened inflation or interest rates, and geopolitical uncertainty or instability.</w:t>
      </w:r>
    </w:p>
    <w:p>
      <w:pPr>
        <w:spacing w:after="0" w:line="252"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The occurrence of one or more of the foregoing and other factors may cause our results of operations to vary significantly. As such, comparing our operating results on a period-to-period basis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net income (loss) and margins in the short term. If we fail to meet or exceed the expectations of investors or securities analysts, then the trading price of our common stock could fall substantially, and we could face costly lawsuits, including securities class action suits, which, in turn, could harm our business, results of operations and financial condition.</w:t>
      </w:r>
    </w:p>
    <w:p>
      <w:pPr>
        <w:spacing w:after="0" w:line="183" w:lineRule="exact"/>
        <w:rPr>
          <w:sz w:val="20"/>
          <w:szCs w:val="20"/>
          <w:color w:val="auto"/>
        </w:rPr>
      </w:pPr>
    </w:p>
    <w:p>
      <w:pPr>
        <w:ind w:right="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terminate or reduce their usage of our products, our business, results of operations and financial condition would be adversely affected.</w:t>
      </w:r>
    </w:p>
    <w:p>
      <w:pPr>
        <w:spacing w:after="0" w:line="15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revenue grows as customers increase their usage of a product, extend their usage of a product to new applications or adopt a new product that we offer. The majority of our revenue is usage-based, and if our customers do not increase their use of our products or maintain their usage of our products at existing levels, then our revenue may decline or grow at rates lower than expected. Most of our usage-based customers do not have long-term contractual financial commitments to us and, therefore, may reduce or cease their use of our products at any time without penalty or termination charges. Our subscription-based customers generally base their contract value on anticipated usage, and if their anticipated levels of usage are not met, they may reduce their contract value or choose not to renew their contract upon its expiration.</w:t>
      </w:r>
    </w:p>
    <w:p>
      <w:pPr>
        <w:spacing w:after="0" w:line="187"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Customers may terminate or reduce their use of our products, or we may fail to attract new customers, for any number of reasons, including dissatisfaction with our products or with the value proposition of our products, our inability to meet their needs and expectations, our failure to maintain performance, reliability, security, integrity or availability of our products and infrastructure to the satisfaction of our customers, or customers’ use of competitors’ products. For example, prior instances of disruptions in our networks or systems, or those of our third-party service providers, have impacted our customers’ ability to use products on our platform for up to several hours at a time. Such issues have had, and in the future may have, an adverse impact on customer satisfaction and our ability to retain or attract customers and have caused, and may in the future cause, us to incur certain costs associated with offering credits to our affected customers.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Additionally, we believe our ability to provide customers with high-quality, effective customer support services is a crucial component of maintaining customer satisfaction, generating increased customer usage of our products and ultimately retaining customers. If we are unable to effectively assist our customers, it could adversely affect our ability to retain existing customers and could disincentivize prospective customers from adopting our products. The resources we dedicate to customer service at a particular time may prove insufficient, such as in the event we are unable to respond quickly enough to accommodate short-term increases in demand for customer support. We also may be unable to modify the nature, scope and delivery of our customer support in order to compete with changes in the support services provided by our competitors. Our sales are highly dependent on our business reputation and on positive recommendations from our customers. If we are unable to provide high-quality customer support, or if there is a market perception that we do not maintain high-quality customer support, it could erode the trust of current and potential customers and adversely affect our reputation. Moreover, even if we succeed in providing and maintaining high-quality customer support, there is no guarantee that it will generate increased customer usage of our products or lead to long-term or meaningful customer retention.</w:t>
      </w:r>
    </w:p>
    <w:p>
      <w:pPr>
        <w:spacing w:after="0" w:line="19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Customer usage of our products depends on factors generally outside of our control, so it is difficult to accurately predict customers’ usage levels. Our Dollar-Based Net Expansion Rate may decline for a number of reasons, including if customers are not satisfied with our products and related customer service experience, the value proposition of our products or our ability to meet their needs and expectations, due to reductions in customers’ budgets or as a result of adverse macroeconomic conditions. If we lose customers, or if our customers reduce their usage levels of our products, our business, results of operations and financial condition could be adversely affected.</w:t>
      </w:r>
    </w:p>
    <w:p>
      <w:pPr>
        <w:spacing w:after="0" w:line="179" w:lineRule="exact"/>
        <w:rPr>
          <w:sz w:val="20"/>
          <w:szCs w:val="20"/>
          <w:color w:val="auto"/>
        </w:rPr>
      </w:pPr>
    </w:p>
    <w:p>
      <w:pPr>
        <w:ind w:right="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or increase usage of our products by existing customers effectively and in a cost-efficient manner, our business, results of operations and financial condition would be adversely affected.</w:t>
      </w:r>
    </w:p>
    <w:p>
      <w:pPr>
        <w:spacing w:after="0" w:line="159" w:lineRule="exact"/>
        <w:rPr>
          <w:sz w:val="20"/>
          <w:szCs w:val="20"/>
          <w:color w:val="auto"/>
        </w:rPr>
      </w:pPr>
    </w:p>
    <w:p>
      <w:pPr>
        <w:ind w:firstLine="486"/>
        <w:spacing w:after="0" w:line="273" w:lineRule="auto"/>
        <w:rPr>
          <w:sz w:val="20"/>
          <w:szCs w:val="20"/>
          <w:color w:val="auto"/>
        </w:rPr>
      </w:pPr>
      <w:r>
        <w:rPr>
          <w:rFonts w:ascii="Times New Roman" w:cs="Times New Roman" w:eastAsia="Times New Roman" w:hAnsi="Times New Roman"/>
          <w:sz w:val="17"/>
          <w:szCs w:val="17"/>
          <w:color w:val="auto"/>
        </w:rPr>
        <w:t>To grow our business, we must continue to attract new customers, increase usage of our existing products and new product adoption by existing customers, and successfully market new products, including products with higher gross margins, and do so in a cost-effective manner. Our sales and marketing teams work closely together to drive awareness and adoption of our platform. We leverage our brand, marketing programs and conferences, such as SIGNAL, to expand our go-to-market motions. Our go-to-market model has three motions: our self-service platform, primarily aimed at developers and other technical customers; our direct sales motion, primarily aimed at enterprises and other organizations with complex, high-scale business needs; and our partner-led motion, including resellers, distributors, and strategic partners, such as ISVs, technology partners and systems integrators, which is primarily aimed at customers who do not have the available developer resources or expertise to build our products into their own applications.</w:t>
      </w:r>
    </w:p>
    <w:p>
      <w:pPr>
        <w:spacing w:after="0" w:line="198"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sales and marketing strategies, and their effectiveness, are influenced by numerous factors. We have made, and may in the future make, changes to the organization of our sales force and sales motions in response to changes in company strategy, new market opportunities, new products or features, sales performance or effectiveness, changes in sales headcount, changes to the compensation structure of our sales organization, or other factors. Such changes may not lead to wider adoption of our products or to the cost-effective acquisition of additional customers or increased revenue from existing customers as quickly or to the extent we expect, or at all, and have resulted, and may in the future result, in a reduction of productivity, which could negatively impact our growth rate and results of operations. For example, we are focusing increasingly on solution selling and platform services. We are focused on driving efficiencies in our sales operations, and are continuing to improve and rely increasingly on our self-service capabilities to drive sales to customers that do not require direct account coverage. We are also utilizing AI and automation in our self-service platform aimed at improving sales and customer support. In addition, we recently introduced a unified Twilio Console designed in part to streamline and facilitate initial onboarding and multi-product adoption. These efforts may not continue to be as effective as we anticipate in driving adoption or increased usage of our products, or may take longer than we expect to drive growth or increase efficiency. In addition, if the costs of the marketing channels we use increase, then we may choose to use alternative or less expensive channels, which may not be as effective as the channels we currently use.</w:t>
      </w:r>
    </w:p>
    <w:p>
      <w:pPr>
        <w:spacing w:after="0" w:line="21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New products that we develop or markets that we pursue may require increasingly sophisticated and more costly sales efforts and result in longer sales cycles. For example, in recent years, we have expanded efforts to increase the adoption of our products by enterprises. For enterprises, the decision to adopt our products may require the approval of multiple technical and business decision makers, and enterprise customers may require extensive education about our products and significant customer support before they will commit to deploying our products at scale, which may place additional strain on our product and engineering resources. Enterprises may also engage in protracted pricing and contract negotiations, leading to higher costs and longer sales cycles. Enterprise customers may not use our products enough for us to generate revenue that justifies our cost to obtain such customers, or may choose to develop their own solutions that do not include our products. They may also demand reductions in pricing as their usage of our products increases, notwithstanding increased costs incurred by us to provide such products, which could have an adverse impact on our gross margin.</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We are focused on serving as a foundational infrastructure layer for the AI era. If our efforts to increase the adoption and usage of our products or sell additional products to existing customers are less effective or more expensive or time-consuming than we expect, including as a result of the rapidly evolving AI landscape, then our business, results of operations and financial condition would be adversely affected.</w:t>
      </w:r>
    </w:p>
    <w:p>
      <w:pPr>
        <w:spacing w:after="0" w:line="172" w:lineRule="exact"/>
        <w:rPr>
          <w:sz w:val="20"/>
          <w:szCs w:val="20"/>
          <w:color w:val="auto"/>
        </w:rPr>
      </w:pPr>
    </w:p>
    <w:p>
      <w:pPr>
        <w:ind w:right="5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new products or product enhancements that achieve market acceptance, or adapt and respond effectively to rapidly changing technology, regulations, industry standards, or customer needs and preferences.</w:t>
      </w:r>
    </w:p>
    <w:p>
      <w:pPr>
        <w:spacing w:after="0" w:line="15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large part on our ability to enhance and improve our existing products and to introduce compelling new products and enhancements. Our platform and products must reflect and respond to dynamic markets, technology, industry standards, and customer needs and preferences. We allocate significant resources to product development without any guarantee that these investments will result in increased adoption of our products by current and prospective customers. For example, we have committed, and expect to continue to commit, significant resources towards developing new products and enhancements by combining our communications products with contextual data and AI. The success of any enhancements or new products depends on several factors, including timely completion, adequate quality testing, actual performance quality, market-accepted pricing levels, customer value and the ability to provide rapid time-to-value for our customers, and the emergence of competing products and services that may be delivered at lower prices, more efficiently, conveniently or securely, or render our products obsolete. For example, if user authentication practices evolve to reduce or eliminate the use of one-time passwords, our revenue could be adversely affected.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profits. Furthermore, our ability to increase the usage of our products depends, in part, on the development of new use cases for our products, which is at times driven by our developer community and may be outside of our control.</w:t>
      </w:r>
    </w:p>
    <w:p>
      <w:pPr>
        <w:spacing w:after="0" w:line="187" w:lineRule="exact"/>
        <w:rPr>
          <w:sz w:val="20"/>
          <w:szCs w:val="20"/>
          <w:color w:val="auto"/>
        </w:rPr>
      </w:pPr>
    </w:p>
    <w:p>
      <w:pPr>
        <w:ind w:right="560" w:firstLine="486"/>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and cost-effectively develop and drive adoption of new products, anticipate and keep pace with changes in technology, customers’ needs and expectations, and industry standards, or provide rapid time-to-value to our current and prospective customers, our business, results of operations and financial condition would be adversely affected.</w:t>
      </w:r>
    </w:p>
    <w:p>
      <w:pPr>
        <w:spacing w:after="0" w:line="172" w:lineRule="exact"/>
        <w:rPr>
          <w:sz w:val="20"/>
          <w:szCs w:val="20"/>
          <w:color w:val="auto"/>
        </w:rPr>
      </w:pPr>
    </w:p>
    <w:p>
      <w:pPr>
        <w:ind w:right="5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products depends, in part, on our ability to integrate them with third-party products used by us or our customers and to ensure that they operate effectively with evolving platforms and technologies.</w:t>
      </w:r>
    </w:p>
    <w:p>
      <w:pPr>
        <w:spacing w:after="0" w:line="15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providers of third-party products with which our products are integrated may modify the features, functionality, pricing, and other terms and conditions with respect to such products in a manner adverse to us and to our customers. If we are unable to maintain the integrations between our products and such third-party products, our ability to meet the needs and expectations of our customers could be adversely affected, which could adversely affect our business. Our platform must integrate with and leverage a variety of infrastructure, network, hardware, mobile and software platforms and technologies, including AI model providers, and we need to continuously modify and enhance our products and platform to adapt to new integrations and changes and innovation in integrated technologies which may present significant complexity, obstacles or other adverse impacts on our products or our business. For example, in 2025 we launched a new channel using Rich Communication Services (“RCS”) and we are working on a channel for Apple Messages for Business. We are also focused on the interoperability of our products across the data ecosystem. Third-party platforms may also implement changes to their policies or practices regarding privacy or other matters that may adversely impact us or our customers. In addition, our network service providers, mobile device operating system providers or inbox service providers may adopt new filtering technologies in an effort to combat spam or robocalling. For example, Apple, Google, Yahoo and other mobile device operating system providers or inbox service providers have developed, and may in the future develop, new applications or functions intended to filter spam and unwanted phone calls, messages or emails. Such technologies may inadvertently filter desired messages or calls to or from our customers. If mobile device operating system providers, inbox service providers or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respond to these changes in a cost-effective manner, our products may become less marketable and less competitive or obsolete, and our business, results of operations and financial condition could be adversely affected.</w:t>
      </w:r>
    </w:p>
    <w:p>
      <w:pPr>
        <w:spacing w:after="0" w:line="158" w:lineRule="exact"/>
        <w:rPr>
          <w:sz w:val="20"/>
          <w:szCs w:val="20"/>
          <w:color w:val="auto"/>
        </w:rPr>
      </w:pPr>
    </w:p>
    <w:p>
      <w:pPr>
        <w:ind w:right="7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and strategic changes to our business, then our business, results of operations and financial condition could be adversely affected.</w:t>
      </w:r>
    </w:p>
    <w:p>
      <w:pPr>
        <w:spacing w:after="0" w:line="15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have experienced substantial growth in our business and operations, which has placed, and may continue to place, significant demands on our management, operational and financial resources and systems, especially as we continue to focus on improving our operating efficiency. Although we have conducted workforce reductions in the past, we may experience employee growth in the future. We have also experienced significant growth in the number of customers, usage and amount of data that our platform and associated infrastructure support. To manage our current and anticipated future growth effectively, we must continue to improve our operational, financial and management controls as well as our reporting systems and procedures, which has required, and will continue to require, us to commit substantial financial, operational, and technical resources.</w:t>
      </w:r>
    </w:p>
    <w:p>
      <w:pPr>
        <w:spacing w:after="0" w:line="214" w:lineRule="exact"/>
        <w:rPr>
          <w:sz w:val="20"/>
          <w:szCs w:val="20"/>
          <w:color w:val="auto"/>
        </w:rPr>
      </w:pPr>
    </w:p>
    <w:p>
      <w:pPr>
        <w:ind w:right="260" w:firstLine="486"/>
        <w:spacing w:after="0" w:line="258" w:lineRule="auto"/>
        <w:rPr>
          <w:sz w:val="20"/>
          <w:szCs w:val="20"/>
          <w:color w:val="auto"/>
        </w:rPr>
      </w:pPr>
      <w:r>
        <w:rPr>
          <w:rFonts w:ascii="Times New Roman" w:cs="Times New Roman" w:eastAsia="Times New Roman" w:hAnsi="Times New Roman"/>
          <w:sz w:val="18"/>
          <w:szCs w:val="18"/>
          <w:color w:val="auto"/>
        </w:rPr>
        <w:t>We continue to scale the capacity of, and enhance the capability and reliability of, our technical infrastructure to support increased activity on our platform. Any failure to maintain performance, reliability, security, integrity and availability of our products and infrastructure to the satisfaction of our customers may harm our reputation and our ability to retain existing customers or attract new customers. If we fail to efficiently scale and manage our infrastructure, or if our customers experience service disruptions or outages, our business, financial condition and operating results may be adversely impacted.</w:t>
      </w:r>
    </w:p>
    <w:p>
      <w:pPr>
        <w:spacing w:after="0" w:line="179" w:lineRule="exact"/>
        <w:rPr>
          <w:sz w:val="20"/>
          <w:szCs w:val="20"/>
          <w:color w:val="auto"/>
        </w:rPr>
      </w:pPr>
    </w:p>
    <w:p>
      <w:pPr>
        <w:ind w:right="2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and prospective markets for our products are intensely competitive and rapidly evolving, and if we do not compete effectively or if these markets fail to grow as expected, our business, results of operations and financial condition could be harmed.</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current and prospective markets for our products are rapidly evolving, significantly fragmented and highly competitive, in some cases with relatively low barriers to entry, and may fail to grow as expected or decline over time. The principal competitive factors of these markets include completeness of offering, credibility with customers, ability to differentiate our products against competing offerings, global reach, ease of integration and programmability, product features, platform scalability, reliability, deliverability, security and performance, brand awareness and reputation, the strength of sales and marketing efforts, customer support, and the cost of deploying and using products, as well as our customers’ perception of the value and necessity of our products and platform. Our competitors are primarily (i) CPaaS companies that offer communications products and applications, (ii) regional network service providers that offer limited developer functionality on top of their own physical infrastructure, (iii) customer relationship management and customer experience vendors, (iv) standalone customer data platform vendors and (v) other software companies that compete with portions of our product line.</w:t>
      </w:r>
    </w:p>
    <w:p>
      <w:pPr>
        <w:spacing w:after="0" w:line="18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Some of our competitors and potential competitors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have in the past and may in the future develop and market products and services with comparable functionality to our products, and this could lead us to decrease prices in order to remain competitive. In addition, customers may reduce or delay spending on our products or substitute alternative solutions in response to pricing pressures, budget constraints or changing business priorities.</w:t>
      </w:r>
    </w:p>
    <w:p>
      <w:pPr>
        <w:spacing w:after="0" w:line="19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With the introduction of new products and services and new market entrants, we expect competition to intensify in the future. Industry developments and evolving technology, such as AI, may also impact our competitive landscape and the factors required to compete effectively in current or prospective markets. Our ability to grow will depend in part on our success in expanding the scope of our products and entering new markets, and there can be no assurance that the markets will grow or that our products will achieve meaningful adoption within them.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 effectively. For example, certain of our competitors have engaged in acquisition activity, and we expect that our competitors will continue to evaluate the acquisition of companies and technologies that could increase competition with our products in the future. In addition, some of our competitors have lower list prices than us, which may be attractive to certain customers even if those products have different or lesser functionality. Pricing pressures and increased competition generally could result in</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reduced revenue, reduced margins, increased losses or the failure of our products to achieve or maintain widespread market acceptance, any of which could harm our business, results of operations and financial condition.</w:t>
      </w:r>
    </w:p>
    <w:p>
      <w:pPr>
        <w:spacing w:after="0" w:line="16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also depend, in part, on our ability to establish, maintain and expand relationships through resellers, distributors, and strategic partners, including ISVs, technology partners and systems integrators. A portion of our revenue is derived from sales made by these partners and any one of them may later decide to sell their own products or those of third parties that may be competitive with our products. A loss or reduction in sales of our products through these third parties could adversely affect our revenue and other results of operations.</w:t>
      </w:r>
    </w:p>
    <w:p>
      <w:pPr>
        <w:spacing w:after="0" w:line="176" w:lineRule="exact"/>
        <w:rPr>
          <w:sz w:val="20"/>
          <w:szCs w:val="20"/>
          <w:color w:val="auto"/>
        </w:rPr>
      </w:pPr>
    </w:p>
    <w:p>
      <w:pPr>
        <w:ind w:right="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performance in recent periods may not be indicative of future performance, and we may not be able to maintain profitability in the future.</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achieved net income of $33.8 million in the year ended December 31, 2025. However, we incurred net losses in each preceding year since our inception. Our past performance for any quarterly or annual period should not be relied upon as an indication of our performance for any future period. If we are unable to generate and sustain increased revenue levels and manage our operating expenses, we may not achieve and sustain profitability and, even if we do, we may not be able to increase our level of profitability or achieve our stated profitability goals. As we implement additional initiatives to increase revenue, our operating expenses may continue to rise over the long term, potentially including, among other things: investments in our engineering team; improvements in security and data protection; the development of new products, features and functionality and enhancements to our platform, including computing costs associated with AI; sales and marketing; expansion of our operations and infrastructure, both domestically and internationally; and general administration, including legal, accounting and other expenses related to being a public company. Our efforts to grow our business may be more costly than we expect, and if our revenue growth does not meet estimates, we may not be able to offset our associated operating expenses, which could prevent us from sustaining profitability, or maintaining or increasing cash flow. We may incur significant losses in the future for a number of reasons, including the other risks described herein, and unforeseen expenses, difficulties, complications and delays and other unknown events. If we are unable to sustain profitability, or if we incur significant losses, the value of our business and common stock may significantly decrease.</w:t>
      </w:r>
    </w:p>
    <w:p>
      <w:pPr>
        <w:spacing w:after="0" w:line="186" w:lineRule="exact"/>
        <w:rPr>
          <w:sz w:val="20"/>
          <w:szCs w:val="20"/>
          <w:color w:val="auto"/>
        </w:rPr>
      </w:pPr>
    </w:p>
    <w:p>
      <w:pPr>
        <w:ind w:right="3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largely on the continued services of highly skilled personnel, including our senior management and other key employees, and the inability to attract, integrate or retain such employees could adversely affect our business, results of operations and financial condition.</w:t>
      </w:r>
    </w:p>
    <w:p>
      <w:pPr>
        <w:spacing w:after="0" w:line="15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contributions of highly skilled personnel, including our senior management and other key employees, to execute on our business plan, to develop our products and platform, to deliver our products to customers, to attract and retain customers and to identify and pursue opportunities to expand our business. We believe that there is, and will continue to be, intense competition for highly skilled management, technical, sales and other employees with experience in our industry. In addition, we have experienced and may in the future experience employee attrition, which could significantly delay or prevent the achievement of our business objectives, and any resulting influx of new employees may require us to expend time, attention and resources to recruit and retain employees, restructure parts of our organization and train and integrate new personnel. If we fail to effectively manage attrition, and to hire, integrate and adequately incentivize our personnel, our efficiency and ability to meet our financial and operational targets, as well as our corporate culture, employee morale, productivity and retention, could suffer, and our business and operating results would be adversely impacted.</w:t>
      </w:r>
    </w:p>
    <w:p>
      <w:pPr>
        <w:spacing w:after="0" w:line="18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Any of our executive officers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any loss of services of any such key employee for any reason could significantly delay or prevent the achievement of our business objectives and our financial and operational targets, and could adversely affect our business, results of operations and financial condition.</w:t>
      </w:r>
    </w:p>
    <w:p>
      <w:pPr>
        <w:spacing w:after="0" w:line="18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Additionally, we have implemented several reductions in workforce and efforts to restructure our business in the past and may in the future implement other reductions in force. Our reductions in force may result in unintended consequences, including employee attrition beyond the intended reduction in force, damage to our corporate culture and decreased employee morale among remaining employees, diversion of management attention, damage to our reputation as an employer, which could make it more difficult for us to hire new employees in the future, delays in meeting our financial and operational targets, and the loss of institutional knowledge and expertise of departing employees.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The labor market for our business is subject to external factors that are beyond our control, including our industry’s highly competitive market for skilled workers and leaders. We must provide competitive compensation packages and a high-quality work environment to hire, retain and motivate employees. Volatility in, or the actual or perceived lack of performance of, our stock price may affect our ability to attract, motivate and retain key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w:t>
      </w:r>
    </w:p>
    <w:p>
      <w:pPr>
        <w:spacing w:after="0" w:line="183"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and increase market awareness of our company and products, then our business, results of operations and financial condition may be adversely affected.</w:t>
      </w:r>
    </w:p>
    <w:p>
      <w:pPr>
        <w:spacing w:after="0" w:line="15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increasing market awareness of our company and products, particularly among developers and enterprises, is critical to achieving widespread acceptance of our platform, to strengthening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18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promotion of our brand also requires us to make substantial expenditures, and we anticipate that these expenditures will increase as our markets become more competitive and as we expand into new markets. To the extent that these activities increase revenue, this revenue still may not be enough to offset the increased expenses we incur.</w:t>
      </w:r>
    </w:p>
    <w:p>
      <w:pPr>
        <w:spacing w:after="0" w:line="172" w:lineRule="exact"/>
        <w:rPr>
          <w:sz w:val="20"/>
          <w:szCs w:val="20"/>
          <w:color w:val="auto"/>
        </w:rPr>
      </w:pPr>
    </w:p>
    <w:p>
      <w:pPr>
        <w:ind w:right="2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deliver our products, we rely on network service providers and internet service providers for our network service and connectivity, and disruption or deterioration in the quality of these services or changes in provider fees that we pay in connection with the delivery of communications on our platform could adversely affect our business, results of operations and financial condition.</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interconnect with fixed and mobile network service providers around the world to deliver our products. Although we have, or are in the process of acquiring, authorization to provide voice and messaging services and for direct access to phone numbers in many countries, we expect to continue to rely to some extent on network service providers for these services. Reliance on network service providers subjects us to regulatory, competitive and other industry related changes over which we have little or no control. In addition, our reliance on network service providers subjects us to fees, penalties, administrative and technical requirements, each of which are subject to change. Similarly, in some cases, we utilize intermediaries for direct access to networks. Although we have, or are in the process of securing, direct connections with network service providers in many countries, we expect to continue to rely on intermediaries for these services to some extent. These intermediaries also charge us changing fees and at times have offerings that compete directly with our products. We also interconnect with internet service providers around the world to deliver our email products, and expect to continue to rely on such providers.</w:t>
      </w:r>
    </w:p>
    <w:p>
      <w:pPr>
        <w:spacing w:after="0" w:line="21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Reliance on these providers poses risks to the quality of our services, primarily by limiting our control, operating flexibility, and ability to timely identify and respond to necessary service changes, and by subjecting us to service interruptions or outages. Reliance on such providers in the past has caused, and may in the future cause, errors, service outages, security incidents, or poor-quality communications on our products, and we could encounter difficulty identifying the source of the problem. This has in the past, and may in the future, cause harm to our brand, result in lost revenue, and cause us to lose existing and prospective customers.</w:t>
      </w:r>
    </w:p>
    <w:p>
      <w:pPr>
        <w:spacing w:after="0" w:line="210"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fees we pay to these providers also subject us to risks. We are exposed to significant fluctuations in applicable fees paid to network service providers, intermediaries, and internet service providers. These fees are outside of our control and we are not able to predict the magnitude or timing of changes to such fees. Additional or increased fees charged by such providers have resulted, and could in the future result, in increases to our costs and other impacts on our financial results. For example, recent increases to A2P messaging fees charged by major U.S. mobile carriers create a headwind on our margins, and such fees may increase further over time. In some markets, fees charged by our network service providers change daily or weekly. We may not be able to change our customer pricing as rapidly, and absorbing these costs could adversely affect our business and results of operations. Further, even when we do pass fee increases through to customers, it typically increases revenue and cost of revenue such that while gross profit dollars are not impacted, it has a negative impact on gross margins. While historically we have responded to many fee increases through negotiating efforts, absorbing increased costs or passing fees through to customers, we may be unable to respond in these ways in the future without a material negative impact to customer demand and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Our ability to respond to fee increases may also be constrained by equivalent increases by other providers in a particular market, fees that are disproportionately large compared to underlying prices paid by our customers, or market or other conditions limiting our ability to increase the prices we charge for our products.</w:t>
      </w:r>
    </w:p>
    <w:p>
      <w:pPr>
        <w:spacing w:after="0" w:line="203"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also face risks related to losing access to these services. Many of these providers do not have long-term committed contracts with us and may interrupt services or terminate their agreements with us without notice. We may not be able to replace these services on a cost-effective basis, or at all, and even if we can, replacing providers may be time-consuming, costly and result in delays.</w:t>
      </w:r>
    </w:p>
    <w:p>
      <w:pPr>
        <w:spacing w:after="0" w:line="203"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Any of the foregoing consequences of our reliance on network service providers, intermediaries and internet service providers to deliver our products could adversely impact our business, results of operations and financial condition.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Failure to set optimal prices for our products could adversely impact our business, results of operations and financial condition.</w:t>
      </w:r>
    </w:p>
    <w:p>
      <w:pPr>
        <w:spacing w:after="0" w:line="25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face risks associated with optimally pricing our products, particularly given the dynamic nature of our usage-based pricing. The fees that we pay to network service providers can vary, in some markets daily or weekly, differ across countries, and are affected by volume and other factors that may be outside of our control and which are difficult to predict. As a result, we may incur increased costs that we may be unable or unwilling to pass through to our customers. If we do pass increased fees through to our customers, it could adversely affect customer relationships and demand or cause customers to seek lower-cost alternatives.</w:t>
      </w:r>
    </w:p>
    <w:p>
      <w:pPr>
        <w:spacing w:after="0" w:line="210" w:lineRule="exact"/>
        <w:rPr>
          <w:sz w:val="20"/>
          <w:szCs w:val="20"/>
          <w:color w:val="auto"/>
        </w:rPr>
      </w:pPr>
    </w:p>
    <w:p>
      <w:pPr>
        <w:jc w:val="both"/>
        <w:ind w:right="320" w:firstLine="486"/>
        <w:spacing w:after="0" w:line="261" w:lineRule="auto"/>
        <w:rPr>
          <w:sz w:val="20"/>
          <w:szCs w:val="20"/>
          <w:color w:val="auto"/>
        </w:rPr>
      </w:pPr>
      <w:r>
        <w:rPr>
          <w:rFonts w:ascii="Times New Roman" w:cs="Times New Roman" w:eastAsia="Times New Roman" w:hAnsi="Times New Roman"/>
          <w:sz w:val="18"/>
          <w:szCs w:val="18"/>
          <w:color w:val="auto"/>
        </w:rPr>
        <w:t>We periodically adjust the pricing for our products and expect to continue to. Many of our usage-based customers have contracts with negotiated pricing, and our subscription contracts also have negotiated pricing. New products or price reductions by competitors may prevent us from retaining or attracting customers based on our historical pricing, and we may otherwise be required or choose to reduce our pricing. Any such price reductions, lost customers, or other failure to optimize our pricing could adversely impact our business, results of operations and financial condition.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inherent in global operations.</w:t>
      </w:r>
    </w:p>
    <w:p>
      <w:pPr>
        <w:spacing w:after="0" w:line="229"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2026 and the years ended December 31, 2025 and 2024, we derived 36%, 36% and 35% of our revenue from customer accounts located outside the United States, respectively. The future success of our business will depend, in part, on our ability to strategically maintain and expand our customer base worldwide. Operating in international markets requires significant resources and management attention and subjects us to regulatory, economic and political risks in addition to those we face in the United States.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face risks in doing business internationally that could adversely affect our business, including:</w:t>
      </w:r>
    </w:p>
    <w:p>
      <w:pPr>
        <w:spacing w:after="0" w:line="225" w:lineRule="exact"/>
        <w:rPr>
          <w:sz w:val="20"/>
          <w:szCs w:val="20"/>
          <w:color w:val="auto"/>
        </w:rPr>
      </w:pPr>
    </w:p>
    <w:p>
      <w:pPr>
        <w:ind w:left="980" w:hanging="324"/>
        <w:spacing w:after="0" w:line="261"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managing and staffing international operations and the increased operations, travel and infrastructure and other costs associated with servicing international customers and operating numerous international locations, including collecting accounts receivable and having longer payment cycles, higher or more variable network service provider fees and other costs associated with the need to adapt and localize our products and support for foreign countries;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global competition affecting our ability to effectively price our products in competitive international markets;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reconciling technical controls to address different technical standards, data privacy, data protection and telecommunications regulations, and registration and certification requirements outside the United States, which could prevent customers from deploying our products or limit their usage;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regulations, customs and industry standards in countries and other regions in which we operate or do business, and the associated costs and management attention required to support such compliance, including with respect to data privacy, data protection, data localization, cybersecurity, intellectual property rights, environmental and sustainability matters, as well as export controls, sanctions, anti-bribery and anti-corruption matters;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tax and trade policies, tariffs, and other non-tariff barriers;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right="16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 regulations, which might restrict or prohibit our conversion of other currencies into U.S. dollars;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and</w:t>
      </w:r>
    </w:p>
    <w:p>
      <w:pPr>
        <w:spacing w:after="0" w:line="22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spacing w:after="0" w:line="176"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Also, due to costs from our international operations and network service provider fees outside of the United States, which generally are higher than domestic rates, our gross margin for messages terminating internationally is typically lower than our gross margin for messages terminating domestically. As a result, our gross margin has been, and may continue to be, adversely impacted by our international operations. If we, or our international business partners, fail to manage any of these risks successfully, it could harm our international operations and adversely affect our business, results of operations and financial condition.</w:t>
      </w:r>
    </w:p>
    <w:p>
      <w:pPr>
        <w:spacing w:after="0" w:line="179" w:lineRule="exact"/>
        <w:rPr>
          <w:sz w:val="20"/>
          <w:szCs w:val="20"/>
          <w:color w:val="auto"/>
        </w:rPr>
      </w:pPr>
    </w:p>
    <w:p>
      <w:pPr>
        <w:ind w:right="5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potential benefits from our acquisitions, partnerships and investments because of difficulties related to integration, the achievement of synergies, and other challenges.</w:t>
      </w:r>
    </w:p>
    <w:p>
      <w:pPr>
        <w:spacing w:after="0" w:line="159" w:lineRule="exact"/>
        <w:rPr>
          <w:sz w:val="20"/>
          <w:szCs w:val="20"/>
          <w:color w:val="auto"/>
        </w:rPr>
      </w:pPr>
    </w:p>
    <w:p>
      <w:pPr>
        <w:ind w:right="200" w:firstLine="486"/>
        <w:spacing w:after="0" w:line="255" w:lineRule="auto"/>
        <w:rPr>
          <w:sz w:val="20"/>
          <w:szCs w:val="20"/>
          <w:color w:val="auto"/>
        </w:rPr>
      </w:pPr>
      <w:r>
        <w:rPr>
          <w:rFonts w:ascii="Times New Roman" w:cs="Times New Roman" w:eastAsia="Times New Roman" w:hAnsi="Times New Roman"/>
          <w:sz w:val="18"/>
          <w:szCs w:val="18"/>
          <w:color w:val="auto"/>
        </w:rPr>
        <w:t>Our success will depend, in part, on our ability to expand our products and grow our business to meet the needs of current and prospective customers. In some circumstances, we may determine to do so through acquisitions, partnerships or investments in businesses and technologies that are complementary to our business. There can be no assurances that such transactions will result in the anticipated benefits, and it is possible that there could be a loss of our key employees and customers, disruption of ongoing businesses or unexpected issues, higher than expected costs, the diversion of management attention and resources from day-to-day business operations and an overall post-completion process that takes longer than originally anticipated. In addition, the following issues, among others, may need to be addressed in order to realize the anticipated benefits of any acquisitions, partnerships or investments:</w:t>
      </w:r>
    </w:p>
    <w:p>
      <w:pPr>
        <w:spacing w:after="0" w:line="189"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acquired businesses’ corporate functions with our corporate functions;</w:t>
      </w:r>
    </w:p>
    <w:p>
      <w:pPr>
        <w:spacing w:after="0" w:line="22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acquired businesses with our existing business in a manner that permits us to achieve the synergies anticipated to result from such acquisitions, the failure of which would result in the anticipated benefits of our acquisitions not being realized in the time frame currently anticipated or at all;</w:t>
      </w:r>
    </w:p>
    <w:p>
      <w:pPr>
        <w:spacing w:after="0" w:line="175" w:lineRule="exact"/>
        <w:rPr>
          <w:rFonts w:ascii="Times New Roman" w:cs="Times New Roman" w:eastAsia="Times New Roman" w:hAnsi="Times New Roman"/>
          <w:sz w:val="18"/>
          <w:szCs w:val="18"/>
          <w:color w:val="auto"/>
        </w:rPr>
      </w:pPr>
    </w:p>
    <w:p>
      <w:pPr>
        <w:ind w:left="980" w:right="72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agreements with customers, distributors, providers, talent and vendors and avoiding delays in entering into new agreements with prospective customers, distributors, providers, talent and vendors;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and how to address possible differences in corporate cultures and management philosophies;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product, compliance, administrative and IT infrastructure;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products and technology that allow value to be unlocked in the future;</w:t>
      </w:r>
    </w:p>
    <w:p>
      <w:pPr>
        <w:spacing w:after="0" w:line="225"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significant, nonrecurring costs to integrate our operations with those of acquired businesses, including the costs to maintain employee morale and retain key employees;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forecasting the financial impact of such acquisitions, partnerships and investments, including accounting charges;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potential actions that may be required in connection with obtaining regulatory approvals.</w:t>
      </w:r>
    </w:p>
    <w:p>
      <w:pPr>
        <w:spacing w:after="0" w:line="22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also divest or stop investing in certain businesses or products. The sale of a business or product has in the past and may in the future require us to restructure operations and/or terminate employees and could expose us to unanticipated ongoing obligations and liabilities, including as a result of our indemnification obligations. During the pendency of a divestiture, we may be subject to risks related to a decline in the business, loss of employees, customers, or suppliers, and that the transaction may not close, which could have an adverse effect on the business to be divested and on us.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Divestitures or winding down businesses or products can also disrupt our customer, supplier and/or employee relationships and divert the time and attention of our management and employees. Additionally, we may experience harm to our financial results, including loss of revenue, and we may not realize the expected benefits and cost savings of these actions and our operating results may be adversely impacted.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Cybersecurity, Data Privacy, AI and Intellectual Property</w:t>
      </w:r>
    </w:p>
    <w:p>
      <w:pPr>
        <w:spacing w:after="0" w:line="225" w:lineRule="exact"/>
        <w:rPr>
          <w:sz w:val="20"/>
          <w:szCs w:val="20"/>
          <w:color w:val="auto"/>
        </w:rPr>
      </w:pPr>
    </w:p>
    <w:p>
      <w:pPr>
        <w:ind w:right="4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Breaches of or other incidents impacting our networks or systems, or those of our service providers and broader supply chain, could degrade our ability to conduct our business, compromise the integrity of our products, platform and data, result in significant loss or unavailability of data and the theft of our intellectual property, damage our reputation, expose us to liability to third parties and require us to incur significant additional costs to maintain the security of our networks and data.</w:t>
      </w:r>
    </w:p>
    <w:p>
      <w:pPr>
        <w:spacing w:after="0" w:line="207"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depend upon our IT systems to conduct virtually all of our business operations, ranging from our internal operations and research and development activities to our marketing and sales efforts and communications with our customers, vendors and other business partners. Moreover, our platform stores, transmits, and otherwise processes our, our customers’ and our partners’ proprietary, confidential, and sensitive data. We also rely on various third-party service providers – including network service providers, internet service providers, telecommunications carriers, and providers of cloud infrastructure and cloud communications – for business operations, to operate our platform and to deliver our products, as well as third-party technology and intellectual property.</w:t>
      </w:r>
    </w:p>
    <w:p>
      <w:pPr>
        <w:spacing w:after="0" w:line="21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been targeted by threat actors seeking unauthorized access to our systems or data, or that of our customers or service providers, or to disrupt our operations or ability to provide our services. Our service providers and broader supply chain have also been targeted, and incidents involving such other parties can also result in unauthorized access or disruptions to our or our customers’ systems or data. Our platform and our underlying infrastructure, the information we store and process, and those of others in our supply chain, are subject to evolving threats and have in the past and may in the future be subject to breaches, compromises, disruptions, or other incidents, including as a result of the following:</w:t>
      </w:r>
    </w:p>
    <w:p>
      <w:pPr>
        <w:spacing w:after="0" w:line="183" w:lineRule="exact"/>
        <w:rPr>
          <w:sz w:val="20"/>
          <w:szCs w:val="20"/>
          <w:color w:val="auto"/>
        </w:rPr>
      </w:pPr>
    </w:p>
    <w:p>
      <w:pPr>
        <w:ind w:left="980" w:right="12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social-engineering attacks (such as phishing) and other third-party attempts to induce our employees, customers or partners to disclose sensitive information to gain access to our customers’ data or systems, or our data or our systems;</w:t>
      </w:r>
    </w:p>
    <w:p>
      <w:pPr>
        <w:spacing w:after="0" w:line="161"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hackers or sophisticated groups, such as criminal organizations, state-sponsored organizations or nation-states, to launch coordinated cyberattacks on internally built infrastructure or on third-party cloud-computing platform providers, including malicious code, ransomware, destructive malware, supply chain attacks and distributed denial-of-service attacks;</w:t>
      </w:r>
    </w:p>
    <w:p>
      <w:pPr>
        <w:spacing w:after="0" w:line="17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attempts to abuse our marketing, advertising, messaging or products and functionalities to impersonate persons or organizations and disseminate information that is false, misleading or malicious;</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attacks on, malfunctions or unavailability of, or other vulnerabilities in, the underlying networks and services that power the internet or that our products otherwise depend on, many of which are not under our control or the control of our customers or partners;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attacks facilitated or enhanced by AI, including agentic AI and deep fakes; and</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fraud, misconduct or error, including resulting from efforts to bribe, extort, infiltrate or otherwise compromise our or our service providers’ workforce.</w:t>
      </w:r>
    </w:p>
    <w:p>
      <w:pPr>
        <w:spacing w:after="0" w:line="18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Cyberattacks and other malicious activity continue to become more sophisticated, targeted and inexpensive to conduct, and to increase in frequency and magnitude, particularly through the use of AI. These include ransomware and cyber extortion attacks, which can lead to significant interruptions in our operations, loss of data and income, reputational harm, and diversion of funds. Extortion payments may reduce the negative impact of a ransomware attack, but we may be unwilling or unable to make such payments, such as due to applicable laws or regulations prohibiting such payments. Geopolitical tensions and events may further heighten risks we and our service providers face from breaches and other incidents.</w:t>
      </w:r>
    </w:p>
    <w:p>
      <w:pPr>
        <w:spacing w:after="0" w:line="210"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We make, and expect to continue to make, significant investments in processes and controls designed to mitigate risks associated with breaches and other incidents, including to evaluate and respond to known and potential risks. These investments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are, and could increasingly be, costly, and may not be effective or prevent a material incident. Our ability to effectively mitigate these risks may be impacted by, among other factors:</w:t>
      </w:r>
    </w:p>
    <w:p>
      <w:pPr>
        <w:spacing w:after="0" w:line="162"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AI to rapidly and more effectively discover and exploit vulnerabilities;</w:t>
      </w:r>
    </w:p>
    <w:p>
      <w:pPr>
        <w:spacing w:after="0" w:line="225" w:lineRule="exact"/>
        <w:rPr>
          <w:rFonts w:ascii="Times New Roman" w:cs="Times New Roman" w:eastAsia="Times New Roman" w:hAnsi="Times New Roman"/>
          <w:sz w:val="18"/>
          <w:szCs w:val="18"/>
          <w:color w:val="auto"/>
        </w:rPr>
      </w:pPr>
    </w:p>
    <w:p>
      <w:pPr>
        <w:ind w:left="980" w:right="400" w:hanging="324"/>
        <w:spacing w:after="0" w:line="26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rapidly evolving nature of techniques to breach, compromise, or disrupt IT systems and infrastructure, including increasing use of AI technologies, such that we may not be able to recognize such techniques until launched against a target, or anticipate, prevent, or timely respond to them, increasing the likelihood and magnitude of damage of a breach or other incident;</w:t>
      </w:r>
    </w:p>
    <w:p>
      <w:pPr>
        <w:spacing w:after="0" w:line="17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complexity of our internal IT systems, including as we adopt new technologies, including AI solutions, and incorporate and secure IT environments from acquired companies;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technology and service providers; and</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control over customers and third-party providers (including those authorized by customers to access their data) and the processing of data by third-party providers, which may prevent us from maintaining the integrity or security of such data.</w:t>
      </w:r>
    </w:p>
    <w:p>
      <w:pPr>
        <w:spacing w:after="0" w:line="18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In the normal course of business, we experience, and have experienced, cyberattacks and other security incidents, which have in the past and may in the future cause harm to our business. For example, in 2022, one such incident resulted in threat actors obtaining employee credentials and accessing customer data, and required us to notify affected customers and regulators and take steps to remediate the incident. While to date the security events we have experienced have not had a material financial impact, we may experience significant and material future incidents. Any security incident can result in loss, corruption, unavailability, or other unauthorized processing of confidential information or sensitive personal information. Any such event, or the perception that it has occurred, may also result in damage to our reputation, erosion of customer trust, loss of customers, litigation, regulatory investigation, fines, penalties, and other consequences and liabilities that could adversely affect our business, results of operations and financial condition. Laws and regulations require us to maintain security measures, and we may have contractual or other legal obligations to notify customers, government agencies, impacted individuals or other relevant stakeholders of security breaches or other incidents, which disclosures are costly and may cause widespread negative publicity and resulting harm, among other adverse consequences. Further, the detection, prevention, and remediation of known and potential security incidents, including determining whether an incident is notifiable or reportable, may not be straightforward and result in additional direct or indirect costs to respond or alleviate the consequences of the actual or perceived incident, such as additional infrastructure capacity spending to mitigate system degradation or reallocation of resources from development activities. We maintain errors, omissions and cyber liability insurance policies covering certain security and privacy damages, but such insurance may not be sufficient to cover the potentially significant losses resulting from a security breach or other incident, may be denied with respect to a particular claim, or may not remain available in the future on acceptable terms or at all.</w:t>
      </w:r>
    </w:p>
    <w:p>
      <w:pPr>
        <w:spacing w:after="0" w:line="192" w:lineRule="exact"/>
        <w:rPr>
          <w:sz w:val="20"/>
          <w:szCs w:val="20"/>
          <w:color w:val="auto"/>
        </w:rPr>
      </w:pPr>
    </w:p>
    <w:p>
      <w:pPr>
        <w:ind w:right="4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increasingly stringent laws, regulations and contractual obligations relating to privacy, data protection, AI and cybersecurity could harm our reputation and subject us to significant fines and liability or loss of business.</w:t>
      </w:r>
    </w:p>
    <w:p>
      <w:pPr>
        <w:spacing w:after="0" w:line="186"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are subject to increasing legal, regulatory, and contractual obligations relating to privacy, data protection, AI and cybersecurity that affect how we process personal data in the jurisdictions where we and our customers operate. Our obligations change frequently due to new or modified laws and regulations, as well as court rulings interpreting or invalidating them. These evolving obligations involve significant compliance costs and operational challenges, and increasingly expose us to enforcement actions and other proceedings or actions, sanctions, and litigation, as well as regulatory and public scrutiny of our practices relating to personal information. We expect the increasing breadth and depth, and changing nature of, these obligations to continue to require significant resources, including to review our technology, systems and processes against changing requirements. They may also limit our ability to use personal data for new products, including those relying on AI-related technologies.</w:t>
      </w:r>
    </w:p>
    <w:p>
      <w:pPr>
        <w:spacing w:after="0" w:line="216"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In the United States, for example, the California Consumer Privacy Act (as amended by the California Privacy Rights Act of 2020, the “CCPA”) provides our customers, employees, and other individuals certain rights related to their personal information. The federal government has also proposed, and numerous other states are considering or have proposed and/or enacted, laws and regulations addressing privacy and cybersecurity. Internationally, the regulatory landscape is increasingly complex and fragmented and compliance increasingly financially burdensome. For example, in the European Union (“EU”), the General Data Protection Regulation (“GDPR”) imposes significant requirements regarding the processing of personal</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information, including related to transparency, individuals’ privacy rights, compliance contracting, data minimization, data breach notification, data retention, security, and international data transfers. Other international privacy and data protection laws also impose strict requirements, such as related to marketing communications and deployment of cookies. Together, this patchwork of global requirements presents significant compliance challenges, and subjects us to possible fines, sanctions, litigation, and other adverse consequences. For example, under the GDPR, regulators may impose temporary or definitive bans on data transfers or other processing, require deletion, and impose significant fines, potentially ranging up to 4% of our worldwide revenue.</w:t>
      </w:r>
    </w:p>
    <w:p>
      <w:pPr>
        <w:spacing w:after="0" w:line="21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must also comply with increasing laws and regulations relating to data residency, data localization, and the transfer of data across territorial boundaries, arising from the fact that our primary data processing facilities are in the United States. For example, the GDPR restricts the transfer of personal data from the EU to the United States and other countries that are not deemed to have implemented adequate data protection measures, and other jurisdictions have proposed and enacted laws relating to cross-border data transfer or requiring personal information to be stored in the jurisdiction of origin. We use a variety of legal transfer mechanisms to transfer personal data across borders, including standard contractual clauses and the E.U.-U.S. Data Privacy Framework, whose use is subject to ongoing review and litigation, and we may not be able to continue to rely on these or other transfer mechanisms. As a result of this uncertainty, we have encountered hesitancy, reluctance or refusal by European and multinational customers to use our services. If we are unable to maintain valid mechanisms for cross-border data transfer, we and our customers may face increased exposure to regulatory actions, significant fines, or injunctions against processing or transferring personal information from Europe or elsewhere. Any inability to transfer personal information to the United States or other jurisdictions, or costly restrictions on such transfer, may also limit our ability to collaborate with partners and customers, require us to increase our data processing capabilities in Europe and/or other jurisdictions at significant expense, and/or otherwise negatively impact our business.</w:t>
      </w:r>
    </w:p>
    <w:p>
      <w:pPr>
        <w:spacing w:after="0" w:line="21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Additionally, as a provider of interconnected VoIP services, we must also comply with certain U.S. federal privacy laws and regulations, including Section 222 of the Communications Act of 1934, as amended, and the FCC’s customer proprietary network information rules. We are also subject to state rules and obligations that have been proposed or adopted, or may be in the future. We are also subject to other rapidly changing technology- and industry-specific laws, regulations and obligations. For example, we expect increased global regulation in the use of AI and ML such as the AI Act in Europe, which imposes onerous obligations related to the development, placement on the market and use of AI systems. Various countries and a growing number of U.S. states are also enacting legislation regulating aspects of AI or AI generally. We may need to change our business practices to comply with obligations under these or other new and evolving regimes, and face significant compliance challenges, liability, or other risks.</w:t>
      </w:r>
    </w:p>
    <w:p>
      <w:pPr>
        <w:spacing w:after="0" w:line="216"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also have contractual obligations relating to privacy, data protection and cybersecurity that are increasingly stringent due to related legal and regulatory changes and the expansion of our offerings. For example, certain laws and regulations, such as the GDPR and CCPA, require our customers to impose contractual restrictions on their service providers. In addition, we support customer workloads involving the processing of protected health information and are required to sign business associate agreements with customers that subject us to certain requirements under federal and state laws governing health information, such as the Health Insurance Portability and Accountability Act of 1996, as amended by the Health Information Technology for Economic and Clinical Health Act of 2009.</w:t>
      </w:r>
    </w:p>
    <w:p>
      <w:pPr>
        <w:spacing w:after="0" w:line="214"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Taken together, evolving legal, regulatory and contractual obligations pertaining to privacy, data protection, cybersecurity and AI may require us to expend resources to modify our practices and products, reduce demand for our platform, increase our costs, restrict our ability to store and process data, inhibit product functionality or the development of new products and features, or impact our ability to operate in certain locations, any of which could impair growth or otherwise harm our business. Further, any actual or perceived non-compliance with these laws, regulations, contractual commitments, or other actual or asserted obligations, including industry standards, pertaining to privacy, data protection, cybersecurity or AI could subject us to regulatory audits or inquiries, civil and criminal penalties, or significant fines, or lead to costly legal action, breach of contract claims, adverse publicity, significant liability, inability to process data, and decreased demand for our services, any of which could adversely affect our business, results of operations, and financial condition.</w:t>
      </w:r>
    </w:p>
    <w:p>
      <w:pPr>
        <w:spacing w:after="0" w:line="188" w:lineRule="exact"/>
        <w:rPr>
          <w:sz w:val="20"/>
          <w:szCs w:val="20"/>
          <w:color w:val="auto"/>
        </w:rPr>
      </w:pPr>
    </w:p>
    <w:p>
      <w:pPr>
        <w:ind w:right="2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86"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and the proprietary methods and technologies that we develop under patent and other intellectual property laws. We rely on a combination of patents, copyrights, trademarks, service marks, trade secret laws and other intellectual property laws, contractual provisions, and internal processes, procedures, and controls in an effort to establish, maintain, enforce, and protect our intellectual property and proprietary rights. However, the steps we take to protect our intellectual property may be inadequate. While we have been issued patents in the United States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other countries and have additional patent applications pending, we may be unable to obtain patent protection for the technology covered in our patent applications. In addition, any patents issued to us in the future may not provide us with competitive advantages or may be successfully challenged by third parties. Further, the laws of some countries do not protect intellectual property or proprietary rights to the same extent as the laws of the United States, and mechanisms for enforcement of such rights in some foreign countries may be inadequate. To the extent we expand our international activities, our exposure to unauthorized copying and use of our products and proprietary information may increase. Accordingly, despite our efforts, we may be unable to prevent third parties from infringing upon or misappropriating our technology and intellectual property.</w:t>
      </w:r>
    </w:p>
    <w:p>
      <w:pPr>
        <w:spacing w:after="0" w:line="21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also rely, in part, on contractual confidentiality obligations we impose on our business partners, employees, consultants, advisors, customers and others in our efforts to protect our proprietary technology, processes and methods. These obligations may not effectively prevent unauthorized disclosure or use of our confidential information, and it may be possible for unauthorized parties to copy or access our software or other proprietary technology or information, or to develop similar products independently without us having an adequate remedy for unauthorized use or disclosure of our confidential information. In addition, others may independently discover our trade secrets and proprietary information, and in these cases, we may not be able to assert any trade secret rights against those parties.</w:t>
      </w:r>
    </w:p>
    <w:p>
      <w:pPr>
        <w:spacing w:after="0" w:line="187"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enforce, maintain, and protect our intellectual property and proprietary rights. Litigation brought to protect and enforce our intellectual property or proprietary rights could be costly, time-consuming and distracting to management, result in a diversion of significant resources, or the narrowing or invalidation of portions of our intellectual property. Our efforts to enforce our intellectual property or proprietary rights may be met with defenses, counterclaims and countersuits attacking the validity and enforceability of such rights. Our failure to meaningfully protect our intellectual property and proprietary rights could have an adverse effect on our business, results of operations and financial condition.</w:t>
      </w:r>
    </w:p>
    <w:p>
      <w:pPr>
        <w:spacing w:after="0" w:line="187"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We have been sued and may, in the future, be sued by third parties for alleged infringement of their intellectual or other proprietary rights, which could adversely affect our business, results of operations and financial condition.</w:t>
      </w:r>
    </w:p>
    <w:p>
      <w:pPr>
        <w:spacing w:after="0" w:line="16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We may also introduce or acquire new products or technologies, including in areas where we historically have not participated, which could increase our exposure to intellectual property infringement claims brought by third parties. Our future success depends, in part, on not infringing the intellectual property or proprietary rights of others and we may be unaware of such rights that may cover some or all of our technology or intellectual property. We have from time to time been subject to claims that our products or platform and underlying technology are infringing upon third-party intellectual property or proprietary rights. We may be subject to such claims in the future and we may be found to be infringing upon such rights. Any claims or litigation could cause us to incur significant expenses (including settlement payments and costs associated with litigation) and, if successfully asserted against us, could require that we pay substantial damages or ongoing royalty payments, prevent us from offering our products, or require that we comply with other unfavorable terms.</w:t>
      </w:r>
    </w:p>
    <w:p>
      <w:pPr>
        <w:spacing w:after="0" w:line="192" w:lineRule="exact"/>
        <w:rPr>
          <w:sz w:val="20"/>
          <w:szCs w:val="20"/>
          <w:color w:val="auto"/>
        </w:rPr>
      </w:pPr>
    </w:p>
    <w:p>
      <w:pPr>
        <w:jc w:val="both"/>
        <w:ind w:right="160" w:firstLine="486"/>
        <w:spacing w:after="0" w:line="261" w:lineRule="auto"/>
        <w:rPr>
          <w:sz w:val="20"/>
          <w:szCs w:val="20"/>
          <w:color w:val="auto"/>
        </w:rPr>
      </w:pPr>
      <w:r>
        <w:rPr>
          <w:rFonts w:ascii="Times New Roman" w:cs="Times New Roman" w:eastAsia="Times New Roman" w:hAnsi="Times New Roman"/>
          <w:sz w:val="18"/>
          <w:szCs w:val="18"/>
          <w:color w:val="auto"/>
        </w:rPr>
        <w:t>Additionally, our agreements with customers and other third parties typically include indemnification or other provisions under which we agree to indemnify or are otherwise liable to them for losses suffered or incurred by them as a result of claims of intellectual property infringement. Although we typically limit our liability with respect to such obligations through such agreements, we may still incur substantial liability related to our indemnification obligations.</w:t>
      </w:r>
    </w:p>
    <w:p>
      <w:pPr>
        <w:spacing w:after="0" w:line="180"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Regardless of the merits or ultimate outcome of any claims of infringement, misappropriation, or violation of intellectual or other proprietary rights that have been or may be brought against us or that we may bring against others, these types of claims, disputes, and lawsuits are time-consuming and expensive to resolve, divert management’s time and attention, and could harm our reputation. Litigation is inherently unpredictable and we cannot predict the timing, nature, controversy or outcome of disputes brought against us or assure you that the results of any of these actions will not have an adverse effect on our business, results of operations or financial condition.</w:t>
      </w:r>
    </w:p>
    <w:p>
      <w:pPr>
        <w:spacing w:after="0" w:line="179" w:lineRule="exact"/>
        <w:rPr>
          <w:sz w:val="20"/>
          <w:szCs w:val="20"/>
          <w:color w:val="auto"/>
        </w:rPr>
      </w:pPr>
    </w:p>
    <w:p>
      <w:pPr>
        <w:ind w:right="2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technology and intellectual property of third parties, the loss of which could limit the functionality of our products and disrupt our business.</w:t>
      </w:r>
    </w:p>
    <w:p>
      <w:pPr>
        <w:spacing w:after="0" w:line="15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use technology and intellectual property licensed from third parties in certain of our products and our platform, and for business operations, and we expect to license additional third-party technology and intellectual property in the future. Licensed technology and intellectual property may not continue to be available on commercially reasonable terms, or at all. The loss of the right to license and distribute third-party technology could limit the functionality of our products or platform and could require us to redesign our products or platform. In addition, if the third-party technology and intellectual property we use has errors, service outages, security vulnerabilities, or otherwise malfunctions, our business operations or the functionality of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our products and platform may be negatively impacted, our customers may experience outages or reduced service levels, and our business may be adversely affected.</w:t>
      </w:r>
    </w:p>
    <w:p>
      <w:pPr>
        <w:spacing w:after="0" w:line="162"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For example, we outsource a substantial majority of our cloud infrastructure to Amazon Web Services (“AWS”), which hosts our products and platform. Our customers need to be able to reliably access our platform, without material interruption or degradation of performance. AWS runs its own platform that we access, and we are, therefore, vulnerable to service interruptions at AWS. We have experienced, and expect that we may experience interruptions, delays and outages in service and availability in the future due to a variety of factors, including infrastructure changes, human or software errors, website hosting disruptions and capacity constraints. Capacity constraints could be caused by a number of potential causes, including technical failures, natural disasters, public health epidemics or pandemics, fraud or security attacks. In addition, if our security, or that of AWS, is compromised, if our products, platform or customer data become unavailable, or if our users are unable to use our products within a reasonable amount of time or at all, any one of which may be due to circumstances beyond our control, then our business, results of operations and financial condition could be adversely affected. In some instances, we may encounter difficulties or otherwise not be able to identify the cause or causes of these performance problems within a period of time acceptable to our customers. It may become increasingly difficult to maintain and improve our platform performance and to troubleshoot performance issues, especially during peak usage times, as our products become more complex and the usage of our products increases. To the extent that we do not effectively address capacity constraints, either through AWS or alternative providers of cloud infrastructure, or through other factors that may result in interruptions, delays and outages in service and availability of our products and/or services, our business, results of operations and financial condition may be adversely affected. In addition, if Amazon.com, Inc. (“Amazon”) requires that we comply with unfavorable terms in order to continue our use of AWS or if Amazon implements any changes in its service levels for AWS, the changes may adversely affect our ability to meet our customers’ requirements, result in negative publicity which could harm our reputation and brand and may adversely affect the usage of our platform.</w:t>
      </w:r>
    </w:p>
    <w:p>
      <w:pPr>
        <w:spacing w:after="0" w:line="195"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The substantial majority of the services we use from AWS are for cloud-based reserve service capacity and, to a lesser extent, storage and other optimization offerings. AWS enables us to order and reserve service capacity in varying amounts and sizes distributed across multiple regions. We access AWS infrastructure through standard IP connectivity protocols. AWS provides us with computing and storage capacity pursuant to an agreement that continues until terminated by either party. AWS may terminate the agreement if we fail to cure a breach of the agreement within 30 days of our being notified of the breach and, in some cases, AWS may suspend the agreement immediately for cause upon notice. Although we expect that we could procure similar services from other third parties, if any of our arrangements with AWS are terminated, we could experience interruptions to our platform and encounter difficulties in our ability to make our products reliably accessible by customers, as well as delays and additional expenses in procuring, implementing, and transitioning to alternative cloud infrastructure services. Any of the above circumstances or events may harm our reputation, erode customer trust, cause customers to stop using or reduce their usage of our products, discourage customers from renewing their contracts,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sell our products and subject us to possible litigation.</w:t>
      </w:r>
    </w:p>
    <w:p>
      <w:pPr>
        <w:spacing w:after="0" w:line="22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Our products and platform incorporate open source software, and we expect to continue to incorporate open source software in our products and platform in the future. Open source software presents certain risks in addition to those of third-party technology and intellectual property generally. Few of the licenses applicable to open source software have been interpreted by courts, and there is a risk that these licenses could be construed in a manner that could impose unanticipated conditions or restrictions on our ability to commercialize our products and platform.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the source code for any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or have not, complied with the terms and conditions of the license for such open source software,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re-engineer our products or platform, damage our reputation, give rise to increased scrutiny regarding our use of open source software, result in customer dissatisfaction and may adversely affect our business, results of operations and financial condition.</w:t>
      </w:r>
    </w:p>
    <w:p>
      <w:pPr>
        <w:spacing w:after="0" w:line="158" w:lineRule="exact"/>
        <w:rPr>
          <w:sz w:val="20"/>
          <w:szCs w:val="20"/>
          <w:color w:val="auto"/>
        </w:rPr>
      </w:pPr>
    </w:p>
    <w:p>
      <w:pPr>
        <w:ind w:right="7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AI technologies in our platform and our business may not produce the desired benefits, and may result in increased liability, reputational harm, or other adverse consequences.</w:t>
      </w:r>
    </w:p>
    <w:p>
      <w:pPr>
        <w:spacing w:after="0" w:line="159" w:lineRule="exact"/>
        <w:rPr>
          <w:sz w:val="20"/>
          <w:szCs w:val="20"/>
          <w:color w:val="auto"/>
        </w:rPr>
      </w:pPr>
    </w:p>
    <w:p>
      <w:pPr>
        <w:ind w:firstLine="486"/>
        <w:spacing w:after="0" w:line="271" w:lineRule="auto"/>
        <w:rPr>
          <w:sz w:val="20"/>
          <w:szCs w:val="20"/>
          <w:color w:val="auto"/>
        </w:rPr>
      </w:pPr>
      <w:r>
        <w:rPr>
          <w:rFonts w:ascii="Times New Roman" w:cs="Times New Roman" w:eastAsia="Times New Roman" w:hAnsi="Times New Roman"/>
          <w:sz w:val="17"/>
          <w:szCs w:val="17"/>
          <w:color w:val="auto"/>
        </w:rPr>
        <w:t>We have deployed, and continue to develop and incorporate, AI solutions and features in our platform and our business, and these solutions and features may become more important to our operations, future growth or competitiveness over time. We expect to rely on AI solutions and features to help drive future growth and efficiency in our business, but there can be no assurance that we will realize the desired or anticipated benefits from AI in a timely or cost-effective manner. For example, we are focused on continued product innovations to combine our communications products with contextual data and AI. We are also building out new AI capabilities internally, including AI automation and agents in our self-service platform and in our internal operations. We may also fail to properly implement or market our AI solutions and features. Our competitors or other third parties may incorporate AI into their products, offerings, and solutions more quickly or more successfully than us, which could impair our ability to compete effectively and adversely affect our results of operations. Our ability to effectively implement and market our AI solutions and features will depend, in part, on our ability to attract and retain employees with AI expertise, and we expect significant competition for professionals with the skills and technical knowledge that we will require.</w:t>
      </w:r>
    </w:p>
    <w:p>
      <w:pPr>
        <w:spacing w:after="0" w:line="173"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deployment of agentic AI — systems that autonomously execute multi-step tasks — introduces risks that are distinct from those of traditional AI features resulting from unintended or unauthorized actions that disrupt our internal operations and service delivery or create unknown or unexpected compliance risks. These risks may be difficult to monitor or prevent given the autonomous nature of such systems.</w:t>
      </w:r>
    </w:p>
    <w:p>
      <w:pPr>
        <w:spacing w:after="0" w:line="176"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Additionally, our use of AI internally and in our offerings may expose us to additional claims, demands and proceedings by private parties and regulatory authorities and subject us to legal liability as well as brand and reputational harm. For example, our business, financial condition and results of operations may be adversely affected if content or recommendations that AI solutions or features assist in producing are or are alleged to be deficient, inaccurate, harmful, or biased, or if such content, recommendations, solutions, or features or their development or deployment (including the collection, use, or other processing of data used to train or create such AI solutions or features) are found to have or alleged to have infringed upon or misappropriated third-party intellectual property rights or violated applicable laws, regulations, or other actual or asserted legal or contractual obligations to which we are or may become subject. Our increasing use of AI internally in the development of our products may also subject us to intellectual property risks arising from limits and uncertainty regarding the protectability of certain outputs we create using generative AI tools. If we fail to obtain any required permissions to collect, use, or otherwise process data, including personal information, in relation to AI solutions or features, or if we jeopardize the privacy or security of such information, it could adversely affect our business, results of operations and financial condition. The legal, regulatory, and policy environments around AI are evolving rapidly, and we may become subject to new and evolving legal and other obligations. Our increasing use of AI internally, including in product development, may also present risks of technical errors, service disruptions or other issues related to flawed or inaccurate AI-generated outputs, as well as security vulnerabilities, which would negatively impact our reputation and our business. These and other developments may require us to make significant changes to our use of AI, including by limiting or restricting our use of AI, require us to make significant changes to our policies and practices, and necessitate expenditure of significant time, expense, and other resources. AI also presents emerging ethical issues, and if our use of AI becomes controversial, we may experience brand or reputational harm.</w:t>
      </w:r>
    </w:p>
    <w:p>
      <w:pPr>
        <w:spacing w:after="0" w:line="195"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Our ability to mitigate the risks associated with AI will depend on our effective maintenance, training, monitoring and enforcement of appropriate policies, procedures and controls governing the use of AI tools, the results of any such use by us and our partners, and compliance with such policies and procedures by our workforce. Any unauthorized use or misuse of AI by our employees undermines our ability to protect against the AI-related risks described above.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225" w:lineRule="exact"/>
        <w:rPr>
          <w:sz w:val="20"/>
          <w:szCs w:val="20"/>
          <w:color w:val="auto"/>
        </w:rPr>
      </w:pPr>
    </w:p>
    <w:p>
      <w:pPr>
        <w:ind w:right="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are subject to evolving telecommunications-related regulations and industry standards, which could adversely affect our business, results of operations and financial condition.</w:t>
      </w:r>
    </w:p>
    <w:p>
      <w:pPr>
        <w:spacing w:after="0" w:line="18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As a provider of communications products and a licensed telecommunications provider, we are required to comply with many changing federal, state and international regulations and industry standards, including relating to privacy, security, telecommunications, consumer protection, fraud and scam prevention, Know Your Customer, Know Your Upstream Provider, Know Your Traffic and other requirements and obligations, which often vary across the numerous jurisdictions in which we operate. Compliance with these requirements involves significant management attention and compliance costs, and can present operational challenges, onboarding delays and friction for our customers, require us to raise prices, restructure or discontinue our products, or limit our ability to expand into certain jurisdictions. If we do not comply with such requirements, we could face enforcement actions, significant fines, remedial directions to implement audits or new processes, loss of licenses, restrictions or prohibitions on our ability to operate or offer certain of our products, eroded customer trust, and damage to our brand and reputation, and other consequences. Any of the foregoing could adversely affect our business, results of operations and financial condition.</w:t>
      </w:r>
    </w:p>
    <w:p>
      <w:pPr>
        <w:spacing w:after="0" w:line="21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the United States, at the federal level, we and/or our customers are required to comply with laws and regulations limiting telemarketing and certain technologies that enable automatic calling and/or messaging and establishing quiet hours for solicitations, such as the Telephone Consumer Protection Act of 1991 (“TCPA”), laws requiring assistance to law enforcement in electronic surveillance, requirements to pay regulatory fees and contributions to various federally administered funds, requirements to safeguard the privacy of certain customer information, and requirements aimed at mitigating illegal robocalls and robotexts, such as the implementation of call authentication technologies, and other compliance requirements. At the state level, some states have adopted, proposed or may propose, regulations that may subject us to additional registration, reporting, resiliency and/or compliance obligations, including laws similar to the TCPA.</w:t>
      </w:r>
    </w:p>
    <w:p>
      <w:pPr>
        <w:spacing w:after="0" w:line="216"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are also subject to varying international licensing obligations and communications regulations, including related to reporting requirements, provision of emergency services and of information to support emergency services, number portability, combatting scam and fraud, payment into universal service funds, and licensing fees, among others. As we expand into new countries, our potential regulatory and licensing obligations, and related scrutiny, increase. The international landscape continues to evolve, and in many cases involves significant uncertainties related to how our business model fits into the communications regulatory framework. There is significant variation in requirements across international jurisdictions, including as to whether some or all of the services we offer are considered regulated telecommunications services. In addition, certain of our products may be used by customers located in countries where voice and other forms of Internet Protocol (“IP”) communications may be illegal or require special licensing or in countries on a U.S. embargo list, and users in such countries may continue to use our products in those countries notwithstanding the illegality or embargo, or a local partner that we use to provide services may not comply with applicable governmental regulations, subjecting us to potential penalties or governmental actions that may be costly, harm our business and damage our brand and reputation.</w:t>
      </w:r>
    </w:p>
    <w:p>
      <w:pPr>
        <w:spacing w:after="0" w:line="221"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Both in the United States and internationally, these requirements continue to change rapidly, increase in volume and complexity and involve heightened risks of enforcement and liability. For example, new federal, state, or international requirements could impose more or different robocall or robotext mitigation measures, limit the customers we are able to serve, extend telecommunications regulations to our non-interconnected VoIP services or messaging or other products, subject us to additional registration, reporting or resiliency compliance obligations, or subject us to other fees, taxes or obligations. The volume and changing nature of these requirements increases the associated compliance costs, operational challenges, customer friction, possibility of enforcement actions and other associated risks, and new or changed requirements, or interpretations or judicial actions related to them, may also adversely affect our business, results of operations and financial condition.</w:t>
      </w:r>
    </w:p>
    <w:p>
      <w:pPr>
        <w:spacing w:after="0" w:line="185" w:lineRule="exact"/>
        <w:rPr>
          <w:sz w:val="20"/>
          <w:szCs w:val="20"/>
          <w:color w:val="auto"/>
        </w:rPr>
      </w:pPr>
    </w:p>
    <w:p>
      <w:pPr>
        <w:ind w:right="2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assign or retain geographical, mobile, regional, local or toll-free numbers, or to effectively process requests to port such numbers in a timely manner due to industry regulations, our business and results of operations may be adversely affected.</w:t>
      </w:r>
    </w:p>
    <w:p>
      <w:pPr>
        <w:spacing w:after="0" w:line="159" w:lineRule="exact"/>
        <w:rPr>
          <w:sz w:val="20"/>
          <w:szCs w:val="20"/>
          <w:color w:val="auto"/>
        </w:rPr>
      </w:pPr>
    </w:p>
    <w:p>
      <w:pPr>
        <w:ind w:right="340" w:firstLine="486"/>
        <w:spacing w:after="0" w:line="256" w:lineRule="auto"/>
        <w:rPr>
          <w:sz w:val="20"/>
          <w:szCs w:val="20"/>
          <w:color w:val="auto"/>
        </w:rPr>
      </w:pPr>
      <w:r>
        <w:rPr>
          <w:rFonts w:ascii="Times New Roman" w:cs="Times New Roman" w:eastAsia="Times New Roman" w:hAnsi="Times New Roman"/>
          <w:sz w:val="18"/>
          <w:szCs w:val="18"/>
          <w:color w:val="auto"/>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and the requirements of network service providers from whom we can provision Numbering Resources, such as conditional minimum volume call level requirements, as well as related costs and competitive demand.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In addition, in order to obtain allocations of, assign and retain Numbering Resources in many international jurisdictions, we are often required to be licensed by local telecommunications regulatory authorities.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These regulations and governments’ approach to their enforcement, as well as our products and services, are evolving and we may be unable to maintain compliance with applicable regulations, or enforce compliance by our customers, on a timely basis or without significant cost or changes in products or business practices that result in reduced revenue. In some countries where our or our customers’ assignment and/or use of Numbering Resources in certain ways may violate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required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spacing w:after="0" w:line="19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If we are unable to acquire or retain Numbering Resources, our voice and messaging products may be less attractive to potential customers. Certain popular area code prefixes have limited availability, and restrictive rules generally prevent us from obtaining or assigning certain number types. In addition, future growth in our customer base and those of other CPaaS providers may make it increasingly difficult to source larger quantities of Numbering Resources, and Numbering Resources may become more expensive or subject to more stringent regulation or conditions of usage.</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our dependency on network service providers to transfer these numbers, and these network service providers may refuse or substantially delay the transfer of these numbers to us. Number portability is an important feature to many potential customers, and failure to reduce delays may result in adverse regulatory enforcement, increased difficulty in acquiring new customers, or costs to compensate customers for certain failures in the porting process.</w:t>
      </w:r>
    </w:p>
    <w:p>
      <w:pPr>
        <w:spacing w:after="0" w:line="183" w:lineRule="exact"/>
        <w:rPr>
          <w:sz w:val="20"/>
          <w:szCs w:val="20"/>
          <w:color w:val="auto"/>
        </w:rPr>
      </w:pPr>
    </w:p>
    <w:p>
      <w:pPr>
        <w:ind w:right="2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United States federal and state legislation and international laws impose certain obligations on the senders of commercial emails, which could minimize the effectiveness of our platform, and establish financial penalties for non-compliance, which could increase the costs of our business.</w:t>
      </w:r>
    </w:p>
    <w:p>
      <w:pPr>
        <w:spacing w:after="0" w:line="159"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The Federal Controlling the Assault of Non-Solicited Pornography and Marketing Act of 2003 (the “CAN-SPAM Act”) establishes certain requirements for commercial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certain states prohibit the sending of email messages that advertise products or services that minors are prohibited by law from purchasing or that contain content harmful to minors to email addresses listed on specified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customers’ and others’ violation of our policies or other misuse of our platform to transmit unwanted, offensive or illegal communications, spam, social engineering scams, links to harmful applications or for other fraudulent or illegal activity could damage our reputation, and we may face a risk of regulatory penalties, litigation and liability for illegal activities on our platform and unauthorized, inaccurate, or fraudulent information distributed via our platform.</w:t>
      </w:r>
    </w:p>
    <w:p>
      <w:pPr>
        <w:spacing w:after="0" w:line="180"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The actual or perceived improper sending of text messages, voice calls, or email may subject us to potential risks, including liabilities or claims relating to consumer protection laws and regulatory enforcement, including fines. For example, the TCPA restricts telemarketing and the use of text messages without prior express consent. TCPA violations can result in significant financial penalties, as businesses can incur civil or criminal penalties imposed by the FCC, FTC, state attorneys general or other state actors or through private litigation. Regulatory enforcement is often public, which would result in reputational harm.</w:t>
      </w:r>
    </w:p>
    <w:p>
      <w:pPr>
        <w:spacing w:after="0" w:line="183"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Class action suits are the most common method for private enforcement. This has resulted in civil claims against our company and requests for information through third-party subpoenas. The scope and interpretation of the laws that are or may be applicable to the delivery of text messages, voice calls, or email are continuously evolving and developing. If we do not comply with these laws or regulations or if we become liable under these laws or regulations due to the failure of our customers to comply with these laws, we could face direct liability.</w:t>
      </w:r>
    </w:p>
    <w:p>
      <w:pPr>
        <w:spacing w:after="0" w:line="18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Moreover, certain customers and others have in the past, and despite our prevention efforts, may in the future, use our platform to transmit unwanted, offensive or illegal communications, spam, social engineering scams, and website links to harmful applications, reproduce and distribute copyrighted material or the trademarks of others without permission, and report inaccurate or fraudulent data or information. These actions violate our policies. Our efforts to defeat spamming attacks, illegal robocalls and other fraudulent activity will not prevent all such activity. Such activity could damage our reputation and the effectiveness of our platform, and we could face claims for damages, regulatory enforcement, copyright or trademark infringement, defamation, negligence, or fraud. Furthermore, enacting more stringent controls on use of our platform to combat such activity could increase friction for our legitimate customers and decrease their use of our platform.</w:t>
      </w:r>
    </w:p>
    <w:p>
      <w:pPr>
        <w:spacing w:after="0" w:line="216"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Similarly, our products may be subject to fraudulent usage, including but not limited to revenue share fraud, domestic traffic pumping, subscription fraud, premium text message scams and other fraudulent schemes, such as phishing. Although our customers are required to set passwords or personal identification numbers to protect their accounts, third parties have in the past been, and may in the future be, able to access customers’ accounts through fraudulent means and use the accounts for fraudulent activity. Furthermore, spammers attempt to use our products to send targeted and untargeted spam communications. We cannot be certain that our efforts to defeat spamming attacks will be successful in eliminating all spam communications from being sent using our platform. In addition, a security breach of, or security incident impacting, our customers’ systems could result in exposure of their authentication credentials, unauthorized access to their accounts or fraudulent calls on their accounts, any of which could adversely affect our business, results of operations and financial condition.</w:t>
      </w:r>
    </w:p>
    <w:p>
      <w:pPr>
        <w:spacing w:after="0" w:line="192"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customers’ and other users’ promotion of their products and services through our platform might not comply with federal, state, and foreign laws or of contractual requirements imposed by carriers, such as the CTIA Shortcode Agreement, The Campaign Registry, carrier codes of conduct and similar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 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190"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Many of the foregoing activities are increasingly being facilitated or enhanced by AI and other evolving technologies. AI agents operating through our platform have the potential to facilitate communications and fraudulent schemes with a scale, speed and sophistication that may evade existing fraud and compliance controls or evolve faster than controls can evolve to match, violate carrier policies, or breach applicable law.</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7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products, and could adversely affect our business, results of operations and financial condition.</w:t>
      </w:r>
    </w:p>
    <w:p>
      <w:pPr>
        <w:spacing w:after="0" w:line="15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w:t>
      </w:r>
    </w:p>
    <w:p>
      <w:pPr>
        <w:spacing w:after="0" w:line="187"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The current legislative and regulatory landscape regarding the regulation of the internet is subject to uncertainty. For example, in January 2025, the U.S. Court of Appeals for the Sixth Circuit struck down the FCC’s net neutrality rules, and the current federal regulatory environment makes the adoption of similar rules unlikely in the near term. Without federal net neutrality rules, we cannot predict whether internet access service providers may be able to limit our users’ ability to access our platform or make our platform a less attractive alternative to our competitors’ applications. Moreover, several states have enacted or are considering state-level legislation or executive action that would implement certain net neutrality protections. State broadband regulations have been upheld by courts in certain jurisdictions, creating the potential for a patchwork of disparate regulatory regimes and operational challenges.</w:t>
      </w:r>
    </w:p>
    <w:p>
      <w:pPr>
        <w:spacing w:after="0" w:line="18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In a related regulatory context, while the EU requires equal access to internet content, under its Digital Single Market initiative the EU may impose additional requirements that could increase our costs. If new FCC, EU, or other rules directly or inadvertently impose costs on online providers like our business, our expenses may rise. Were any of these outcomes to occur, our ability to retain existing users or attract new users may be impaired, our costs may increase, and our business may be significantly harmed.</w:t>
      </w:r>
    </w:p>
    <w:p>
      <w:pPr>
        <w:spacing w:after="0" w:line="18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by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cyberattacks, malicious software, and other security threats. If the use of the internet is reduced as a result of these or other issues, then demand for our products could decline, which could adversely affect our business, results of operations and financial condition.</w:t>
      </w:r>
    </w:p>
    <w:p>
      <w:pPr>
        <w:spacing w:after="0" w:line="179" w:lineRule="exact"/>
        <w:rPr>
          <w:sz w:val="20"/>
          <w:szCs w:val="20"/>
          <w:color w:val="auto"/>
        </w:rPr>
      </w:pPr>
    </w:p>
    <w:p>
      <w:pPr>
        <w:ind w:right="2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subject us to potential liability under export controls, economic sanctions, customs, anti-corruption, and other laws and regulations, and violating these laws could subject us to liability and impair our ability to compete in international markets.</w:t>
      </w:r>
    </w:p>
    <w:p>
      <w:pPr>
        <w:spacing w:after="0" w:line="15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Certain aspects of our business are subject to international trade laws, including U.S. export control laws and regulations, U.S. customs laws and regulations, and U.S. economic sanctions laws and regulations, as well as other similar laws and regulations in other countries in which we do business. Exports and imports of our products and the provision of our services must be made in compliance with these laws, which include varying prohibitions on the sale, export, or supply of our products and services to certain sanctioned countries, regions, governments, entities, or individuals. We take precautions to prevent our products from being imported or exported and our services from being provided in violation of these laws; however, we are aware of certain of our products and services being provided to, procured from, or that involve dealings with, a small number of individuals and entities that are the subject of, or are located in countries or regions subject to, sanctions regulations administered by U.S. and foreign governmental authorities. If we fail to comply with these laws, we and certain of our employees could be subject to substantial civil or criminal penalties, including: the possible loss of export privileges; fines, which may be imposed on us and responsible employees or managers; criminal liability, which may be imposed on us and responsible employees or managers; and, in extreme cases, the incarceration of responsible employees or managers.</w:t>
      </w:r>
    </w:p>
    <w:p>
      <w:pPr>
        <w:spacing w:after="0" w:line="194"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Any change in these laws or other regulatory requirements affecting trade and investments, shift in the enforcement or scope of existing laws, or change in the countries, governments, persons or technologies targeted by such regulations, could also result in decreased use of our products and services, or in our decreased ability to export our products or provide our services to existing or prospective customers outside of the United States. Any decreased use of our products and services or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limitations on our ability to export our products and provide our services could adversely affect our business, results of operations and financial condition.</w:t>
      </w:r>
    </w:p>
    <w:p>
      <w:pPr>
        <w:spacing w:after="0" w:line="22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spacing w:after="0" w:line="192"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are also subject to U.S. and foreign anti-corruption and anti-bribery laws, including the Foreign Corrupt Practices Act, as amended (“FCPA”), the UK Bribery Act 2010, and other anti-corruption laws and regulations in the countries in which we conduct activities. Anti-corruption laws are interpreted broadly and generally prohibit companies, their employees, agents, representatives, business partners, and third-party intermediaries from directly or indirectly authorizing, offering, or providing, improper payments or things of value to recipients in the public or private sector, and also require that we maintain accurate books and records and adequate internal controls and compliance procedures designed to prevent violations. We sometimes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It is possible that our employees, agents, representatives, business partners or third-party intermediaries could fail to comply with our policies and applicable laws and regulations, for which we may ultimately be held responsible. Any allegations or violation of the FCPA or other applicable anti-bribery and anti-corruption laws and anti-money laundering laws could result in whistleblower complaints, sanctions, settlements, prosecution, enforcement actions, significant fines and penalties,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would likely result in a materially significant diversion of management’s attention and resources, significant defense costs and other professional fees.</w:t>
      </w:r>
    </w:p>
    <w:p>
      <w:pPr>
        <w:spacing w:after="0" w:line="192" w:lineRule="exact"/>
        <w:rPr>
          <w:sz w:val="20"/>
          <w:szCs w:val="20"/>
          <w:color w:val="auto"/>
        </w:rPr>
      </w:pPr>
    </w:p>
    <w:p>
      <w:pPr>
        <w:ind w:right="2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standards imposed by private entities and inbox service providers to regulate the use and delivery of email have in the past interfered with, and may continue to interfere with, the effectiveness of our platform and our ability to conduct business.</w:t>
      </w:r>
    </w:p>
    <w:p>
      <w:pPr>
        <w:spacing w:after="0" w:line="159"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From time to time, private entities and inbox service providers impose requirements that impact our and our customers’ ability to use and deliver email. For example,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 For example, in 2024 and 2025, Google, Yahoo and Microsoft began enforcing new email sender requirements aimed at sender authentication, including Domain-based Message Authentication, Reporting and Conformance (“DMARC”) record requirements, requiring us to devote time and resources toward compliance efforts. These or similar authentication requirements imposed in the future could result in reduced volumes for our email products and could adversely affect our business, financial condition and results of operations.</w:t>
      </w:r>
    </w:p>
    <w:p>
      <w:pPr>
        <w:spacing w:after="0" w:line="19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legal proceedings or claims against us could be costly and time-consuming to defend and could harm our reputation regardless of the outcome.</w:t>
      </w:r>
    </w:p>
    <w:p>
      <w:pPr>
        <w:spacing w:after="0" w:line="15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or the costs to defend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 If we are required to make substantial payments or implement significant changes to our operations as a result of legal proceedings or claims, our business, results of operations and financial condition could be adversely affected.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225"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exposure to foreign currency exchange rate fluctuations, and such fluctuations could adversely affect our business, results of operations and financial condition.</w:t>
      </w:r>
    </w:p>
    <w:p>
      <w:pPr>
        <w:spacing w:after="0" w:line="15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As our international operations expand, our exposure to the effects of fluctuations in currency exchange rates grows. For example, global geopolitical events, economic events, public health epidemics and pandemics, actual or potential tariffs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 in the respective local currency. Fluctuations in the exchange rates between the U.S. dollar and other currencies could result in an increase to the U.S. dollar equivalent of such expenses.</w:t>
      </w:r>
    </w:p>
    <w:p>
      <w:pPr>
        <w:spacing w:after="0" w:line="19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common stock could be adversely affected.</w:t>
      </w:r>
    </w:p>
    <w:p>
      <w:pPr>
        <w:spacing w:after="0" w:line="18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have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79" w:lineRule="exact"/>
        <w:rPr>
          <w:sz w:val="20"/>
          <w:szCs w:val="20"/>
          <w:color w:val="auto"/>
        </w:rPr>
      </w:pPr>
    </w:p>
    <w:p>
      <w:pPr>
        <w:ind w:right="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substantial indebtedness that may decrease our business flexibility, access to capital, and/or increase our borrowing costs, and we may still incur substantially more debt, which may adversely affect our operations and financial results.</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2026, we had $1.0 billion of indebtedness outstanding (excluding intercompany indebtedness). Our indebtedness may:</w:t>
      </w:r>
    </w:p>
    <w:p>
      <w:pPr>
        <w:spacing w:after="0" w:line="225" w:lineRule="exact"/>
        <w:rPr>
          <w:sz w:val="20"/>
          <w:szCs w:val="20"/>
          <w:color w:val="auto"/>
        </w:rPr>
      </w:pPr>
    </w:p>
    <w:p>
      <w:pPr>
        <w:ind w:left="980" w:right="400" w:hanging="324"/>
        <w:spacing w:after="0" w:line="282"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to fund future working capital, capital expenditures, business opportunities, acquisitions or other general corporate requirements;</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portion of our cash flows to be dedicated to debt service payments instead of other purposes, thereby reducing the amount of cash flows available for working capital, capital expenditures, business opportunities, acquisitions and other general corporate purposes;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hanging="324"/>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certain of our borrowings, including borrowings under a future revolving credit facility, may be at variable rates of interest;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22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addition, the indenture which governs our 3.625% notes due 2029 (the “2029 Notes”) and our 3.875% notes due 2031 (the “2031 Notes,” and together with the 2029 Notes, the “Notes”) contains restrictive covenants that limit our ability to engage in activities that may be in our long-term best interest. Our failure to comply with those covenants could result in an event of default which, if not cured or waived, could permit the trustee, or permit the holders of the Notes to cause the trustee, to declare all or part of the Notes to be immediately due and payable or to exercise any remedies provided to the trustee and/or result in the acceleration of substantially all of our indebtedness. Any such event would adversely affect our business, results of operations and financial condition.</w:t>
      </w:r>
    </w:p>
    <w:p>
      <w:pPr>
        <w:spacing w:after="0" w:line="187"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could face substantial liquidity problems and may be forced to reduce or delay investments and capital expenditures. We may be forced to sell assets, seek additional capital, or restructure or refinance our indebtedness, including the Notes. Our ability to restructure or refinance our debt will depend on, among other things, the condition of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and our financial condition. In the absence of such cash flows and resources, we could face substantial liquidity problems and might be required to dispose of material assets or operations to meet our debt service and other obligations.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and this capital might not be available on acceptable terms, if at all.</w:t>
      </w:r>
    </w:p>
    <w:p>
      <w:pPr>
        <w:spacing w:after="0" w:line="21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our ability to repurchase stock,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86" w:lineRule="exact"/>
        <w:rPr>
          <w:sz w:val="20"/>
          <w:szCs w:val="20"/>
          <w:color w:val="auto"/>
        </w:rPr>
      </w:pPr>
    </w:p>
    <w:p>
      <w:pPr>
        <w:ind w:right="4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assumptions and estimates to calculate certain of our business metrics, and real or perceived inaccuracies in such metrics could adversely affect our reputation and our business.</w:t>
      </w:r>
    </w:p>
    <w:p>
      <w:pPr>
        <w:spacing w:after="0" w:line="145" w:lineRule="exact"/>
        <w:rPr>
          <w:sz w:val="20"/>
          <w:szCs w:val="20"/>
          <w:color w:val="auto"/>
        </w:rPr>
      </w:pPr>
    </w:p>
    <w:p>
      <w:pPr>
        <w:jc w:val="both"/>
        <w:ind w:right="40" w:firstLine="486"/>
        <w:spacing w:after="0" w:line="254" w:lineRule="auto"/>
        <w:rPr>
          <w:sz w:val="20"/>
          <w:szCs w:val="20"/>
          <w:color w:val="auto"/>
        </w:rPr>
      </w:pPr>
      <w:r>
        <w:rPr>
          <w:rFonts w:ascii="Times New Roman" w:cs="Times New Roman" w:eastAsia="Times New Roman" w:hAnsi="Times New Roman"/>
          <w:sz w:val="18"/>
          <w:szCs w:val="18"/>
          <w:color w:val="auto"/>
        </w:rPr>
        <w:t>We rely on assumptions and estimates to calculate certain of our business metrics that we disclose in SEC filings, press releases and other materials, including Dollar-Based Net Expansion Rate. Our metrics are not based on any standardized industry methodology and are not necessarily calculated in the same manner or comparable to similarly titled measures presented by other companies. Similarly, our metrics may differ from estimates published by third parties or from similarly titled metrics of our competitors due to differences in methodology. The numbers that we use to calculate our metrics are based on internal data and may be compiled from multiple systems, including systems that are organically developed or acquired through business combinations.</w:t>
      </w:r>
    </w:p>
    <w:p>
      <w:pPr>
        <w:spacing w:after="0" w:line="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While these numbers are based on what we believe to be reasonable judgments and estimates for the applicable period of measurement, there are inherent challenges in measuring our business or components of our business. We regularly review our processes for calculating these metrics, and from time to time we may make adjustments to improve their accuracy or relevance. Further, as our business develops, we may revise or cease reporting metrics if we determine that such metrics are no longer appropriate measures of our performance. For example, beginning in the first quarter of 2026, we discontinued disclosure of Active Customer Accounts as a key metric. If investors or analysts do not perceive our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metrics to be accurate representations of our business, or if they disagree with our methodologies, or if we discover material inaccuracies in our metrics, our reputation, business, results of operations, and financial condition would be harmed.</w:t>
      </w:r>
    </w:p>
    <w:p>
      <w:pPr>
        <w:spacing w:after="0" w:line="158" w:lineRule="exact"/>
        <w:rPr>
          <w:sz w:val="20"/>
          <w:szCs w:val="20"/>
          <w:color w:val="auto"/>
        </w:rPr>
      </w:pPr>
    </w:p>
    <w:p>
      <w:pPr>
        <w:ind w:right="520" w:firstLine="486"/>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7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88" w:lineRule="exact"/>
        <w:rPr>
          <w:sz w:val="20"/>
          <w:szCs w:val="20"/>
          <w:color w:val="auto"/>
        </w:rPr>
      </w:pPr>
    </w:p>
    <w:p>
      <w:pPr>
        <w:ind w:right="800" w:firstLine="486"/>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or practices may cause adverse, unexpected financial reporting fluctuations and affect our results of operations.</w:t>
      </w:r>
    </w:p>
    <w:p>
      <w:pPr>
        <w:spacing w:after="0" w:line="15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Adoption of accounting standards and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Events or changes in circumstances may require us to record impairment charges related to our intangible assets, goodwill or investments.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review our intangible assets, goodwill and equity method investment for impairment in accordance with applicable accounting requirements. As of September 30, 2026, we carried a net $5.4 billion of goodwill and intangible assets and $225.2 million related to our equity method investment. An adverse change in market conditions or significant changes in accounting conclusions, particularly if such changes have the effect of changing one of our critical assumptions or estimates, have in the past resulted, and could in the future result, in a change to the estimation of fair value resulting in an impairment charge to the underlying asset. Our results of operations may be adversely affected as a result of any such charges. For example, during the year ended December 31, 2025, we recorded an impairment of our equity method investment totaling approximately $80.6 million, as described in additional detail in Note 12 to our consolidated financial statements included in our Annual Report on Form 10-K for the year ended December 31, 2025.</w:t>
      </w:r>
    </w:p>
    <w:p>
      <w:pPr>
        <w:spacing w:after="0" w:line="185" w:lineRule="exact"/>
        <w:rPr>
          <w:sz w:val="20"/>
          <w:szCs w:val="20"/>
          <w:color w:val="auto"/>
        </w:rPr>
      </w:pPr>
    </w:p>
    <w:p>
      <w:pPr>
        <w:ind w:right="2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5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8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common stock. In addition, if we are unable to continue to meet these requirements, we may not be able to remain listed on the New York Stock Exchange.</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Tax Matters</w:t>
      </w:r>
    </w:p>
    <w:p>
      <w:pPr>
        <w:spacing w:after="0" w:line="225" w:lineRule="exact"/>
        <w:rPr>
          <w:sz w:val="20"/>
          <w:szCs w:val="20"/>
          <w:color w:val="auto"/>
        </w:rPr>
      </w:pPr>
    </w:p>
    <w:p>
      <w:pPr>
        <w:ind w:right="3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to offset future taxable income and taxes may be subject to certain limitations.</w:t>
      </w:r>
    </w:p>
    <w:p>
      <w:pPr>
        <w:spacing w:after="0" w:line="15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As of December 31, 2025, we had U.S. federal, state and foreign net operating loss carryforwards (“NOLs”) of $2.9 billion, $2.4 billion and $1.0 billion, respectively. Utilization of these NOLs depends on our future taxable income, and there is risk that a portion of our existing NOLs could expire unused and the use of our unexpired NOLs could be subject to limitations, which could materially and adversely affect our operating results. Under current law, our U.S. federal NOLs can generally be carried forward indefinitely, but the deductibility of such NOLs is generally limited to 80% of taxable income. Our state NOLs may also be subject to limitations, including periods during which the use of state NOLs is suspended or otherwise limited, which could accelerate or permanently increase state taxes owed. For example, California legislation limits the use of state NOLs for taxable years beginning on or after January 1, 2024 and before January 1, 2027.</w:t>
      </w:r>
    </w:p>
    <w:p>
      <w:pPr>
        <w:spacing w:after="0" w:line="18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and corresponding provisions of state law,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other pre-change tax attributes to offset post-change taxable income and taxes. Our existing NOLs and other tax attributes may be subject to limitations arising from previous ownership changes, and if we undergo an ownership change in the future (which may be outside of our control), our ability to utilize NOLs and other tax attributes could be further limited.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have additional tax liabilities, which could harm our business, results of operations and financial condition.</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many of the jurisdictions in which we operate, non-income-based taxes, such as sales tax, value-added tax, goods and services tax, and telecommunications taxes, are assessed on our operations or our sales to customers. Such tax laws and rates vary by jurisdiction. One or more states or countries may seek to impose incremental or new indirect tax collection obligations on us. Any additional fees and taxes levied on our services by any state may adversely impact our results of operations.</w:t>
      </w:r>
    </w:p>
    <w:p>
      <w:pPr>
        <w:spacing w:after="0" w:line="180"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Historically, we have not billed or collected indirect taxes in certain jurisdictions and, in accordance with GAAP, we have recorded a provision for our tax exposure in these jurisdictions when it is both probable that a liability has been incurred and the amount of the exposure can be reasonably estimated. We reserved $45.9 million on our September 30, 2026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spacing w:after="0" w:line="19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which may increase our costs of doing business and negatively affect the prices our customers pay for our products.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and structure subject us to potentially adverse tax consequences.</w:t>
      </w:r>
    </w:p>
    <w:p>
      <w:pPr>
        <w:spacing w:after="0" w:line="22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tax rules and regulations or our tax positions may materially and adversely affect our taxes.</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are subject to taxes in both the United States and numerous international jurisdictions. Significant judgment is required in determining our worldwide provision for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or the expiration of or disputes about certain tax agreements in a particular country. We are subject to audit by various tax authorities. For example, the Internal Revenue Service is conducting an examination of our U.S. federal income tax return for the year ending December 31, 2023. The outcome of this examination, which is ongoing, is uncertain. In accordance with GAAP, we recognize income tax benefits, net of required valuation allowances and accrual for uncertain tax positions. Although we believe our tax estimates are reasonable, the final determination of this examination, other tax audits and any related litigation could be materially different than that which is reflected in our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spacing w:after="0" w:line="194"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Changes in tax laws, including 2025 U.S. federal tax legislation commonly referred to as the One Big Beautiful Bill Act (the “OBBB Act”), or tax rulings, or changes in interpretations of existing laws, could cause us to be subject to additional taxes, which in turn could materially affect our financial position and results of operations. The OBBB Act could potentially increase our effective tax rate as we continue to expand our international operations in the coming years. Additionally, new, changed, modified, or newly interpreted or applied tax laws could increase our customers’ and our compliance, operating and other costs, as well as the costs of our products.</w:t>
      </w:r>
    </w:p>
    <w:p>
      <w:pPr>
        <w:spacing w:after="0" w:line="183"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 another example, the Organization for Economic Co-operation and Development (the “OECD”) has proposed a global minimum tax (“Pillar Two”), contemplating a minimum tax rate of 15% for large multinational companies, and various countries have proposed or enacted implementing legislation. Notwithstanding the OECD’s side-by-side elective safe harbor announced in January 2026 for U.S. parented groups, we may still face increased tax rates, compliance complexity and tax provision volatility as a result of Pillar Two.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volatile and may continue to be volatile, and you could lose all or part of your investment.</w:t>
      </w:r>
    </w:p>
    <w:p>
      <w:pPr>
        <w:spacing w:after="0" w:line="22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and may continue to, fluctuate significantly in response to numerous factors, many of which are beyond our control and may not be related to our operating performance, including:</w:t>
      </w:r>
    </w:p>
    <w:p>
      <w:pPr>
        <w:spacing w:after="0" w:line="162"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or repurchase of shares of our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of our common stock or related derivatives;</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the publication of reports or statements by securities analysts or investors who follow our company, or our failure to meet these estimates or the expectations of investors;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right="420" w:hanging="324"/>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or targets we may provide to the public, any changes in those projections or targets, or our failure to meet those projections or targets;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services or related to acquisitions of businesses, products or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industry standards, regulations or regulatory enforcement in the United States or internationally;</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 or actual or anticipated changes in our strategy or the organization of our business;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including changes in the pace of hiring;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social, economic and market conditions, in both domestic and foreign markets, and slow or negative growth of our markets.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common stock could cause the market price of our common stock to decline.</w:t>
      </w:r>
    </w:p>
    <w:p>
      <w:pPr>
        <w:spacing w:after="0" w:line="22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substantial sales of our common stock, particularly sales by our directors, executive officers and significant stockholders, or the perception in the market that holders of a large number of shares intend to sell their shares. Additionally, the shares of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spacing w:after="0" w:line="179" w:lineRule="exact"/>
        <w:rPr>
          <w:sz w:val="20"/>
          <w:szCs w:val="20"/>
          <w:color w:val="auto"/>
        </w:rPr>
      </w:pPr>
    </w:p>
    <w:p>
      <w:pPr>
        <w:ind w:right="2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long-term stockholder value of our share repurchase program, and any failure to repurchase our common stock after we have announced our intention to do so may negatively impact our stock price.</w:t>
      </w:r>
    </w:p>
    <w:p>
      <w:pPr>
        <w:spacing w:after="0" w:line="15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In January 2025, our board of directors authorized the repurchase of up to $2.0 billion of our common stock from time to time through a share repurchase program. As of September 30, 2026, we had repurchased $1.3 billion of outstanding shares of our common stock under this program, such that approximately $698.7 million remained available for purchase as of such date. Under our share repurchase program, we may make repurchases of stock through a variety of methods, including open market purchases, privately negotiated purchases, entering into one or more confirmations or other contractual arrangements with a financial institution counterparty to effectuate one or more accelerated stock repurchase contracts, forward purchase contracts or similar derivative instruments, Dutch auction tender offers, or through a combination of any of the foregoing, in accordance with applicable federal securities laws. Our share repurchase program terminates at 11:59 pm Pacific Time on December 31, 2027, does not obligate us to repurchase any specific number of shares, and may be suspended at any time at our discretion and without prior notice. The timing and amount of any repurchases, if any, will be subject to liquidity, stock price, market and economic conditions, compliance with applicable legal requirements such as Delaware surplus and solvency tests and other relevant factors. Any failure to repurchase stock after we have announced our intention to do so may negatively impact our reputation and investor confidence in us and may negatively impact our stock price.</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w:t>
      </w:r>
    </w:p>
    <w:p>
      <w:pPr>
        <w:spacing w:after="0" w:line="180"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Repurchasing our common stock reduces the amount of cash we have available to fund working capital, capital expenditures, strategic acquisitions or business opportunities, and other general corporate purposes, and we may fail to realize the anticipated long-term stockholder value of any share repurchase program.</w:t>
      </w:r>
    </w:p>
    <w:p>
      <w:pPr>
        <w:spacing w:after="0" w:line="172" w:lineRule="exact"/>
        <w:rPr>
          <w:sz w:val="20"/>
          <w:szCs w:val="20"/>
          <w:color w:val="auto"/>
        </w:rPr>
      </w:pPr>
    </w:p>
    <w:p>
      <w:pPr>
        <w:ind w:right="1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change their recommendations regarding our common stock adversely, the trading price of our common stock and trading volume could decline.</w:t>
      </w:r>
    </w:p>
    <w:p>
      <w:pPr>
        <w:spacing w:after="0" w:line="159"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securities or industry analysts may publish about us, our business, our market or our competitors. If any of the analysts who cover us change their recommendation regarding our common stock adversely, or provide more favorable relative recommendations about our competitors, the trading price of our common stock would likely decline. If any analyst who covers us were to cease coverage of our company or fail to regularly publish reports on us, we could lose visibility in the financial markets, which in turn could cause the trading price of our common stock or trading volume to decline.</w:t>
      </w:r>
    </w:p>
    <w:p>
      <w:pPr>
        <w:spacing w:after="0" w:line="179"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5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which could have the effect of rendering more difficult, delaying, or preventing an acquisition deemed undesirable by our board of directors. Among other things, our certificate of incorporation and bylaws include provisions:</w:t>
      </w:r>
    </w:p>
    <w:p>
      <w:pPr>
        <w:spacing w:after="0" w:line="176" w:lineRule="exact"/>
        <w:rPr>
          <w:sz w:val="20"/>
          <w:szCs w:val="20"/>
          <w:color w:val="auto"/>
        </w:rPr>
      </w:pPr>
    </w:p>
    <w:p>
      <w:pPr>
        <w:ind w:left="980" w:right="300" w:hanging="324"/>
        <w:spacing w:after="0" w:line="282"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our board of directors without stockholder approval and may contain voting, liquidation, dividend and other rights superior to our common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instead requiring all stockholder actions to be taken at a meeting of our stockholders;</w:t>
      </w:r>
    </w:p>
    <w:p>
      <w:pPr>
        <w:spacing w:after="0" w:line="22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of directors and stockholder meetings; and</w:t>
      </w:r>
    </w:p>
    <w:p>
      <w:pPr>
        <w:spacing w:after="0" w:line="225"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7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4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Our bylaws provide that the Court of Chancery of the State of Delaware is the exclusive forum for the following types of actions or proceedings under Delaware statutory or common law:</w:t>
      </w:r>
    </w:p>
    <w:p>
      <w:pPr>
        <w:spacing w:after="0" w:line="162"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 owed by our directors, officers, employees or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 (the “Delaware Forum Provision”).</w:t>
      </w:r>
    </w:p>
    <w:p>
      <w:pPr>
        <w:spacing w:after="0" w:line="22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7"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bylaws to be inapplicable or unenforceable in an action, we may incur additional costs associated with resolving the dispute in other jurisdictions, which could seriously harm our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right="3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pandemics, earthquakes, fire, floods and other natural catastrophic events, and to interruption by man-made problems such as power disruptions, computer viruses, security breaches and incidents, terrorism or war.</w:t>
      </w:r>
    </w:p>
    <w:p>
      <w:pPr>
        <w:spacing w:after="0" w:line="15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business operations are subject to interruption by natural disasters, flooding, fire, power shortages, public health epidemics or pandemics,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could cause disruptions in our or our customers’ businesses, national economies or the world economy as a whole.</w:t>
      </w:r>
    </w:p>
    <w:p>
      <w:pPr>
        <w:spacing w:after="0" w:line="18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and outages, reputational harm, delays in our development activities, lengthy interruptions in service, security breaches and incidents and loss or unavailability of critical data, any of which could adversely affect our business, results of operations and financial condition.</w:t>
      </w:r>
    </w:p>
    <w:p>
      <w:pPr>
        <w:spacing w:after="0" w:line="183" w:lineRule="exact"/>
        <w:rPr>
          <w:sz w:val="20"/>
          <w:szCs w:val="20"/>
          <w:color w:val="auto"/>
        </w:rPr>
      </w:pPr>
    </w:p>
    <w:p>
      <w:pPr>
        <w:ind w:right="140" w:firstLine="486"/>
        <w:spacing w:after="0" w:line="277" w:lineRule="auto"/>
        <w:rPr>
          <w:sz w:val="20"/>
          <w:szCs w:val="20"/>
          <w:color w:val="auto"/>
        </w:rPr>
      </w:pPr>
      <w:r>
        <w:rPr>
          <w:rFonts w:ascii="Times New Roman" w:cs="Times New Roman" w:eastAsia="Times New Roman" w:hAnsi="Times New Roman"/>
          <w:sz w:val="17"/>
          <w:szCs w:val="17"/>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 In addition, global climate change could result in certain types of natural disasters occurring more frequently or with more intense effects. Any</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such events may result in users being subject to service disruptions or outages, and we may not be able to recover our technical infrastructure in a timely manner to maintain or resume operations, which may adversely affect our financial results.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and/or business could be negatively impacted by ESG matters and/or our reporting of such matters.</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There has been a focus on ESG matters from governmental authorities, investors, customers and other stakeholders, whose expectations are evolving and may be contradictory. Our decisions regarding ESG-related initiatives, goals, or commitments, including whether to pursue them, and/or the extent to which we achieve them, may be scrutinized and could negatively impact our reputation, result in reduced customer demand or certain investors not purchasing or holding our stock, harm our ability to attract and retain qualified employees, or otherwise materially harm our business. Additionally, compliance with current or future legal requirements or stakeholder expectations regarding ESG matters, including disclosure and reporting obligations, may result in increased costs, and legal and operational risks.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8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2026, we issued 22,102 shares of our Class A common stock to an independent donor advised fund to further our Twilio.org philanthropic goals. The shares were “restricted securities” for purposes of Rule 144 under the Securities Act, and had an aggregate fair market value on the date of donation of $5.5 million. The foregoing transaction did not involve any underwriters, any underwriting discounts or commissions, or any public offering. We believe the offer, sale and issuance of the above shares were exempt from registration under the Securities Act by virtue of Section 4(a)(2) of the Securities Act because the issuance of the shares did not involve a public offering.</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share repurchase activity for the three months ended September 30, 2026:</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2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 Shares</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82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center"/>
              <w:ind w:right="44"/>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 Be Purchased Under</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820" w:type="dxa"/>
            <w:vAlign w:val="bottom"/>
          </w:tcPr>
          <w:p>
            <w:pPr>
              <w:jc w:val="center"/>
              <w:ind w:left="268"/>
              <w:spacing w:after="0" w:line="202" w:lineRule="exact"/>
              <w:rPr>
                <w:sz w:val="20"/>
                <w:szCs w:val="20"/>
                <w:color w:val="auto"/>
              </w:rPr>
            </w:pPr>
            <w:r>
              <w:rPr>
                <w:rFonts w:ascii="Times New Roman" w:cs="Times New Roman" w:eastAsia="Times New Roman" w:hAnsi="Times New Roman"/>
                <w:sz w:val="14"/>
                <w:szCs w:val="14"/>
                <w:b w:val="1"/>
                <w:bCs w:val="1"/>
                <w:color w:val="auto"/>
                <w:w w:val="98"/>
              </w:rPr>
              <w:t>Purchased</w:t>
            </w:r>
            <w:r>
              <w:rPr>
                <w:rFonts w:ascii="Times New Roman" w:cs="Times New Roman" w:eastAsia="Times New Roman" w:hAnsi="Times New Roman"/>
                <w:sz w:val="18"/>
                <w:szCs w:val="18"/>
                <w:b w:val="1"/>
                <w:bCs w:val="1"/>
                <w:color w:val="auto"/>
                <w:w w:val="98"/>
                <w:vertAlign w:val="superscript"/>
              </w:rPr>
              <w:t>(1)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3"/>
              </w:rPr>
              <w:t>Share</w:t>
            </w:r>
            <w:r>
              <w:rPr>
                <w:rFonts w:ascii="Times New Roman" w:cs="Times New Roman" w:eastAsia="Times New Roman" w:hAnsi="Times New Roman"/>
                <w:sz w:val="18"/>
                <w:szCs w:val="18"/>
                <w:b w:val="1"/>
                <w:bCs w:val="1"/>
                <w:color w:val="auto"/>
                <w:w w:val="93"/>
                <w:vertAlign w:val="superscript"/>
              </w:rPr>
              <w:t>(2)</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jc w:val="center"/>
              <w:ind w:right="24"/>
              <w:spacing w:after="0" w:line="202" w:lineRule="exact"/>
              <w:rPr>
                <w:sz w:val="20"/>
                <w:szCs w:val="20"/>
                <w:color w:val="auto"/>
              </w:rPr>
            </w:pPr>
            <w:r>
              <w:rPr>
                <w:rFonts w:ascii="Times New Roman" w:cs="Times New Roman" w:eastAsia="Times New Roman" w:hAnsi="Times New Roman"/>
                <w:sz w:val="14"/>
                <w:szCs w:val="14"/>
                <w:b w:val="1"/>
                <w:bCs w:val="1"/>
                <w:color w:val="auto"/>
                <w:w w:val="99"/>
              </w:rPr>
              <w:t>the Plans or Programs</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820" w:type="dxa"/>
            <w:vAlign w:val="bottom"/>
            <w:tcBorders>
              <w:top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223"/>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1 - 31, 2026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0" w:type="dxa"/>
            <w:vAlign w:val="bottom"/>
          </w:tcPr>
          <w:p>
            <w:pPr>
              <w:spacing w:after="0"/>
              <w:rPr>
                <w:sz w:val="1"/>
                <w:szCs w:val="1"/>
                <w:color w:val="auto"/>
              </w:rPr>
            </w:pPr>
          </w:p>
        </w:tc>
      </w:tr>
      <w:tr>
        <w:trPr>
          <w:trHeight w:val="213"/>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1 - 31, 2026</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263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232.08</w:t>
            </w:r>
          </w:p>
        </w:tc>
        <w:tc>
          <w:tcPr>
            <w:tcW w:w="100" w:type="dxa"/>
            <w:vAlign w:val="bottom"/>
          </w:tcPr>
          <w:p>
            <w:pPr>
              <w:spacing w:after="0"/>
              <w:rPr>
                <w:sz w:val="18"/>
                <w:szCs w:val="18"/>
                <w:color w:val="auto"/>
              </w:rPr>
            </w:pPr>
          </w:p>
        </w:tc>
        <w:tc>
          <w:tcPr>
            <w:tcW w:w="1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1 - 30, 2026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242.01</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8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_____________________________</w:t>
      </w:r>
    </w:p>
    <w:p>
      <w:pPr>
        <w:spacing w:after="0" w:line="22" w:lineRule="exact"/>
        <w:rPr>
          <w:sz w:val="20"/>
          <w:szCs w:val="20"/>
          <w:color w:val="auto"/>
        </w:rPr>
      </w:pPr>
    </w:p>
    <w:p>
      <w:pPr>
        <w:ind w:right="40" w:firstLine="8"/>
        <w:spacing w:after="0" w:line="262" w:lineRule="auto"/>
        <w:tabs>
          <w:tab w:leader="none" w:pos="163"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January 2025, our board of directors authorized a new program to repurchase up to $2.0 billion in aggregate value of our Class A common stock, which expires on December 31, 2027. Repurchases under this program can be made through open market transactions, privately negotiated transactions and other means in compliance with applicable federal securities laws, including through Rule 10b5-1 plans. We have discretion in determining the conditions under which shares may be repurchased from time to time. Refer to Note 11 — Stockholders' Equity in Part I, Item 1, of this Quarterly Report on Form 10-Q for additional information related to share repurchases.</w:t>
      </w:r>
    </w:p>
    <w:p>
      <w:pPr>
        <w:spacing w:after="0" w:line="176" w:lineRule="exact"/>
        <w:rPr>
          <w:rFonts w:ascii="Times New Roman" w:cs="Times New Roman" w:eastAsia="Times New Roman" w:hAnsi="Times New Roman"/>
          <w:sz w:val="19"/>
          <w:szCs w:val="19"/>
          <w:color w:val="auto"/>
          <w:vertAlign w:val="superscript"/>
        </w:rPr>
      </w:pPr>
    </w:p>
    <w:p>
      <w:pPr>
        <w:ind w:left="180" w:hanging="172"/>
        <w:spacing w:after="0"/>
        <w:tabs>
          <w:tab w:leader="none" w:pos="180"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Average price paid per share includes costs associated with the repurchases.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During the three months ended September 30, 2026, the following “Rule 10b5-1 trading arrangements” (as defined in Item 408 of Regulation S-K)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adopted or terminated by our directors and officers, each of which was intended to satisfy the affirmative defense in Rule 10b5-1(c):</w:t>
      </w:r>
    </w:p>
    <w:p>
      <w:pPr>
        <w:spacing w:after="0" w:line="234" w:lineRule="exact"/>
        <w:rPr>
          <w:sz w:val="20"/>
          <w:szCs w:val="20"/>
          <w:color w:val="auto"/>
        </w:rPr>
      </w:pPr>
    </w:p>
    <w:p>
      <w:pPr>
        <w:ind w:right="200" w:firstLine="486"/>
        <w:spacing w:after="0" w:line="254" w:lineRule="auto"/>
        <w:rPr>
          <w:sz w:val="20"/>
          <w:szCs w:val="20"/>
          <w:color w:val="auto"/>
        </w:rPr>
      </w:pPr>
      <w:r>
        <w:rPr>
          <w:rFonts w:ascii="Times New Roman" w:cs="Times New Roman" w:eastAsia="Times New Roman" w:hAnsi="Times New Roman"/>
          <w:sz w:val="18"/>
          <w:szCs w:val="18"/>
          <w:color w:val="auto"/>
        </w:rPr>
        <w:t>On September 1, 2026, Aidan Viggiano, our Chief Financial Officer, adopted a Rule 10b5-1 trading plan providing for (i) the sale of shares of our common stock issuable upon the vesting and settlement of 66,760 RSUs outstanding prior to the adoption of the plan, in addition to certain shares Ms. Viggiano acquires upon the vesting and settlement of any RSUs that may be granted after the adoption of the plan, in each case, net of shares sold in mandatory transactions to cover withholding taxes, plus (ii) the sale of up to 58,972 shares at target (or 117,944 shares at maximum, representing the maximum number of shares issuable under the PSUs) of our common stock upon the vesting of performance stock units (“PSUs”), the precise number of shares to vest and settle to be determined based on the Company’s achievement against certain performance conditions, net of shares sold in mandatory transactions to cover withholding taxes. The number of shares listed above for Ms. Viggiano includes shares subject to limit orders that may or may not execute. Trading will not commence under Ms. Viggiano’s new Rule 10b5-1 trading plan until her previous Rule 10b5-1 trading plan terminates by its terms. The duration of the new plan is until September 7, 2027 or earlier if all transactions under the plan have been completed.</w:t>
      </w:r>
    </w:p>
    <w:p>
      <w:pPr>
        <w:spacing w:after="0" w:line="215"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No other officers, as defined in Rule 16a-1(f), or directors adopted and/or terminated a “Rule 10b5-1 trading arrangement” or a “non-Rule 10b5-1 trading arrangement,” as defined in Regulation S-K Item 408, during the last fiscal quarter.</w:t>
      </w:r>
    </w:p>
    <w:p>
      <w:pPr>
        <w:spacing w:after="0" w:line="15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29"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The documents listed in the Exhibit Index of this Quarterly Report on Form 10-Q are incorporated by reference or are filed with this Quarterly Report on Form 10-Q, in each case as indicated therein.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54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31.1</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540" w:type="dxa"/>
            <w:vAlign w:val="bottom"/>
            <w:gridSpan w:val="4"/>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540" w:type="dxa"/>
            <w:vAlign w:val="bottom"/>
            <w:gridSpan w:val="4"/>
            <w:vMerge w:val="continue"/>
          </w:tcPr>
          <w:p>
            <w:pPr>
              <w:spacing w:after="0"/>
              <w:rPr>
                <w:sz w:val="16"/>
                <w:szCs w:val="16"/>
                <w:color w:val="auto"/>
              </w:rPr>
            </w:pP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8"/>
        </w:trPr>
        <w:tc>
          <w:tcPr>
            <w:tcW w:w="20" w:type="dxa"/>
            <w:vAlign w:val="bottom"/>
            <w:tcBorders>
              <w:top w:val="single" w:sz="8" w:color="auto"/>
            </w:tcBorders>
          </w:tcPr>
          <w:p>
            <w:pPr>
              <w:spacing w:after="0"/>
              <w:rPr>
                <w:sz w:val="12"/>
                <w:szCs w:val="12"/>
                <w:color w:val="auto"/>
              </w:rPr>
            </w:pPr>
          </w:p>
        </w:tc>
        <w:tc>
          <w:tcPr>
            <w:tcW w:w="4880" w:type="dxa"/>
            <w:vAlign w:val="bottom"/>
            <w:tcBorders>
              <w:top w:val="single" w:sz="8" w:color="auto"/>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FF"/>
              </w:rPr>
              <w:t>Certification of the Chief Executive Officer pursuant to Exchange Act Rules 13a-</w:t>
            </w:r>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700" w:type="dxa"/>
            <w:vAlign w:val="bottom"/>
            <w:tcBorders>
              <w:top w:val="single" w:sz="8" w:color="0000FF"/>
              <w:bottom w:val="single" w:sz="8" w:color="0000FF"/>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FF"/>
              </w:rPr>
              <w:t>14(a) or 15d-14(a), as adopted pursuant to Section 302 of the Sarbanes-Oxley Act</w:t>
            </w:r>
          </w:p>
        </w:tc>
        <w:tc>
          <w:tcPr>
            <w:tcW w:w="20" w:type="dxa"/>
            <w:vAlign w:val="bottom"/>
            <w:tcBorders>
              <w:bottom w:val="single" w:sz="8" w:color="0000FF"/>
            </w:tcBorders>
          </w:tcPr>
          <w:p>
            <w:pPr>
              <w:spacing w:after="0"/>
              <w:rPr>
                <w:sz w:val="11"/>
                <w:szCs w:val="11"/>
                <w:color w:val="auto"/>
              </w:rPr>
            </w:pPr>
          </w:p>
        </w:tc>
        <w:tc>
          <w:tcPr>
            <w:tcW w:w="26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color w:val="0000FF"/>
              </w:rPr>
              <w:t>of 2002</w:t>
            </w:r>
          </w:p>
        </w:tc>
        <w:tc>
          <w:tcPr>
            <w:tcW w:w="260" w:type="dxa"/>
            <w:vAlign w:val="bottom"/>
            <w:gridSpan w:val="2"/>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ectPr>
          <w:pgSz w:w="11900" w:h="16838" w:orient="portrait"/>
          <w:cols w:equalWidth="0" w:num="2">
            <w:col w:w="760" w:space="340"/>
            <w:col w:w="1014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pursuant to Exchange Act Rules 13a-</w:t>
            </w:r>
          </w:p>
        </w:tc>
        <w:tc>
          <w:tcPr>
            <w:tcW w:w="2140" w:type="dxa"/>
            <w:vAlign w:val="bottom"/>
            <w:gridSpan w:val="4"/>
          </w:tcPr>
          <w:p>
            <w:pPr>
              <w:spacing w:after="0"/>
              <w:rPr>
                <w:sz w:val="13"/>
                <w:szCs w:val="13"/>
                <w:color w:val="auto"/>
              </w:rPr>
            </w:pP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28"/>
        </w:trPr>
        <w:tc>
          <w:tcPr>
            <w:tcW w:w="1100" w:type="dxa"/>
            <w:vAlign w:val="bottom"/>
          </w:tcPr>
          <w:p>
            <w:pPr>
              <w:spacing w:after="0"/>
              <w:rPr>
                <w:sz w:val="11"/>
                <w:szCs w:val="11"/>
                <w:color w:val="auto"/>
              </w:rPr>
            </w:pPr>
          </w:p>
        </w:tc>
        <w:tc>
          <w:tcPr>
            <w:tcW w:w="6800" w:type="dxa"/>
            <w:vAlign w:val="bottom"/>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14(a) or 15d-14(a), as adopted pursuant to Section 302 of the Sarbanes-Oxley Act</w:t>
            </w:r>
          </w:p>
        </w:tc>
        <w:tc>
          <w:tcPr>
            <w:tcW w:w="3100" w:type="dxa"/>
            <w:vAlign w:val="bottom"/>
          </w:tcPr>
          <w:p>
            <w:pPr>
              <w:spacing w:after="0"/>
              <w:rPr>
                <w:sz w:val="11"/>
                <w:szCs w:val="11"/>
                <w:color w:val="auto"/>
              </w:rPr>
            </w:pPr>
          </w:p>
        </w:tc>
      </w:tr>
      <w:tr>
        <w:trPr>
          <w:trHeight w:val="115"/>
        </w:trPr>
        <w:tc>
          <w:tcPr>
            <w:tcW w:w="1100" w:type="dxa"/>
            <w:vAlign w:val="bottom"/>
          </w:tcPr>
          <w:p>
            <w:pPr>
              <w:spacing w:after="0"/>
              <w:rPr>
                <w:sz w:val="10"/>
                <w:szCs w:val="10"/>
                <w:color w:val="auto"/>
              </w:rPr>
            </w:pPr>
          </w:p>
        </w:tc>
        <w:tc>
          <w:tcPr>
            <w:tcW w:w="4700" w:type="dxa"/>
            <w:vAlign w:val="bottom"/>
            <w:tcBorders>
              <w:top w:val="single" w:sz="8" w:color="0000FF"/>
            </w:tcBorders>
            <w:gridSpan w:val="4"/>
          </w:tcPr>
          <w:p>
            <w:pPr>
              <w:spacing w:after="0" w:line="115" w:lineRule="exact"/>
              <w:rPr>
                <w:sz w:val="20"/>
                <w:szCs w:val="20"/>
                <w:color w:val="auto"/>
              </w:rPr>
            </w:pPr>
            <w:r>
              <w:rPr>
                <w:rFonts w:ascii="Times New Roman" w:cs="Times New Roman" w:eastAsia="Times New Roman" w:hAnsi="Times New Roman"/>
                <w:sz w:val="13"/>
                <w:szCs w:val="13"/>
                <w:color w:val="0000FF"/>
              </w:rPr>
              <w:t>of 2002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10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and Chief Financial Officer pursuant to</w:t>
            </w: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Furnished herewith</w:t>
            </w:r>
          </w:p>
        </w:tc>
      </w:tr>
      <w:tr>
        <w:trPr>
          <w:trHeight w:val="129"/>
        </w:trPr>
        <w:tc>
          <w:tcPr>
            <w:tcW w:w="1100" w:type="dxa"/>
            <w:vAlign w:val="bottom"/>
          </w:tcPr>
          <w:p>
            <w:pPr>
              <w:spacing w:after="0"/>
              <w:rPr>
                <w:sz w:val="11"/>
                <w:szCs w:val="11"/>
                <w:color w:val="auto"/>
              </w:rPr>
            </w:pPr>
          </w:p>
        </w:tc>
        <w:tc>
          <w:tcPr>
            <w:tcW w:w="4800" w:type="dxa"/>
            <w:vAlign w:val="bottom"/>
            <w:tcBorders>
              <w:top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18 U.S.C. Section 1350, as adopted pursuant to Section 906 of the Sarbanes-Oxley</w:t>
            </w:r>
          </w:p>
        </w:tc>
        <w:tc>
          <w:tcPr>
            <w:tcW w:w="2000" w:type="dxa"/>
            <w:vAlign w:val="bottom"/>
          </w:tcPr>
          <w:p>
            <w:pPr>
              <w:spacing w:after="0"/>
              <w:rPr>
                <w:sz w:val="11"/>
                <w:szCs w:val="11"/>
                <w:color w:val="auto"/>
              </w:rPr>
            </w:pPr>
          </w:p>
        </w:tc>
        <w:tc>
          <w:tcPr>
            <w:tcW w:w="3100" w:type="dxa"/>
            <w:vAlign w:val="bottom"/>
          </w:tcPr>
          <w:p>
            <w:pPr>
              <w:spacing w:after="0"/>
              <w:rPr>
                <w:sz w:val="11"/>
                <w:szCs w:val="11"/>
                <w:color w:val="auto"/>
              </w:rPr>
            </w:pPr>
          </w:p>
        </w:tc>
      </w:tr>
      <w:tr>
        <w:trPr>
          <w:trHeight w:val="115"/>
        </w:trPr>
        <w:tc>
          <w:tcPr>
            <w:tcW w:w="1100" w:type="dxa"/>
            <w:vAlign w:val="bottom"/>
          </w:tcPr>
          <w:p>
            <w:pPr>
              <w:spacing w:after="0"/>
              <w:rPr>
                <w:sz w:val="10"/>
                <w:szCs w:val="10"/>
                <w:color w:val="auto"/>
              </w:rPr>
            </w:pPr>
          </w:p>
        </w:tc>
        <w:tc>
          <w:tcPr>
            <w:tcW w:w="4760" w:type="dxa"/>
            <w:vAlign w:val="bottom"/>
            <w:tcBorders>
              <w:top w:val="single" w:sz="8" w:color="0000FF"/>
            </w:tcBorders>
            <w:gridSpan w:val="5"/>
          </w:tcPr>
          <w:p>
            <w:pPr>
              <w:spacing w:after="0" w:line="115" w:lineRule="exact"/>
              <w:rPr>
                <w:sz w:val="20"/>
                <w:szCs w:val="20"/>
                <w:color w:val="auto"/>
              </w:rPr>
            </w:pPr>
            <w:r>
              <w:rPr>
                <w:rFonts w:ascii="Times New Roman" w:cs="Times New Roman" w:eastAsia="Times New Roman" w:hAnsi="Times New Roman"/>
                <w:sz w:val="13"/>
                <w:szCs w:val="13"/>
                <w:color w:val="0000FF"/>
              </w:rPr>
              <w:t>Act of 2002</w:t>
            </w:r>
          </w:p>
        </w:tc>
        <w:tc>
          <w:tcPr>
            <w:tcW w:w="2040" w:type="dxa"/>
            <w:vAlign w:val="bottom"/>
            <w:gridSpan w:val="2"/>
          </w:tcPr>
          <w:p>
            <w:pPr>
              <w:spacing w:after="0"/>
              <w:rPr>
                <w:sz w:val="10"/>
                <w:szCs w:val="10"/>
                <w:color w:val="auto"/>
              </w:rPr>
            </w:pPr>
          </w:p>
        </w:tc>
        <w:tc>
          <w:tcPr>
            <w:tcW w:w="310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27"/>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w:t>
            </w: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44"/>
        </w:trPr>
        <w:tc>
          <w:tcPr>
            <w:tcW w:w="1100" w:type="dxa"/>
            <w:vAlign w:val="bottom"/>
          </w:tcPr>
          <w:p>
            <w:pPr>
              <w:spacing w:after="0"/>
              <w:rPr>
                <w:sz w:val="12"/>
                <w:szCs w:val="12"/>
                <w:color w:val="auto"/>
              </w:rPr>
            </w:pPr>
          </w:p>
        </w:tc>
        <w:tc>
          <w:tcPr>
            <w:tcW w:w="6800" w:type="dxa"/>
            <w:vAlign w:val="bottom"/>
            <w:gridSpan w:val="7"/>
          </w:tcPr>
          <w:p>
            <w:pPr>
              <w:spacing w:after="0" w:line="145"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 XBRL</w:t>
            </w:r>
          </w:p>
        </w:tc>
        <w:tc>
          <w:tcPr>
            <w:tcW w:w="3100" w:type="dxa"/>
            <w:vAlign w:val="bottom"/>
          </w:tcPr>
          <w:p>
            <w:pPr>
              <w:spacing w:after="0"/>
              <w:rPr>
                <w:sz w:val="12"/>
                <w:szCs w:val="12"/>
                <w:color w:val="auto"/>
              </w:rPr>
            </w:pPr>
          </w:p>
        </w:tc>
      </w:tr>
      <w:tr>
        <w:trPr>
          <w:trHeight w:val="188"/>
        </w:trPr>
        <w:tc>
          <w:tcPr>
            <w:tcW w:w="1100" w:type="dxa"/>
            <w:vAlign w:val="bottom"/>
          </w:tcPr>
          <w:p>
            <w:pPr>
              <w:spacing w:after="0"/>
              <w:rPr>
                <w:sz w:val="16"/>
                <w:szCs w:val="16"/>
                <w:color w:val="auto"/>
              </w:rPr>
            </w:pPr>
          </w:p>
        </w:tc>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document</w:t>
            </w:r>
          </w:p>
        </w:tc>
        <w:tc>
          <w:tcPr>
            <w:tcW w:w="3100" w:type="dxa"/>
            <w:vAlign w:val="bottom"/>
          </w:tcPr>
          <w:p>
            <w:pPr>
              <w:spacing w:after="0"/>
              <w:rPr>
                <w:sz w:val="16"/>
                <w:szCs w:val="16"/>
                <w:color w:val="auto"/>
              </w:rPr>
            </w:pPr>
          </w:p>
        </w:tc>
      </w:tr>
      <w:tr>
        <w:trPr>
          <w:trHeight w:val="247"/>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56"/>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57"/>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57"/>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56"/>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Filed herewith</w:t>
            </w:r>
          </w:p>
        </w:tc>
      </w:tr>
    </w:tbl>
    <w:p>
      <w:pPr>
        <w:spacing w:after="0" w:line="68" w:lineRule="exact"/>
        <w:rPr>
          <w:sz w:val="20"/>
          <w:szCs w:val="20"/>
          <w:color w:val="auto"/>
        </w:rPr>
      </w:pPr>
    </w:p>
    <w:p>
      <w:pPr>
        <w:ind w:left="1120" w:right="5440" w:hanging="1094"/>
        <w:spacing w:after="0" w:line="261" w:lineRule="auto"/>
        <w:tabs>
          <w:tab w:leader="none" w:pos="1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with Interactive Data File (formatted as Inline XBRL with applicable taxonomy extension information contained in Exhibits 101)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w:t>
      </w:r>
    </w:p>
    <w:p>
      <w:pPr>
        <w:spacing w:after="0" w:line="25" w:lineRule="exact"/>
        <w:rPr>
          <w:sz w:val="20"/>
          <w:szCs w:val="20"/>
          <w:color w:val="auto"/>
        </w:rPr>
      </w:pPr>
    </w:p>
    <w:p>
      <w:pPr>
        <w:ind w:right="160" w:firstLine="8"/>
        <w:spacing w:after="0" w:line="258" w:lineRule="auto"/>
        <w:tabs>
          <w:tab w:leader="none" w:pos="213"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b w:val="1"/>
          <w:bCs w:val="1"/>
          <w:color w:val="auto"/>
        </w:rPr>
        <w:t>TWILIO INC.</w:t>
      </w:r>
    </w:p>
    <w:p>
      <w:pPr>
        <w:spacing w:after="0" w:line="304" w:lineRule="exact"/>
        <w:rPr>
          <w:sz w:val="20"/>
          <w:szCs w:val="20"/>
          <w:color w:val="auto"/>
        </w:rPr>
      </w:pPr>
    </w:p>
    <w:p>
      <w:pPr>
        <w:ind w:left="780"/>
        <w:spacing w:after="0"/>
        <w:tabs>
          <w:tab w:leader="none" w:pos="7140" w:val="left"/>
        </w:tabs>
        <w:rPr>
          <w:sz w:val="20"/>
          <w:szCs w:val="20"/>
          <w:color w:val="auto"/>
        </w:rPr>
      </w:pPr>
      <w:r>
        <w:rPr>
          <w:rFonts w:ascii="Times New Roman" w:cs="Times New Roman" w:eastAsia="Times New Roman" w:hAnsi="Times New Roman"/>
          <w:sz w:val="16"/>
          <w:szCs w:val="16"/>
          <w:color w:val="auto"/>
        </w:rPr>
        <w:t>October 30, 2026</w:t>
      </w:r>
      <w:r>
        <w:rPr>
          <w:sz w:val="20"/>
          <w:szCs w:val="20"/>
          <w:color w:val="auto"/>
        </w:rPr>
        <w:tab/>
      </w:r>
      <w:r>
        <w:rPr>
          <w:rFonts w:ascii="Times New Roman" w:cs="Times New Roman" w:eastAsia="Times New Roman" w:hAnsi="Times New Roman"/>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20320</wp:posOffset>
            </wp:positionV>
            <wp:extent cx="31718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6"/>
          <w:szCs w:val="16"/>
          <w:color w:val="auto"/>
        </w:rPr>
        <w:t>Khozema Z. Shipchandler</w:t>
      </w:r>
    </w:p>
    <w:p>
      <w:pPr>
        <w:jc w:val="center"/>
        <w:ind w:left="5500"/>
        <w:spacing w:after="0"/>
        <w:rPr>
          <w:sz w:val="20"/>
          <w:szCs w:val="20"/>
          <w:color w:val="auto"/>
        </w:rPr>
      </w:pPr>
      <w:r>
        <w:rPr>
          <w:rFonts w:ascii="Times New Roman" w:cs="Times New Roman" w:eastAsia="Times New Roman" w:hAnsi="Times New Roman"/>
          <w:sz w:val="16"/>
          <w:szCs w:val="16"/>
          <w:i w:val="1"/>
          <w:iCs w:val="1"/>
          <w:color w:val="auto"/>
        </w:rPr>
        <w:t>Director and Chief Executive Officer (Principal Executive Officer)</w:t>
      </w:r>
    </w:p>
    <w:p>
      <w:pPr>
        <w:spacing w:after="0" w:line="230" w:lineRule="exact"/>
        <w:rPr>
          <w:sz w:val="20"/>
          <w:szCs w:val="20"/>
          <w:color w:val="auto"/>
        </w:rPr>
      </w:pPr>
    </w:p>
    <w:p>
      <w:pPr>
        <w:ind w:left="780"/>
        <w:spacing w:after="0"/>
        <w:tabs>
          <w:tab w:leader="none" w:pos="7580" w:val="left"/>
        </w:tabs>
        <w:rPr>
          <w:sz w:val="20"/>
          <w:szCs w:val="20"/>
          <w:color w:val="auto"/>
        </w:rPr>
      </w:pPr>
      <w:r>
        <w:rPr>
          <w:rFonts w:ascii="Times New Roman" w:cs="Times New Roman" w:eastAsia="Times New Roman" w:hAnsi="Times New Roman"/>
          <w:sz w:val="16"/>
          <w:szCs w:val="16"/>
          <w:color w:val="auto"/>
        </w:rPr>
        <w:t>October 30, 2026</w:t>
      </w:r>
      <w:r>
        <w:rPr>
          <w:sz w:val="20"/>
          <w:szCs w:val="20"/>
          <w:color w:val="auto"/>
        </w:rPr>
        <w:tab/>
      </w:r>
      <w:r>
        <w:rPr>
          <w:rFonts w:ascii="Times New Roman" w:cs="Times New Roman" w:eastAsia="Times New Roman" w:hAnsi="Times New Roman"/>
          <w:sz w:val="16"/>
          <w:szCs w:val="16"/>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20320</wp:posOffset>
            </wp:positionV>
            <wp:extent cx="31718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6"/>
          <w:szCs w:val="16"/>
          <w:color w:val="auto"/>
        </w:rPr>
        <w:t>Aidan Viggiano</w:t>
      </w:r>
    </w:p>
    <w:p>
      <w:pPr>
        <w:jc w:val="center"/>
        <w:ind w:left="5500"/>
        <w:spacing w:after="0"/>
        <w:rPr>
          <w:sz w:val="20"/>
          <w:szCs w:val="20"/>
          <w:color w:val="auto"/>
        </w:rPr>
      </w:pPr>
      <w:r>
        <w:rPr>
          <w:rFonts w:ascii="Times New Roman" w:cs="Times New Roman" w:eastAsia="Times New Roman" w:hAnsi="Times New Roman"/>
          <w:sz w:val="16"/>
          <w:szCs w:val="16"/>
          <w:i w:val="1"/>
          <w:iCs w:val="1"/>
          <w:color w:val="auto"/>
        </w:rPr>
        <w:t>Chief Financial Officer (Principal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121" w:right="47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Khozema Z. Shipchandler, certify that:</w:t>
      </w:r>
    </w:p>
    <w:p>
      <w:pPr>
        <w:spacing w:after="0" w:line="181"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Twilio Inc.;</w:t>
      </w:r>
    </w:p>
    <w:p>
      <w:pPr>
        <w:spacing w:after="0" w:line="194" w:lineRule="exact"/>
        <w:rPr>
          <w:rFonts w:ascii="Times New Roman" w:cs="Times New Roman" w:eastAsia="Times New Roman" w:hAnsi="Times New Roman"/>
          <w:sz w:val="16"/>
          <w:szCs w:val="16"/>
          <w:color w:val="auto"/>
        </w:rPr>
      </w:pPr>
    </w:p>
    <w:p>
      <w:pPr>
        <w:ind w:right="520" w:firstLine="656"/>
        <w:spacing w:after="0" w:line="280" w:lineRule="auto"/>
        <w:tabs>
          <w:tab w:leader="none" w:pos="129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Times New Roman" w:cs="Times New Roman" w:eastAsia="Times New Roman" w:hAnsi="Times New Roman"/>
          <w:sz w:val="16"/>
          <w:szCs w:val="16"/>
          <w:color w:val="auto"/>
        </w:rPr>
      </w:pPr>
    </w:p>
    <w:p>
      <w:pPr>
        <w:ind w:right="480" w:firstLine="656"/>
        <w:spacing w:after="0" w:line="298" w:lineRule="auto"/>
        <w:tabs>
          <w:tab w:leader="none" w:pos="129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6"/>
          <w:szCs w:val="16"/>
          <w:color w:val="auto"/>
        </w:rPr>
      </w:pPr>
    </w:p>
    <w:p>
      <w:pPr>
        <w:ind w:right="20" w:firstLine="656"/>
        <w:spacing w:after="0" w:line="272" w:lineRule="auto"/>
        <w:tabs>
          <w:tab w:leader="none" w:pos="129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Times New Roman" w:cs="Times New Roman" w:eastAsia="Times New Roman" w:hAnsi="Times New Roman"/>
          <w:sz w:val="16"/>
          <w:szCs w:val="16"/>
          <w:color w:val="auto"/>
        </w:rPr>
      </w:pPr>
    </w:p>
    <w:p>
      <w:pPr>
        <w:jc w:val="both"/>
        <w:ind w:right="80" w:firstLine="1304"/>
        <w:spacing w:after="0" w:line="272" w:lineRule="auto"/>
        <w:tabs>
          <w:tab w:leader="none" w:pos="1935"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Times New Roman" w:cs="Times New Roman" w:eastAsia="Times New Roman" w:hAnsi="Times New Roman"/>
          <w:sz w:val="16"/>
          <w:szCs w:val="16"/>
          <w:color w:val="auto"/>
        </w:rPr>
      </w:pPr>
    </w:p>
    <w:p>
      <w:pPr>
        <w:ind w:right="200" w:firstLine="1304"/>
        <w:spacing w:after="0" w:line="272" w:lineRule="auto"/>
        <w:tabs>
          <w:tab w:leader="none" w:pos="1944"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Times New Roman" w:cs="Times New Roman" w:eastAsia="Times New Roman" w:hAnsi="Times New Roman"/>
          <w:sz w:val="16"/>
          <w:szCs w:val="16"/>
          <w:color w:val="auto"/>
        </w:rPr>
      </w:pPr>
    </w:p>
    <w:p>
      <w:pPr>
        <w:ind w:right="560" w:firstLine="1304"/>
        <w:spacing w:after="0" w:line="280" w:lineRule="auto"/>
        <w:tabs>
          <w:tab w:leader="none" w:pos="1935"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right="100" w:firstLine="1304"/>
        <w:spacing w:after="0" w:line="272" w:lineRule="auto"/>
        <w:tabs>
          <w:tab w:leader="none" w:pos="1944"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Times New Roman" w:cs="Times New Roman" w:eastAsia="Times New Roman" w:hAnsi="Times New Roman"/>
          <w:sz w:val="16"/>
          <w:szCs w:val="16"/>
          <w:color w:val="auto"/>
        </w:rPr>
      </w:pPr>
    </w:p>
    <w:p>
      <w:pPr>
        <w:ind w:right="240" w:firstLine="656"/>
        <w:spacing w:after="0" w:line="298" w:lineRule="auto"/>
        <w:tabs>
          <w:tab w:leader="none" w:pos="129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6"/>
          <w:szCs w:val="16"/>
          <w:color w:val="auto"/>
        </w:rPr>
      </w:pPr>
    </w:p>
    <w:p>
      <w:pPr>
        <w:ind w:right="20" w:firstLine="1304"/>
        <w:spacing w:after="0" w:line="298" w:lineRule="auto"/>
        <w:tabs>
          <w:tab w:leader="none" w:pos="1935"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6"/>
          <w:szCs w:val="16"/>
          <w:color w:val="auto"/>
        </w:rPr>
      </w:pPr>
    </w:p>
    <w:p>
      <w:pPr>
        <w:ind w:right="480" w:firstLine="1304"/>
        <w:spacing w:after="0" w:line="280" w:lineRule="auto"/>
        <w:tabs>
          <w:tab w:leader="none" w:pos="1944"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30, 2026</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9974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Khozema Z. Shipchandler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 (Principal Executive Officer)</w:t>
      </w:r>
    </w:p>
    <w:p>
      <w:pPr>
        <w:sectPr>
          <w:pgSz w:w="11900" w:h="16838" w:orient="portrait"/>
          <w:cols w:equalWidth="0" w:num="1">
            <w:col w:w="11240"/>
          </w:cols>
          <w:pgMar w:left="320" w:top="1069"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Aidan Viggiano, certify that:</w:t>
      </w:r>
    </w:p>
    <w:p>
      <w:pPr>
        <w:spacing w:after="0" w:line="194"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Twilio Inc.;</w:t>
      </w:r>
    </w:p>
    <w:p>
      <w:pPr>
        <w:spacing w:after="0" w:line="180" w:lineRule="exact"/>
        <w:rPr>
          <w:rFonts w:ascii="Times New Roman" w:cs="Times New Roman" w:eastAsia="Times New Roman" w:hAnsi="Times New Roman"/>
          <w:sz w:val="16"/>
          <w:szCs w:val="16"/>
          <w:color w:val="auto"/>
        </w:rPr>
      </w:pPr>
    </w:p>
    <w:p>
      <w:pPr>
        <w:ind w:right="520" w:firstLine="656"/>
        <w:spacing w:after="0" w:line="298" w:lineRule="auto"/>
        <w:tabs>
          <w:tab w:leader="none" w:pos="129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right="480" w:firstLine="656"/>
        <w:spacing w:after="0" w:line="280" w:lineRule="auto"/>
        <w:tabs>
          <w:tab w:leader="none" w:pos="129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Times New Roman" w:cs="Times New Roman" w:eastAsia="Times New Roman" w:hAnsi="Times New Roman"/>
          <w:sz w:val="16"/>
          <w:szCs w:val="16"/>
          <w:color w:val="auto"/>
        </w:rPr>
      </w:pPr>
    </w:p>
    <w:p>
      <w:pPr>
        <w:ind w:right="20" w:firstLine="656"/>
        <w:spacing w:after="0" w:line="263" w:lineRule="auto"/>
        <w:tabs>
          <w:tab w:leader="none" w:pos="129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6"/>
          <w:szCs w:val="16"/>
          <w:color w:val="auto"/>
        </w:rPr>
      </w:pPr>
    </w:p>
    <w:p>
      <w:pPr>
        <w:jc w:val="both"/>
        <w:ind w:right="80" w:firstLine="1304"/>
        <w:spacing w:after="0" w:line="272" w:lineRule="auto"/>
        <w:tabs>
          <w:tab w:leader="none" w:pos="1935"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Times New Roman" w:cs="Times New Roman" w:eastAsia="Times New Roman" w:hAnsi="Times New Roman"/>
          <w:sz w:val="16"/>
          <w:szCs w:val="16"/>
          <w:color w:val="auto"/>
        </w:rPr>
      </w:pPr>
    </w:p>
    <w:p>
      <w:pPr>
        <w:ind w:right="200" w:firstLine="1304"/>
        <w:spacing w:after="0" w:line="263" w:lineRule="auto"/>
        <w:tabs>
          <w:tab w:leader="none" w:pos="1944"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6"/>
          <w:szCs w:val="16"/>
          <w:color w:val="auto"/>
        </w:rPr>
      </w:pPr>
    </w:p>
    <w:p>
      <w:pPr>
        <w:ind w:right="560" w:firstLine="1304"/>
        <w:spacing w:after="0" w:line="298" w:lineRule="auto"/>
        <w:tabs>
          <w:tab w:leader="none" w:pos="1935"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ind w:right="100" w:firstLine="1304"/>
        <w:spacing w:after="0" w:line="272" w:lineRule="auto"/>
        <w:tabs>
          <w:tab w:leader="none" w:pos="1944"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Times New Roman" w:cs="Times New Roman" w:eastAsia="Times New Roman" w:hAnsi="Times New Roman"/>
          <w:sz w:val="16"/>
          <w:szCs w:val="16"/>
          <w:color w:val="auto"/>
        </w:rPr>
      </w:pPr>
    </w:p>
    <w:p>
      <w:pPr>
        <w:ind w:right="240" w:firstLine="656"/>
        <w:spacing w:after="0" w:line="280" w:lineRule="auto"/>
        <w:tabs>
          <w:tab w:leader="none" w:pos="129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right="20" w:firstLine="1304"/>
        <w:spacing w:after="0" w:line="280" w:lineRule="auto"/>
        <w:tabs>
          <w:tab w:leader="none" w:pos="1935"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right="480" w:firstLine="1304"/>
        <w:spacing w:after="0" w:line="280" w:lineRule="auto"/>
        <w:tabs>
          <w:tab w:leader="none" w:pos="1944"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30, 2026</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0976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Aidan Viggiano</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 (Principal Accounting and Financial Officer)</w:t>
      </w:r>
    </w:p>
    <w:p>
      <w:pPr>
        <w:sectPr>
          <w:pgSz w:w="11900" w:h="16838" w:orient="portrait"/>
          <w:cols w:equalWidth="0" w:num="1">
            <w:col w:w="11240"/>
          </w:cols>
          <w:pgMar w:left="320" w:top="893"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AND CHIEF FINANCIAL OFFICER</w:t>
      </w:r>
    </w:p>
    <w:p>
      <w:pPr>
        <w:spacing w:after="0" w:line="2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as adopted pursuant to §906 of the Sarbanes-Oxley Act of 2002, Khozema Z. Shipchandler, Chief Executive Officer of Twilio Inc. (the “Company”), and Aidan Viggiano, Chief Financial Officer of the Company, each hereby certifies that, to the best of their knowledge:</w:t>
      </w:r>
    </w:p>
    <w:p>
      <w:pPr>
        <w:spacing w:after="0" w:line="151" w:lineRule="exact"/>
        <w:rPr>
          <w:sz w:val="20"/>
          <w:szCs w:val="20"/>
          <w:color w:val="auto"/>
        </w:rPr>
      </w:pPr>
    </w:p>
    <w:p>
      <w:pPr>
        <w:ind w:right="240" w:firstLine="656"/>
        <w:spacing w:after="0" w:line="298" w:lineRule="auto"/>
        <w:tabs>
          <w:tab w:leader="none" w:pos="129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Quarterly Report on Form 10-Q for the quarter ended September 30, 2026, to which this Certification is attached as Exhibit 32.1 (the “Periodic Report”), fully complies with the requirements of Section 13(a) or Section 15(d) of the Exchange Act; and</w:t>
      </w:r>
    </w:p>
    <w:p>
      <w:pPr>
        <w:spacing w:after="0" w:line="110"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Periodic Report fairly presents, in all material respects, the financial condition and results of operations of the</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30, 2026</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20320</wp:posOffset>
            </wp:positionV>
            <wp:extent cx="40976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5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Khozema Z. Shipchandler</w:t>
      </w:r>
    </w:p>
    <w:p>
      <w:pPr>
        <w:spacing w:after="0" w:line="7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i w:val="1"/>
          <w:iCs w:val="1"/>
          <w:color w:val="auto"/>
        </w:rPr>
        <w:t>Chief Executive Officer (Principal Executive Officer)</w:t>
      </w:r>
    </w:p>
    <w:p>
      <w:pPr>
        <w:spacing w:after="0" w:line="29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20320</wp:posOffset>
            </wp:positionV>
            <wp:extent cx="40976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5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Aidan Viggiano</w:t>
      </w:r>
    </w:p>
    <w:p>
      <w:pPr>
        <w:spacing w:after="0" w:line="7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i w:val="1"/>
          <w:iCs w:val="1"/>
          <w:color w:val="auto"/>
        </w:rPr>
        <w:t>Chief Financial Officer (Principal Accounting and Financial Officer)</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lowerLetter"/>
      <w:start w:val="1"/>
    </w:lvl>
  </w:abstractNum>
  <w:abstractNum w:abstractNumId="3">
    <w:nsid w:val="189A769B"/>
    <w:multiLevelType w:val="hybridMultilevel"/>
    <w:lvl w:ilvl="0">
      <w:lvlJc w:val="left"/>
      <w:lvlText w:val="(%1)"/>
      <w:numFmt w:val="lowerLetter"/>
      <w:start w:val="2"/>
    </w:lvl>
  </w:abstractNum>
  <w:abstractNum w:abstractNumId="4">
    <w:nsid w:val="54E49EB4"/>
    <w:multiLevelType w:val="hybridMultilevel"/>
    <w:lvl w:ilvl="0">
      <w:lvlJc w:val="left"/>
      <w:lvlText w:val="(%1)"/>
      <w:numFmt w:val="lowerLetter"/>
      <w:start w:val="3"/>
    </w:lvl>
  </w:abstractNum>
  <w:abstractNum w:abstractNumId="5">
    <w:nsid w:val="71F32454"/>
    <w:multiLevelType w:val="hybridMultilevel"/>
    <w:lvl w:ilvl="0">
      <w:lvlJc w:val="left"/>
      <w:lvlText w:val="(%1)"/>
      <w:numFmt w:val="lowerLetter"/>
      <w:start w:val="4"/>
    </w:lvl>
  </w:abstractNum>
  <w:abstractNum w:abstractNumId="6">
    <w:nsid w:val="2CA88611"/>
    <w:multiLevelType w:val="hybridMultilevel"/>
    <w:lvl w:ilvl="0">
      <w:lvlJc w:val="left"/>
      <w:lvlText w:val="(%1)"/>
      <w:numFmt w:val="lowerLetter"/>
      <w:start w:val="5"/>
    </w:lvl>
  </w:abstractNum>
  <w:abstractNum w:abstractNumId="7">
    <w:nsid w:val="836C40E"/>
    <w:multiLevelType w:val="hybridMultilevel"/>
    <w:lvl w:ilvl="0">
      <w:lvlJc w:val="left"/>
      <w:lvlText w:val="(%1)"/>
      <w:numFmt w:val="lowerLetter"/>
      <w:start w:val="6"/>
    </w:lvl>
  </w:abstractNum>
  <w:abstractNum w:abstractNumId="8">
    <w:nsid w:val="2901D82"/>
    <w:multiLevelType w:val="hybridMultilevel"/>
    <w:lvl w:ilvl="0">
      <w:lvlJc w:val="left"/>
      <w:lvlText w:val="(%1)"/>
      <w:numFmt w:val="lowerLetter"/>
      <w:start w:val="7"/>
    </w:lvl>
  </w:abstractNum>
  <w:abstractNum w:abstractNumId="9">
    <w:nsid w:val="3A95F874"/>
    <w:multiLevelType w:val="hybridMultilevel"/>
    <w:lvl w:ilvl="0">
      <w:lvlJc w:val="left"/>
      <w:lvlText w:val="(%1)"/>
      <w:numFmt w:val="lowerLetter"/>
      <w:start w:val="8"/>
    </w:lvl>
  </w:abstractNum>
  <w:abstractNum w:abstractNumId="10">
    <w:nsid w:val="8138641"/>
    <w:multiLevelType w:val="hybridMultilevel"/>
    <w:lvl w:ilvl="0">
      <w:lvlJc w:val="left"/>
      <w:lvlText w:val="%1."/>
      <w:numFmt w:val="decimal"/>
      <w:start w:val="3"/>
    </w:lvl>
  </w:abstractNum>
  <w:abstractNum w:abstractNumId="11">
    <w:nsid w:val="1E7FF521"/>
    <w:multiLevelType w:val="hybridMultilevel"/>
    <w:lvl w:ilvl="0">
      <w:lvlJc w:val="left"/>
      <w:lvlText w:val="%1."/>
      <w:numFmt w:val="decimal"/>
      <w:start w:val="6"/>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lowerLetter"/>
      <w:start w:val="2"/>
    </w:lvl>
  </w:abstractNum>
  <w:abstractNum w:abstractNumId="15">
    <w:nsid w:val="22221A70"/>
    <w:multiLevelType w:val="hybridMultilevel"/>
    <w:lvl w:ilvl="0">
      <w:lvlJc w:val="left"/>
      <w:lvlText w:val="(%1)"/>
      <w:numFmt w:val="lowerLetter"/>
      <w:start w:val="3"/>
    </w:lvl>
  </w:abstractNum>
  <w:abstractNum w:abstractNumId="16">
    <w:nsid w:val="4516DDE9"/>
    <w:multiLevelType w:val="hybridMultilevel"/>
    <w:lvl w:ilvl="0">
      <w:lvlJc w:val="left"/>
      <w:lvlText w:val="(%1)"/>
      <w:numFmt w:val="lowerLetter"/>
      <w:start w:val="4"/>
    </w:lvl>
  </w:abstractNum>
  <w:abstractNum w:abstractNumId="17">
    <w:nsid w:val="3006C83E"/>
    <w:multiLevelType w:val="hybridMultilevel"/>
    <w:lvl w:ilvl="0">
      <w:lvlJc w:val="left"/>
      <w:lvlText w:val="%1."/>
      <w:numFmt w:val="decimal"/>
      <w:start w:val="1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104"/>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2026-10-30T15:37:36Z</dcterms:created>
  <dcterms:modified xsi:type="dcterms:W3CDTF">2026-10-30T15:37:36Z</dcterms:modified>
</cp:coreProperties>
</file>