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191770</wp:posOffset>
            </wp:positionH>
            <wp:positionV relativeFrom="page">
              <wp:posOffset>645795</wp:posOffset>
            </wp:positionV>
            <wp:extent cx="716597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613410</wp:posOffset>
            </wp:positionV>
            <wp:extent cx="7165975" cy="12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975" cy="12700"/>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39"/>
        <w:spacing w:after="0" w:line="238" w:lineRule="auto"/>
        <w:rPr>
          <w:sz w:val="20"/>
          <w:szCs w:val="20"/>
          <w:color w:val="auto"/>
        </w:rPr>
      </w:pPr>
      <w:r>
        <w:rPr>
          <w:rFonts w:ascii="Arial" w:cs="Arial" w:eastAsia="Arial" w:hAnsi="Arial"/>
          <w:sz w:val="14"/>
          <w:szCs w:val="14"/>
          <w:b w:val="1"/>
          <w:bCs w:val="1"/>
          <w:color w:val="auto"/>
        </w:rPr>
        <w:t>Washington, D.C. 20549</w:t>
      </w:r>
    </w:p>
    <w:p>
      <w:pPr>
        <w:ind w:left="4420"/>
        <w:spacing w:after="0"/>
        <w:rPr>
          <w:sz w:val="20"/>
          <w:szCs w:val="20"/>
          <w:color w:val="auto"/>
        </w:rPr>
      </w:pPr>
      <w:r>
        <w:rPr>
          <w:rFonts w:ascii="Arial" w:cs="Arial" w:eastAsia="Arial" w:hAnsi="Arial"/>
          <w:sz w:val="11"/>
          <w:szCs w:val="11"/>
          <w:b w:val="1"/>
          <w:bCs w:val="1"/>
          <w:color w:val="auto"/>
        </w:rPr>
        <w:t>_____________________________________________</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1"/>
          <w:szCs w:val="11"/>
          <w:b w:val="1"/>
          <w:bCs w:val="1"/>
          <w:color w:val="auto"/>
        </w:rPr>
        <w:t>_____________________________________________</w:t>
      </w:r>
    </w:p>
    <w:p>
      <w:pPr>
        <w:spacing w:after="0" w:line="227" w:lineRule="exact"/>
        <w:rPr>
          <w:sz w:val="24"/>
          <w:szCs w:val="24"/>
          <w:color w:val="auto"/>
        </w:rPr>
      </w:pPr>
    </w:p>
    <w:p>
      <w:pPr>
        <w:ind w:left="640" w:hanging="625"/>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2"/>
          <w:szCs w:val="12"/>
          <w:b w:val="1"/>
          <w:bCs w:val="1"/>
          <w:color w:val="auto"/>
        </w:rPr>
        <w:t>QUARTERLY REPORT PURSUANT TO SECTION 13 OR 15(d) OF THE SECURITIES EXCHANGE ACT 1934</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For the quarterly period ended September 30, 2021</w:t>
      </w:r>
    </w:p>
    <w:p>
      <w:pPr>
        <w:spacing w:after="0" w:line="189" w:lineRule="exact"/>
        <w:rPr>
          <w:sz w:val="24"/>
          <w:szCs w:val="24"/>
          <w:color w:val="auto"/>
        </w:rPr>
      </w:pPr>
    </w:p>
    <w:p>
      <w:pPr>
        <w:ind w:left="660" w:hanging="609"/>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130" w:lineRule="exact"/>
        <w:rPr>
          <w:sz w:val="24"/>
          <w:szCs w:val="24"/>
          <w:color w:val="auto"/>
        </w:rPr>
      </w:pPr>
    </w:p>
    <w:tbl>
      <w:tblPr>
        <w:tblLayout w:type="fixed"/>
        <w:tblInd w:w="1400" w:type="dxa"/>
        <w:tblCellMar>
          <w:top w:w="0" w:type="dxa"/>
          <w:left w:w="0" w:type="dxa"/>
          <w:bottom w:w="0" w:type="dxa"/>
          <w:right w:w="0" w:type="dxa"/>
        </w:tblCellMar>
      </w:tblPr>
      <w:tr>
        <w:trPr>
          <w:trHeight w:val="159"/>
        </w:trPr>
        <w:tc>
          <w:tcPr>
            <w:tcW w:w="2660" w:type="dxa"/>
            <w:vAlign w:val="bottom"/>
          </w:tcPr>
          <w:p>
            <w:pPr>
              <w:spacing w:after="0"/>
              <w:rPr>
                <w:sz w:val="13"/>
                <w:szCs w:val="13"/>
                <w:color w:val="auto"/>
              </w:rPr>
            </w:pPr>
          </w:p>
        </w:tc>
        <w:tc>
          <w:tcPr>
            <w:tcW w:w="5360" w:type="dxa"/>
            <w:vAlign w:val="bottom"/>
          </w:tcPr>
          <w:p>
            <w:pPr>
              <w:jc w:val="center"/>
              <w:ind w:right="2137"/>
              <w:spacing w:after="0"/>
              <w:rPr>
                <w:sz w:val="20"/>
                <w:szCs w:val="20"/>
                <w:color w:val="auto"/>
              </w:rPr>
            </w:pPr>
            <w:r>
              <w:rPr>
                <w:rFonts w:ascii="Arial" w:cs="Arial" w:eastAsia="Arial" w:hAnsi="Arial"/>
                <w:sz w:val="12"/>
                <w:szCs w:val="12"/>
                <w:b w:val="1"/>
                <w:bCs w:val="1"/>
                <w:color w:val="auto"/>
                <w:w w:val="93"/>
              </w:rPr>
              <w:t>For the transition period from to</w:t>
            </w:r>
          </w:p>
        </w:tc>
      </w:tr>
      <w:tr>
        <w:trPr>
          <w:trHeight w:val="176"/>
        </w:trPr>
        <w:tc>
          <w:tcPr>
            <w:tcW w:w="2660" w:type="dxa"/>
            <w:vAlign w:val="bottom"/>
          </w:tcPr>
          <w:p>
            <w:pPr>
              <w:spacing w:after="0"/>
              <w:rPr>
                <w:sz w:val="15"/>
                <w:szCs w:val="15"/>
                <w:color w:val="auto"/>
              </w:rPr>
            </w:pPr>
          </w:p>
        </w:tc>
        <w:tc>
          <w:tcPr>
            <w:tcW w:w="5360" w:type="dxa"/>
            <w:vAlign w:val="bottom"/>
          </w:tcPr>
          <w:p>
            <w:pPr>
              <w:jc w:val="center"/>
              <w:ind w:right="2117"/>
              <w:spacing w:after="0"/>
              <w:rPr>
                <w:sz w:val="20"/>
                <w:szCs w:val="20"/>
                <w:color w:val="auto"/>
              </w:rPr>
            </w:pPr>
            <w:r>
              <w:rPr>
                <w:rFonts w:ascii="Arial" w:cs="Arial" w:eastAsia="Arial" w:hAnsi="Arial"/>
                <w:sz w:val="12"/>
                <w:szCs w:val="12"/>
                <w:b w:val="1"/>
                <w:bCs w:val="1"/>
                <w:color w:val="auto"/>
                <w:w w:val="92"/>
              </w:rPr>
              <w:t>Commission File Number: 001-37806</w:t>
            </w:r>
          </w:p>
        </w:tc>
      </w:tr>
      <w:tr>
        <w:trPr>
          <w:trHeight w:val="175"/>
        </w:trPr>
        <w:tc>
          <w:tcPr>
            <w:tcW w:w="2660" w:type="dxa"/>
            <w:vAlign w:val="bottom"/>
          </w:tcPr>
          <w:p>
            <w:pPr>
              <w:spacing w:after="0"/>
              <w:rPr>
                <w:sz w:val="15"/>
                <w:szCs w:val="15"/>
                <w:color w:val="auto"/>
              </w:rPr>
            </w:pPr>
          </w:p>
        </w:tc>
        <w:tc>
          <w:tcPr>
            <w:tcW w:w="5360" w:type="dxa"/>
            <w:vAlign w:val="bottom"/>
          </w:tcPr>
          <w:p>
            <w:pPr>
              <w:jc w:val="center"/>
              <w:ind w:right="2117"/>
              <w:spacing w:after="0"/>
              <w:rPr>
                <w:sz w:val="20"/>
                <w:szCs w:val="20"/>
                <w:color w:val="auto"/>
              </w:rPr>
            </w:pPr>
            <w:r>
              <w:rPr>
                <w:rFonts w:ascii="Arial" w:cs="Arial" w:eastAsia="Arial" w:hAnsi="Arial"/>
                <w:sz w:val="14"/>
                <w:szCs w:val="14"/>
                <w:b w:val="1"/>
                <w:bCs w:val="1"/>
                <w:color w:val="auto"/>
                <w:w w:val="87"/>
              </w:rPr>
              <w:t>_____________________________________________</w:t>
            </w:r>
          </w:p>
        </w:tc>
      </w:tr>
      <w:tr>
        <w:trPr>
          <w:trHeight w:val="667"/>
        </w:trPr>
        <w:tc>
          <w:tcPr>
            <w:tcW w:w="2660" w:type="dxa"/>
            <w:vAlign w:val="bottom"/>
          </w:tcPr>
          <w:p>
            <w:pPr>
              <w:spacing w:after="0"/>
              <w:rPr>
                <w:sz w:val="24"/>
                <w:szCs w:val="24"/>
                <w:color w:val="auto"/>
              </w:rPr>
            </w:pPr>
          </w:p>
        </w:tc>
        <w:tc>
          <w:tcPr>
            <w:tcW w:w="5360" w:type="dxa"/>
            <w:vAlign w:val="bottom"/>
          </w:tcPr>
          <w:p>
            <w:pPr>
              <w:jc w:val="center"/>
              <w:ind w:right="2117"/>
              <w:spacing w:after="0"/>
              <w:rPr>
                <w:sz w:val="20"/>
                <w:szCs w:val="20"/>
                <w:color w:val="auto"/>
              </w:rPr>
            </w:pPr>
            <w:r>
              <w:rPr>
                <w:rFonts w:ascii="Arial" w:cs="Arial" w:eastAsia="Arial" w:hAnsi="Arial"/>
                <w:sz w:val="18"/>
                <w:szCs w:val="18"/>
                <w:b w:val="1"/>
                <w:bCs w:val="1"/>
                <w:color w:val="auto"/>
              </w:rPr>
              <w:t>TWILIO INC.</w:t>
            </w:r>
          </w:p>
        </w:tc>
      </w:tr>
      <w:tr>
        <w:trPr>
          <w:trHeight w:val="137"/>
        </w:trPr>
        <w:tc>
          <w:tcPr>
            <w:tcW w:w="2660" w:type="dxa"/>
            <w:vAlign w:val="bottom"/>
          </w:tcPr>
          <w:p>
            <w:pPr>
              <w:spacing w:after="0"/>
              <w:rPr>
                <w:sz w:val="11"/>
                <w:szCs w:val="11"/>
                <w:color w:val="auto"/>
              </w:rPr>
            </w:pPr>
          </w:p>
        </w:tc>
        <w:tc>
          <w:tcPr>
            <w:tcW w:w="5360" w:type="dxa"/>
            <w:vAlign w:val="bottom"/>
          </w:tcPr>
          <w:p>
            <w:pPr>
              <w:jc w:val="center"/>
              <w:ind w:right="2137"/>
              <w:spacing w:after="0" w:line="137" w:lineRule="exact"/>
              <w:rPr>
                <w:sz w:val="20"/>
                <w:szCs w:val="20"/>
                <w:color w:val="auto"/>
              </w:rPr>
            </w:pPr>
            <w:r>
              <w:rPr>
                <w:rFonts w:ascii="Arial" w:cs="Arial" w:eastAsia="Arial" w:hAnsi="Arial"/>
                <w:sz w:val="12"/>
                <w:szCs w:val="12"/>
                <w:color w:val="auto"/>
                <w:w w:val="92"/>
              </w:rPr>
              <w:t>(Exact name of registrant as specified in its charter)</w:t>
            </w:r>
          </w:p>
        </w:tc>
      </w:tr>
      <w:tr>
        <w:trPr>
          <w:trHeight w:val="175"/>
        </w:trPr>
        <w:tc>
          <w:tcPr>
            <w:tcW w:w="2660" w:type="dxa"/>
            <w:vAlign w:val="bottom"/>
          </w:tcPr>
          <w:p>
            <w:pPr>
              <w:spacing w:after="0"/>
              <w:rPr>
                <w:sz w:val="15"/>
                <w:szCs w:val="15"/>
                <w:color w:val="auto"/>
              </w:rPr>
            </w:pPr>
          </w:p>
        </w:tc>
        <w:tc>
          <w:tcPr>
            <w:tcW w:w="5360" w:type="dxa"/>
            <w:vAlign w:val="bottom"/>
          </w:tcPr>
          <w:p>
            <w:pPr>
              <w:jc w:val="center"/>
              <w:ind w:right="2117"/>
              <w:spacing w:after="0"/>
              <w:rPr>
                <w:sz w:val="20"/>
                <w:szCs w:val="20"/>
                <w:color w:val="auto"/>
              </w:rPr>
            </w:pPr>
            <w:r>
              <w:rPr>
                <w:rFonts w:ascii="Arial" w:cs="Arial" w:eastAsia="Arial" w:hAnsi="Arial"/>
                <w:sz w:val="14"/>
                <w:szCs w:val="14"/>
                <w:b w:val="1"/>
                <w:bCs w:val="1"/>
                <w:color w:val="auto"/>
                <w:w w:val="87"/>
              </w:rPr>
              <w:t>_____________________________________________</w:t>
            </w:r>
          </w:p>
        </w:tc>
      </w:tr>
      <w:tr>
        <w:trPr>
          <w:trHeight w:val="271"/>
        </w:trPr>
        <w:tc>
          <w:tcPr>
            <w:tcW w:w="2660" w:type="dxa"/>
            <w:vAlign w:val="bottom"/>
          </w:tcPr>
          <w:p>
            <w:pPr>
              <w:jc w:val="center"/>
              <w:ind w:right="2"/>
              <w:spacing w:after="0"/>
              <w:rPr>
                <w:sz w:val="20"/>
                <w:szCs w:val="20"/>
                <w:color w:val="auto"/>
              </w:rPr>
            </w:pPr>
            <w:r>
              <w:rPr>
                <w:rFonts w:ascii="Arial" w:cs="Arial" w:eastAsia="Arial" w:hAnsi="Arial"/>
                <w:sz w:val="12"/>
                <w:szCs w:val="12"/>
                <w:b w:val="1"/>
                <w:bCs w:val="1"/>
                <w:color w:val="auto"/>
                <w:w w:val="91"/>
              </w:rPr>
              <w:t>Delaware</w:t>
            </w:r>
          </w:p>
        </w:tc>
        <w:tc>
          <w:tcPr>
            <w:tcW w:w="5360" w:type="dxa"/>
            <w:vAlign w:val="bottom"/>
          </w:tcPr>
          <w:p>
            <w:pPr>
              <w:jc w:val="right"/>
              <w:ind w:right="537"/>
              <w:spacing w:after="0"/>
              <w:rPr>
                <w:sz w:val="20"/>
                <w:szCs w:val="20"/>
                <w:color w:val="auto"/>
              </w:rPr>
            </w:pPr>
            <w:r>
              <w:rPr>
                <w:rFonts w:ascii="Arial" w:cs="Arial" w:eastAsia="Arial" w:hAnsi="Arial"/>
                <w:sz w:val="12"/>
                <w:szCs w:val="12"/>
                <w:b w:val="1"/>
                <w:bCs w:val="1"/>
                <w:color w:val="auto"/>
              </w:rPr>
              <w:t>26-2574840</w:t>
            </w:r>
          </w:p>
        </w:tc>
      </w:tr>
      <w:tr>
        <w:trPr>
          <w:trHeight w:val="139"/>
        </w:trPr>
        <w:tc>
          <w:tcPr>
            <w:tcW w:w="2660" w:type="dxa"/>
            <w:vAlign w:val="bottom"/>
          </w:tcPr>
          <w:p>
            <w:pPr>
              <w:jc w:val="center"/>
              <w:ind w:right="2"/>
              <w:spacing w:after="0"/>
              <w:rPr>
                <w:sz w:val="20"/>
                <w:szCs w:val="20"/>
                <w:color w:val="auto"/>
              </w:rPr>
            </w:pPr>
            <w:r>
              <w:rPr>
                <w:rFonts w:ascii="Arial" w:cs="Arial" w:eastAsia="Arial" w:hAnsi="Arial"/>
                <w:sz w:val="11"/>
                <w:szCs w:val="11"/>
                <w:color w:val="auto"/>
                <w:w w:val="91"/>
              </w:rPr>
              <w:t>(State or other jurisdiction of incorporation or organization)</w:t>
            </w:r>
          </w:p>
        </w:tc>
        <w:tc>
          <w:tcPr>
            <w:tcW w:w="5360" w:type="dxa"/>
            <w:vAlign w:val="bottom"/>
          </w:tcPr>
          <w:p>
            <w:pPr>
              <w:jc w:val="center"/>
              <w:ind w:left="3517"/>
              <w:spacing w:after="0"/>
              <w:rPr>
                <w:sz w:val="20"/>
                <w:szCs w:val="20"/>
                <w:color w:val="auto"/>
              </w:rPr>
            </w:pPr>
            <w:r>
              <w:rPr>
                <w:rFonts w:ascii="Arial" w:cs="Arial" w:eastAsia="Arial" w:hAnsi="Arial"/>
                <w:sz w:val="11"/>
                <w:szCs w:val="11"/>
                <w:color w:val="auto"/>
                <w:w w:val="93"/>
              </w:rPr>
              <w:t>(I.R.S. Employer Identification Number)</w:t>
            </w:r>
          </w:p>
        </w:tc>
      </w:tr>
      <w:tr>
        <w:trPr>
          <w:trHeight w:val="345"/>
        </w:trPr>
        <w:tc>
          <w:tcPr>
            <w:tcW w:w="2660" w:type="dxa"/>
            <w:vAlign w:val="bottom"/>
          </w:tcPr>
          <w:p>
            <w:pPr>
              <w:spacing w:after="0"/>
              <w:rPr>
                <w:sz w:val="24"/>
                <w:szCs w:val="24"/>
                <w:color w:val="auto"/>
              </w:rPr>
            </w:pPr>
          </w:p>
        </w:tc>
        <w:tc>
          <w:tcPr>
            <w:tcW w:w="5360" w:type="dxa"/>
            <w:vAlign w:val="bottom"/>
          </w:tcPr>
          <w:p>
            <w:pPr>
              <w:jc w:val="center"/>
              <w:ind w:right="2137"/>
              <w:spacing w:after="0"/>
              <w:rPr>
                <w:sz w:val="20"/>
                <w:szCs w:val="20"/>
                <w:color w:val="auto"/>
              </w:rPr>
            </w:pPr>
            <w:r>
              <w:rPr>
                <w:rFonts w:ascii="Arial" w:cs="Arial" w:eastAsia="Arial" w:hAnsi="Arial"/>
                <w:sz w:val="12"/>
                <w:szCs w:val="12"/>
                <w:b w:val="1"/>
                <w:bCs w:val="1"/>
                <w:color w:val="auto"/>
                <w:w w:val="92"/>
              </w:rPr>
              <w:t>101 Spear Street, First Floor</w:t>
            </w:r>
          </w:p>
        </w:tc>
      </w:tr>
      <w:tr>
        <w:trPr>
          <w:trHeight w:val="141"/>
        </w:trPr>
        <w:tc>
          <w:tcPr>
            <w:tcW w:w="2660" w:type="dxa"/>
            <w:vAlign w:val="bottom"/>
          </w:tcPr>
          <w:p>
            <w:pPr>
              <w:spacing w:after="0"/>
              <w:rPr>
                <w:sz w:val="12"/>
                <w:szCs w:val="12"/>
                <w:color w:val="auto"/>
              </w:rPr>
            </w:pPr>
          </w:p>
        </w:tc>
        <w:tc>
          <w:tcPr>
            <w:tcW w:w="5360" w:type="dxa"/>
            <w:vAlign w:val="bottom"/>
          </w:tcPr>
          <w:p>
            <w:pPr>
              <w:jc w:val="center"/>
              <w:ind w:right="2137"/>
              <w:spacing w:after="0"/>
              <w:rPr>
                <w:sz w:val="20"/>
                <w:szCs w:val="20"/>
                <w:color w:val="auto"/>
              </w:rPr>
            </w:pPr>
            <w:r>
              <w:rPr>
                <w:rFonts w:ascii="Arial" w:cs="Arial" w:eastAsia="Arial" w:hAnsi="Arial"/>
                <w:sz w:val="12"/>
                <w:szCs w:val="12"/>
                <w:b w:val="1"/>
                <w:bCs w:val="1"/>
                <w:color w:val="auto"/>
                <w:w w:val="92"/>
              </w:rPr>
              <w:t>San Francisco, California 94105</w:t>
            </w:r>
          </w:p>
        </w:tc>
      </w:tr>
      <w:tr>
        <w:trPr>
          <w:trHeight w:val="137"/>
        </w:trPr>
        <w:tc>
          <w:tcPr>
            <w:tcW w:w="2660" w:type="dxa"/>
            <w:vAlign w:val="bottom"/>
          </w:tcPr>
          <w:p>
            <w:pPr>
              <w:spacing w:after="0"/>
              <w:rPr>
                <w:sz w:val="11"/>
                <w:szCs w:val="11"/>
                <w:color w:val="auto"/>
              </w:rPr>
            </w:pPr>
          </w:p>
        </w:tc>
        <w:tc>
          <w:tcPr>
            <w:tcW w:w="5360" w:type="dxa"/>
            <w:vAlign w:val="bottom"/>
          </w:tcPr>
          <w:p>
            <w:pPr>
              <w:jc w:val="center"/>
              <w:ind w:right="2137"/>
              <w:spacing w:after="0"/>
              <w:rPr>
                <w:sz w:val="20"/>
                <w:szCs w:val="20"/>
                <w:color w:val="auto"/>
              </w:rPr>
            </w:pPr>
            <w:r>
              <w:rPr>
                <w:rFonts w:ascii="Arial" w:cs="Arial" w:eastAsia="Arial" w:hAnsi="Arial"/>
                <w:sz w:val="11"/>
                <w:szCs w:val="11"/>
                <w:color w:val="auto"/>
                <w:w w:val="92"/>
              </w:rPr>
              <w:t>(Address of principal executive offices) (Zip Code)</w:t>
            </w:r>
          </w:p>
        </w:tc>
      </w:tr>
      <w:tr>
        <w:trPr>
          <w:trHeight w:val="210"/>
        </w:trPr>
        <w:tc>
          <w:tcPr>
            <w:tcW w:w="2660" w:type="dxa"/>
            <w:vAlign w:val="bottom"/>
          </w:tcPr>
          <w:p>
            <w:pPr>
              <w:spacing w:after="0"/>
              <w:rPr>
                <w:sz w:val="18"/>
                <w:szCs w:val="18"/>
                <w:color w:val="auto"/>
              </w:rPr>
            </w:pPr>
          </w:p>
        </w:tc>
        <w:tc>
          <w:tcPr>
            <w:tcW w:w="5360" w:type="dxa"/>
            <w:vAlign w:val="bottom"/>
          </w:tcPr>
          <w:p>
            <w:pPr>
              <w:jc w:val="center"/>
              <w:ind w:right="2137"/>
              <w:spacing w:after="0"/>
              <w:rPr>
                <w:sz w:val="20"/>
                <w:szCs w:val="20"/>
                <w:color w:val="auto"/>
              </w:rPr>
            </w:pPr>
            <w:r>
              <w:rPr>
                <w:rFonts w:ascii="Arial" w:cs="Arial" w:eastAsia="Arial" w:hAnsi="Arial"/>
                <w:sz w:val="12"/>
                <w:szCs w:val="12"/>
                <w:b w:val="1"/>
                <w:bCs w:val="1"/>
                <w:color w:val="auto"/>
                <w:w w:val="92"/>
              </w:rPr>
              <w:t>(415) 390-2337</w:t>
            </w:r>
          </w:p>
        </w:tc>
      </w:tr>
      <w:tr>
        <w:trPr>
          <w:trHeight w:val="137"/>
        </w:trPr>
        <w:tc>
          <w:tcPr>
            <w:tcW w:w="2660" w:type="dxa"/>
            <w:vAlign w:val="bottom"/>
          </w:tcPr>
          <w:p>
            <w:pPr>
              <w:spacing w:after="0"/>
              <w:rPr>
                <w:sz w:val="11"/>
                <w:szCs w:val="11"/>
                <w:color w:val="auto"/>
              </w:rPr>
            </w:pPr>
          </w:p>
        </w:tc>
        <w:tc>
          <w:tcPr>
            <w:tcW w:w="5360" w:type="dxa"/>
            <w:vAlign w:val="bottom"/>
          </w:tcPr>
          <w:p>
            <w:pPr>
              <w:jc w:val="center"/>
              <w:ind w:right="2117"/>
              <w:spacing w:after="0"/>
              <w:rPr>
                <w:sz w:val="20"/>
                <w:szCs w:val="20"/>
                <w:color w:val="auto"/>
              </w:rPr>
            </w:pPr>
            <w:r>
              <w:rPr>
                <w:rFonts w:ascii="Arial" w:cs="Arial" w:eastAsia="Arial" w:hAnsi="Arial"/>
                <w:sz w:val="11"/>
                <w:szCs w:val="11"/>
                <w:color w:val="auto"/>
                <w:w w:val="88"/>
              </w:rPr>
              <w:t>(Registrant’s telephone number, including area code)</w:t>
            </w:r>
          </w:p>
        </w:tc>
      </w:tr>
      <w:tr>
        <w:trPr>
          <w:trHeight w:val="331"/>
        </w:trPr>
        <w:tc>
          <w:tcPr>
            <w:tcW w:w="2660" w:type="dxa"/>
            <w:vAlign w:val="bottom"/>
          </w:tcPr>
          <w:p>
            <w:pPr>
              <w:spacing w:after="0"/>
              <w:rPr>
                <w:sz w:val="24"/>
                <w:szCs w:val="24"/>
                <w:color w:val="auto"/>
              </w:rPr>
            </w:pPr>
          </w:p>
        </w:tc>
        <w:tc>
          <w:tcPr>
            <w:tcW w:w="5360" w:type="dxa"/>
            <w:vAlign w:val="bottom"/>
          </w:tcPr>
          <w:p>
            <w:pPr>
              <w:jc w:val="center"/>
              <w:ind w:right="2117"/>
              <w:spacing w:after="0"/>
              <w:rPr>
                <w:sz w:val="20"/>
                <w:szCs w:val="20"/>
                <w:color w:val="auto"/>
              </w:rPr>
            </w:pPr>
            <w:r>
              <w:rPr>
                <w:rFonts w:ascii="Arial" w:cs="Arial" w:eastAsia="Arial" w:hAnsi="Arial"/>
                <w:sz w:val="12"/>
                <w:szCs w:val="12"/>
                <w:b w:val="1"/>
                <w:bCs w:val="1"/>
                <w:color w:val="auto"/>
                <w:w w:val="91"/>
              </w:rPr>
              <w:t>____________________________________________</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3331210</wp:posOffset>
            </wp:positionH>
            <wp:positionV relativeFrom="paragraph">
              <wp:posOffset>-1674495</wp:posOffset>
            </wp:positionV>
            <wp:extent cx="505460" cy="2203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5460" cy="2203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5"/>
        </w:trPr>
        <w:tc>
          <w:tcPr>
            <w:tcW w:w="452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2620" w:type="dxa"/>
            <w:vAlign w:val="bottom"/>
          </w:tcPr>
          <w:p>
            <w:pPr>
              <w:spacing w:after="0"/>
              <w:rPr>
                <w:sz w:val="13"/>
                <w:szCs w:val="13"/>
                <w:color w:val="auto"/>
              </w:rPr>
            </w:pPr>
          </w:p>
        </w:tc>
        <w:tc>
          <w:tcPr>
            <w:tcW w:w="4060" w:type="dxa"/>
            <w:vAlign w:val="bottom"/>
          </w:tcPr>
          <w:p>
            <w:pPr>
              <w:spacing w:after="0"/>
              <w:rPr>
                <w:sz w:val="13"/>
                <w:szCs w:val="13"/>
                <w:color w:val="auto"/>
              </w:rPr>
            </w:pPr>
          </w:p>
        </w:tc>
      </w:tr>
      <w:tr>
        <w:trPr>
          <w:trHeight w:val="268"/>
        </w:trPr>
        <w:tc>
          <w:tcPr>
            <w:tcW w:w="100" w:type="dxa"/>
            <w:vAlign w:val="bottom"/>
          </w:tcPr>
          <w:p>
            <w:pPr>
              <w:spacing w:after="0"/>
              <w:rPr>
                <w:sz w:val="23"/>
                <w:szCs w:val="23"/>
                <w:color w:val="auto"/>
              </w:rPr>
            </w:pPr>
          </w:p>
        </w:tc>
        <w:tc>
          <w:tcPr>
            <w:tcW w:w="4420" w:type="dxa"/>
            <w:vAlign w:val="bottom"/>
            <w:tcBorders>
              <w:bottom w:val="single" w:sz="8" w:color="auto"/>
            </w:tcBorders>
          </w:tcPr>
          <w:p>
            <w:pPr>
              <w:jc w:val="center"/>
              <w:ind w:left="119"/>
              <w:spacing w:after="0"/>
              <w:rPr>
                <w:sz w:val="20"/>
                <w:szCs w:val="20"/>
                <w:color w:val="auto"/>
              </w:rPr>
            </w:pPr>
            <w:r>
              <w:rPr>
                <w:rFonts w:ascii="Arial" w:cs="Arial" w:eastAsia="Arial" w:hAnsi="Arial"/>
                <w:sz w:val="12"/>
                <w:szCs w:val="12"/>
                <w:b w:val="1"/>
                <w:bCs w:val="1"/>
                <w:color w:val="auto"/>
                <w:w w:val="88"/>
              </w:rPr>
              <w:t>Title of each class</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Trading Symbol(s)</w:t>
            </w:r>
          </w:p>
        </w:tc>
        <w:tc>
          <w:tcPr>
            <w:tcW w:w="4060" w:type="dxa"/>
            <w:vAlign w:val="bottom"/>
            <w:tcBorders>
              <w:bottom w:val="single" w:sz="8" w:color="auto"/>
            </w:tcBorders>
          </w:tcPr>
          <w:p>
            <w:pPr>
              <w:jc w:val="center"/>
              <w:ind w:right="99"/>
              <w:spacing w:after="0"/>
              <w:rPr>
                <w:sz w:val="20"/>
                <w:szCs w:val="20"/>
                <w:color w:val="auto"/>
              </w:rPr>
            </w:pPr>
            <w:r>
              <w:rPr>
                <w:rFonts w:ascii="Arial" w:cs="Arial" w:eastAsia="Arial" w:hAnsi="Arial"/>
                <w:sz w:val="12"/>
                <w:szCs w:val="12"/>
                <w:b w:val="1"/>
                <w:bCs w:val="1"/>
                <w:color w:val="auto"/>
                <w:w w:val="89"/>
              </w:rPr>
              <w:t>Name of each exchange on which registered</w:t>
            </w:r>
          </w:p>
        </w:tc>
      </w:tr>
      <w:tr>
        <w:trPr>
          <w:trHeight w:val="151"/>
        </w:trPr>
        <w:tc>
          <w:tcPr>
            <w:tcW w:w="100" w:type="dxa"/>
            <w:vAlign w:val="bottom"/>
          </w:tcPr>
          <w:p>
            <w:pPr>
              <w:spacing w:after="0"/>
              <w:rPr>
                <w:sz w:val="13"/>
                <w:szCs w:val="13"/>
                <w:color w:val="auto"/>
              </w:rPr>
            </w:pPr>
          </w:p>
        </w:tc>
        <w:tc>
          <w:tcPr>
            <w:tcW w:w="4420" w:type="dxa"/>
            <w:vAlign w:val="bottom"/>
          </w:tcPr>
          <w:p>
            <w:pPr>
              <w:jc w:val="center"/>
              <w:ind w:left="139"/>
              <w:spacing w:after="0"/>
              <w:rPr>
                <w:sz w:val="20"/>
                <w:szCs w:val="20"/>
                <w:color w:val="auto"/>
              </w:rPr>
            </w:pPr>
            <w:r>
              <w:rPr>
                <w:rFonts w:ascii="Arial" w:cs="Arial" w:eastAsia="Arial" w:hAnsi="Arial"/>
                <w:sz w:val="12"/>
                <w:szCs w:val="12"/>
                <w:color w:val="auto"/>
                <w:w w:val="91"/>
              </w:rPr>
              <w:t>Class A Common Stock, par value $0.001 per share</w:t>
            </w:r>
          </w:p>
        </w:tc>
        <w:tc>
          <w:tcPr>
            <w:tcW w:w="2620" w:type="dxa"/>
            <w:vAlign w:val="bottom"/>
          </w:tcPr>
          <w:p>
            <w:pPr>
              <w:jc w:val="center"/>
              <w:spacing w:after="0"/>
              <w:rPr>
                <w:sz w:val="20"/>
                <w:szCs w:val="20"/>
                <w:color w:val="auto"/>
              </w:rPr>
            </w:pPr>
            <w:r>
              <w:rPr>
                <w:rFonts w:ascii="Arial" w:cs="Arial" w:eastAsia="Arial" w:hAnsi="Arial"/>
                <w:sz w:val="12"/>
                <w:szCs w:val="12"/>
                <w:color w:val="auto"/>
                <w:w w:val="97"/>
              </w:rPr>
              <w:t>TWLO</w:t>
            </w:r>
          </w:p>
        </w:tc>
        <w:tc>
          <w:tcPr>
            <w:tcW w:w="4060" w:type="dxa"/>
            <w:vAlign w:val="bottom"/>
          </w:tcPr>
          <w:p>
            <w:pPr>
              <w:jc w:val="center"/>
              <w:ind w:right="99"/>
              <w:spacing w:after="0"/>
              <w:rPr>
                <w:sz w:val="20"/>
                <w:szCs w:val="20"/>
                <w:color w:val="auto"/>
              </w:rPr>
            </w:pPr>
            <w:r>
              <w:rPr>
                <w:rFonts w:ascii="Arial" w:cs="Arial" w:eastAsia="Arial" w:hAnsi="Arial"/>
                <w:sz w:val="12"/>
                <w:szCs w:val="12"/>
                <w:color w:val="auto"/>
                <w:w w:val="92"/>
              </w:rPr>
              <w:t>The New York Stock Exchange</w:t>
            </w:r>
          </w:p>
        </w:tc>
      </w:tr>
    </w:tbl>
    <w:p>
      <w:pPr>
        <w:spacing w:after="0" w:line="145" w:lineRule="exact"/>
        <w:rPr>
          <w:sz w:val="24"/>
          <w:szCs w:val="24"/>
          <w:color w:val="auto"/>
        </w:rPr>
      </w:pPr>
    </w:p>
    <w:p>
      <w:pPr>
        <w:ind w:left="500"/>
        <w:spacing w:after="0"/>
        <w:rPr>
          <w:sz w:val="20"/>
          <w:szCs w:val="20"/>
          <w:color w:val="auto"/>
        </w:rPr>
      </w:pPr>
      <w:r>
        <w:rPr>
          <w:rFonts w:ascii="Arial" w:cs="Arial" w:eastAsia="Arial" w:hAnsi="Arial"/>
          <w:sz w:val="11"/>
          <w:szCs w:val="11"/>
          <w:color w:val="auto"/>
        </w:rPr>
        <w:t>As of October 22, 2021, 168,448,610 shares of the registrant’s Class A common stock and 9,880,181 shares of registrant’s Class B common stock were outstanding.</w:t>
      </w:r>
    </w:p>
    <w:p>
      <w:pPr>
        <w:spacing w:after="0" w:line="78" w:lineRule="exact"/>
        <w:rPr>
          <w:sz w:val="24"/>
          <w:szCs w:val="24"/>
          <w:color w:val="auto"/>
        </w:rPr>
      </w:pPr>
    </w:p>
    <w:p>
      <w:pPr>
        <w:ind w:right="100" w:firstLine="490"/>
        <w:spacing w:after="0" w:line="271"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1" w:lineRule="exact"/>
        <w:rPr>
          <w:sz w:val="24"/>
          <w:szCs w:val="24"/>
          <w:color w:val="auto"/>
        </w:rPr>
      </w:pPr>
    </w:p>
    <w:p>
      <w:pPr>
        <w:ind w:right="80" w:firstLine="490"/>
        <w:spacing w:after="0" w:line="271" w:lineRule="auto"/>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1" w:lineRule="exact"/>
        <w:rPr>
          <w:sz w:val="24"/>
          <w:szCs w:val="24"/>
          <w:color w:val="auto"/>
        </w:rPr>
      </w:pPr>
    </w:p>
    <w:p>
      <w:pPr>
        <w:ind w:right="80" w:firstLine="490"/>
        <w:spacing w:after="0" w:line="252"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2040" w:type="dxa"/>
        <w:tblCellMar>
          <w:top w:w="0" w:type="dxa"/>
          <w:left w:w="0" w:type="dxa"/>
          <w:bottom w:w="0" w:type="dxa"/>
          <w:right w:w="0" w:type="dxa"/>
        </w:tblCellMar>
      </w:tblPr>
      <w:tr>
        <w:trPr>
          <w:trHeight w:val="143"/>
        </w:trPr>
        <w:tc>
          <w:tcPr>
            <w:tcW w:w="2000" w:type="dxa"/>
            <w:vAlign w:val="bottom"/>
          </w:tcPr>
          <w:p>
            <w:pPr>
              <w:jc w:val="center"/>
              <w:ind w:right="966"/>
              <w:spacing w:after="0"/>
              <w:rPr>
                <w:sz w:val="20"/>
                <w:szCs w:val="20"/>
                <w:color w:val="auto"/>
              </w:rPr>
            </w:pPr>
            <w:r>
              <w:rPr>
                <w:rFonts w:ascii="Arial" w:cs="Arial" w:eastAsia="Arial" w:hAnsi="Arial"/>
                <w:sz w:val="11"/>
                <w:szCs w:val="11"/>
                <w:color w:val="auto"/>
                <w:w w:val="90"/>
              </w:rPr>
              <w:t>Large accelerated filer</w:t>
            </w:r>
          </w:p>
        </w:tc>
        <w:tc>
          <w:tcPr>
            <w:tcW w:w="2440" w:type="dxa"/>
            <w:vAlign w:val="bottom"/>
          </w:tcPr>
          <w:p>
            <w:pPr>
              <w:ind w:left="1020"/>
              <w:spacing w:after="0" w:line="111" w:lineRule="exact"/>
              <w:rPr>
                <w:sz w:val="20"/>
                <w:szCs w:val="20"/>
                <w:color w:val="auto"/>
              </w:rPr>
            </w:pPr>
            <w:r>
              <w:rPr>
                <w:rFonts w:ascii="MS PGothic" w:cs="MS PGothic" w:eastAsia="MS PGothic" w:hAnsi="MS PGothic"/>
                <w:sz w:val="11"/>
                <w:szCs w:val="11"/>
                <w:color w:val="auto"/>
              </w:rPr>
              <w:t>☒</w:t>
            </w:r>
          </w:p>
        </w:tc>
        <w:tc>
          <w:tcPr>
            <w:tcW w:w="3480" w:type="dxa"/>
            <w:vAlign w:val="bottom"/>
          </w:tcPr>
          <w:p>
            <w:pPr>
              <w:jc w:val="center"/>
              <w:ind w:left="266"/>
              <w:spacing w:after="0"/>
              <w:rPr>
                <w:sz w:val="20"/>
                <w:szCs w:val="20"/>
                <w:color w:val="auto"/>
              </w:rPr>
            </w:pPr>
            <w:r>
              <w:rPr>
                <w:rFonts w:ascii="Arial" w:cs="Arial" w:eastAsia="Arial" w:hAnsi="Arial"/>
                <w:sz w:val="11"/>
                <w:szCs w:val="11"/>
                <w:color w:val="auto"/>
                <w:w w:val="91"/>
              </w:rPr>
              <w:t>Accelerated filer</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3"/>
        </w:trPr>
        <w:tc>
          <w:tcPr>
            <w:tcW w:w="2000" w:type="dxa"/>
            <w:vAlign w:val="bottom"/>
          </w:tcPr>
          <w:p>
            <w:pPr>
              <w:jc w:val="center"/>
              <w:ind w:right="986"/>
              <w:spacing w:after="0"/>
              <w:rPr>
                <w:sz w:val="20"/>
                <w:szCs w:val="20"/>
                <w:color w:val="auto"/>
              </w:rPr>
            </w:pPr>
            <w:r>
              <w:rPr>
                <w:rFonts w:ascii="Arial" w:cs="Arial" w:eastAsia="Arial" w:hAnsi="Arial"/>
                <w:sz w:val="11"/>
                <w:szCs w:val="11"/>
                <w:color w:val="auto"/>
                <w:w w:val="90"/>
              </w:rPr>
              <w:t>Non-accelerated filer</w:t>
            </w:r>
          </w:p>
        </w:tc>
        <w:tc>
          <w:tcPr>
            <w:tcW w:w="2440" w:type="dxa"/>
            <w:vAlign w:val="bottom"/>
          </w:tcPr>
          <w:p>
            <w:pPr>
              <w:ind w:left="1020"/>
              <w:spacing w:after="0" w:line="111" w:lineRule="exact"/>
              <w:rPr>
                <w:sz w:val="20"/>
                <w:szCs w:val="20"/>
                <w:color w:val="auto"/>
              </w:rPr>
            </w:pPr>
            <w:r>
              <w:rPr>
                <w:rFonts w:ascii="MS PGothic" w:cs="MS PGothic" w:eastAsia="MS PGothic" w:hAnsi="MS PGothic"/>
                <w:sz w:val="11"/>
                <w:szCs w:val="11"/>
                <w:color w:val="auto"/>
              </w:rPr>
              <w:t>☐</w:t>
            </w:r>
          </w:p>
        </w:tc>
        <w:tc>
          <w:tcPr>
            <w:tcW w:w="3480" w:type="dxa"/>
            <w:vAlign w:val="bottom"/>
          </w:tcPr>
          <w:p>
            <w:pPr>
              <w:jc w:val="center"/>
              <w:ind w:left="266"/>
              <w:spacing w:after="0"/>
              <w:rPr>
                <w:sz w:val="20"/>
                <w:szCs w:val="20"/>
                <w:color w:val="auto"/>
              </w:rPr>
            </w:pPr>
            <w:r>
              <w:rPr>
                <w:rFonts w:ascii="Arial" w:cs="Arial" w:eastAsia="Arial" w:hAnsi="Arial"/>
                <w:sz w:val="11"/>
                <w:szCs w:val="11"/>
                <w:color w:val="auto"/>
                <w:w w:val="91"/>
              </w:rPr>
              <w:t>Smaller reporting company</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9"/>
        </w:trPr>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480" w:type="dxa"/>
            <w:vAlign w:val="bottom"/>
          </w:tcPr>
          <w:p>
            <w:pPr>
              <w:jc w:val="center"/>
              <w:ind w:left="266"/>
              <w:spacing w:after="0"/>
              <w:rPr>
                <w:sz w:val="20"/>
                <w:szCs w:val="20"/>
                <w:color w:val="auto"/>
              </w:rPr>
            </w:pPr>
            <w:r>
              <w:rPr>
                <w:rFonts w:ascii="Arial" w:cs="Arial" w:eastAsia="Arial" w:hAnsi="Arial"/>
                <w:sz w:val="11"/>
                <w:szCs w:val="11"/>
                <w:color w:val="auto"/>
                <w:w w:val="91"/>
              </w:rPr>
              <w:t>Emerging growth company</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39" w:lineRule="exact"/>
        <w:rPr>
          <w:sz w:val="24"/>
          <w:szCs w:val="24"/>
          <w:color w:val="auto"/>
        </w:rPr>
      </w:pPr>
    </w:p>
    <w:p>
      <w:pPr>
        <w:ind w:left="500"/>
        <w:spacing w:after="0"/>
        <w:rPr>
          <w:sz w:val="20"/>
          <w:szCs w:val="20"/>
          <w:color w:val="auto"/>
        </w:rPr>
      </w:pPr>
      <w:r>
        <w:rPr>
          <w:rFonts w:ascii="Arial" w:cs="Arial" w:eastAsia="Arial" w:hAnsi="Arial"/>
          <w:sz w:val="9"/>
          <w:szCs w:val="9"/>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33" w:lineRule="exact"/>
        <w:rPr>
          <w:sz w:val="24"/>
          <w:szCs w:val="24"/>
          <w:color w:val="auto"/>
        </w:rPr>
      </w:pPr>
    </w:p>
    <w:p>
      <w:pPr>
        <w:spacing w:after="0"/>
        <w:tabs>
          <w:tab w:leader="none" w:pos="280" w:val="left"/>
        </w:tabs>
        <w:rPr>
          <w:sz w:val="20"/>
          <w:szCs w:val="20"/>
          <w:color w:val="auto"/>
        </w:rPr>
      </w:pPr>
      <w:r>
        <w:rPr>
          <w:rFonts w:ascii="Arial" w:cs="Arial" w:eastAsia="Arial" w:hAnsi="Arial"/>
          <w:sz w:val="11"/>
          <w:szCs w:val="11"/>
          <w:color w:val="auto"/>
        </w:rPr>
        <w:t>Act.</w:t>
      </w:r>
      <w:r>
        <w:rPr>
          <w:sz w:val="20"/>
          <w:szCs w:val="20"/>
          <w:color w:val="auto"/>
        </w:rPr>
        <w:tab/>
      </w:r>
      <w:r>
        <w:rPr>
          <w:rFonts w:ascii="Arial" w:cs="Arial" w:eastAsia="Arial" w:hAnsi="Arial"/>
          <w:sz w:val="10"/>
          <w:szCs w:val="10"/>
          <w:color w:val="auto"/>
        </w:rPr>
        <w:t>o</w:t>
      </w:r>
    </w:p>
    <w:p>
      <w:pPr>
        <w:spacing w:after="0" w:line="84" w:lineRule="exact"/>
        <w:rPr>
          <w:sz w:val="24"/>
          <w:szCs w:val="24"/>
          <w:color w:val="auto"/>
        </w:rPr>
      </w:pPr>
    </w:p>
    <w:p>
      <w:pPr>
        <w:ind w:left="500"/>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679450</wp:posOffset>
            </wp:positionV>
            <wp:extent cx="719137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1375"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57150</wp:posOffset>
            </wp:positionV>
            <wp:extent cx="7165975"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975" cy="127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38100</wp:posOffset>
            </wp:positionV>
            <wp:extent cx="716597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60"/>
          </w:cols>
          <w:pgMar w:left="300" w:top="1125"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4"/>
          <w:szCs w:val="14"/>
          <w:b w:val="1"/>
          <w:bCs w:val="1"/>
          <w:color w:val="auto"/>
        </w:rPr>
        <w:t>TWILIO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Quarterly Report on Form 10-Q</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Three Months Ended September 30, 2021</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TABLE OF CONTENTS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40" w:type="dxa"/>
            <w:vAlign w:val="bottom"/>
            <w:gridSpan w:val="10"/>
            <w:vMerge w:val="restart"/>
          </w:tcPr>
          <w:p>
            <w:pPr>
              <w:jc w:val="center"/>
              <w:ind w:right="3300"/>
              <w:spacing w:after="0"/>
              <w:rPr>
                <w:rFonts w:ascii="Arial" w:cs="Arial" w:eastAsia="Arial" w:hAnsi="Arial"/>
                <w:sz w:val="14"/>
                <w:szCs w:val="14"/>
                <w:b w:val="1"/>
                <w:bCs w:val="1"/>
                <w:color w:val="0000FF"/>
                <w:w w:val="99"/>
              </w:rPr>
            </w:pPr>
            <w:hyperlink w:anchor="page4">
              <w:r>
                <w:rPr>
                  <w:rFonts w:ascii="Arial" w:cs="Arial" w:eastAsia="Arial" w:hAnsi="Arial"/>
                  <w:sz w:val="14"/>
                  <w:szCs w:val="14"/>
                  <w:b w:val="1"/>
                  <w:bCs w:val="1"/>
                  <w:color w:val="0000FF"/>
                  <w:w w:val="99"/>
                </w:rPr>
                <w:t>PART I - FINANCIAL INFORMATION</w:t>
              </w:r>
            </w:hyperlink>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24"/>
        </w:trPr>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340" w:type="dxa"/>
            <w:vAlign w:val="bottom"/>
            <w:gridSpan w:val="10"/>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960" w:type="dxa"/>
            <w:vAlign w:val="bottom"/>
            <w:gridSpan w:val="3"/>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Item 1.</w:t>
              </w:r>
            </w:hyperlink>
          </w:p>
        </w:tc>
        <w:tc>
          <w:tcPr>
            <w:tcW w:w="3640" w:type="dxa"/>
            <w:vAlign w:val="bottom"/>
            <w:gridSpan w:val="10"/>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Financial Statements (unaudited)</w:t>
              </w:r>
            </w:hyperlink>
          </w:p>
        </w:tc>
        <w:tc>
          <w:tcPr>
            <w:tcW w:w="2380" w:type="dxa"/>
            <w:vAlign w:val="bottom"/>
            <w:tcBorders>
              <w:top w:val="single" w:sz="8" w:color="0000FF"/>
            </w:tcBorders>
            <w:gridSpan w:val="6"/>
          </w:tcPr>
          <w:p>
            <w:pPr>
              <w:spacing w:after="0"/>
              <w:rPr>
                <w:sz w:val="23"/>
                <w:szCs w:val="23"/>
                <w:color w:val="auto"/>
              </w:rPr>
            </w:pPr>
          </w:p>
        </w:tc>
        <w:tc>
          <w:tcPr>
            <w:tcW w:w="3620" w:type="dxa"/>
            <w:vAlign w:val="bottom"/>
            <w:gridSpan w:val="3"/>
          </w:tcPr>
          <w:p>
            <w:pPr>
              <w:spacing w:after="0"/>
              <w:rPr>
                <w:sz w:val="23"/>
                <w:szCs w:val="23"/>
                <w:color w:val="auto"/>
              </w:rPr>
            </w:pPr>
          </w:p>
        </w:tc>
        <w:tc>
          <w:tcPr>
            <w:tcW w:w="160" w:type="dxa"/>
            <w:vAlign w:val="bottom"/>
            <w:gridSpan w:val="2"/>
          </w:tcPr>
          <w:p>
            <w:pPr>
              <w:ind w:left="20"/>
              <w:spacing w:after="0"/>
              <w:rPr>
                <w:rFonts w:ascii="Arial" w:cs="Arial" w:eastAsia="Arial" w:hAnsi="Arial"/>
                <w:sz w:val="14"/>
                <w:szCs w:val="14"/>
                <w:color w:val="0000FF"/>
              </w:rPr>
            </w:pPr>
            <w:hyperlink w:anchor="page5">
              <w:r>
                <w:rPr>
                  <w:rFonts w:ascii="Arial" w:cs="Arial" w:eastAsia="Arial" w:hAnsi="Arial"/>
                  <w:sz w:val="14"/>
                  <w:szCs w:val="14"/>
                  <w:color w:val="0000FF"/>
                </w:rPr>
                <w:t>4</w:t>
              </w:r>
            </w:hyperlink>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980" w:type="dxa"/>
            <w:vAlign w:val="bottom"/>
            <w:gridSpan w:val="13"/>
          </w:tcPr>
          <w:p>
            <w:pPr>
              <w:spacing w:after="0"/>
              <w:rPr>
                <w:rFonts w:ascii="Arial" w:cs="Arial" w:eastAsia="Arial" w:hAnsi="Arial"/>
                <w:sz w:val="14"/>
                <w:szCs w:val="14"/>
                <w:color w:val="0000FF"/>
                <w:w w:val="85"/>
              </w:rPr>
            </w:pPr>
            <w:hyperlink w:anchor="page5">
              <w:r>
                <w:rPr>
                  <w:rFonts w:ascii="Arial" w:cs="Arial" w:eastAsia="Arial" w:hAnsi="Arial"/>
                  <w:sz w:val="14"/>
                  <w:szCs w:val="14"/>
                  <w:color w:val="0000FF"/>
                  <w:w w:val="85"/>
                </w:rPr>
                <w:t>Condensed Consolidated Balance Sheets as of September 30, 2021 and December 31, 2020</w:t>
              </w:r>
            </w:hyperlink>
          </w:p>
        </w:tc>
        <w:tc>
          <w:tcPr>
            <w:tcW w:w="4660" w:type="dxa"/>
            <w:vAlign w:val="bottom"/>
            <w:gridSpan w:val="6"/>
          </w:tcPr>
          <w:p>
            <w:pPr>
              <w:spacing w:after="0"/>
              <w:rPr>
                <w:sz w:val="23"/>
                <w:szCs w:val="23"/>
                <w:color w:val="auto"/>
              </w:rPr>
            </w:pPr>
          </w:p>
        </w:tc>
        <w:tc>
          <w:tcPr>
            <w:tcW w:w="160" w:type="dxa"/>
            <w:vAlign w:val="bottom"/>
            <w:gridSpan w:val="2"/>
          </w:tcPr>
          <w:p>
            <w:pPr>
              <w:ind w:left="20"/>
              <w:spacing w:after="0"/>
              <w:rPr>
                <w:rFonts w:ascii="Arial" w:cs="Arial" w:eastAsia="Arial" w:hAnsi="Arial"/>
                <w:sz w:val="14"/>
                <w:szCs w:val="14"/>
                <w:color w:val="0000FF"/>
              </w:rPr>
            </w:pPr>
            <w:hyperlink w:anchor="page5">
              <w:r>
                <w:rPr>
                  <w:rFonts w:ascii="Arial" w:cs="Arial" w:eastAsia="Arial" w:hAnsi="Arial"/>
                  <w:sz w:val="14"/>
                  <w:szCs w:val="14"/>
                  <w:color w:val="0000FF"/>
                </w:rPr>
                <w:t>4</w:t>
              </w:r>
            </w:hyperlink>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540" w:type="dxa"/>
            <w:vAlign w:val="bottom"/>
            <w:gridSpan w:val="17"/>
          </w:tcPr>
          <w:p>
            <w:pPr>
              <w:spacing w:after="0"/>
              <w:rPr>
                <w:rFonts w:ascii="Arial" w:cs="Arial" w:eastAsia="Arial" w:hAnsi="Arial"/>
                <w:sz w:val="14"/>
                <w:szCs w:val="14"/>
                <w:color w:val="0000FF"/>
                <w:w w:val="86"/>
              </w:rPr>
            </w:pPr>
            <w:hyperlink w:anchor="page5">
              <w:r>
                <w:rPr>
                  <w:rFonts w:ascii="Arial" w:cs="Arial" w:eastAsia="Arial" w:hAnsi="Arial"/>
                  <w:sz w:val="14"/>
                  <w:szCs w:val="14"/>
                  <w:color w:val="0000FF"/>
                  <w:w w:val="86"/>
                </w:rPr>
                <w:t>Condensed Consolidated Statements of Operations for the Three and Nine Months Ended September 30, 2021 and 2020</w:t>
              </w:r>
            </w:hyperlink>
          </w:p>
        </w:tc>
        <w:tc>
          <w:tcPr>
            <w:tcW w:w="3100" w:type="dxa"/>
            <w:vAlign w:val="bottom"/>
            <w:gridSpan w:val="2"/>
          </w:tcPr>
          <w:p>
            <w:pPr>
              <w:spacing w:after="0"/>
              <w:rPr>
                <w:sz w:val="23"/>
                <w:szCs w:val="23"/>
                <w:color w:val="auto"/>
              </w:rPr>
            </w:pPr>
          </w:p>
        </w:tc>
        <w:tc>
          <w:tcPr>
            <w:tcW w:w="160" w:type="dxa"/>
            <w:vAlign w:val="bottom"/>
            <w:gridSpan w:val="2"/>
          </w:tcPr>
          <w:p>
            <w:pPr>
              <w:ind w:left="20"/>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40" w:type="dxa"/>
            <w:vAlign w:val="bottom"/>
            <w:gridSpan w:val="19"/>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Condensed Consolidated Statements of Comprehensive Loss for the Three and Nine Months Ended September 30, 2021 and 2020</w:t>
              </w:r>
            </w:hyperlink>
          </w:p>
        </w:tc>
        <w:tc>
          <w:tcPr>
            <w:tcW w:w="160" w:type="dxa"/>
            <w:vAlign w:val="bottom"/>
            <w:gridSpan w:val="2"/>
          </w:tcPr>
          <w:p>
            <w:pPr>
              <w:ind w:left="20"/>
              <w:spacing w:after="0"/>
              <w:rPr>
                <w:rFonts w:ascii="Arial" w:cs="Arial" w:eastAsia="Arial" w:hAnsi="Arial"/>
                <w:sz w:val="14"/>
                <w:szCs w:val="14"/>
                <w:color w:val="0000FF"/>
              </w:rPr>
            </w:pPr>
            <w:hyperlink w:anchor="page6">
              <w:r>
                <w:rPr>
                  <w:rFonts w:ascii="Arial" w:cs="Arial" w:eastAsia="Arial" w:hAnsi="Arial"/>
                  <w:sz w:val="14"/>
                  <w:szCs w:val="14"/>
                  <w:color w:val="0000FF"/>
                </w:rPr>
                <w:t>6</w:t>
              </w:r>
            </w:hyperlink>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40" w:type="dxa"/>
            <w:vAlign w:val="bottom"/>
            <w:gridSpan w:val="19"/>
          </w:tcPr>
          <w:p>
            <w:pPr>
              <w:spacing w:after="0"/>
              <w:rPr>
                <w:rFonts w:ascii="Arial" w:cs="Arial" w:eastAsia="Arial" w:hAnsi="Arial"/>
                <w:sz w:val="14"/>
                <w:szCs w:val="14"/>
                <w:color w:val="0000FF"/>
              </w:rPr>
            </w:pPr>
            <w:hyperlink w:anchor="page7">
              <w:r>
                <w:rPr>
                  <w:rFonts w:ascii="Arial" w:cs="Arial" w:eastAsia="Arial" w:hAnsi="Arial"/>
                  <w:sz w:val="14"/>
                  <w:szCs w:val="14"/>
                  <w:color w:val="0000FF"/>
                </w:rPr>
                <w:t>Condensed Consolidated Statements of Stockholders’ Equity for the Three and Nine Months Ended September 30, 2021 and 2020</w:t>
              </w:r>
            </w:hyperlink>
          </w:p>
        </w:tc>
        <w:tc>
          <w:tcPr>
            <w:tcW w:w="160" w:type="dxa"/>
            <w:vAlign w:val="bottom"/>
            <w:gridSpan w:val="2"/>
          </w:tcPr>
          <w:p>
            <w:pPr>
              <w:ind w:left="20"/>
              <w:spacing w:after="0"/>
              <w:rPr>
                <w:rFonts w:ascii="Arial" w:cs="Arial" w:eastAsia="Arial" w:hAnsi="Arial"/>
                <w:sz w:val="14"/>
                <w:szCs w:val="14"/>
                <w:color w:val="0000FF"/>
              </w:rPr>
            </w:pPr>
            <w:hyperlink w:anchor="page7">
              <w:r>
                <w:rPr>
                  <w:rFonts w:ascii="Arial" w:cs="Arial" w:eastAsia="Arial" w:hAnsi="Arial"/>
                  <w:sz w:val="14"/>
                  <w:szCs w:val="14"/>
                  <w:color w:val="0000FF"/>
                </w:rPr>
                <w:t>7</w:t>
              </w:r>
            </w:hyperlink>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0" w:type="dxa"/>
            <w:vAlign w:val="bottom"/>
            <w:gridSpan w:val="15"/>
          </w:tcPr>
          <w:p>
            <w:pPr>
              <w:spacing w:after="0"/>
              <w:rPr>
                <w:rFonts w:ascii="Arial" w:cs="Arial" w:eastAsia="Arial" w:hAnsi="Arial"/>
                <w:sz w:val="14"/>
                <w:szCs w:val="14"/>
                <w:color w:val="0000FF"/>
                <w:w w:val="86"/>
              </w:rPr>
            </w:pPr>
            <w:hyperlink w:anchor="page10">
              <w:r>
                <w:rPr>
                  <w:rFonts w:ascii="Arial" w:cs="Arial" w:eastAsia="Arial" w:hAnsi="Arial"/>
                  <w:sz w:val="14"/>
                  <w:szCs w:val="14"/>
                  <w:color w:val="0000FF"/>
                  <w:w w:val="86"/>
                </w:rPr>
                <w:t xml:space="preserve">Condensed Consolidated Statements of Cash Flows for the Nine Months Ended </w:t>
              </w:r>
            </w:hyperlink>
            <w:r>
              <w:rPr>
                <w:rFonts w:ascii="Arial" w:cs="Arial" w:eastAsia="Arial" w:hAnsi="Arial"/>
                <w:sz w:val="14"/>
                <w:szCs w:val="14"/>
                <w:color w:val="0000FF"/>
                <w:w w:val="86"/>
              </w:rPr>
              <w:t xml:space="preserve">September </w:t>
            </w:r>
            <w:hyperlink w:anchor="page10">
              <w:r>
                <w:rPr>
                  <w:rFonts w:ascii="Arial" w:cs="Arial" w:eastAsia="Arial" w:hAnsi="Arial"/>
                  <w:sz w:val="14"/>
                  <w:szCs w:val="14"/>
                  <w:color w:val="0000FF"/>
                  <w:w w:val="86"/>
                </w:rPr>
                <w:t>30, 2021 and 2020</w:t>
              </w:r>
            </w:hyperlink>
          </w:p>
        </w:tc>
        <w:tc>
          <w:tcPr>
            <w:tcW w:w="1080" w:type="dxa"/>
            <w:vAlign w:val="bottom"/>
            <w:gridSpan w:val="3"/>
          </w:tcPr>
          <w:p>
            <w:pPr>
              <w:spacing w:after="0"/>
              <w:rPr>
                <w:sz w:val="23"/>
                <w:szCs w:val="23"/>
                <w:color w:val="auto"/>
              </w:rPr>
            </w:pPr>
          </w:p>
        </w:tc>
        <w:tc>
          <w:tcPr>
            <w:tcW w:w="2560" w:type="dxa"/>
            <w:vAlign w:val="bottom"/>
          </w:tcPr>
          <w:p>
            <w:pPr>
              <w:spacing w:after="0"/>
              <w:rPr>
                <w:sz w:val="23"/>
                <w:szCs w:val="23"/>
                <w:color w:val="auto"/>
              </w:rPr>
            </w:pPr>
          </w:p>
        </w:tc>
        <w:tc>
          <w:tcPr>
            <w:tcW w:w="660" w:type="dxa"/>
            <w:vAlign w:val="bottom"/>
            <w:gridSpan w:val="3"/>
          </w:tcPr>
          <w:p>
            <w:pPr>
              <w:ind w:left="20"/>
              <w:spacing w:after="0"/>
              <w:rPr>
                <w:rFonts w:ascii="Arial" w:cs="Arial" w:eastAsia="Arial" w:hAnsi="Arial"/>
                <w:sz w:val="14"/>
                <w:szCs w:val="14"/>
                <w:color w:val="0000FF"/>
              </w:rPr>
            </w:pPr>
            <w:hyperlink w:anchor="page10">
              <w:r>
                <w:rPr>
                  <w:rFonts w:ascii="Arial" w:cs="Arial" w:eastAsia="Arial" w:hAnsi="Arial"/>
                  <w:sz w:val="14"/>
                  <w:szCs w:val="14"/>
                  <w:color w:val="0000FF"/>
                </w:rPr>
                <w:t>10</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0" w:type="dxa"/>
            <w:vAlign w:val="bottom"/>
            <w:gridSpan w:val="15"/>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Notes to Condensed Consolidated Financial Statements</w:t>
              </w:r>
            </w:hyperlink>
          </w:p>
        </w:tc>
        <w:tc>
          <w:tcPr>
            <w:tcW w:w="3640" w:type="dxa"/>
            <w:vAlign w:val="bottom"/>
            <w:gridSpan w:val="4"/>
          </w:tcPr>
          <w:p>
            <w:pPr>
              <w:spacing w:after="0"/>
              <w:rPr>
                <w:sz w:val="23"/>
                <w:szCs w:val="23"/>
                <w:color w:val="auto"/>
              </w:rPr>
            </w:pPr>
          </w:p>
        </w:tc>
        <w:tc>
          <w:tcPr>
            <w:tcW w:w="660" w:type="dxa"/>
            <w:vAlign w:val="bottom"/>
            <w:gridSpan w:val="3"/>
          </w:tcPr>
          <w:p>
            <w:pPr>
              <w:ind w:left="20"/>
              <w:spacing w:after="0"/>
              <w:rPr>
                <w:rFonts w:ascii="Arial" w:cs="Arial" w:eastAsia="Arial" w:hAnsi="Arial"/>
                <w:sz w:val="14"/>
                <w:szCs w:val="14"/>
                <w:color w:val="0000FF"/>
              </w:rPr>
            </w:pPr>
            <w:hyperlink w:anchor="page12">
              <w:r>
                <w:rPr>
                  <w:rFonts w:ascii="Arial" w:cs="Arial" w:eastAsia="Arial" w:hAnsi="Arial"/>
                  <w:sz w:val="14"/>
                  <w:szCs w:val="14"/>
                  <w:color w:val="0000FF"/>
                </w:rPr>
                <w:t>12</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60" w:type="dxa"/>
            <w:vAlign w:val="bottom"/>
            <w:gridSpan w:val="3"/>
          </w:tcPr>
          <w:p>
            <w:pPr>
              <w:spacing w:after="0"/>
              <w:rPr>
                <w:rFonts w:ascii="Arial" w:cs="Arial" w:eastAsia="Arial" w:hAnsi="Arial"/>
                <w:sz w:val="14"/>
                <w:szCs w:val="14"/>
                <w:color w:val="0000FF"/>
              </w:rPr>
            </w:pPr>
            <w:hyperlink w:anchor="page33">
              <w:r>
                <w:rPr>
                  <w:rFonts w:ascii="Arial" w:cs="Arial" w:eastAsia="Arial" w:hAnsi="Arial"/>
                  <w:sz w:val="14"/>
                  <w:szCs w:val="14"/>
                  <w:color w:val="0000FF"/>
                </w:rPr>
                <w:t>Item 2.</w:t>
              </w:r>
            </w:hyperlink>
          </w:p>
        </w:tc>
        <w:tc>
          <w:tcPr>
            <w:tcW w:w="9640" w:type="dxa"/>
            <w:vAlign w:val="bottom"/>
            <w:gridSpan w:val="19"/>
          </w:tcPr>
          <w:p>
            <w:pPr>
              <w:spacing w:after="0"/>
              <w:rPr>
                <w:rFonts w:ascii="Arial" w:cs="Arial" w:eastAsia="Arial" w:hAnsi="Arial"/>
                <w:sz w:val="14"/>
                <w:szCs w:val="14"/>
                <w:color w:val="0000FF"/>
              </w:rPr>
            </w:pPr>
            <w:hyperlink w:anchor="page33">
              <w:r>
                <w:rPr>
                  <w:rFonts w:ascii="Arial" w:cs="Arial" w:eastAsia="Arial" w:hAnsi="Arial"/>
                  <w:sz w:val="14"/>
                  <w:szCs w:val="14"/>
                  <w:color w:val="0000FF"/>
                </w:rPr>
                <w:t>Management’s Discussion and Analysis of Financial Condition and Results of Operations</w:t>
              </w:r>
            </w:hyperlink>
          </w:p>
        </w:tc>
        <w:tc>
          <w:tcPr>
            <w:tcW w:w="660" w:type="dxa"/>
            <w:vAlign w:val="bottom"/>
            <w:gridSpan w:val="3"/>
          </w:tcPr>
          <w:p>
            <w:pPr>
              <w:ind w:left="20"/>
              <w:spacing w:after="0"/>
              <w:rPr>
                <w:rFonts w:ascii="Arial" w:cs="Arial" w:eastAsia="Arial" w:hAnsi="Arial"/>
                <w:sz w:val="14"/>
                <w:szCs w:val="14"/>
                <w:color w:val="0000FF"/>
              </w:rPr>
            </w:pPr>
            <w:hyperlink w:anchor="page33">
              <w:r>
                <w:rPr>
                  <w:rFonts w:ascii="Arial" w:cs="Arial" w:eastAsia="Arial" w:hAnsi="Arial"/>
                  <w:sz w:val="14"/>
                  <w:szCs w:val="14"/>
                  <w:color w:val="0000FF"/>
                </w:rPr>
                <w:t>33</w:t>
              </w:r>
            </w:hyperlink>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80" w:type="dxa"/>
            <w:vAlign w:val="bottom"/>
            <w:tcBorders>
              <w:bottom w:val="single" w:sz="8" w:color="0000FF"/>
            </w:tcBorders>
            <w:gridSpan w:val="2"/>
          </w:tcPr>
          <w:p>
            <w:pPr>
              <w:spacing w:after="0"/>
              <w:rPr>
                <w:rFonts w:ascii="Arial" w:cs="Arial" w:eastAsia="Arial" w:hAnsi="Arial"/>
                <w:sz w:val="14"/>
                <w:szCs w:val="14"/>
                <w:color w:val="0000FF"/>
              </w:rPr>
            </w:pPr>
            <w:hyperlink w:anchor="page46">
              <w:r>
                <w:rPr>
                  <w:rFonts w:ascii="Arial" w:cs="Arial" w:eastAsia="Arial" w:hAnsi="Arial"/>
                  <w:sz w:val="14"/>
                  <w:szCs w:val="14"/>
                  <w:color w:val="0000FF"/>
                </w:rPr>
                <w:t>Item 3.</w:t>
              </w:r>
            </w:hyperlink>
          </w:p>
        </w:tc>
        <w:tc>
          <w:tcPr>
            <w:tcW w:w="480" w:type="dxa"/>
            <w:vAlign w:val="bottom"/>
          </w:tcPr>
          <w:p>
            <w:pPr>
              <w:spacing w:after="0"/>
              <w:rPr>
                <w:sz w:val="23"/>
                <w:szCs w:val="23"/>
                <w:color w:val="auto"/>
              </w:rPr>
            </w:pPr>
          </w:p>
        </w:tc>
        <w:tc>
          <w:tcPr>
            <w:tcW w:w="3300" w:type="dxa"/>
            <w:vAlign w:val="bottom"/>
            <w:tcBorders>
              <w:bottom w:val="single" w:sz="8" w:color="0000FF"/>
            </w:tcBorders>
            <w:gridSpan w:val="9"/>
          </w:tcPr>
          <w:p>
            <w:pPr>
              <w:spacing w:after="0"/>
              <w:rPr>
                <w:rFonts w:ascii="Arial" w:cs="Arial" w:eastAsia="Arial" w:hAnsi="Arial"/>
                <w:sz w:val="14"/>
                <w:szCs w:val="14"/>
                <w:color w:val="0000FF"/>
                <w:w w:val="89"/>
              </w:rPr>
            </w:pPr>
            <w:hyperlink w:anchor="page46">
              <w:r>
                <w:rPr>
                  <w:rFonts w:ascii="Arial" w:cs="Arial" w:eastAsia="Arial" w:hAnsi="Arial"/>
                  <w:sz w:val="14"/>
                  <w:szCs w:val="14"/>
                  <w:color w:val="0000FF"/>
                  <w:w w:val="89"/>
                </w:rPr>
                <w:t>Quantitative and Qualitative Disclosures About Market Risk</w:t>
              </w:r>
            </w:hyperlink>
          </w:p>
        </w:tc>
        <w:tc>
          <w:tcPr>
            <w:tcW w:w="6340" w:type="dxa"/>
            <w:vAlign w:val="bottom"/>
            <w:gridSpan w:val="10"/>
          </w:tcPr>
          <w:p>
            <w:pPr>
              <w:spacing w:after="0"/>
              <w:rPr>
                <w:sz w:val="23"/>
                <w:szCs w:val="23"/>
                <w:color w:val="auto"/>
              </w:rPr>
            </w:pPr>
          </w:p>
        </w:tc>
        <w:tc>
          <w:tcPr>
            <w:tcW w:w="660" w:type="dxa"/>
            <w:vAlign w:val="bottom"/>
            <w:gridSpan w:val="3"/>
          </w:tcPr>
          <w:p>
            <w:pPr>
              <w:ind w:left="20"/>
              <w:spacing w:after="0"/>
              <w:rPr>
                <w:rFonts w:ascii="Arial" w:cs="Arial" w:eastAsia="Arial" w:hAnsi="Arial"/>
                <w:sz w:val="14"/>
                <w:szCs w:val="14"/>
                <w:color w:val="0000FF"/>
              </w:rPr>
            </w:pPr>
            <w:hyperlink w:anchor="page46">
              <w:r>
                <w:rPr>
                  <w:rFonts w:ascii="Arial" w:cs="Arial" w:eastAsia="Arial" w:hAnsi="Arial"/>
                  <w:sz w:val="14"/>
                  <w:szCs w:val="14"/>
                  <w:color w:val="0000FF"/>
                </w:rPr>
                <w:t>45</w:t>
              </w:r>
            </w:hyperlink>
          </w:p>
        </w:tc>
        <w:tc>
          <w:tcPr>
            <w:tcW w:w="0" w:type="dxa"/>
            <w:vAlign w:val="bottom"/>
          </w:tcPr>
          <w:p>
            <w:pPr>
              <w:spacing w:after="0"/>
              <w:rPr>
                <w:sz w:val="1"/>
                <w:szCs w:val="1"/>
                <w:color w:val="auto"/>
              </w:rPr>
            </w:pPr>
          </w:p>
        </w:tc>
      </w:tr>
      <w:tr>
        <w:trPr>
          <w:trHeight w:val="276"/>
        </w:trPr>
        <w:tc>
          <w:tcPr>
            <w:tcW w:w="960" w:type="dxa"/>
            <w:vAlign w:val="bottom"/>
            <w:gridSpan w:val="3"/>
          </w:tcPr>
          <w:p>
            <w:pPr>
              <w:spacing w:after="0"/>
              <w:rPr>
                <w:rFonts w:ascii="Arial" w:cs="Arial" w:eastAsia="Arial" w:hAnsi="Arial"/>
                <w:sz w:val="14"/>
                <w:szCs w:val="14"/>
                <w:color w:val="0000FF"/>
              </w:rPr>
            </w:pPr>
            <w:hyperlink w:anchor="page46">
              <w:r>
                <w:rPr>
                  <w:rFonts w:ascii="Arial" w:cs="Arial" w:eastAsia="Arial" w:hAnsi="Arial"/>
                  <w:sz w:val="14"/>
                  <w:szCs w:val="14"/>
                  <w:color w:val="0000FF"/>
                </w:rPr>
                <w:t>Item 4.</w:t>
              </w:r>
            </w:hyperlink>
          </w:p>
        </w:tc>
        <w:tc>
          <w:tcPr>
            <w:tcW w:w="9640" w:type="dxa"/>
            <w:vAlign w:val="bottom"/>
            <w:gridSpan w:val="19"/>
          </w:tcPr>
          <w:p>
            <w:pPr>
              <w:spacing w:after="0"/>
              <w:rPr>
                <w:rFonts w:ascii="Arial" w:cs="Arial" w:eastAsia="Arial" w:hAnsi="Arial"/>
                <w:sz w:val="14"/>
                <w:szCs w:val="14"/>
                <w:color w:val="0000FF"/>
              </w:rPr>
            </w:pPr>
            <w:hyperlink w:anchor="page46">
              <w:r>
                <w:rPr>
                  <w:rFonts w:ascii="Arial" w:cs="Arial" w:eastAsia="Arial" w:hAnsi="Arial"/>
                  <w:sz w:val="14"/>
                  <w:szCs w:val="14"/>
                  <w:color w:val="0000FF"/>
                </w:rPr>
                <w:t>Controls and Procedures</w:t>
              </w:r>
            </w:hyperlink>
          </w:p>
        </w:tc>
        <w:tc>
          <w:tcPr>
            <w:tcW w:w="660" w:type="dxa"/>
            <w:vAlign w:val="bottom"/>
            <w:gridSpan w:val="3"/>
          </w:tcPr>
          <w:p>
            <w:pPr>
              <w:ind w:left="20"/>
              <w:spacing w:after="0"/>
              <w:rPr>
                <w:rFonts w:ascii="Arial" w:cs="Arial" w:eastAsia="Arial" w:hAnsi="Arial"/>
                <w:sz w:val="14"/>
                <w:szCs w:val="14"/>
                <w:color w:val="0000FF"/>
              </w:rPr>
            </w:pPr>
            <w:hyperlink w:anchor="page46">
              <w:r>
                <w:rPr>
                  <w:rFonts w:ascii="Arial" w:cs="Arial" w:eastAsia="Arial" w:hAnsi="Arial"/>
                  <w:sz w:val="14"/>
                  <w:szCs w:val="14"/>
                  <w:color w:val="0000FF"/>
                </w:rPr>
                <w:t>45</w:t>
              </w:r>
            </w:hyperlink>
          </w:p>
        </w:tc>
        <w:tc>
          <w:tcPr>
            <w:tcW w:w="0" w:type="dxa"/>
            <w:vAlign w:val="bottom"/>
          </w:tcPr>
          <w:p>
            <w:pPr>
              <w:spacing w:after="0"/>
              <w:rPr>
                <w:sz w:val="1"/>
                <w:szCs w:val="1"/>
                <w:color w:val="auto"/>
              </w:rPr>
            </w:pPr>
          </w:p>
        </w:tc>
      </w:tr>
      <w:tr>
        <w:trPr>
          <w:trHeight w:val="276"/>
        </w:trPr>
        <w:tc>
          <w:tcPr>
            <w:tcW w:w="380" w:type="dxa"/>
            <w:vAlign w:val="bottom"/>
            <w:tcBorders>
              <w:top w:val="single" w:sz="8" w:color="0000FF"/>
            </w:tcBorders>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900" w:type="dxa"/>
            <w:vAlign w:val="bottom"/>
            <w:gridSpan w:val="8"/>
          </w:tcPr>
          <w:p>
            <w:pPr>
              <w:jc w:val="center"/>
              <w:ind w:right="3760"/>
              <w:spacing w:after="0"/>
              <w:rPr>
                <w:rFonts w:ascii="Arial" w:cs="Arial" w:eastAsia="Arial" w:hAnsi="Arial"/>
                <w:sz w:val="14"/>
                <w:szCs w:val="14"/>
                <w:b w:val="1"/>
                <w:bCs w:val="1"/>
                <w:color w:val="0000FF"/>
              </w:rPr>
            </w:pPr>
            <w:hyperlink w:anchor="page47">
              <w:r>
                <w:rPr>
                  <w:rFonts w:ascii="Arial" w:cs="Arial" w:eastAsia="Arial" w:hAnsi="Arial"/>
                  <w:sz w:val="14"/>
                  <w:szCs w:val="14"/>
                  <w:b w:val="1"/>
                  <w:bCs w:val="1"/>
                  <w:color w:val="0000FF"/>
                </w:rPr>
                <w:t>PART II - OTHER INFORMATION</w:t>
              </w:r>
            </w:hyperlink>
          </w:p>
        </w:tc>
        <w:tc>
          <w:tcPr>
            <w:tcW w:w="80" w:type="dxa"/>
            <w:vAlign w:val="bottom"/>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960" w:type="dxa"/>
            <w:vAlign w:val="bottom"/>
            <w:gridSpan w:val="3"/>
          </w:tcPr>
          <w:p>
            <w:pPr>
              <w:spacing w:after="0"/>
              <w:rPr>
                <w:rFonts w:ascii="Arial" w:cs="Arial" w:eastAsia="Arial" w:hAnsi="Arial"/>
                <w:sz w:val="14"/>
                <w:szCs w:val="14"/>
                <w:color w:val="0000FF"/>
              </w:rPr>
            </w:pPr>
            <w:hyperlink w:anchor="page48">
              <w:r>
                <w:rPr>
                  <w:rFonts w:ascii="Arial" w:cs="Arial" w:eastAsia="Arial" w:hAnsi="Arial"/>
                  <w:sz w:val="14"/>
                  <w:szCs w:val="14"/>
                  <w:color w:val="0000FF"/>
                </w:rPr>
                <w:t>Item 1.</w:t>
              </w:r>
            </w:hyperlink>
          </w:p>
        </w:tc>
        <w:tc>
          <w:tcPr>
            <w:tcW w:w="3740" w:type="dxa"/>
            <w:vAlign w:val="bottom"/>
            <w:gridSpan w:val="11"/>
          </w:tcPr>
          <w:p>
            <w:pPr>
              <w:spacing w:after="0"/>
              <w:rPr>
                <w:rFonts w:ascii="Arial" w:cs="Arial" w:eastAsia="Arial" w:hAnsi="Arial"/>
                <w:sz w:val="14"/>
                <w:szCs w:val="14"/>
                <w:color w:val="0000FF"/>
              </w:rPr>
            </w:pPr>
            <w:hyperlink w:anchor="page48">
              <w:r>
                <w:rPr>
                  <w:rFonts w:ascii="Arial" w:cs="Arial" w:eastAsia="Arial" w:hAnsi="Arial"/>
                  <w:sz w:val="14"/>
                  <w:szCs w:val="14"/>
                  <w:color w:val="0000FF"/>
                </w:rPr>
                <w:t>Legal Proceedings</w:t>
              </w:r>
            </w:hyperlink>
          </w:p>
        </w:tc>
        <w:tc>
          <w:tcPr>
            <w:tcW w:w="2140" w:type="dxa"/>
            <w:vAlign w:val="bottom"/>
            <w:tcBorders>
              <w:top w:val="single" w:sz="8" w:color="0000FF"/>
            </w:tcBorders>
            <w:gridSpan w:val="3"/>
          </w:tcPr>
          <w:p>
            <w:pPr>
              <w:spacing w:after="0"/>
              <w:rPr>
                <w:sz w:val="23"/>
                <w:szCs w:val="23"/>
                <w:color w:val="auto"/>
              </w:rPr>
            </w:pPr>
          </w:p>
        </w:tc>
        <w:tc>
          <w:tcPr>
            <w:tcW w:w="3760" w:type="dxa"/>
            <w:vAlign w:val="bottom"/>
            <w:gridSpan w:val="5"/>
          </w:tcPr>
          <w:p>
            <w:pPr>
              <w:spacing w:after="0"/>
              <w:rPr>
                <w:sz w:val="23"/>
                <w:szCs w:val="23"/>
                <w:color w:val="auto"/>
              </w:rPr>
            </w:pPr>
          </w:p>
        </w:tc>
        <w:tc>
          <w:tcPr>
            <w:tcW w:w="660" w:type="dxa"/>
            <w:vAlign w:val="bottom"/>
            <w:gridSpan w:val="3"/>
          </w:tcPr>
          <w:p>
            <w:pPr>
              <w:ind w:left="20"/>
              <w:spacing w:after="0"/>
              <w:rPr>
                <w:rFonts w:ascii="Arial" w:cs="Arial" w:eastAsia="Arial" w:hAnsi="Arial"/>
                <w:sz w:val="14"/>
                <w:szCs w:val="14"/>
                <w:color w:val="0000FF"/>
              </w:rPr>
            </w:pPr>
            <w:hyperlink w:anchor="page48">
              <w:r>
                <w:rPr>
                  <w:rFonts w:ascii="Arial" w:cs="Arial" w:eastAsia="Arial" w:hAnsi="Arial"/>
                  <w:sz w:val="14"/>
                  <w:szCs w:val="14"/>
                  <w:color w:val="0000FF"/>
                </w:rPr>
                <w:t>47</w:t>
              </w:r>
            </w:hyperlink>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gridSpan w:val="4"/>
          </w:tcPr>
          <w:p>
            <w:pPr>
              <w:spacing w:after="0" w:line="20" w:lineRule="exact"/>
              <w:rPr>
                <w:sz w:val="1"/>
                <w:szCs w:val="1"/>
                <w:color w:val="auto"/>
              </w:rPr>
            </w:pPr>
          </w:p>
        </w:tc>
        <w:tc>
          <w:tcPr>
            <w:tcW w:w="6360" w:type="dxa"/>
            <w:vAlign w:val="bottom"/>
            <w:gridSpan w:val="11"/>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80" w:type="dxa"/>
            <w:vAlign w:val="bottom"/>
            <w:gridSpan w:val="2"/>
          </w:tcPr>
          <w:p>
            <w:pPr>
              <w:spacing w:after="0"/>
              <w:rPr>
                <w:rFonts w:ascii="Arial" w:cs="Arial" w:eastAsia="Arial" w:hAnsi="Arial"/>
                <w:sz w:val="14"/>
                <w:szCs w:val="14"/>
                <w:color w:val="0000FF"/>
                <w:w w:val="88"/>
              </w:rPr>
            </w:pPr>
            <w:hyperlink w:anchor="page48">
              <w:r>
                <w:rPr>
                  <w:rFonts w:ascii="Arial" w:cs="Arial" w:eastAsia="Arial" w:hAnsi="Arial"/>
                  <w:sz w:val="14"/>
                  <w:szCs w:val="14"/>
                  <w:color w:val="0000FF"/>
                  <w:w w:val="88"/>
                </w:rPr>
                <w:t>Item 1A.</w:t>
              </w:r>
            </w:hyperlink>
          </w:p>
        </w:tc>
        <w:tc>
          <w:tcPr>
            <w:tcW w:w="480" w:type="dxa"/>
            <w:vAlign w:val="bottom"/>
          </w:tcPr>
          <w:p>
            <w:pPr>
              <w:spacing w:after="0"/>
              <w:rPr>
                <w:sz w:val="23"/>
                <w:szCs w:val="23"/>
                <w:color w:val="auto"/>
              </w:rPr>
            </w:pPr>
          </w:p>
        </w:tc>
        <w:tc>
          <w:tcPr>
            <w:tcW w:w="9640" w:type="dxa"/>
            <w:vAlign w:val="bottom"/>
            <w:gridSpan w:val="19"/>
          </w:tcPr>
          <w:p>
            <w:pPr>
              <w:spacing w:after="0"/>
              <w:rPr>
                <w:rFonts w:ascii="Arial" w:cs="Arial" w:eastAsia="Arial" w:hAnsi="Arial"/>
                <w:sz w:val="14"/>
                <w:szCs w:val="14"/>
                <w:color w:val="0000FF"/>
              </w:rPr>
            </w:pPr>
            <w:hyperlink w:anchor="page48">
              <w:r>
                <w:rPr>
                  <w:rFonts w:ascii="Arial" w:cs="Arial" w:eastAsia="Arial" w:hAnsi="Arial"/>
                  <w:sz w:val="14"/>
                  <w:szCs w:val="14"/>
                  <w:color w:val="0000FF"/>
                </w:rPr>
                <w:t>Risk Factors</w:t>
              </w:r>
            </w:hyperlink>
          </w:p>
        </w:tc>
        <w:tc>
          <w:tcPr>
            <w:tcW w:w="660" w:type="dxa"/>
            <w:vAlign w:val="bottom"/>
            <w:gridSpan w:val="3"/>
          </w:tcPr>
          <w:p>
            <w:pPr>
              <w:ind w:left="20"/>
              <w:spacing w:after="0"/>
              <w:rPr>
                <w:rFonts w:ascii="Arial" w:cs="Arial" w:eastAsia="Arial" w:hAnsi="Arial"/>
                <w:sz w:val="14"/>
                <w:szCs w:val="14"/>
                <w:color w:val="0000FF"/>
              </w:rPr>
            </w:pPr>
            <w:hyperlink w:anchor="page48">
              <w:r>
                <w:rPr>
                  <w:rFonts w:ascii="Arial" w:cs="Arial" w:eastAsia="Arial" w:hAnsi="Arial"/>
                  <w:sz w:val="14"/>
                  <w:szCs w:val="14"/>
                  <w:color w:val="0000FF"/>
                </w:rPr>
                <w:t>47</w:t>
              </w:r>
            </w:hyperlink>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6360" w:type="dxa"/>
            <w:vAlign w:val="bottom"/>
            <w:gridSpan w:val="11"/>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80" w:type="dxa"/>
            <w:vAlign w:val="bottom"/>
            <w:gridSpan w:val="2"/>
          </w:tcPr>
          <w:p>
            <w:pPr>
              <w:spacing w:after="0"/>
              <w:rPr>
                <w:rFonts w:ascii="Arial" w:cs="Arial" w:eastAsia="Arial" w:hAnsi="Arial"/>
                <w:sz w:val="14"/>
                <w:szCs w:val="14"/>
                <w:color w:val="0000FF"/>
              </w:rPr>
            </w:pPr>
            <w:hyperlink w:anchor="page86">
              <w:r>
                <w:rPr>
                  <w:rFonts w:ascii="Arial" w:cs="Arial" w:eastAsia="Arial" w:hAnsi="Arial"/>
                  <w:sz w:val="14"/>
                  <w:szCs w:val="14"/>
                  <w:color w:val="0000FF"/>
                </w:rPr>
                <w:t>Item 2.</w:t>
              </w:r>
            </w:hyperlink>
          </w:p>
        </w:tc>
        <w:tc>
          <w:tcPr>
            <w:tcW w:w="480" w:type="dxa"/>
            <w:vAlign w:val="bottom"/>
          </w:tcPr>
          <w:p>
            <w:pPr>
              <w:spacing w:after="0"/>
              <w:rPr>
                <w:sz w:val="23"/>
                <w:szCs w:val="23"/>
                <w:color w:val="auto"/>
              </w:rPr>
            </w:pPr>
          </w:p>
        </w:tc>
        <w:tc>
          <w:tcPr>
            <w:tcW w:w="9640" w:type="dxa"/>
            <w:vAlign w:val="bottom"/>
            <w:gridSpan w:val="19"/>
          </w:tcPr>
          <w:p>
            <w:pPr>
              <w:spacing w:after="0"/>
              <w:rPr>
                <w:rFonts w:ascii="Arial" w:cs="Arial" w:eastAsia="Arial" w:hAnsi="Arial"/>
                <w:sz w:val="14"/>
                <w:szCs w:val="14"/>
                <w:color w:val="0000FF"/>
              </w:rPr>
            </w:pPr>
            <w:hyperlink w:anchor="page86">
              <w:r>
                <w:rPr>
                  <w:rFonts w:ascii="Arial" w:cs="Arial" w:eastAsia="Arial" w:hAnsi="Arial"/>
                  <w:sz w:val="14"/>
                  <w:szCs w:val="14"/>
                  <w:color w:val="0000FF"/>
                </w:rPr>
                <w:t>Unregistered Sales of Equity Securities and Use of Proceeds</w:t>
              </w:r>
            </w:hyperlink>
          </w:p>
        </w:tc>
        <w:tc>
          <w:tcPr>
            <w:tcW w:w="660" w:type="dxa"/>
            <w:vAlign w:val="bottom"/>
            <w:gridSpan w:val="3"/>
          </w:tcPr>
          <w:p>
            <w:pPr>
              <w:ind w:left="20"/>
              <w:spacing w:after="0"/>
              <w:rPr>
                <w:rFonts w:ascii="Arial" w:cs="Arial" w:eastAsia="Arial" w:hAnsi="Arial"/>
                <w:sz w:val="14"/>
                <w:szCs w:val="14"/>
                <w:color w:val="0000FF"/>
              </w:rPr>
            </w:pPr>
            <w:hyperlink w:anchor="page86">
              <w:r>
                <w:rPr>
                  <w:rFonts w:ascii="Arial" w:cs="Arial" w:eastAsia="Arial" w:hAnsi="Arial"/>
                  <w:sz w:val="14"/>
                  <w:szCs w:val="14"/>
                  <w:color w:val="0000FF"/>
                </w:rPr>
                <w:t>86</w:t>
              </w:r>
            </w:hyperlink>
          </w:p>
        </w:tc>
        <w:tc>
          <w:tcPr>
            <w:tcW w:w="0" w:type="dxa"/>
            <w:vAlign w:val="bottom"/>
          </w:tcPr>
          <w:p>
            <w:pPr>
              <w:spacing w:after="0"/>
              <w:rPr>
                <w:sz w:val="1"/>
                <w:szCs w:val="1"/>
                <w:color w:val="auto"/>
              </w:rPr>
            </w:pPr>
          </w:p>
        </w:tc>
      </w:tr>
      <w:tr>
        <w:trPr>
          <w:trHeight w:val="276"/>
        </w:trPr>
        <w:tc>
          <w:tcPr>
            <w:tcW w:w="960" w:type="dxa"/>
            <w:vAlign w:val="bottom"/>
            <w:tcBorders>
              <w:top w:val="single" w:sz="8" w:color="0000FF"/>
            </w:tcBorders>
            <w:gridSpan w:val="3"/>
          </w:tcPr>
          <w:p>
            <w:pPr>
              <w:spacing w:after="0"/>
              <w:rPr>
                <w:rFonts w:ascii="Arial" w:cs="Arial" w:eastAsia="Arial" w:hAnsi="Arial"/>
                <w:sz w:val="14"/>
                <w:szCs w:val="14"/>
                <w:color w:val="0000FF"/>
              </w:rPr>
            </w:pPr>
            <w:hyperlink w:anchor="page87">
              <w:r>
                <w:rPr>
                  <w:rFonts w:ascii="Arial" w:cs="Arial" w:eastAsia="Arial" w:hAnsi="Arial"/>
                  <w:sz w:val="14"/>
                  <w:szCs w:val="14"/>
                  <w:color w:val="0000FF"/>
                </w:rPr>
                <w:t>Item 5.</w:t>
              </w:r>
            </w:hyperlink>
          </w:p>
        </w:tc>
        <w:tc>
          <w:tcPr>
            <w:tcW w:w="3280" w:type="dxa"/>
            <w:vAlign w:val="bottom"/>
            <w:tcBorders>
              <w:top w:val="single" w:sz="8" w:color="0000FF"/>
            </w:tcBorders>
            <w:gridSpan w:val="8"/>
          </w:tcPr>
          <w:p>
            <w:pPr>
              <w:spacing w:after="0"/>
              <w:rPr>
                <w:rFonts w:ascii="Arial" w:cs="Arial" w:eastAsia="Arial" w:hAnsi="Arial"/>
                <w:sz w:val="14"/>
                <w:szCs w:val="14"/>
                <w:color w:val="0000FF"/>
              </w:rPr>
            </w:pPr>
            <w:hyperlink w:anchor="page87">
              <w:r>
                <w:rPr>
                  <w:rFonts w:ascii="Arial" w:cs="Arial" w:eastAsia="Arial" w:hAnsi="Arial"/>
                  <w:sz w:val="14"/>
                  <w:szCs w:val="14"/>
                  <w:color w:val="0000FF"/>
                </w:rPr>
                <w:t>Other Information</w:t>
              </w:r>
            </w:hyperlink>
          </w:p>
        </w:tc>
        <w:tc>
          <w:tcPr>
            <w:tcW w:w="6360" w:type="dxa"/>
            <w:vAlign w:val="bottom"/>
            <w:gridSpan w:val="11"/>
          </w:tcPr>
          <w:p>
            <w:pPr>
              <w:spacing w:after="0"/>
              <w:rPr>
                <w:sz w:val="23"/>
                <w:szCs w:val="23"/>
                <w:color w:val="auto"/>
              </w:rPr>
            </w:pPr>
          </w:p>
        </w:tc>
        <w:tc>
          <w:tcPr>
            <w:tcW w:w="660" w:type="dxa"/>
            <w:vAlign w:val="bottom"/>
            <w:gridSpan w:val="3"/>
          </w:tcPr>
          <w:p>
            <w:pPr>
              <w:ind w:left="20"/>
              <w:spacing w:after="0"/>
              <w:rPr>
                <w:rFonts w:ascii="Arial" w:cs="Arial" w:eastAsia="Arial" w:hAnsi="Arial"/>
                <w:sz w:val="14"/>
                <w:szCs w:val="14"/>
                <w:color w:val="0000FF"/>
              </w:rPr>
            </w:pPr>
            <w:hyperlink w:anchor="page87">
              <w:r>
                <w:rPr>
                  <w:rFonts w:ascii="Arial" w:cs="Arial" w:eastAsia="Arial" w:hAnsi="Arial"/>
                  <w:sz w:val="14"/>
                  <w:szCs w:val="14"/>
                  <w:color w:val="0000FF"/>
                </w:rPr>
                <w:t>86</w:t>
              </w:r>
            </w:hyperlink>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640" w:type="dxa"/>
            <w:vAlign w:val="bottom"/>
            <w:gridSpan w:val="15"/>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60" w:type="dxa"/>
            <w:vAlign w:val="bottom"/>
            <w:gridSpan w:val="3"/>
          </w:tcPr>
          <w:p>
            <w:pPr>
              <w:spacing w:after="0"/>
              <w:rPr>
                <w:rFonts w:ascii="Arial" w:cs="Arial" w:eastAsia="Arial" w:hAnsi="Arial"/>
                <w:sz w:val="14"/>
                <w:szCs w:val="14"/>
                <w:color w:val="0000FF"/>
              </w:rPr>
            </w:pPr>
            <w:hyperlink w:anchor="page87">
              <w:r>
                <w:rPr>
                  <w:rFonts w:ascii="Arial" w:cs="Arial" w:eastAsia="Arial" w:hAnsi="Arial"/>
                  <w:sz w:val="14"/>
                  <w:szCs w:val="14"/>
                  <w:color w:val="0000FF"/>
                </w:rPr>
                <w:t>Item 6.</w:t>
              </w:r>
            </w:hyperlink>
          </w:p>
        </w:tc>
        <w:tc>
          <w:tcPr>
            <w:tcW w:w="9640" w:type="dxa"/>
            <w:vAlign w:val="bottom"/>
            <w:gridSpan w:val="19"/>
          </w:tcPr>
          <w:p>
            <w:pPr>
              <w:spacing w:after="0"/>
              <w:rPr>
                <w:rFonts w:ascii="Arial" w:cs="Arial" w:eastAsia="Arial" w:hAnsi="Arial"/>
                <w:sz w:val="14"/>
                <w:szCs w:val="14"/>
                <w:color w:val="0000FF"/>
              </w:rPr>
            </w:pPr>
            <w:hyperlink w:anchor="page87">
              <w:r>
                <w:rPr>
                  <w:rFonts w:ascii="Arial" w:cs="Arial" w:eastAsia="Arial" w:hAnsi="Arial"/>
                  <w:sz w:val="14"/>
                  <w:szCs w:val="14"/>
                  <w:color w:val="0000FF"/>
                </w:rPr>
                <w:t>Exhibits</w:t>
              </w:r>
            </w:hyperlink>
          </w:p>
        </w:tc>
        <w:tc>
          <w:tcPr>
            <w:tcW w:w="660" w:type="dxa"/>
            <w:vAlign w:val="bottom"/>
            <w:gridSpan w:val="3"/>
          </w:tcPr>
          <w:p>
            <w:pPr>
              <w:ind w:left="20"/>
              <w:spacing w:after="0"/>
              <w:rPr>
                <w:rFonts w:ascii="Arial" w:cs="Arial" w:eastAsia="Arial" w:hAnsi="Arial"/>
                <w:sz w:val="14"/>
                <w:szCs w:val="14"/>
                <w:color w:val="0000FF"/>
              </w:rPr>
            </w:pPr>
            <w:hyperlink w:anchor="page87">
              <w:r>
                <w:rPr>
                  <w:rFonts w:ascii="Arial" w:cs="Arial" w:eastAsia="Arial" w:hAnsi="Arial"/>
                  <w:sz w:val="14"/>
                  <w:szCs w:val="14"/>
                  <w:color w:val="0000FF"/>
                </w:rPr>
                <w:t>86</w:t>
              </w:r>
            </w:hyperlink>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60" w:type="dxa"/>
            <w:vAlign w:val="bottom"/>
            <w:gridSpan w:val="17"/>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80" w:type="dxa"/>
            <w:vAlign w:val="bottom"/>
            <w:gridSpan w:val="2"/>
          </w:tcPr>
          <w:p>
            <w:pPr>
              <w:spacing w:after="0"/>
              <w:rPr>
                <w:rFonts w:ascii="Arial" w:cs="Arial" w:eastAsia="Arial" w:hAnsi="Arial"/>
                <w:sz w:val="14"/>
                <w:szCs w:val="14"/>
                <w:color w:val="0000FF"/>
                <w:w w:val="83"/>
              </w:rPr>
            </w:pPr>
            <w:hyperlink w:anchor="page87">
              <w:r>
                <w:rPr>
                  <w:rFonts w:ascii="Arial" w:cs="Arial" w:eastAsia="Arial" w:hAnsi="Arial"/>
                  <w:sz w:val="14"/>
                  <w:szCs w:val="14"/>
                  <w:color w:val="0000FF"/>
                  <w:w w:val="83"/>
                </w:rPr>
                <w:t>Signatures</w:t>
              </w:r>
            </w:hyperlink>
          </w:p>
        </w:tc>
        <w:tc>
          <w:tcPr>
            <w:tcW w:w="9060" w:type="dxa"/>
            <w:vAlign w:val="bottom"/>
            <w:gridSpan w:val="17"/>
          </w:tcPr>
          <w:p>
            <w:pPr>
              <w:spacing w:after="0"/>
              <w:rPr>
                <w:sz w:val="23"/>
                <w:szCs w:val="23"/>
                <w:color w:val="auto"/>
              </w:rPr>
            </w:pPr>
          </w:p>
        </w:tc>
        <w:tc>
          <w:tcPr>
            <w:tcW w:w="660" w:type="dxa"/>
            <w:vAlign w:val="bottom"/>
            <w:gridSpan w:val="3"/>
          </w:tcPr>
          <w:p>
            <w:pPr>
              <w:ind w:left="20"/>
              <w:spacing w:after="0"/>
              <w:rPr>
                <w:rFonts w:ascii="Arial" w:cs="Arial" w:eastAsia="Arial" w:hAnsi="Arial"/>
                <w:sz w:val="14"/>
                <w:szCs w:val="14"/>
                <w:color w:val="0000FF"/>
              </w:rPr>
            </w:pPr>
            <w:hyperlink w:anchor="page87">
              <w:r>
                <w:rPr>
                  <w:rFonts w:ascii="Arial" w:cs="Arial" w:eastAsia="Arial" w:hAnsi="Arial"/>
                  <w:sz w:val="14"/>
                  <w:szCs w:val="14"/>
                  <w:color w:val="0000FF"/>
                </w:rPr>
                <w:t>87</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163830</wp:posOffset>
            </wp:positionV>
            <wp:extent cx="719137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20" w:top="708" w:right="319" w:bottom="1440" w:gutter="0" w:footer="0" w:header="0"/>
        </w:sectPr>
      </w:pPr>
    </w:p>
    <w:bookmarkStart w:id="2" w:name="page3"/>
    <w:bookmarkEnd w:id="2"/>
    <w:p>
      <w:pPr>
        <w:jc w:val="center"/>
        <w:ind w:left="360"/>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68" w:lineRule="exact"/>
        <w:rPr>
          <w:sz w:val="20"/>
          <w:szCs w:val="20"/>
          <w:color w:val="auto"/>
        </w:rPr>
      </w:pPr>
    </w:p>
    <w:p>
      <w:pPr>
        <w:ind w:firstLine="367"/>
        <w:spacing w:after="0" w:line="299" w:lineRule="auto"/>
        <w:rPr>
          <w:sz w:val="20"/>
          <w:szCs w:val="20"/>
          <w:color w:val="auto"/>
        </w:rPr>
      </w:pPr>
      <w:r>
        <w:rPr>
          <w:rFonts w:ascii="Arial" w:cs="Arial" w:eastAsia="Arial" w:hAnsi="Arial"/>
          <w:sz w:val="12"/>
          <w:szCs w:val="12"/>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20" w:lineRule="exact"/>
        <w:rPr>
          <w:sz w:val="20"/>
          <w:szCs w:val="20"/>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of the coronavirus disease of 2019 (“COVID-19”) pandemic on the global economy, our customers, employees and business;</w:t>
      </w:r>
    </w:p>
    <w:p>
      <w:pPr>
        <w:spacing w:after="0" w:line="12" w:lineRule="exact"/>
        <w:rPr>
          <w:rFonts w:ascii="Arial" w:cs="Arial" w:eastAsia="Arial" w:hAnsi="Arial"/>
          <w:sz w:val="14"/>
          <w:szCs w:val="14"/>
          <w:color w:val="auto"/>
        </w:rPr>
      </w:pPr>
    </w:p>
    <w:p>
      <w:pPr>
        <w:ind w:left="740" w:right="620" w:hanging="249"/>
        <w:spacing w:after="0" w:line="246" w:lineRule="auto"/>
        <w:tabs>
          <w:tab w:leader="none" w:pos="737"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future financial performance, including our revenue, cost of revenue, gross margin and operating expenses, ability to generate positive cash flow and ability to achieve and sustain profitability;</w:t>
      </w:r>
    </w:p>
    <w:p>
      <w:pPr>
        <w:spacing w:after="0" w:line="149"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anticipated technology trends, such as the use of and demand for cloud communications;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continue to build and maintain credibility with the global software developer community;</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attract and retain customers to use our products;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evolution of technology affecting our products and markets;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introduce new products and enhance existing products;</w:t>
      </w:r>
    </w:p>
    <w:p>
      <w:pPr>
        <w:spacing w:after="0" w:line="165" w:lineRule="exact"/>
        <w:rPr>
          <w:rFonts w:ascii="Arial" w:cs="Arial" w:eastAsia="Arial" w:hAnsi="Arial"/>
          <w:sz w:val="14"/>
          <w:szCs w:val="14"/>
          <w:color w:val="auto"/>
        </w:rPr>
      </w:pPr>
    </w:p>
    <w:p>
      <w:pPr>
        <w:ind w:left="740" w:right="120" w:hanging="249"/>
        <w:spacing w:after="0" w:line="249" w:lineRule="auto"/>
        <w:tabs>
          <w:tab w:leader="none" w:pos="737"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comply with modified or new industry standards, laws and regulations applying to our business, including the General Data Protection Regulation (“GDPR”), the Schrems II decision invalidating the EU-US Privacy Shield, the California Consumer Privacy Act of 2018 (“CCPA”) and other privacy or cybersecurity regulations that may be implemented in the future, and Signature-based Handling of Asserted Information Using toKENs (“SHAKEN”) and Secure Telephone Identity Revisited (“STIR”) standards (together, “SHAKEN/STIR”) and other robocalling prevention and anti-spam standards and increased costs associated with such compliance;</w:t>
      </w:r>
    </w:p>
    <w:p>
      <w:pPr>
        <w:spacing w:after="0" w:line="148" w:lineRule="exact"/>
        <w:rPr>
          <w:rFonts w:ascii="Arial" w:cs="Arial" w:eastAsia="Arial" w:hAnsi="Arial"/>
          <w:sz w:val="14"/>
          <w:szCs w:val="14"/>
          <w:color w:val="auto"/>
        </w:rPr>
      </w:pPr>
    </w:p>
    <w:p>
      <w:pPr>
        <w:ind w:left="740" w:right="260" w:hanging="249"/>
        <w:spacing w:after="0" w:line="261" w:lineRule="auto"/>
        <w:tabs>
          <w:tab w:leader="none" w:pos="737" w:val="left"/>
        </w:tabs>
        <w:numPr>
          <w:ilvl w:val="0"/>
          <w:numId w:val="3"/>
        </w:numPr>
        <w:rPr>
          <w:rFonts w:ascii="Arial" w:cs="Arial" w:eastAsia="Arial" w:hAnsi="Arial"/>
          <w:sz w:val="14"/>
          <w:szCs w:val="14"/>
          <w:color w:val="auto"/>
        </w:rPr>
      </w:pPr>
      <w:r>
        <w:rPr>
          <w:rFonts w:ascii="Arial" w:cs="Arial" w:eastAsia="Arial" w:hAnsi="Arial"/>
          <w:sz w:val="14"/>
          <w:szCs w:val="14"/>
          <w:color w:val="auto"/>
        </w:rPr>
        <w:t>potential harm caused by compromises in security, data and infrastructure, including cybersecurity protections, investments and resources and costs required to prevent, detect and remediate potential cybersecurity threats, incidents and breaches of ours or our customers’ systems or information;</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optimize our network service provider coverage and connectivity;</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manage changes in network service provider fees that we pay in connection with the delivery of communications on our platform;</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work closely with email inbox service providers to maintain deliverability rates;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pass on our savings associated with our platform optimization efforts to our customers;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and expected results from changes in our relationships with our larger customers;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attract and retain enterprises and international organizations as customers for our products;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form and expand partnerships with technology partners and consulting partners;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successfully enter into new markets and manage our international expansion;</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attraction and retention of qualified employees and key personnel;</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effectively manage our growth and future expenses and maintain our corporate culture;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872" w:right="319" w:bottom="1440" w:gutter="0" w:footer="0" w:header="0"/>
        </w:sectPr>
      </w:pPr>
    </w:p>
    <w:bookmarkStart w:id="3" w:name="page4"/>
    <w:bookmarkEnd w:id="3"/>
    <w:p>
      <w:pPr>
        <w:ind w:left="740" w:hanging="249"/>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compete effectively in an intensely competitive market;</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sufficiency of our cash and cash equivalents to meet our liquidity needs;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anticipated investments in sales and marketing, research and development and additional systems and processes to support our growth;</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maintain, protect and enhance our intellectual property;</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successfully defend litigation brought against us;</w:t>
      </w:r>
    </w:p>
    <w:p>
      <w:pPr>
        <w:spacing w:after="0" w:line="165" w:lineRule="exact"/>
        <w:rPr>
          <w:rFonts w:ascii="Arial" w:cs="Arial" w:eastAsia="Arial" w:hAnsi="Arial"/>
          <w:sz w:val="14"/>
          <w:szCs w:val="14"/>
          <w:color w:val="auto"/>
        </w:rPr>
      </w:pPr>
    </w:p>
    <w:p>
      <w:pPr>
        <w:ind w:left="740" w:right="220" w:hanging="249"/>
        <w:spacing w:after="0" w:line="261" w:lineRule="auto"/>
        <w:tabs>
          <w:tab w:leader="none" w:pos="737"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service the interest on our 3.625% senior notes due 2029 (“2029 Notes”), our 3.875% notes due 2031 (“2031 Notes,” and together with the 2029 Notes, the “Notes”), and repay such Notes;</w:t>
      </w:r>
    </w:p>
    <w:p>
      <w:pPr>
        <w:spacing w:after="0" w:line="143" w:lineRule="exact"/>
        <w:rPr>
          <w:rFonts w:ascii="Arial" w:cs="Arial" w:eastAsia="Arial" w:hAnsi="Arial"/>
          <w:sz w:val="14"/>
          <w:szCs w:val="14"/>
          <w:color w:val="auto"/>
        </w:rPr>
      </w:pPr>
    </w:p>
    <w:p>
      <w:pPr>
        <w:ind w:left="740" w:hanging="249"/>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customers</w:t>
      </w:r>
      <w:r>
        <w:rPr>
          <w:rFonts w:ascii="Arial" w:cs="Arial" w:eastAsia="Arial" w:hAnsi="Arial"/>
          <w:sz w:val="16"/>
          <w:szCs w:val="16"/>
          <w:color w:val="auto"/>
        </w:rPr>
        <w:t>’</w:t>
      </w:r>
      <w:r>
        <w:rPr>
          <w:rFonts w:ascii="Arial" w:cs="Arial" w:eastAsia="Arial" w:hAnsi="Arial"/>
          <w:sz w:val="14"/>
          <w:szCs w:val="14"/>
          <w:color w:val="auto"/>
        </w:rPr>
        <w:t xml:space="preserve"> and other platform users</w:t>
      </w:r>
      <w:r>
        <w:rPr>
          <w:rFonts w:ascii="Arial" w:cs="Arial" w:eastAsia="Arial" w:hAnsi="Arial"/>
          <w:sz w:val="16"/>
          <w:szCs w:val="16"/>
          <w:color w:val="auto"/>
        </w:rPr>
        <w:t>’</w:t>
      </w:r>
      <w:r>
        <w:rPr>
          <w:rFonts w:ascii="Arial" w:cs="Arial" w:eastAsia="Arial" w:hAnsi="Arial"/>
          <w:sz w:val="14"/>
          <w:szCs w:val="14"/>
          <w:color w:val="auto"/>
        </w:rPr>
        <w:t xml:space="preserve"> violation of our policies or other misuse of our platform;</w:t>
      </w:r>
    </w:p>
    <w:p>
      <w:pPr>
        <w:spacing w:after="0" w:line="168" w:lineRule="exact"/>
        <w:rPr>
          <w:rFonts w:ascii="Arial" w:cs="Arial" w:eastAsia="Arial" w:hAnsi="Arial"/>
          <w:sz w:val="14"/>
          <w:szCs w:val="14"/>
          <w:color w:val="auto"/>
        </w:rPr>
      </w:pPr>
    </w:p>
    <w:p>
      <w:pPr>
        <w:ind w:left="740" w:right="400" w:hanging="249"/>
        <w:spacing w:after="0" w:line="261" w:lineRule="auto"/>
        <w:tabs>
          <w:tab w:leader="none" w:pos="737"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expectations about the impact of natural disasters and public health epidemics, such as COVID-19 on our business, results of operations and financial condition and on our customers, employees, vendors and partners; and</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successfully integrate and realize the benefits of our past or future strategic acquisitions or investments.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caution you that the foregoing list may not contain all of the forward-looking statements made in this Quarterly Report on Form 10-Q.</w:t>
      </w:r>
    </w:p>
    <w:p>
      <w:pPr>
        <w:spacing w:after="0" w:line="166" w:lineRule="exact"/>
        <w:rPr>
          <w:sz w:val="20"/>
          <w:szCs w:val="20"/>
          <w:color w:val="auto"/>
        </w:rPr>
      </w:pPr>
    </w:p>
    <w:p>
      <w:pPr>
        <w:ind w:firstLine="367"/>
        <w:spacing w:after="0" w:line="246" w:lineRule="auto"/>
        <w:rPr>
          <w:sz w:val="20"/>
          <w:szCs w:val="20"/>
          <w:color w:val="auto"/>
        </w:rPr>
      </w:pPr>
      <w:r>
        <w:rPr>
          <w:rFonts w:ascii="Arial" w:cs="Arial" w:eastAsia="Arial" w:hAnsi="Arial"/>
          <w:sz w:val="14"/>
          <w:szCs w:val="14"/>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“Summary of Risk Factors and Uncertainties Associated with Our Business” below, in Part II, Item 1A,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51" w:lineRule="exact"/>
        <w:rPr>
          <w:sz w:val="20"/>
          <w:szCs w:val="20"/>
          <w:color w:val="auto"/>
        </w:rPr>
      </w:pPr>
    </w:p>
    <w:p>
      <w:pPr>
        <w:ind w:right="40" w:firstLine="367"/>
        <w:spacing w:after="0" w:line="304" w:lineRule="auto"/>
        <w:rPr>
          <w:sz w:val="20"/>
          <w:szCs w:val="20"/>
          <w:color w:val="auto"/>
        </w:rPr>
      </w:pPr>
      <w:r>
        <w:rPr>
          <w:rFonts w:ascii="Arial" w:cs="Arial" w:eastAsia="Arial" w:hAnsi="Arial"/>
          <w:sz w:val="12"/>
          <w:szCs w:val="12"/>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87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4840" w:type="dxa"/>
            <w:vAlign w:val="bottom"/>
            <w:gridSpan w:val="2"/>
          </w:tcPr>
          <w:p>
            <w:pPr>
              <w:jc w:val="center"/>
              <w:ind w:right="495"/>
              <w:spacing w:after="0"/>
              <w:rPr>
                <w:sz w:val="20"/>
                <w:szCs w:val="20"/>
                <w:color w:val="auto"/>
              </w:rPr>
            </w:pPr>
            <w:r>
              <w:rPr>
                <w:rFonts w:ascii="Arial" w:cs="Arial" w:eastAsia="Arial" w:hAnsi="Arial"/>
                <w:sz w:val="14"/>
                <w:szCs w:val="14"/>
                <w:b w:val="1"/>
                <w:bCs w:val="1"/>
                <w:color w:val="auto"/>
                <w:w w:val="99"/>
              </w:rPr>
              <w:t>PART I - FINANCIAL INFORMATION</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3500" w:type="dxa"/>
            <w:vAlign w:val="bottom"/>
          </w:tcPr>
          <w:p>
            <w:pPr>
              <w:spacing w:after="0"/>
              <w:rPr>
                <w:sz w:val="20"/>
                <w:szCs w:val="20"/>
                <w:color w:val="auto"/>
              </w:rPr>
            </w:pPr>
            <w:r>
              <w:rPr>
                <w:rFonts w:ascii="Arial" w:cs="Arial" w:eastAsia="Arial" w:hAnsi="Arial"/>
                <w:sz w:val="14"/>
                <w:szCs w:val="14"/>
                <w:b w:val="1"/>
                <w:bCs w:val="1"/>
                <w:color w:val="auto"/>
              </w:rPr>
              <w:t xml:space="preserve">Item 1. </w:t>
            </w:r>
            <w:r>
              <w:rPr>
                <w:rFonts w:ascii="Arial" w:cs="Arial" w:eastAsia="Arial" w:hAnsi="Arial"/>
                <w:sz w:val="14"/>
                <w:szCs w:val="14"/>
                <w:b w:val="1"/>
                <w:bCs w:val="1"/>
                <w:i w:val="1"/>
                <w:iCs w:val="1"/>
                <w:color w:val="auto"/>
              </w:rPr>
              <w:t>Financial Statements</w:t>
            </w:r>
          </w:p>
        </w:tc>
        <w:tc>
          <w:tcPr>
            <w:tcW w:w="3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500" w:type="dxa"/>
            <w:vAlign w:val="bottom"/>
          </w:tcPr>
          <w:p>
            <w:pPr>
              <w:spacing w:after="0"/>
              <w:rPr>
                <w:sz w:val="24"/>
                <w:szCs w:val="24"/>
                <w:color w:val="auto"/>
              </w:rPr>
            </w:pPr>
          </w:p>
        </w:tc>
        <w:tc>
          <w:tcPr>
            <w:tcW w:w="4840" w:type="dxa"/>
            <w:vAlign w:val="bottom"/>
            <w:gridSpan w:val="2"/>
          </w:tcPr>
          <w:p>
            <w:pPr>
              <w:jc w:val="center"/>
              <w:ind w:right="495"/>
              <w:spacing w:after="0"/>
              <w:rPr>
                <w:sz w:val="20"/>
                <w:szCs w:val="20"/>
                <w:color w:val="auto"/>
              </w:rPr>
            </w:pPr>
            <w:r>
              <w:rPr>
                <w:rFonts w:ascii="Arial" w:cs="Arial" w:eastAsia="Arial" w:hAnsi="Arial"/>
                <w:sz w:val="14"/>
                <w:szCs w:val="14"/>
                <w:b w:val="1"/>
                <w:bCs w:val="1"/>
                <w:color w:val="auto"/>
              </w:rPr>
              <w:t>TWILIO INC.</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500" w:type="dxa"/>
            <w:vAlign w:val="bottom"/>
          </w:tcPr>
          <w:p>
            <w:pPr>
              <w:spacing w:after="0"/>
              <w:rPr>
                <w:sz w:val="14"/>
                <w:szCs w:val="14"/>
                <w:color w:val="auto"/>
              </w:rPr>
            </w:pPr>
          </w:p>
        </w:tc>
        <w:tc>
          <w:tcPr>
            <w:tcW w:w="4840" w:type="dxa"/>
            <w:vAlign w:val="bottom"/>
            <w:gridSpan w:val="2"/>
          </w:tcPr>
          <w:p>
            <w:pPr>
              <w:jc w:val="center"/>
              <w:ind w:right="475"/>
              <w:spacing w:after="0"/>
              <w:rPr>
                <w:sz w:val="20"/>
                <w:szCs w:val="20"/>
                <w:color w:val="auto"/>
              </w:rPr>
            </w:pPr>
            <w:r>
              <w:rPr>
                <w:rFonts w:ascii="Arial" w:cs="Arial" w:eastAsia="Arial" w:hAnsi="Arial"/>
                <w:sz w:val="14"/>
                <w:szCs w:val="14"/>
                <w:b w:val="1"/>
                <w:bCs w:val="1"/>
                <w:color w:val="auto"/>
                <w:w w:val="84"/>
              </w:rPr>
              <w:t>Condensed Consolidated Balance Sheets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4840" w:type="dxa"/>
            <w:vAlign w:val="bottom"/>
            <w:gridSpan w:val="2"/>
          </w:tcPr>
          <w:p>
            <w:pPr>
              <w:jc w:val="center"/>
              <w:ind w:right="475"/>
              <w:spacing w:after="0"/>
              <w:rPr>
                <w:sz w:val="20"/>
                <w:szCs w:val="20"/>
                <w:color w:val="auto"/>
              </w:rPr>
            </w:pPr>
            <w:r>
              <w:rPr>
                <w:rFonts w:ascii="Arial" w:cs="Arial" w:eastAsia="Arial" w:hAnsi="Arial"/>
                <w:sz w:val="14"/>
                <w:szCs w:val="14"/>
                <w:b w:val="1"/>
                <w:bCs w:val="1"/>
                <w:color w:val="auto"/>
                <w:w w:val="89"/>
              </w:rPr>
              <w:t>(Unaudited)</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540" w:type="dxa"/>
            <w:vAlign w:val="bottom"/>
          </w:tcPr>
          <w:p>
            <w:pPr>
              <w:jc w:val="center"/>
              <w:ind w:left="615"/>
              <w:spacing w:after="0"/>
              <w:rPr>
                <w:sz w:val="20"/>
                <w:szCs w:val="20"/>
                <w:color w:val="auto"/>
              </w:rPr>
            </w:pPr>
            <w:r>
              <w:rPr>
                <w:rFonts w:ascii="Arial" w:cs="Arial" w:eastAsia="Arial" w:hAnsi="Arial"/>
                <w:sz w:val="14"/>
                <w:szCs w:val="14"/>
                <w:b w:val="1"/>
                <w:bCs w:val="1"/>
                <w:color w:val="auto"/>
                <w:w w:val="85"/>
              </w:rPr>
              <w:t>As of</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jc w:val="center"/>
              <w:ind w:right="459"/>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540" w:type="dxa"/>
            <w:vAlign w:val="bottom"/>
          </w:tcPr>
          <w:p>
            <w:pPr>
              <w:jc w:val="center"/>
              <w:ind w:left="615"/>
              <w:spacing w:after="0"/>
              <w:rPr>
                <w:sz w:val="20"/>
                <w:szCs w:val="20"/>
                <w:color w:val="auto"/>
              </w:rPr>
            </w:pPr>
            <w:r>
              <w:rPr>
                <w:rFonts w:ascii="Arial" w:cs="Arial" w:eastAsia="Arial" w:hAnsi="Arial"/>
                <w:sz w:val="12"/>
                <w:szCs w:val="12"/>
                <w:b w:val="1"/>
                <w:bCs w:val="1"/>
                <w:color w:val="auto"/>
                <w:w w:val="90"/>
              </w:rPr>
              <w:t>September 30,</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jc w:val="center"/>
              <w:ind w:right="459"/>
              <w:spacing w:after="0"/>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66"/>
        </w:trPr>
        <w:tc>
          <w:tcPr>
            <w:tcW w:w="3500" w:type="dxa"/>
            <w:vAlign w:val="bottom"/>
          </w:tcPr>
          <w:p>
            <w:pPr>
              <w:spacing w:after="0"/>
              <w:rPr>
                <w:sz w:val="14"/>
                <w:szCs w:val="14"/>
                <w:color w:val="auto"/>
              </w:rPr>
            </w:pPr>
          </w:p>
        </w:tc>
        <w:tc>
          <w:tcPr>
            <w:tcW w:w="4840" w:type="dxa"/>
            <w:vAlign w:val="bottom"/>
            <w:gridSpan w:val="2"/>
          </w:tcPr>
          <w:p>
            <w:pPr>
              <w:jc w:val="center"/>
              <w:ind w:left="3896"/>
              <w:spacing w:after="0"/>
              <w:rPr>
                <w:sz w:val="20"/>
                <w:szCs w:val="20"/>
                <w:color w:val="auto"/>
              </w:rPr>
            </w:pPr>
            <w:r>
              <w:rPr>
                <w:rFonts w:ascii="Arial" w:cs="Arial" w:eastAsia="Arial" w:hAnsi="Arial"/>
                <w:sz w:val="12"/>
                <w:szCs w:val="12"/>
                <w:b w:val="1"/>
                <w:bCs w:val="1"/>
                <w:color w:val="auto"/>
                <w:w w:val="89"/>
              </w:rPr>
              <w:t>2021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jc w:val="center"/>
              <w:ind w:right="459"/>
              <w:spacing w:after="0"/>
              <w:rPr>
                <w:sz w:val="20"/>
                <w:szCs w:val="20"/>
                <w:color w:val="auto"/>
              </w:rPr>
            </w:pPr>
            <w:r>
              <w:rPr>
                <w:rFonts w:ascii="Arial" w:cs="Arial" w:eastAsia="Arial" w:hAnsi="Arial"/>
                <w:sz w:val="12"/>
                <w:szCs w:val="12"/>
                <w:b w:val="1"/>
                <w:bCs w:val="1"/>
                <w:color w:val="auto"/>
                <w:w w:val="97"/>
              </w:rPr>
              <w:t>2020</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right"/>
              <w:ind w:right="169"/>
              <w:spacing w:after="0"/>
              <w:rPr>
                <w:sz w:val="20"/>
                <w:szCs w:val="20"/>
                <w:color w:val="auto"/>
              </w:rPr>
            </w:pPr>
            <w:r>
              <w:rPr>
                <w:rFonts w:ascii="Arial" w:cs="Arial" w:eastAsia="Arial" w:hAnsi="Arial"/>
                <w:sz w:val="12"/>
                <w:szCs w:val="12"/>
                <w:color w:val="auto"/>
              </w:rPr>
              <w:t>(In thousands)</w:t>
            </w:r>
          </w:p>
        </w:tc>
        <w:tc>
          <w:tcPr>
            <w:tcW w:w="1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ASSETS</w:t>
            </w:r>
          </w:p>
        </w:tc>
        <w:tc>
          <w:tcPr>
            <w:tcW w:w="33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0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3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Cash and cash equivalents</w:t>
            </w:r>
          </w:p>
        </w:tc>
        <w:tc>
          <w:tcPr>
            <w:tcW w:w="4840" w:type="dxa"/>
            <w:vAlign w:val="bottom"/>
            <w:gridSpan w:val="2"/>
            <w:shd w:val="clear" w:color="auto" w:fill="CCEEFF"/>
          </w:tcPr>
          <w:p>
            <w:pPr>
              <w:jc w:val="right"/>
              <w:ind w:right="1395"/>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1,497,498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933,885</w:t>
            </w:r>
          </w:p>
        </w:tc>
        <w:tc>
          <w:tcPr>
            <w:tcW w:w="0" w:type="dxa"/>
            <w:vAlign w:val="bottom"/>
          </w:tcPr>
          <w:p>
            <w:pPr>
              <w:spacing w:after="0"/>
              <w:rPr>
                <w:sz w:val="1"/>
                <w:szCs w:val="1"/>
                <w:color w:val="auto"/>
              </w:rPr>
            </w:pPr>
          </w:p>
        </w:tc>
      </w:tr>
      <w:tr>
        <w:trPr>
          <w:trHeight w:val="161"/>
        </w:trPr>
        <w:tc>
          <w:tcPr>
            <w:tcW w:w="3500" w:type="dxa"/>
            <w:vAlign w:val="bottom"/>
          </w:tcPr>
          <w:p>
            <w:pPr>
              <w:ind w:left="160"/>
              <w:spacing w:after="0"/>
              <w:rPr>
                <w:sz w:val="20"/>
                <w:szCs w:val="20"/>
                <w:color w:val="auto"/>
              </w:rPr>
            </w:pPr>
            <w:r>
              <w:rPr>
                <w:rFonts w:ascii="Arial" w:cs="Arial" w:eastAsia="Arial" w:hAnsi="Arial"/>
                <w:sz w:val="12"/>
                <w:szCs w:val="12"/>
                <w:color w:val="auto"/>
              </w:rPr>
              <w:t>Short-term marketable securities</w:t>
            </w:r>
          </w:p>
        </w:tc>
        <w:tc>
          <w:tcPr>
            <w:tcW w:w="3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3,896,754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2,105,906</w:t>
            </w: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Accounts receivable, net</w:t>
            </w:r>
          </w:p>
        </w:tc>
        <w:tc>
          <w:tcPr>
            <w:tcW w:w="33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345,793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251,167</w:t>
            </w:r>
          </w:p>
        </w:tc>
        <w:tc>
          <w:tcPr>
            <w:tcW w:w="0" w:type="dxa"/>
            <w:vAlign w:val="bottom"/>
          </w:tcPr>
          <w:p>
            <w:pPr>
              <w:spacing w:after="0"/>
              <w:rPr>
                <w:sz w:val="1"/>
                <w:szCs w:val="1"/>
                <w:color w:val="auto"/>
              </w:rPr>
            </w:pPr>
          </w:p>
        </w:tc>
      </w:tr>
      <w:tr>
        <w:trPr>
          <w:trHeight w:val="161"/>
        </w:trPr>
        <w:tc>
          <w:tcPr>
            <w:tcW w:w="35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330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165,760</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81,377</w:t>
            </w:r>
          </w:p>
        </w:tc>
        <w:tc>
          <w:tcPr>
            <w:tcW w:w="0" w:type="dxa"/>
            <w:vAlign w:val="bottom"/>
          </w:tcPr>
          <w:p>
            <w:pPr>
              <w:spacing w:after="0"/>
              <w:rPr>
                <w:sz w:val="1"/>
                <w:szCs w:val="1"/>
                <w:color w:val="auto"/>
              </w:rPr>
            </w:pPr>
          </w:p>
        </w:tc>
      </w:tr>
      <w:tr>
        <w:trPr>
          <w:trHeight w:val="156"/>
        </w:trPr>
        <w:tc>
          <w:tcPr>
            <w:tcW w:w="3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current assets</w:t>
            </w:r>
          </w:p>
        </w:tc>
        <w:tc>
          <w:tcPr>
            <w:tcW w:w="33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5,905,805</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3,372,335</w:t>
            </w:r>
          </w:p>
        </w:tc>
        <w:tc>
          <w:tcPr>
            <w:tcW w:w="0" w:type="dxa"/>
            <w:vAlign w:val="bottom"/>
          </w:tcPr>
          <w:p>
            <w:pPr>
              <w:spacing w:after="0"/>
              <w:rPr>
                <w:sz w:val="1"/>
                <w:szCs w:val="1"/>
                <w:color w:val="auto"/>
              </w:rPr>
            </w:pPr>
          </w:p>
        </w:tc>
      </w:tr>
      <w:tr>
        <w:trPr>
          <w:trHeight w:val="161"/>
        </w:trPr>
        <w:tc>
          <w:tcPr>
            <w:tcW w:w="3500" w:type="dxa"/>
            <w:vAlign w:val="bottom"/>
          </w:tcPr>
          <w:p>
            <w:pPr>
              <w:ind w:left="160"/>
              <w:spacing w:after="0"/>
              <w:rPr>
                <w:sz w:val="20"/>
                <w:szCs w:val="20"/>
                <w:color w:val="auto"/>
              </w:rPr>
            </w:pPr>
            <w:r>
              <w:rPr>
                <w:rFonts w:ascii="Arial" w:cs="Arial" w:eastAsia="Arial" w:hAnsi="Arial"/>
                <w:sz w:val="12"/>
                <w:szCs w:val="12"/>
                <w:color w:val="auto"/>
              </w:rPr>
              <w:t>Property and equipment, net</w:t>
            </w:r>
          </w:p>
        </w:tc>
        <w:tc>
          <w:tcPr>
            <w:tcW w:w="3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237,241</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183,239</w:t>
            </w: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Operating right-of-use asset</w:t>
            </w:r>
          </w:p>
        </w:tc>
        <w:tc>
          <w:tcPr>
            <w:tcW w:w="33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248,582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258,610</w:t>
            </w:r>
          </w:p>
        </w:tc>
        <w:tc>
          <w:tcPr>
            <w:tcW w:w="0" w:type="dxa"/>
            <w:vAlign w:val="bottom"/>
          </w:tcPr>
          <w:p>
            <w:pPr>
              <w:spacing w:after="0"/>
              <w:rPr>
                <w:sz w:val="1"/>
                <w:szCs w:val="1"/>
                <w:color w:val="auto"/>
              </w:rPr>
            </w:pPr>
          </w:p>
        </w:tc>
      </w:tr>
      <w:tr>
        <w:trPr>
          <w:trHeight w:val="161"/>
        </w:trPr>
        <w:tc>
          <w:tcPr>
            <w:tcW w:w="3500" w:type="dxa"/>
            <w:vAlign w:val="bottom"/>
          </w:tcPr>
          <w:p>
            <w:pPr>
              <w:ind w:left="160"/>
              <w:spacing w:after="0"/>
              <w:rPr>
                <w:sz w:val="20"/>
                <w:szCs w:val="20"/>
                <w:color w:val="auto"/>
              </w:rPr>
            </w:pPr>
            <w:r>
              <w:rPr>
                <w:rFonts w:ascii="Arial" w:cs="Arial" w:eastAsia="Arial" w:hAnsi="Arial"/>
                <w:sz w:val="12"/>
                <w:szCs w:val="12"/>
                <w:color w:val="auto"/>
              </w:rPr>
              <w:t>Intangible assets, net</w:t>
            </w:r>
          </w:p>
        </w:tc>
        <w:tc>
          <w:tcPr>
            <w:tcW w:w="3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1,102,599</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966,573</w:t>
            </w: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Goodwill</w:t>
            </w:r>
          </w:p>
        </w:tc>
        <w:tc>
          <w:tcPr>
            <w:tcW w:w="33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5,263,051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4,595,394</w:t>
            </w:r>
          </w:p>
        </w:tc>
        <w:tc>
          <w:tcPr>
            <w:tcW w:w="0" w:type="dxa"/>
            <w:vAlign w:val="bottom"/>
          </w:tcPr>
          <w:p>
            <w:pPr>
              <w:spacing w:after="0"/>
              <w:rPr>
                <w:sz w:val="1"/>
                <w:szCs w:val="1"/>
                <w:color w:val="auto"/>
              </w:rPr>
            </w:pPr>
          </w:p>
        </w:tc>
      </w:tr>
      <w:tr>
        <w:trPr>
          <w:trHeight w:val="161"/>
        </w:trPr>
        <w:tc>
          <w:tcPr>
            <w:tcW w:w="35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Other long-term assets</w:t>
            </w:r>
          </w:p>
        </w:tc>
        <w:tc>
          <w:tcPr>
            <w:tcW w:w="330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219,569</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111,282</w:t>
            </w: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assets</w:t>
            </w:r>
          </w:p>
        </w:tc>
        <w:tc>
          <w:tcPr>
            <w:tcW w:w="4840" w:type="dxa"/>
            <w:vAlign w:val="bottom"/>
            <w:gridSpan w:val="2"/>
            <w:shd w:val="clear" w:color="auto" w:fill="CCEEFF"/>
          </w:tcPr>
          <w:p>
            <w:pPr>
              <w:jc w:val="right"/>
              <w:ind w:right="1395"/>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12,976,847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9,487,433</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color w:val="auto"/>
              </w:rPr>
              <w:t>LIABILITIES AND STOCKHOLDERS’ EQUITY</w:t>
            </w:r>
          </w:p>
        </w:tc>
        <w:tc>
          <w:tcPr>
            <w:tcW w:w="33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3500" w:type="dxa"/>
            <w:vAlign w:val="bottom"/>
            <w:vMerge w:val="continue"/>
          </w:tcPr>
          <w:p>
            <w:pPr>
              <w:spacing w:after="0"/>
              <w:rPr>
                <w:sz w:val="8"/>
                <w:szCs w:val="8"/>
                <w:color w:val="auto"/>
              </w:rPr>
            </w:pPr>
          </w:p>
        </w:tc>
        <w:tc>
          <w:tcPr>
            <w:tcW w:w="33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33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00" w:type="dxa"/>
            <w:vAlign w:val="bottom"/>
          </w:tcPr>
          <w:p>
            <w:pPr>
              <w:ind w:left="160"/>
              <w:spacing w:after="0"/>
              <w:rPr>
                <w:sz w:val="20"/>
                <w:szCs w:val="20"/>
                <w:color w:val="auto"/>
              </w:rPr>
            </w:pPr>
            <w:r>
              <w:rPr>
                <w:rFonts w:ascii="Arial" w:cs="Arial" w:eastAsia="Arial" w:hAnsi="Arial"/>
                <w:sz w:val="12"/>
                <w:szCs w:val="12"/>
                <w:color w:val="auto"/>
              </w:rPr>
              <w:t>Accounts payable</w:t>
            </w:r>
          </w:p>
        </w:tc>
        <w:tc>
          <w:tcPr>
            <w:tcW w:w="4840" w:type="dxa"/>
            <w:vAlign w:val="bottom"/>
            <w:gridSpan w:val="2"/>
          </w:tcPr>
          <w:p>
            <w:pPr>
              <w:jc w:val="right"/>
              <w:ind w:right="1395"/>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76,293</w:t>
            </w:r>
          </w:p>
        </w:tc>
        <w:tc>
          <w:tcPr>
            <w:tcW w:w="100" w:type="dxa"/>
            <w:vAlign w:val="bottom"/>
          </w:tcPr>
          <w:p>
            <w:pPr>
              <w:spacing w:after="0"/>
              <w:rPr>
                <w:sz w:val="13"/>
                <w:szCs w:val="13"/>
                <w:color w:val="auto"/>
              </w:rPr>
            </w:pP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660" w:type="dxa"/>
            <w:vAlign w:val="bottom"/>
          </w:tcPr>
          <w:p>
            <w:pPr>
              <w:jc w:val="right"/>
              <w:spacing w:after="0"/>
              <w:rPr>
                <w:sz w:val="20"/>
                <w:szCs w:val="20"/>
                <w:color w:val="auto"/>
              </w:rPr>
            </w:pPr>
            <w:r>
              <w:rPr>
                <w:rFonts w:ascii="Arial" w:cs="Arial" w:eastAsia="Arial" w:hAnsi="Arial"/>
                <w:sz w:val="12"/>
                <w:szCs w:val="12"/>
                <w:color w:val="auto"/>
              </w:rPr>
              <w:t>60,042</w:t>
            </w: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Accrued expenses and other current liabilities</w:t>
            </w:r>
          </w:p>
        </w:tc>
        <w:tc>
          <w:tcPr>
            <w:tcW w:w="33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368,683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252,895</w:t>
            </w:r>
          </w:p>
        </w:tc>
        <w:tc>
          <w:tcPr>
            <w:tcW w:w="0" w:type="dxa"/>
            <w:vAlign w:val="bottom"/>
          </w:tcPr>
          <w:p>
            <w:pPr>
              <w:spacing w:after="0"/>
              <w:rPr>
                <w:sz w:val="1"/>
                <w:szCs w:val="1"/>
                <w:color w:val="auto"/>
              </w:rPr>
            </w:pPr>
          </w:p>
        </w:tc>
      </w:tr>
      <w:tr>
        <w:trPr>
          <w:trHeight w:val="161"/>
        </w:trPr>
        <w:tc>
          <w:tcPr>
            <w:tcW w:w="3500" w:type="dxa"/>
            <w:vAlign w:val="bottom"/>
          </w:tcPr>
          <w:p>
            <w:pPr>
              <w:ind w:left="160"/>
              <w:spacing w:after="0"/>
              <w:rPr>
                <w:sz w:val="20"/>
                <w:szCs w:val="20"/>
                <w:color w:val="auto"/>
              </w:rPr>
            </w:pPr>
            <w:r>
              <w:rPr>
                <w:rFonts w:ascii="Arial" w:cs="Arial" w:eastAsia="Arial" w:hAnsi="Arial"/>
                <w:sz w:val="12"/>
                <w:szCs w:val="12"/>
                <w:color w:val="auto"/>
              </w:rPr>
              <w:t>Deferred revenue and customer deposits</w:t>
            </w:r>
          </w:p>
        </w:tc>
        <w:tc>
          <w:tcPr>
            <w:tcW w:w="3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121,337</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87,031</w:t>
            </w: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Operating lease liability, current</w:t>
            </w:r>
          </w:p>
        </w:tc>
        <w:tc>
          <w:tcPr>
            <w:tcW w:w="3300" w:type="dxa"/>
            <w:vAlign w:val="bottom"/>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50,760</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48,338</w:t>
            </w:r>
          </w:p>
        </w:tc>
        <w:tc>
          <w:tcPr>
            <w:tcW w:w="0" w:type="dxa"/>
            <w:vAlign w:val="bottom"/>
          </w:tcPr>
          <w:p>
            <w:pPr>
              <w:spacing w:after="0"/>
              <w:rPr>
                <w:sz w:val="1"/>
                <w:szCs w:val="1"/>
                <w:color w:val="auto"/>
              </w:rPr>
            </w:pPr>
          </w:p>
        </w:tc>
      </w:tr>
      <w:tr>
        <w:trPr>
          <w:trHeight w:val="151"/>
        </w:trPr>
        <w:tc>
          <w:tcPr>
            <w:tcW w:w="3500" w:type="dxa"/>
            <w:vAlign w:val="bottom"/>
          </w:tcPr>
          <w:p>
            <w:pPr>
              <w:ind w:left="360"/>
              <w:spacing w:after="0"/>
              <w:rPr>
                <w:sz w:val="20"/>
                <w:szCs w:val="20"/>
                <w:color w:val="auto"/>
              </w:rPr>
            </w:pPr>
            <w:r>
              <w:rPr>
                <w:rFonts w:ascii="Arial" w:cs="Arial" w:eastAsia="Arial" w:hAnsi="Arial"/>
                <w:sz w:val="12"/>
                <w:szCs w:val="12"/>
                <w:color w:val="auto"/>
              </w:rPr>
              <w:t>Total current liabilities</w:t>
            </w:r>
          </w:p>
        </w:tc>
        <w:tc>
          <w:tcPr>
            <w:tcW w:w="3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617,073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448,306</w:t>
            </w: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Operating lease liability, noncurrent</w:t>
            </w:r>
          </w:p>
        </w:tc>
        <w:tc>
          <w:tcPr>
            <w:tcW w:w="33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223,033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229,905</w:t>
            </w:r>
          </w:p>
        </w:tc>
        <w:tc>
          <w:tcPr>
            <w:tcW w:w="0" w:type="dxa"/>
            <w:vAlign w:val="bottom"/>
          </w:tcPr>
          <w:p>
            <w:pPr>
              <w:spacing w:after="0"/>
              <w:rPr>
                <w:sz w:val="1"/>
                <w:szCs w:val="1"/>
                <w:color w:val="auto"/>
              </w:rPr>
            </w:pPr>
          </w:p>
        </w:tc>
      </w:tr>
      <w:tr>
        <w:trPr>
          <w:trHeight w:val="161"/>
        </w:trPr>
        <w:tc>
          <w:tcPr>
            <w:tcW w:w="3500" w:type="dxa"/>
            <w:vAlign w:val="bottom"/>
          </w:tcPr>
          <w:p>
            <w:pPr>
              <w:ind w:left="160"/>
              <w:spacing w:after="0"/>
              <w:rPr>
                <w:sz w:val="20"/>
                <w:szCs w:val="20"/>
                <w:color w:val="auto"/>
              </w:rPr>
            </w:pPr>
            <w:r>
              <w:rPr>
                <w:rFonts w:ascii="Arial" w:cs="Arial" w:eastAsia="Arial" w:hAnsi="Arial"/>
                <w:sz w:val="12"/>
                <w:szCs w:val="12"/>
                <w:color w:val="auto"/>
              </w:rPr>
              <w:t>Finance lease liability, noncurrent</w:t>
            </w:r>
          </w:p>
        </w:tc>
        <w:tc>
          <w:tcPr>
            <w:tcW w:w="3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20,254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17,856</w:t>
            </w: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Long-term debt</w:t>
            </w:r>
          </w:p>
        </w:tc>
        <w:tc>
          <w:tcPr>
            <w:tcW w:w="33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985,547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302,068</w:t>
            </w:r>
          </w:p>
        </w:tc>
        <w:tc>
          <w:tcPr>
            <w:tcW w:w="0" w:type="dxa"/>
            <w:vAlign w:val="bottom"/>
          </w:tcPr>
          <w:p>
            <w:pPr>
              <w:spacing w:after="0"/>
              <w:rPr>
                <w:sz w:val="1"/>
                <w:szCs w:val="1"/>
                <w:color w:val="auto"/>
              </w:rPr>
            </w:pPr>
          </w:p>
        </w:tc>
      </w:tr>
      <w:tr>
        <w:trPr>
          <w:trHeight w:val="161"/>
        </w:trPr>
        <w:tc>
          <w:tcPr>
            <w:tcW w:w="35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Other long-term liabilities</w:t>
            </w:r>
          </w:p>
        </w:tc>
        <w:tc>
          <w:tcPr>
            <w:tcW w:w="330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49,191</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36,633</w:t>
            </w:r>
          </w:p>
        </w:tc>
        <w:tc>
          <w:tcPr>
            <w:tcW w:w="0" w:type="dxa"/>
            <w:vAlign w:val="bottom"/>
          </w:tcPr>
          <w:p>
            <w:pPr>
              <w:spacing w:after="0"/>
              <w:rPr>
                <w:sz w:val="1"/>
                <w:szCs w:val="1"/>
                <w:color w:val="auto"/>
              </w:rPr>
            </w:pPr>
          </w:p>
        </w:tc>
      </w:tr>
      <w:tr>
        <w:trPr>
          <w:trHeight w:val="156"/>
        </w:trPr>
        <w:tc>
          <w:tcPr>
            <w:tcW w:w="350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Total liabilities</w:t>
            </w:r>
          </w:p>
        </w:tc>
        <w:tc>
          <w:tcPr>
            <w:tcW w:w="3300" w:type="dxa"/>
            <w:vAlign w:val="bottom"/>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1,895,098</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1,034,768</w:t>
            </w:r>
          </w:p>
        </w:tc>
        <w:tc>
          <w:tcPr>
            <w:tcW w:w="0" w:type="dxa"/>
            <w:vAlign w:val="bottom"/>
          </w:tcPr>
          <w:p>
            <w:pPr>
              <w:spacing w:after="0"/>
              <w:rPr>
                <w:sz w:val="1"/>
                <w:szCs w:val="1"/>
                <w:color w:val="auto"/>
              </w:rPr>
            </w:pPr>
          </w:p>
        </w:tc>
      </w:tr>
      <w:tr>
        <w:trPr>
          <w:trHeight w:val="141"/>
        </w:trPr>
        <w:tc>
          <w:tcPr>
            <w:tcW w:w="3500" w:type="dxa"/>
            <w:vAlign w:val="bottom"/>
          </w:tcPr>
          <w:p>
            <w:pPr>
              <w:ind w:left="20"/>
              <w:spacing w:after="0"/>
              <w:rPr>
                <w:sz w:val="20"/>
                <w:szCs w:val="20"/>
                <w:color w:val="auto"/>
              </w:rPr>
            </w:pPr>
            <w:r>
              <w:rPr>
                <w:rFonts w:ascii="Arial" w:cs="Arial" w:eastAsia="Arial" w:hAnsi="Arial"/>
                <w:sz w:val="12"/>
                <w:szCs w:val="12"/>
                <w:color w:val="auto"/>
              </w:rPr>
              <w:t>Commitments and contingencies (Note 13)</w:t>
            </w:r>
          </w:p>
        </w:tc>
        <w:tc>
          <w:tcPr>
            <w:tcW w:w="3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Stockholders’ equity:</w:t>
            </w:r>
          </w:p>
        </w:tc>
        <w:tc>
          <w:tcPr>
            <w:tcW w:w="33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00" w:type="dxa"/>
            <w:vAlign w:val="bottom"/>
          </w:tcPr>
          <w:p>
            <w:pPr>
              <w:ind w:left="160"/>
              <w:spacing w:after="0"/>
              <w:rPr>
                <w:sz w:val="20"/>
                <w:szCs w:val="20"/>
                <w:color w:val="auto"/>
              </w:rPr>
            </w:pPr>
            <w:r>
              <w:rPr>
                <w:rFonts w:ascii="Arial" w:cs="Arial" w:eastAsia="Arial" w:hAnsi="Arial"/>
                <w:sz w:val="12"/>
                <w:szCs w:val="12"/>
                <w:color w:val="auto"/>
              </w:rPr>
              <w:t>Preferred stock</w:t>
            </w:r>
          </w:p>
        </w:tc>
        <w:tc>
          <w:tcPr>
            <w:tcW w:w="3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Class A and Class B common stock</w:t>
            </w:r>
          </w:p>
        </w:tc>
        <w:tc>
          <w:tcPr>
            <w:tcW w:w="33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w:t>
            </w:r>
          </w:p>
        </w:tc>
        <w:tc>
          <w:tcPr>
            <w:tcW w:w="0" w:type="dxa"/>
            <w:vAlign w:val="bottom"/>
          </w:tcPr>
          <w:p>
            <w:pPr>
              <w:spacing w:after="0"/>
              <w:rPr>
                <w:sz w:val="1"/>
                <w:szCs w:val="1"/>
                <w:color w:val="auto"/>
              </w:rPr>
            </w:pPr>
          </w:p>
        </w:tc>
      </w:tr>
      <w:tr>
        <w:trPr>
          <w:trHeight w:val="161"/>
        </w:trPr>
        <w:tc>
          <w:tcPr>
            <w:tcW w:w="3500" w:type="dxa"/>
            <w:vAlign w:val="bottom"/>
          </w:tcPr>
          <w:p>
            <w:pPr>
              <w:ind w:left="160"/>
              <w:spacing w:after="0"/>
              <w:rPr>
                <w:sz w:val="20"/>
                <w:szCs w:val="20"/>
                <w:color w:val="auto"/>
              </w:rPr>
            </w:pPr>
            <w:r>
              <w:rPr>
                <w:rFonts w:ascii="Arial" w:cs="Arial" w:eastAsia="Arial" w:hAnsi="Arial"/>
                <w:sz w:val="12"/>
                <w:szCs w:val="12"/>
                <w:color w:val="auto"/>
              </w:rPr>
              <w:t>Additional paid-in capital</w:t>
            </w:r>
          </w:p>
        </w:tc>
        <w:tc>
          <w:tcPr>
            <w:tcW w:w="3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96"/>
              </w:rPr>
              <w:t>12,910,271</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9,613,246</w:t>
            </w: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Accumulated other comprehensive income</w:t>
            </w:r>
          </w:p>
        </w:tc>
        <w:tc>
          <w:tcPr>
            <w:tcW w:w="33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9,046</w:t>
            </w:r>
          </w:p>
        </w:tc>
        <w:tc>
          <w:tcPr>
            <w:tcW w:w="0" w:type="dxa"/>
            <w:vAlign w:val="bottom"/>
          </w:tcPr>
          <w:p>
            <w:pPr>
              <w:spacing w:after="0"/>
              <w:rPr>
                <w:sz w:val="1"/>
                <w:szCs w:val="1"/>
                <w:color w:val="auto"/>
              </w:rPr>
            </w:pPr>
          </w:p>
        </w:tc>
      </w:tr>
      <w:tr>
        <w:trPr>
          <w:trHeight w:val="161"/>
        </w:trPr>
        <w:tc>
          <w:tcPr>
            <w:tcW w:w="35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Accumulated deficit</w:t>
            </w:r>
          </w:p>
        </w:tc>
        <w:tc>
          <w:tcPr>
            <w:tcW w:w="330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(1,828,295)</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(1,169,791)</w:t>
            </w:r>
          </w:p>
        </w:tc>
        <w:tc>
          <w:tcPr>
            <w:tcW w:w="0" w:type="dxa"/>
            <w:vAlign w:val="bottom"/>
          </w:tcPr>
          <w:p>
            <w:pPr>
              <w:spacing w:after="0"/>
              <w:rPr>
                <w:sz w:val="1"/>
                <w:szCs w:val="1"/>
                <w:color w:val="auto"/>
              </w:rPr>
            </w:pPr>
          </w:p>
        </w:tc>
      </w:tr>
      <w:tr>
        <w:trPr>
          <w:trHeight w:val="153"/>
        </w:trPr>
        <w:tc>
          <w:tcPr>
            <w:tcW w:w="3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stockholders’ equity</w:t>
            </w:r>
          </w:p>
        </w:tc>
        <w:tc>
          <w:tcPr>
            <w:tcW w:w="3300" w:type="dxa"/>
            <w:vAlign w:val="bottom"/>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11,081,749</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8,452,665</w:t>
            </w:r>
          </w:p>
        </w:tc>
        <w:tc>
          <w:tcPr>
            <w:tcW w:w="0" w:type="dxa"/>
            <w:vAlign w:val="bottom"/>
          </w:tcPr>
          <w:p>
            <w:pPr>
              <w:spacing w:after="0"/>
              <w:rPr>
                <w:sz w:val="1"/>
                <w:szCs w:val="1"/>
                <w:color w:val="auto"/>
              </w:rPr>
            </w:pPr>
          </w:p>
        </w:tc>
      </w:tr>
      <w:tr>
        <w:trPr>
          <w:trHeight w:val="156"/>
        </w:trPr>
        <w:tc>
          <w:tcPr>
            <w:tcW w:w="3500" w:type="dxa"/>
            <w:vAlign w:val="bottom"/>
          </w:tcPr>
          <w:p>
            <w:pPr>
              <w:ind w:left="360"/>
              <w:spacing w:after="0"/>
              <w:rPr>
                <w:sz w:val="20"/>
                <w:szCs w:val="20"/>
                <w:color w:val="auto"/>
              </w:rPr>
            </w:pPr>
            <w:r>
              <w:rPr>
                <w:rFonts w:ascii="Arial" w:cs="Arial" w:eastAsia="Arial" w:hAnsi="Arial"/>
                <w:sz w:val="12"/>
                <w:szCs w:val="12"/>
                <w:color w:val="auto"/>
              </w:rPr>
              <w:t>Total liabilities and stockholders’ equity</w:t>
            </w:r>
          </w:p>
        </w:tc>
        <w:tc>
          <w:tcPr>
            <w:tcW w:w="4840" w:type="dxa"/>
            <w:vAlign w:val="bottom"/>
            <w:gridSpan w:val="2"/>
          </w:tcPr>
          <w:p>
            <w:pPr>
              <w:jc w:val="right"/>
              <w:ind w:right="1395"/>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w w:val="96"/>
              </w:rPr>
              <w:t>12,976,847</w:t>
            </w:r>
          </w:p>
        </w:tc>
        <w:tc>
          <w:tcPr>
            <w:tcW w:w="100" w:type="dxa"/>
            <w:vAlign w:val="bottom"/>
          </w:tcPr>
          <w:p>
            <w:pPr>
              <w:spacing w:after="0"/>
              <w:rPr>
                <w:sz w:val="13"/>
                <w:szCs w:val="13"/>
                <w:color w:val="auto"/>
              </w:rPr>
            </w:pP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660" w:type="dxa"/>
            <w:vAlign w:val="bottom"/>
          </w:tcPr>
          <w:p>
            <w:pPr>
              <w:jc w:val="right"/>
              <w:spacing w:after="0"/>
              <w:rPr>
                <w:sz w:val="20"/>
                <w:szCs w:val="20"/>
                <w:color w:val="auto"/>
              </w:rPr>
            </w:pPr>
            <w:r>
              <w:rPr>
                <w:rFonts w:ascii="Arial" w:cs="Arial" w:eastAsia="Arial" w:hAnsi="Arial"/>
                <w:sz w:val="12"/>
                <w:szCs w:val="12"/>
                <w:color w:val="auto"/>
              </w:rPr>
              <w:t>9,487,433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TWILIO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00" w:type="dxa"/>
            <w:vAlign w:val="bottom"/>
            <w:gridSpan w:val="5"/>
          </w:tcPr>
          <w:p>
            <w:pPr>
              <w:ind w:left="160"/>
              <w:spacing w:after="0"/>
              <w:rPr>
                <w:sz w:val="20"/>
                <w:szCs w:val="20"/>
                <w:color w:val="auto"/>
              </w:rPr>
            </w:pPr>
            <w:r>
              <w:rPr>
                <w:rFonts w:ascii="Arial" w:cs="Arial" w:eastAsia="Arial" w:hAnsi="Arial"/>
                <w:sz w:val="12"/>
                <w:szCs w:val="12"/>
                <w:b w:val="1"/>
                <w:bCs w:val="1"/>
                <w:color w:val="auto"/>
              </w:rPr>
              <w:t>Three Months Ended</w:t>
            </w:r>
          </w:p>
        </w:tc>
        <w:tc>
          <w:tcPr>
            <w:tcW w:w="400" w:type="dxa"/>
            <w:vAlign w:val="bottom"/>
          </w:tcPr>
          <w:p>
            <w:pPr>
              <w:spacing w:after="0"/>
              <w:rPr>
                <w:sz w:val="12"/>
                <w:szCs w:val="12"/>
                <w:color w:val="auto"/>
              </w:rPr>
            </w:pPr>
          </w:p>
        </w:tc>
        <w:tc>
          <w:tcPr>
            <w:tcW w:w="1940" w:type="dxa"/>
            <w:vAlign w:val="bottom"/>
            <w:gridSpan w:val="3"/>
          </w:tcPr>
          <w:p>
            <w:pPr>
              <w:jc w:val="right"/>
              <w:ind w:right="49"/>
              <w:spacing w:after="0"/>
              <w:rPr>
                <w:sz w:val="20"/>
                <w:szCs w:val="20"/>
                <w:color w:val="auto"/>
              </w:rPr>
            </w:pPr>
            <w:r>
              <w:rPr>
                <w:rFonts w:ascii="Arial" w:cs="Arial" w:eastAsia="Arial" w:hAnsi="Arial"/>
                <w:sz w:val="12"/>
                <w:szCs w:val="12"/>
                <w:b w:val="1"/>
                <w:bCs w:val="1"/>
                <w:color w:val="auto"/>
              </w:rPr>
              <w:t>Nine Months Ended</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1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2"/>
                <w:szCs w:val="12"/>
                <w:b w:val="1"/>
                <w:bCs w:val="1"/>
                <w:color w:val="auto"/>
              </w:rPr>
              <w:t>September 30,</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40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3"/>
        </w:trPr>
        <w:tc>
          <w:tcPr>
            <w:tcW w:w="4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100" w:type="dxa"/>
            <w:vAlign w:val="bottom"/>
            <w:gridSpan w:val="5"/>
          </w:tcPr>
          <w:p>
            <w:pPr>
              <w:ind w:left="60"/>
              <w:spacing w:after="0"/>
              <w:rPr>
                <w:sz w:val="20"/>
                <w:szCs w:val="20"/>
                <w:color w:val="auto"/>
              </w:rPr>
            </w:pPr>
            <w:r>
              <w:rPr>
                <w:rFonts w:ascii="Arial" w:cs="Arial" w:eastAsia="Arial" w:hAnsi="Arial"/>
                <w:sz w:val="12"/>
                <w:szCs w:val="12"/>
                <w:color w:val="auto"/>
              </w:rPr>
              <w:t>(In thousands, except share and per share amounts)</w:t>
            </w: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w:t>
            </w:r>
          </w:p>
        </w:tc>
        <w:tc>
          <w:tcPr>
            <w:tcW w:w="980" w:type="dxa"/>
            <w:vAlign w:val="bottom"/>
            <w:shd w:val="clear" w:color="auto" w:fill="CCEEFF"/>
          </w:tcPr>
          <w:p>
            <w:pPr>
              <w:jc w:val="right"/>
              <w:ind w:right="83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740,176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447,969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1,999,095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6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1,213,686</w:t>
            </w:r>
          </w:p>
        </w:tc>
        <w:tc>
          <w:tcPr>
            <w:tcW w:w="0" w:type="dxa"/>
            <w:vAlign w:val="bottom"/>
          </w:tcPr>
          <w:p>
            <w:pPr>
              <w:spacing w:after="0"/>
              <w:rPr>
                <w:sz w:val="1"/>
                <w:szCs w:val="1"/>
                <w:color w:val="auto"/>
              </w:rPr>
            </w:pPr>
          </w:p>
        </w:tc>
      </w:tr>
      <w:tr>
        <w:trPr>
          <w:trHeight w:val="161"/>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Cost of revenue</w:t>
            </w: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375,561</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217,095</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1,004,929</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580,146</w:t>
            </w:r>
          </w:p>
        </w:tc>
        <w:tc>
          <w:tcPr>
            <w:tcW w:w="0" w:type="dxa"/>
            <w:vAlign w:val="bottom"/>
          </w:tcPr>
          <w:p>
            <w:pPr>
              <w:spacing w:after="0"/>
              <w:rPr>
                <w:sz w:val="1"/>
                <w:szCs w:val="1"/>
                <w:color w:val="auto"/>
              </w:rPr>
            </w:pPr>
          </w:p>
        </w:tc>
      </w:tr>
      <w:tr>
        <w:trPr>
          <w:trHeight w:val="156"/>
        </w:trPr>
        <w:tc>
          <w:tcPr>
            <w:tcW w:w="44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Gross profit</w:t>
            </w:r>
          </w:p>
        </w:tc>
        <w:tc>
          <w:tcPr>
            <w:tcW w:w="9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364,615</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230,874</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994,166</w:t>
            </w:r>
          </w:p>
        </w:tc>
        <w:tc>
          <w:tcPr>
            <w:tcW w:w="10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633,540</w:t>
            </w:r>
          </w:p>
        </w:tc>
        <w:tc>
          <w:tcPr>
            <w:tcW w:w="0" w:type="dxa"/>
            <w:vAlign w:val="bottom"/>
          </w:tcPr>
          <w:p>
            <w:pPr>
              <w:spacing w:after="0"/>
              <w:rPr>
                <w:sz w:val="1"/>
                <w:szCs w:val="1"/>
                <w:color w:val="auto"/>
              </w:rPr>
            </w:pPr>
          </w:p>
        </w:tc>
      </w:tr>
      <w:tr>
        <w:trPr>
          <w:trHeight w:val="141"/>
        </w:trPr>
        <w:tc>
          <w:tcPr>
            <w:tcW w:w="4400" w:type="dxa"/>
            <w:vAlign w:val="bottom"/>
          </w:tcPr>
          <w:p>
            <w:pPr>
              <w:ind w:left="20"/>
              <w:spacing w:after="0"/>
              <w:rPr>
                <w:sz w:val="20"/>
                <w:szCs w:val="20"/>
                <w:color w:val="auto"/>
              </w:rPr>
            </w:pPr>
            <w:r>
              <w:rPr>
                <w:rFonts w:ascii="Arial" w:cs="Arial" w:eastAsia="Arial" w:hAnsi="Arial"/>
                <w:sz w:val="12"/>
                <w:szCs w:val="12"/>
                <w:color w:val="auto"/>
              </w:rPr>
              <w:t>Operating expenses:</w:t>
            </w: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4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Research and development</w:t>
            </w:r>
          </w:p>
        </w:tc>
        <w:tc>
          <w:tcPr>
            <w:tcW w:w="9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209,890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136,652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565,970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371,692</w:t>
            </w:r>
          </w:p>
        </w:tc>
        <w:tc>
          <w:tcPr>
            <w:tcW w:w="0" w:type="dxa"/>
            <w:vAlign w:val="bottom"/>
          </w:tcPr>
          <w:p>
            <w:pPr>
              <w:spacing w:after="0"/>
              <w:rPr>
                <w:sz w:val="1"/>
                <w:szCs w:val="1"/>
                <w:color w:val="auto"/>
              </w:rPr>
            </w:pPr>
          </w:p>
        </w:tc>
      </w:tr>
      <w:tr>
        <w:trPr>
          <w:trHeight w:val="161"/>
        </w:trPr>
        <w:tc>
          <w:tcPr>
            <w:tcW w:w="4400" w:type="dxa"/>
            <w:vAlign w:val="bottom"/>
          </w:tcPr>
          <w:p>
            <w:pPr>
              <w:ind w:left="260"/>
              <w:spacing w:after="0"/>
              <w:rPr>
                <w:sz w:val="20"/>
                <w:szCs w:val="20"/>
                <w:color w:val="auto"/>
              </w:rPr>
            </w:pPr>
            <w:r>
              <w:rPr>
                <w:rFonts w:ascii="Arial" w:cs="Arial" w:eastAsia="Arial" w:hAnsi="Arial"/>
                <w:sz w:val="12"/>
                <w:szCs w:val="12"/>
                <w:color w:val="auto"/>
              </w:rPr>
              <w:t>Sales and marketing</w:t>
            </w:r>
          </w:p>
        </w:tc>
        <w:tc>
          <w:tcPr>
            <w:tcW w:w="9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264,548</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140,875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713,196</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387,420</w:t>
            </w:r>
          </w:p>
        </w:tc>
        <w:tc>
          <w:tcPr>
            <w:tcW w:w="0" w:type="dxa"/>
            <w:vAlign w:val="bottom"/>
          </w:tcPr>
          <w:p>
            <w:pPr>
              <w:spacing w:after="0"/>
              <w:rPr>
                <w:sz w:val="1"/>
                <w:szCs w:val="1"/>
                <w:color w:val="auto"/>
              </w:rPr>
            </w:pPr>
          </w:p>
        </w:tc>
      </w:tr>
      <w:tr>
        <w:trPr>
          <w:trHeight w:val="166"/>
        </w:trPr>
        <w:tc>
          <w:tcPr>
            <w:tcW w:w="44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General and administrative</w:t>
            </w:r>
          </w:p>
        </w:tc>
        <w:tc>
          <w:tcPr>
            <w:tcW w:w="9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122,522</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65,617</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346,958</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182,038</w:t>
            </w:r>
          </w:p>
        </w:tc>
        <w:tc>
          <w:tcPr>
            <w:tcW w:w="0" w:type="dxa"/>
            <w:vAlign w:val="bottom"/>
          </w:tcPr>
          <w:p>
            <w:pPr>
              <w:spacing w:after="0"/>
              <w:rPr>
                <w:sz w:val="1"/>
                <w:szCs w:val="1"/>
                <w:color w:val="auto"/>
              </w:rPr>
            </w:pPr>
          </w:p>
        </w:tc>
      </w:tr>
      <w:tr>
        <w:trPr>
          <w:trHeight w:val="151"/>
        </w:trPr>
        <w:tc>
          <w:tcPr>
            <w:tcW w:w="4400" w:type="dxa"/>
            <w:vAlign w:val="bottom"/>
            <w:tcBorders>
              <w:bottom w:val="single" w:sz="8" w:color="CCEEFF"/>
            </w:tcBorders>
          </w:tcPr>
          <w:p>
            <w:pPr>
              <w:ind w:left="420"/>
              <w:spacing w:after="0"/>
              <w:rPr>
                <w:sz w:val="20"/>
                <w:szCs w:val="20"/>
                <w:color w:val="auto"/>
              </w:rPr>
            </w:pPr>
            <w:r>
              <w:rPr>
                <w:rFonts w:ascii="Arial" w:cs="Arial" w:eastAsia="Arial" w:hAnsi="Arial"/>
                <w:sz w:val="12"/>
                <w:szCs w:val="12"/>
                <w:color w:val="auto"/>
              </w:rPr>
              <w:t>Total operating expenses</w:t>
            </w: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596,960</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343,144</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1,626,124</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941,150</w:t>
            </w:r>
          </w:p>
        </w:tc>
        <w:tc>
          <w:tcPr>
            <w:tcW w:w="0" w:type="dxa"/>
            <w:vAlign w:val="bottom"/>
          </w:tcPr>
          <w:p>
            <w:pPr>
              <w:spacing w:after="0"/>
              <w:rPr>
                <w:sz w:val="1"/>
                <w:szCs w:val="1"/>
                <w:color w:val="auto"/>
              </w:rPr>
            </w:pPr>
          </w:p>
        </w:tc>
      </w:tr>
      <w:tr>
        <w:trPr>
          <w:trHeight w:val="156"/>
        </w:trPr>
        <w:tc>
          <w:tcPr>
            <w:tcW w:w="44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Loss from operations</w:t>
            </w:r>
          </w:p>
        </w:tc>
        <w:tc>
          <w:tcPr>
            <w:tcW w:w="9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(232,345)</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(112,270)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(631,958)</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(307,610)</w:t>
            </w:r>
          </w:p>
        </w:tc>
        <w:tc>
          <w:tcPr>
            <w:tcW w:w="0" w:type="dxa"/>
            <w:vAlign w:val="bottom"/>
          </w:tcPr>
          <w:p>
            <w:pPr>
              <w:spacing w:after="0"/>
              <w:rPr>
                <w:sz w:val="1"/>
                <w:szCs w:val="1"/>
                <w:color w:val="auto"/>
              </w:rPr>
            </w:pPr>
          </w:p>
        </w:tc>
      </w:tr>
      <w:tr>
        <w:trPr>
          <w:trHeight w:val="161"/>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expenses, net</w:t>
            </w: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(6,613)</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(3,996)</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(39,219)</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(2,099)</w:t>
            </w:r>
          </w:p>
        </w:tc>
        <w:tc>
          <w:tcPr>
            <w:tcW w:w="0" w:type="dxa"/>
            <w:vAlign w:val="bottom"/>
          </w:tcPr>
          <w:p>
            <w:pPr>
              <w:spacing w:after="0"/>
              <w:rPr>
                <w:sz w:val="1"/>
                <w:szCs w:val="1"/>
                <w:color w:val="auto"/>
              </w:rPr>
            </w:pPr>
          </w:p>
        </w:tc>
      </w:tr>
      <w:tr>
        <w:trPr>
          <w:trHeight w:val="156"/>
        </w:trPr>
        <w:tc>
          <w:tcPr>
            <w:tcW w:w="44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Loss before benefit (provision) for income taxes</w:t>
            </w:r>
          </w:p>
        </w:tc>
        <w:tc>
          <w:tcPr>
            <w:tcW w:w="9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(238,958)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(116,266)</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(671,177)</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(309,709)</w:t>
            </w:r>
          </w:p>
        </w:tc>
        <w:tc>
          <w:tcPr>
            <w:tcW w:w="0" w:type="dxa"/>
            <w:vAlign w:val="bottom"/>
          </w:tcPr>
          <w:p>
            <w:pPr>
              <w:spacing w:after="0"/>
              <w:rPr>
                <w:sz w:val="1"/>
                <w:szCs w:val="1"/>
                <w:color w:val="auto"/>
              </w:rPr>
            </w:pPr>
          </w:p>
        </w:tc>
      </w:tr>
      <w:tr>
        <w:trPr>
          <w:trHeight w:val="161"/>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Benefit (provision) for income taxes</w:t>
            </w: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14,849</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(648)</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12,673</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(1,919)</w:t>
            </w:r>
          </w:p>
        </w:tc>
        <w:tc>
          <w:tcPr>
            <w:tcW w:w="0" w:type="dxa"/>
            <w:vAlign w:val="bottom"/>
          </w:tcPr>
          <w:p>
            <w:pPr>
              <w:spacing w:after="0"/>
              <w:rPr>
                <w:sz w:val="1"/>
                <w:szCs w:val="1"/>
                <w:color w:val="auto"/>
              </w:rPr>
            </w:pPr>
          </w:p>
        </w:tc>
      </w:tr>
      <w:tr>
        <w:trPr>
          <w:trHeight w:val="181"/>
        </w:trPr>
        <w:tc>
          <w:tcPr>
            <w:tcW w:w="4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Net loss attributable to common stockholders</w:t>
            </w:r>
          </w:p>
        </w:tc>
        <w:tc>
          <w:tcPr>
            <w:tcW w:w="98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(224,109)</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(116,914)</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(658,504)</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6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(311,628)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400" w:type="dxa"/>
            <w:vAlign w:val="bottom"/>
          </w:tcPr>
          <w:p>
            <w:pPr>
              <w:ind w:left="260"/>
              <w:spacing w:after="0" w:line="124" w:lineRule="exact"/>
              <w:rPr>
                <w:sz w:val="20"/>
                <w:szCs w:val="20"/>
                <w:color w:val="auto"/>
              </w:rPr>
            </w:pPr>
            <w:r>
              <w:rPr>
                <w:rFonts w:ascii="Arial" w:cs="Arial" w:eastAsia="Arial" w:hAnsi="Arial"/>
                <w:sz w:val="12"/>
                <w:szCs w:val="12"/>
                <w:color w:val="auto"/>
              </w:rPr>
              <w:t>Net loss per share attributable to common stockholders, basic and diluted</w:t>
            </w:r>
          </w:p>
        </w:tc>
        <w:tc>
          <w:tcPr>
            <w:tcW w:w="980" w:type="dxa"/>
            <w:vAlign w:val="bottom"/>
            <w:tcBorders>
              <w:bottom w:val="single" w:sz="8" w:color="auto"/>
            </w:tcBorders>
          </w:tcPr>
          <w:p>
            <w:pPr>
              <w:jc w:val="right"/>
              <w:ind w:right="839"/>
              <w:spacing w:after="0" w:line="124" w:lineRule="exact"/>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(1.26)</w:t>
            </w:r>
          </w:p>
        </w:tc>
        <w:tc>
          <w:tcPr>
            <w:tcW w:w="80" w:type="dxa"/>
            <w:vAlign w:val="bottom"/>
          </w:tcPr>
          <w:p>
            <w:pPr>
              <w:spacing w:after="0"/>
              <w:rPr>
                <w:sz w:val="10"/>
                <w:szCs w:val="10"/>
                <w:color w:val="auto"/>
              </w:rPr>
            </w:pPr>
          </w:p>
        </w:tc>
        <w:tc>
          <w:tcPr>
            <w:tcW w:w="400" w:type="dxa"/>
            <w:vAlign w:val="bottom"/>
            <w:tcBorders>
              <w:bottom w:val="single" w:sz="8" w:color="auto"/>
            </w:tcBorders>
          </w:tcPr>
          <w:p>
            <w:pPr>
              <w:jc w:val="right"/>
              <w:ind w:right="259"/>
              <w:spacing w:after="0" w:line="124" w:lineRule="exact"/>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(0.79)</w:t>
            </w:r>
          </w:p>
        </w:tc>
        <w:tc>
          <w:tcPr>
            <w:tcW w:w="80" w:type="dxa"/>
            <w:vAlign w:val="bottom"/>
          </w:tcPr>
          <w:p>
            <w:pPr>
              <w:spacing w:after="0"/>
              <w:rPr>
                <w:sz w:val="10"/>
                <w:szCs w:val="10"/>
                <w:color w:val="auto"/>
              </w:rPr>
            </w:pPr>
          </w:p>
        </w:tc>
        <w:tc>
          <w:tcPr>
            <w:tcW w:w="400" w:type="dxa"/>
            <w:vAlign w:val="bottom"/>
            <w:tcBorders>
              <w:bottom w:val="single" w:sz="8" w:color="auto"/>
            </w:tcBorders>
          </w:tcPr>
          <w:p>
            <w:pPr>
              <w:jc w:val="right"/>
              <w:ind w:right="259"/>
              <w:spacing w:after="0" w:line="124" w:lineRule="exact"/>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(3.82)</w:t>
            </w:r>
          </w:p>
        </w:tc>
        <w:tc>
          <w:tcPr>
            <w:tcW w:w="100" w:type="dxa"/>
            <w:vAlign w:val="bottom"/>
          </w:tcPr>
          <w:p>
            <w:pPr>
              <w:spacing w:after="0"/>
              <w:rPr>
                <w:sz w:val="10"/>
                <w:szCs w:val="10"/>
                <w:color w:val="auto"/>
              </w:rPr>
            </w:pPr>
          </w:p>
        </w:tc>
        <w:tc>
          <w:tcPr>
            <w:tcW w:w="580" w:type="dxa"/>
            <w:vAlign w:val="bottom"/>
            <w:tcBorders>
              <w:bottom w:val="single" w:sz="8" w:color="auto"/>
            </w:tcBorders>
          </w:tcPr>
          <w:p>
            <w:pPr>
              <w:jc w:val="right"/>
              <w:ind w:right="46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(2.18)</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400" w:type="dxa"/>
            <w:vAlign w:val="bottom"/>
            <w:shd w:val="clear" w:color="auto" w:fill="CCEEFF"/>
          </w:tcPr>
          <w:p>
            <w:pPr>
              <w:ind w:left="500"/>
              <w:spacing w:after="0" w:line="86" w:lineRule="exact"/>
              <w:rPr>
                <w:sz w:val="20"/>
                <w:szCs w:val="20"/>
                <w:color w:val="auto"/>
              </w:rPr>
            </w:pPr>
            <w:r>
              <w:rPr>
                <w:rFonts w:ascii="Arial" w:cs="Arial" w:eastAsia="Arial" w:hAnsi="Arial"/>
                <w:sz w:val="9"/>
                <w:szCs w:val="9"/>
                <w:color w:val="auto"/>
              </w:rPr>
              <w:t>Weighted-average shares used in computing net loss per share attributable to</w:t>
            </w:r>
          </w:p>
        </w:tc>
        <w:tc>
          <w:tcPr>
            <w:tcW w:w="98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177,231,285</w:t>
            </w: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147,501,075</w:t>
            </w: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172,605,371</w:t>
            </w: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142,832,021</w:t>
            </w:r>
          </w:p>
        </w:tc>
        <w:tc>
          <w:tcPr>
            <w:tcW w:w="0" w:type="dxa"/>
            <w:vAlign w:val="bottom"/>
          </w:tcPr>
          <w:p>
            <w:pPr>
              <w:spacing w:after="0"/>
              <w:rPr>
                <w:sz w:val="1"/>
                <w:szCs w:val="1"/>
                <w:color w:val="auto"/>
              </w:rPr>
            </w:pPr>
          </w:p>
        </w:tc>
      </w:tr>
      <w:tr>
        <w:trPr>
          <w:trHeight w:val="159"/>
        </w:trPr>
        <w:tc>
          <w:tcPr>
            <w:tcW w:w="4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common stockholders, basic and diluted</w:t>
            </w:r>
          </w:p>
        </w:tc>
        <w:tc>
          <w:tcPr>
            <w:tcW w:w="9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708"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TWILIO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Comprehensive Loss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00" w:type="dxa"/>
            <w:vAlign w:val="bottom"/>
            <w:gridSpan w:val="3"/>
          </w:tcPr>
          <w:p>
            <w:pPr>
              <w:jc w:val="right"/>
              <w:ind w:right="49"/>
              <w:spacing w:after="0"/>
              <w:rPr>
                <w:sz w:val="20"/>
                <w:szCs w:val="20"/>
                <w:color w:val="auto"/>
              </w:rPr>
            </w:pPr>
            <w:r>
              <w:rPr>
                <w:rFonts w:ascii="Arial" w:cs="Arial" w:eastAsia="Arial" w:hAnsi="Arial"/>
                <w:sz w:val="12"/>
                <w:szCs w:val="12"/>
                <w:b w:val="1"/>
                <w:bCs w:val="1"/>
                <w:color w:val="auto"/>
                <w:w w:val="99"/>
              </w:rPr>
              <w:t>Three Months Ended</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20" w:type="dxa"/>
            <w:vAlign w:val="bottom"/>
            <w:gridSpan w:val="3"/>
          </w:tcPr>
          <w:p>
            <w:pPr>
              <w:jc w:val="right"/>
              <w:ind w:right="49"/>
              <w:spacing w:after="0"/>
              <w:rPr>
                <w:sz w:val="20"/>
                <w:szCs w:val="20"/>
                <w:color w:val="auto"/>
              </w:rPr>
            </w:pPr>
            <w:r>
              <w:rPr>
                <w:rFonts w:ascii="Arial" w:cs="Arial" w:eastAsia="Arial" w:hAnsi="Arial"/>
                <w:sz w:val="12"/>
                <w:szCs w:val="12"/>
                <w:b w:val="1"/>
                <w:bCs w:val="1"/>
                <w:color w:val="auto"/>
              </w:rPr>
              <w:t>Nine Months Ended</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29"/>
              <w:spacing w:after="0"/>
              <w:rPr>
                <w:sz w:val="20"/>
                <w:szCs w:val="20"/>
                <w:color w:val="auto"/>
              </w:rPr>
            </w:pPr>
            <w:r>
              <w:rPr>
                <w:rFonts w:ascii="Arial" w:cs="Arial" w:eastAsia="Arial" w:hAnsi="Arial"/>
                <w:sz w:val="12"/>
                <w:szCs w:val="12"/>
                <w:b w:val="1"/>
                <w:bCs w:val="1"/>
                <w:color w:val="auto"/>
              </w:rPr>
              <w:t>September 30,</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2"/>
                <w:szCs w:val="12"/>
                <w:b w:val="1"/>
                <w:bCs w:val="1"/>
                <w:color w:val="auto"/>
              </w:rPr>
              <w:t>September 30,</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2021</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40" w:type="dxa"/>
            <w:vAlign w:val="bottom"/>
            <w:gridSpan w:val="3"/>
          </w:tcPr>
          <w:p>
            <w:pPr>
              <w:ind w:left="740"/>
              <w:spacing w:after="0"/>
              <w:rPr>
                <w:sz w:val="20"/>
                <w:szCs w:val="20"/>
                <w:color w:val="auto"/>
              </w:rPr>
            </w:pPr>
            <w:r>
              <w:rPr>
                <w:rFonts w:ascii="Arial" w:cs="Arial" w:eastAsia="Arial" w:hAnsi="Arial"/>
                <w:sz w:val="12"/>
                <w:szCs w:val="12"/>
                <w:color w:val="auto"/>
              </w:rPr>
              <w:t>(In thousands)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1040" w:type="dxa"/>
            <w:vAlign w:val="bottom"/>
            <w:shd w:val="clear" w:color="auto" w:fill="CCEEFF"/>
          </w:tcPr>
          <w:p>
            <w:pPr>
              <w:jc w:val="right"/>
              <w:ind w:right="89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(224,109)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(116,914)</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(658,504)</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6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(311,628)</w:t>
            </w:r>
          </w:p>
        </w:tc>
        <w:tc>
          <w:tcPr>
            <w:tcW w:w="0" w:type="dxa"/>
            <w:vAlign w:val="bottom"/>
          </w:tcPr>
          <w:p>
            <w:pPr>
              <w:spacing w:after="0"/>
              <w:rPr>
                <w:sz w:val="1"/>
                <w:szCs w:val="1"/>
                <w:color w:val="auto"/>
              </w:rPr>
            </w:pPr>
          </w:p>
        </w:tc>
      </w:tr>
      <w:tr>
        <w:trPr>
          <w:trHeight w:val="161"/>
        </w:trPr>
        <w:tc>
          <w:tcPr>
            <w:tcW w:w="4420" w:type="dxa"/>
            <w:vAlign w:val="bottom"/>
          </w:tcPr>
          <w:p>
            <w:pPr>
              <w:ind w:left="20"/>
              <w:spacing w:after="0"/>
              <w:rPr>
                <w:sz w:val="20"/>
                <w:szCs w:val="20"/>
                <w:color w:val="auto"/>
              </w:rPr>
            </w:pPr>
            <w:r>
              <w:rPr>
                <w:rFonts w:ascii="Arial" w:cs="Arial" w:eastAsia="Arial" w:hAnsi="Arial"/>
                <w:sz w:val="12"/>
                <w:szCs w:val="12"/>
                <w:color w:val="auto"/>
              </w:rPr>
              <w:t>Other comprehensive (loss) income:</w:t>
            </w: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Unrealized (loss) gain on marketable securities</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(982)</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(3,021)</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(6,137)</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5,499</w:t>
            </w:r>
          </w:p>
        </w:tc>
        <w:tc>
          <w:tcPr>
            <w:tcW w:w="0" w:type="dxa"/>
            <w:vAlign w:val="bottom"/>
          </w:tcPr>
          <w:p>
            <w:pPr>
              <w:spacing w:after="0"/>
              <w:rPr>
                <w:sz w:val="1"/>
                <w:szCs w:val="1"/>
                <w:color w:val="auto"/>
              </w:rPr>
            </w:pPr>
          </w:p>
        </w:tc>
      </w:tr>
      <w:tr>
        <w:trPr>
          <w:trHeight w:val="161"/>
        </w:trPr>
        <w:tc>
          <w:tcPr>
            <w:tcW w:w="4420" w:type="dxa"/>
            <w:vAlign w:val="bottom"/>
          </w:tcPr>
          <w:p>
            <w:pPr>
              <w:ind w:left="260"/>
              <w:spacing w:after="0"/>
              <w:rPr>
                <w:sz w:val="20"/>
                <w:szCs w:val="20"/>
                <w:color w:val="auto"/>
              </w:rPr>
            </w:pPr>
            <w:r>
              <w:rPr>
                <w:rFonts w:ascii="Arial" w:cs="Arial" w:eastAsia="Arial" w:hAnsi="Arial"/>
                <w:sz w:val="12"/>
                <w:szCs w:val="12"/>
                <w:color w:val="auto"/>
              </w:rPr>
              <w:t>Foreign currency translation</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(245)</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420" w:type="dxa"/>
            <w:vAlign w:val="bottom"/>
            <w:shd w:val="clear" w:color="auto" w:fill="CCEEFF"/>
          </w:tcPr>
          <w:p>
            <w:pPr>
              <w:ind w:left="260"/>
              <w:spacing w:after="0" w:line="128" w:lineRule="exact"/>
              <w:rPr>
                <w:sz w:val="20"/>
                <w:szCs w:val="20"/>
                <w:color w:val="auto"/>
              </w:rPr>
            </w:pPr>
            <w:r>
              <w:rPr>
                <w:rFonts w:ascii="Arial" w:cs="Arial" w:eastAsia="Arial" w:hAnsi="Arial"/>
                <w:sz w:val="12"/>
                <w:szCs w:val="12"/>
                <w:color w:val="auto"/>
              </w:rPr>
              <w:t>Net change in market value of effective foreign currency forward exchange</w:t>
            </w:r>
          </w:p>
        </w:tc>
        <w:tc>
          <w:tcPr>
            <w:tcW w:w="10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(161)</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ind w:left="86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(3,069)</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4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contracts</w:t>
            </w:r>
          </w:p>
        </w:tc>
        <w:tc>
          <w:tcPr>
            <w:tcW w:w="10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20" w:type="dxa"/>
            <w:vAlign w:val="bottom"/>
            <w:tcBorders>
              <w:bottom w:val="single" w:sz="8" w:color="CCEEFF"/>
            </w:tcBorders>
          </w:tcPr>
          <w:p>
            <w:pPr>
              <w:ind w:left="420"/>
              <w:spacing w:after="0"/>
              <w:rPr>
                <w:sz w:val="20"/>
                <w:szCs w:val="20"/>
                <w:color w:val="auto"/>
              </w:rPr>
            </w:pPr>
            <w:r>
              <w:rPr>
                <w:rFonts w:ascii="Arial" w:cs="Arial" w:eastAsia="Arial" w:hAnsi="Arial"/>
                <w:sz w:val="12"/>
                <w:szCs w:val="12"/>
                <w:color w:val="auto"/>
              </w:rPr>
              <w:t>Total other comprehensive (loss) income</w:t>
            </w:r>
          </w:p>
        </w:tc>
        <w:tc>
          <w:tcPr>
            <w:tcW w:w="10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(1,112)</w:t>
            </w:r>
          </w:p>
        </w:tc>
        <w:tc>
          <w:tcPr>
            <w:tcW w:w="10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(3,021)</w:t>
            </w:r>
          </w:p>
        </w:tc>
        <w:tc>
          <w:tcPr>
            <w:tcW w:w="8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(9,451)</w:t>
            </w:r>
          </w:p>
        </w:tc>
        <w:tc>
          <w:tcPr>
            <w:tcW w:w="10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5,499</w:t>
            </w:r>
          </w:p>
        </w:tc>
        <w:tc>
          <w:tcPr>
            <w:tcW w:w="0" w:type="dxa"/>
            <w:vAlign w:val="bottom"/>
          </w:tcPr>
          <w:p>
            <w:pPr>
              <w:spacing w:after="0"/>
              <w:rPr>
                <w:sz w:val="1"/>
                <w:szCs w:val="1"/>
                <w:color w:val="auto"/>
              </w:rPr>
            </w:pPr>
          </w:p>
        </w:tc>
      </w:tr>
      <w:tr>
        <w:trPr>
          <w:trHeight w:val="181"/>
        </w:trPr>
        <w:tc>
          <w:tcPr>
            <w:tcW w:w="4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2"/>
                <w:szCs w:val="12"/>
                <w:color w:val="auto"/>
              </w:rPr>
              <w:t>Comprehensive loss attributable to common stockholders</w:t>
            </w:r>
          </w:p>
        </w:tc>
        <w:tc>
          <w:tcPr>
            <w:tcW w:w="104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(225,221)</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8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(119,935)</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(667,955)</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6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(306,129)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708"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2"/>
          <w:szCs w:val="12"/>
          <w:b w:val="1"/>
          <w:bCs w:val="1"/>
          <w:color w:val="auto"/>
        </w:rPr>
        <w:t>TWILIO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Stockholders</w:t>
      </w:r>
      <w:r>
        <w:rPr>
          <w:rFonts w:ascii="Arial" w:cs="Arial" w:eastAsia="Arial" w:hAnsi="Arial"/>
          <w:sz w:val="16"/>
          <w:szCs w:val="16"/>
          <w:color w:val="auto"/>
        </w:rPr>
        <w:t>’</w:t>
      </w:r>
      <w:r>
        <w:rPr>
          <w:rFonts w:ascii="Arial" w:cs="Arial" w:eastAsia="Arial" w:hAnsi="Arial"/>
          <w:sz w:val="14"/>
          <w:szCs w:val="14"/>
          <w:b w:val="1"/>
          <w:bCs w:val="1"/>
          <w:color w:val="auto"/>
        </w:rPr>
        <w:t xml:space="preserve"> Equity</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40" w:type="dxa"/>
            <w:vAlign w:val="bottom"/>
          </w:tcPr>
          <w:p>
            <w:pPr>
              <w:spacing w:after="0"/>
              <w:rPr>
                <w:sz w:val="10"/>
                <w:szCs w:val="10"/>
                <w:color w:val="auto"/>
              </w:rPr>
            </w:pPr>
          </w:p>
        </w:tc>
        <w:tc>
          <w:tcPr>
            <w:tcW w:w="166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w w:val="89"/>
              </w:rPr>
              <w:t>Common Stock</w:t>
            </w:r>
          </w:p>
        </w:tc>
        <w:tc>
          <w:tcPr>
            <w:tcW w:w="1600" w:type="dxa"/>
            <w:vAlign w:val="bottom"/>
            <w:gridSpan w:val="5"/>
          </w:tcPr>
          <w:p>
            <w:pPr>
              <w:ind w:left="42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Accumulated Other</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40" w:type="dxa"/>
            <w:vAlign w:val="bottom"/>
          </w:tcPr>
          <w:p>
            <w:pPr>
              <w:spacing w:after="0"/>
              <w:rPr>
                <w:sz w:val="5"/>
                <w:szCs w:val="5"/>
                <w:color w:val="auto"/>
              </w:rPr>
            </w:pPr>
          </w:p>
        </w:tc>
        <w:tc>
          <w:tcPr>
            <w:tcW w:w="1000" w:type="dxa"/>
            <w:vAlign w:val="bottom"/>
            <w:gridSpan w:val="2"/>
            <w:vMerge w:val="restart"/>
          </w:tcPr>
          <w:p>
            <w:pPr>
              <w:jc w:val="center"/>
              <w:ind w:left="526"/>
              <w:spacing w:after="0"/>
              <w:rPr>
                <w:sz w:val="20"/>
                <w:szCs w:val="20"/>
                <w:color w:val="auto"/>
              </w:rPr>
            </w:pPr>
            <w:r>
              <w:rPr>
                <w:rFonts w:ascii="Arial" w:cs="Arial" w:eastAsia="Arial" w:hAnsi="Arial"/>
                <w:sz w:val="11"/>
                <w:szCs w:val="11"/>
                <w:b w:val="1"/>
                <w:bCs w:val="1"/>
                <w:color w:val="auto"/>
                <w:w w:val="84"/>
              </w:rPr>
              <w:t>Class A</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Class B</w:t>
            </w: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40" w:type="dxa"/>
            <w:vAlign w:val="bottom"/>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gridSpan w:val="3"/>
          </w:tcPr>
          <w:p>
            <w:pPr>
              <w:jc w:val="center"/>
              <w:ind w:right="60"/>
              <w:spacing w:after="0" w:line="81" w:lineRule="exact"/>
              <w:rPr>
                <w:sz w:val="20"/>
                <w:szCs w:val="20"/>
                <w:color w:val="auto"/>
              </w:rPr>
            </w:pPr>
            <w:r>
              <w:rPr>
                <w:rFonts w:ascii="Arial" w:cs="Arial" w:eastAsia="Arial" w:hAnsi="Arial"/>
                <w:sz w:val="9"/>
                <w:szCs w:val="9"/>
                <w:b w:val="1"/>
                <w:bCs w:val="1"/>
                <w:color w:val="auto"/>
              </w:rPr>
              <w:t>Additional Paid-</w:t>
            </w:r>
          </w:p>
        </w:tc>
        <w:tc>
          <w:tcPr>
            <w:tcW w:w="140" w:type="dxa"/>
            <w:vAlign w:val="bottom"/>
          </w:tcPr>
          <w:p>
            <w:pPr>
              <w:spacing w:after="0"/>
              <w:rPr>
                <w:sz w:val="7"/>
                <w:szCs w:val="7"/>
                <w:color w:val="auto"/>
              </w:rPr>
            </w:pPr>
          </w:p>
        </w:tc>
        <w:tc>
          <w:tcPr>
            <w:tcW w:w="98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rPr>
              <w:t>Comprehensive</w:t>
            </w:r>
          </w:p>
        </w:tc>
        <w:tc>
          <w:tcPr>
            <w:tcW w:w="80" w:type="dxa"/>
            <w:vAlign w:val="bottom"/>
          </w:tcPr>
          <w:p>
            <w:pPr>
              <w:spacing w:after="0"/>
              <w:rPr>
                <w:sz w:val="7"/>
                <w:szCs w:val="7"/>
                <w:color w:val="auto"/>
              </w:rPr>
            </w:pPr>
          </w:p>
        </w:tc>
        <w:tc>
          <w:tcPr>
            <w:tcW w:w="82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Accumulated</w:t>
            </w:r>
          </w:p>
        </w:tc>
        <w:tc>
          <w:tcPr>
            <w:tcW w:w="1020" w:type="dxa"/>
            <w:vAlign w:val="bottom"/>
            <w:gridSpan w:val="2"/>
          </w:tcPr>
          <w:p>
            <w:pPr>
              <w:jc w:val="right"/>
              <w:ind w:right="6"/>
              <w:spacing w:after="0" w:line="81" w:lineRule="exact"/>
              <w:rPr>
                <w:sz w:val="20"/>
                <w:szCs w:val="20"/>
                <w:color w:val="auto"/>
              </w:rPr>
            </w:pPr>
            <w:r>
              <w:rPr>
                <w:rFonts w:ascii="Arial" w:cs="Arial" w:eastAsia="Arial" w:hAnsi="Arial"/>
                <w:sz w:val="9"/>
                <w:szCs w:val="9"/>
                <w:b w:val="1"/>
                <w:bCs w:val="1"/>
                <w:color w:val="auto"/>
              </w:rPr>
              <w:t>Total Stockholders’</w:t>
            </w:r>
          </w:p>
        </w:tc>
        <w:tc>
          <w:tcPr>
            <w:tcW w:w="0" w:type="dxa"/>
            <w:vAlign w:val="bottom"/>
          </w:tcPr>
          <w:p>
            <w:pPr>
              <w:spacing w:after="0"/>
              <w:rPr>
                <w:sz w:val="1"/>
                <w:szCs w:val="1"/>
                <w:color w:val="auto"/>
              </w:rPr>
            </w:pPr>
          </w:p>
        </w:tc>
      </w:tr>
      <w:tr>
        <w:trPr>
          <w:trHeight w:val="143"/>
        </w:trPr>
        <w:tc>
          <w:tcPr>
            <w:tcW w:w="4040" w:type="dxa"/>
            <w:vAlign w:val="bottom"/>
          </w:tcPr>
          <w:p>
            <w:pPr>
              <w:spacing w:after="0"/>
              <w:rPr>
                <w:sz w:val="12"/>
                <w:szCs w:val="12"/>
                <w:color w:val="auto"/>
              </w:rPr>
            </w:pPr>
          </w:p>
        </w:tc>
        <w:tc>
          <w:tcPr>
            <w:tcW w:w="1000" w:type="dxa"/>
            <w:vAlign w:val="bottom"/>
            <w:tcBorders>
              <w:bottom w:val="single" w:sz="8" w:color="auto"/>
            </w:tcBorders>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6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6"/>
              </w:rPr>
              <w:t>In Capital</w:t>
            </w: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88"/>
              </w:rPr>
              <w:t>Income (Loss)</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Deficit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8"/>
        </w:trPr>
        <w:tc>
          <w:tcPr>
            <w:tcW w:w="404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6"/>
          </w:tcPr>
          <w:p>
            <w:pPr>
              <w:ind w:left="280"/>
              <w:spacing w:after="0"/>
              <w:rPr>
                <w:sz w:val="20"/>
                <w:szCs w:val="20"/>
                <w:color w:val="auto"/>
              </w:rPr>
            </w:pPr>
            <w:r>
              <w:rPr>
                <w:rFonts w:ascii="Arial" w:cs="Arial" w:eastAsia="Arial" w:hAnsi="Arial"/>
                <w:sz w:val="10"/>
                <w:szCs w:val="10"/>
                <w:color w:val="auto"/>
                <w:w w:val="83"/>
              </w:rPr>
              <w:t>(In thousands, except share amounts)</w:t>
            </w: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December 31, 2020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153,496,222</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151</w:t>
            </w:r>
          </w:p>
        </w:tc>
        <w:tc>
          <w:tcPr>
            <w:tcW w:w="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10,551,302</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1"/>
                <w:szCs w:val="11"/>
                <w:b w:val="1"/>
                <w:bCs w:val="1"/>
                <w:color w:val="auto"/>
              </w:rPr>
              <w:t>13</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9,613,246</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9,046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(1,169,791)</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8,452,665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vMerge w:val="restart"/>
          </w:tcPr>
          <w:p>
            <w:pPr>
              <w:ind w:left="20"/>
              <w:spacing w:after="0"/>
              <w:rPr>
                <w:sz w:val="20"/>
                <w:szCs w:val="20"/>
                <w:color w:val="auto"/>
              </w:rPr>
            </w:pPr>
            <w:r>
              <w:rPr>
                <w:rFonts w:ascii="Arial" w:cs="Arial" w:eastAsia="Arial" w:hAnsi="Arial"/>
                <w:sz w:val="11"/>
                <w:szCs w:val="11"/>
                <w:color w:val="auto"/>
              </w:rPr>
              <w:t>Net loss</w:t>
            </w:r>
          </w:p>
        </w:tc>
        <w:tc>
          <w:tcPr>
            <w:tcW w:w="10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040" w:type="dxa"/>
            <w:vAlign w:val="bottom"/>
            <w:tcBorders>
              <w:top w:val="single" w:sz="8" w:color="CCEEFF"/>
            </w:tcBorders>
            <w:vMerge w:val="continue"/>
          </w:tcPr>
          <w:p>
            <w:pPr>
              <w:spacing w:after="0"/>
              <w:rPr>
                <w:sz w:val="8"/>
                <w:szCs w:val="8"/>
                <w:color w:val="auto"/>
              </w:rPr>
            </w:pPr>
          </w:p>
        </w:tc>
        <w:tc>
          <w:tcPr>
            <w:tcW w:w="9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ind w:right="6"/>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800" w:type="dxa"/>
            <w:vAlign w:val="bottom"/>
            <w:tcBorders>
              <w:top w:val="single" w:sz="8" w:color="auto"/>
            </w:tcBorders>
          </w:tcPr>
          <w:p>
            <w:pPr>
              <w:jc w:val="right"/>
              <w:ind w:right="6"/>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ind w:left="400"/>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ind w:right="6"/>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(206,542)</w:t>
            </w:r>
          </w:p>
        </w:tc>
        <w:tc>
          <w:tcPr>
            <w:tcW w:w="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(206,542)</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Exercises of vested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248,008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211,371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11,564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11,564</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1"/>
                <w:szCs w:val="11"/>
                <w:color w:val="auto"/>
              </w:rPr>
              <w:t>913,966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Value of equity awards withheld for tax liability</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(2,774)</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w w:val="96"/>
              </w:rPr>
              <w:t>Conversion of shares of Class B common stock into shares of Class A common stock</w:t>
            </w:r>
          </w:p>
        </w:tc>
        <w:tc>
          <w:tcPr>
            <w:tcW w:w="920" w:type="dxa"/>
            <w:vAlign w:val="bottom"/>
          </w:tcPr>
          <w:p>
            <w:pPr>
              <w:jc w:val="right"/>
              <w:spacing w:after="0"/>
              <w:rPr>
                <w:sz w:val="20"/>
                <w:szCs w:val="20"/>
                <w:color w:val="auto"/>
              </w:rPr>
            </w:pPr>
            <w:r>
              <w:rPr>
                <w:rFonts w:ascii="Arial" w:cs="Arial" w:eastAsia="Arial" w:hAnsi="Arial"/>
                <w:sz w:val="11"/>
                <w:szCs w:val="11"/>
                <w:color w:val="auto"/>
              </w:rPr>
              <w:t>419,371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(419,371)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4040" w:type="dxa"/>
            <w:vAlign w:val="bottom"/>
            <w:shd w:val="clear" w:color="auto" w:fill="CCEEFF"/>
          </w:tcPr>
          <w:p>
            <w:pPr>
              <w:ind w:left="20"/>
              <w:spacing w:after="0" w:line="105" w:lineRule="exact"/>
              <w:rPr>
                <w:sz w:val="20"/>
                <w:szCs w:val="20"/>
                <w:color w:val="auto"/>
              </w:rPr>
            </w:pPr>
            <w:r>
              <w:rPr>
                <w:rFonts w:ascii="Arial" w:cs="Arial" w:eastAsia="Arial" w:hAnsi="Arial"/>
                <w:sz w:val="11"/>
                <w:szCs w:val="11"/>
                <w:color w:val="auto"/>
              </w:rPr>
              <w:t>Equity component from partial settlement of 2023 convertible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1,158,381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80,047</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80,049</w:t>
            </w:r>
          </w:p>
        </w:tc>
        <w:tc>
          <w:tcPr>
            <w:tcW w:w="0" w:type="dxa"/>
            <w:vAlign w:val="bottom"/>
          </w:tcPr>
          <w:p>
            <w:pPr>
              <w:spacing w:after="0"/>
              <w:rPr>
                <w:sz w:val="1"/>
                <w:szCs w:val="1"/>
                <w:color w:val="auto"/>
              </w:rPr>
            </w:pPr>
          </w:p>
        </w:tc>
      </w:tr>
      <w:tr>
        <w:trPr>
          <w:trHeight w:val="143"/>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senior notes</w:t>
            </w: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Donated common stock</w:t>
            </w:r>
          </w:p>
        </w:tc>
        <w:tc>
          <w:tcPr>
            <w:tcW w:w="920" w:type="dxa"/>
            <w:vAlign w:val="bottom"/>
          </w:tcPr>
          <w:p>
            <w:pPr>
              <w:jc w:val="right"/>
              <w:spacing w:after="0"/>
              <w:rPr>
                <w:sz w:val="20"/>
                <w:szCs w:val="20"/>
                <w:color w:val="auto"/>
              </w:rPr>
            </w:pPr>
            <w:r>
              <w:rPr>
                <w:rFonts w:ascii="Arial" w:cs="Arial" w:eastAsia="Arial" w:hAnsi="Arial"/>
                <w:sz w:val="11"/>
                <w:szCs w:val="11"/>
                <w:color w:val="auto"/>
              </w:rPr>
              <w:t>22,102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9,405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9,405</w:t>
            </w:r>
          </w:p>
        </w:tc>
        <w:tc>
          <w:tcPr>
            <w:tcW w:w="0" w:type="dxa"/>
            <w:vAlign w:val="bottom"/>
          </w:tcPr>
          <w:p>
            <w:pPr>
              <w:spacing w:after="0"/>
              <w:rPr>
                <w:sz w:val="1"/>
                <w:szCs w:val="1"/>
                <w:color w:val="auto"/>
              </w:rPr>
            </w:pPr>
          </w:p>
        </w:tc>
      </w:tr>
      <w:tr>
        <w:trPr>
          <w:trHeight w:val="105"/>
        </w:trPr>
        <w:tc>
          <w:tcPr>
            <w:tcW w:w="4040" w:type="dxa"/>
            <w:vAlign w:val="bottom"/>
            <w:shd w:val="clear" w:color="auto" w:fill="CCEEFF"/>
          </w:tcPr>
          <w:p>
            <w:pPr>
              <w:ind w:left="20"/>
              <w:spacing w:after="0" w:line="105" w:lineRule="exact"/>
              <w:rPr>
                <w:sz w:val="20"/>
                <w:szCs w:val="20"/>
                <w:color w:val="auto"/>
              </w:rPr>
            </w:pPr>
            <w:r>
              <w:rPr>
                <w:rFonts w:ascii="Arial" w:cs="Arial" w:eastAsia="Arial" w:hAnsi="Arial"/>
                <w:sz w:val="11"/>
                <w:szCs w:val="11"/>
                <w:color w:val="auto"/>
              </w:rPr>
              <w:t>Issuance of common stock in connection with a follow-on public offering, net of</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4,312,500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1,766,396</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1,766,400</w:t>
            </w:r>
          </w:p>
        </w:tc>
        <w:tc>
          <w:tcPr>
            <w:tcW w:w="0" w:type="dxa"/>
            <w:vAlign w:val="bottom"/>
          </w:tcPr>
          <w:p>
            <w:pPr>
              <w:spacing w:after="0"/>
              <w:rPr>
                <w:sz w:val="1"/>
                <w:szCs w:val="1"/>
                <w:color w:val="auto"/>
              </w:rPr>
            </w:pPr>
          </w:p>
        </w:tc>
      </w:tr>
      <w:tr>
        <w:trPr>
          <w:trHeight w:val="143"/>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underwriter discounts</w:t>
            </w: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Costs related to the follow-on public offering</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(727)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(727)</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restricted stock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Unrealized loss on marketable securities</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(4,176)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(4,176)</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Foreign currency translation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141,542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141,542</w:t>
            </w:r>
          </w:p>
        </w:tc>
        <w:tc>
          <w:tcPr>
            <w:tcW w:w="0" w:type="dxa"/>
            <w:vAlign w:val="bottom"/>
          </w:tcPr>
          <w:p>
            <w:pPr>
              <w:spacing w:after="0"/>
              <w:rPr>
                <w:sz w:val="1"/>
                <w:szCs w:val="1"/>
                <w:color w:val="auto"/>
              </w:rPr>
            </w:pPr>
          </w:p>
        </w:tc>
      </w:tr>
      <w:tr>
        <w:trPr>
          <w:trHeight w:val="161"/>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March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160,588,258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158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10,343,302</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1"/>
                <w:szCs w:val="11"/>
                <w:b w:val="1"/>
                <w:bCs w:val="1"/>
                <w:color w:val="auto"/>
              </w:rPr>
              <w:t>13</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11,618,698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4,660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(1,376,333)</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10,247,196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vMerge w:val="restart"/>
          </w:tcPr>
          <w:p>
            <w:pPr>
              <w:ind w:left="20"/>
              <w:spacing w:after="0"/>
              <w:rPr>
                <w:sz w:val="20"/>
                <w:szCs w:val="20"/>
                <w:color w:val="auto"/>
              </w:rPr>
            </w:pPr>
            <w:r>
              <w:rPr>
                <w:rFonts w:ascii="Arial" w:cs="Arial" w:eastAsia="Arial" w:hAnsi="Arial"/>
                <w:sz w:val="11"/>
                <w:szCs w:val="11"/>
                <w:color w:val="auto"/>
              </w:rPr>
              <w:t>Net loss</w:t>
            </w:r>
          </w:p>
        </w:tc>
        <w:tc>
          <w:tcPr>
            <w:tcW w:w="10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040" w:type="dxa"/>
            <w:vAlign w:val="bottom"/>
            <w:tcBorders>
              <w:top w:val="single" w:sz="8" w:color="CCEEFF"/>
            </w:tcBorders>
            <w:vMerge w:val="continue"/>
          </w:tcPr>
          <w:p>
            <w:pPr>
              <w:spacing w:after="0"/>
              <w:rPr>
                <w:sz w:val="8"/>
                <w:szCs w:val="8"/>
                <w:color w:val="auto"/>
              </w:rPr>
            </w:pPr>
          </w:p>
        </w:tc>
        <w:tc>
          <w:tcPr>
            <w:tcW w:w="9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ind w:right="6"/>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800" w:type="dxa"/>
            <w:vAlign w:val="bottom"/>
            <w:tcBorders>
              <w:top w:val="single" w:sz="8" w:color="auto"/>
            </w:tcBorders>
          </w:tcPr>
          <w:p>
            <w:pPr>
              <w:jc w:val="right"/>
              <w:ind w:right="6"/>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ind w:left="400"/>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ind w:right="6"/>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(227,853)</w:t>
            </w:r>
          </w:p>
        </w:tc>
        <w:tc>
          <w:tcPr>
            <w:tcW w:w="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(227,853)</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Exercises of vested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294,430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63,164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20,351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20,351</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1"/>
                <w:szCs w:val="11"/>
                <w:color w:val="auto"/>
              </w:rPr>
              <w:t>839,472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Value of equity awards withheld for tax liability</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(1,882)</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w w:val="96"/>
              </w:rPr>
              <w:t>Conversion of shares of Class B common stock into shares of Class A common stock</w:t>
            </w:r>
          </w:p>
        </w:tc>
        <w:tc>
          <w:tcPr>
            <w:tcW w:w="920" w:type="dxa"/>
            <w:vAlign w:val="bottom"/>
          </w:tcPr>
          <w:p>
            <w:pPr>
              <w:jc w:val="right"/>
              <w:spacing w:after="0"/>
              <w:rPr>
                <w:sz w:val="20"/>
                <w:szCs w:val="20"/>
                <w:color w:val="auto"/>
              </w:rPr>
            </w:pPr>
            <w:r>
              <w:rPr>
                <w:rFonts w:ascii="Arial" w:cs="Arial" w:eastAsia="Arial" w:hAnsi="Arial"/>
                <w:sz w:val="11"/>
                <w:szCs w:val="11"/>
                <w:color w:val="auto"/>
              </w:rPr>
              <w:t>188,044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(188,044)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0"/>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4040" w:type="dxa"/>
            <w:vAlign w:val="bottom"/>
            <w:shd w:val="clear" w:color="auto" w:fill="CCEEFF"/>
          </w:tcPr>
          <w:p>
            <w:pPr>
              <w:ind w:left="20"/>
              <w:spacing w:after="0" w:line="105" w:lineRule="exact"/>
              <w:rPr>
                <w:sz w:val="20"/>
                <w:szCs w:val="20"/>
                <w:color w:val="auto"/>
              </w:rPr>
            </w:pPr>
            <w:r>
              <w:rPr>
                <w:rFonts w:ascii="Arial" w:cs="Arial" w:eastAsia="Arial" w:hAnsi="Arial"/>
                <w:sz w:val="11"/>
                <w:szCs w:val="11"/>
                <w:color w:val="auto"/>
              </w:rPr>
              <w:t>Equity component from partial settlement of 2023 convertible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3,688,584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255,590</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255,594</w:t>
            </w:r>
          </w:p>
        </w:tc>
        <w:tc>
          <w:tcPr>
            <w:tcW w:w="0" w:type="dxa"/>
            <w:vAlign w:val="bottom"/>
          </w:tcPr>
          <w:p>
            <w:pPr>
              <w:spacing w:after="0"/>
              <w:rPr>
                <w:sz w:val="1"/>
                <w:szCs w:val="1"/>
                <w:color w:val="auto"/>
              </w:rPr>
            </w:pPr>
          </w:p>
        </w:tc>
      </w:tr>
      <w:tr>
        <w:trPr>
          <w:trHeight w:val="143"/>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senior notes</w:t>
            </w: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Settlement of capped call, net of related costs</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225,233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225,233</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 issued under ESPP</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100,107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23,699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23,699</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Donated common stock</w:t>
            </w:r>
          </w:p>
        </w:tc>
        <w:tc>
          <w:tcPr>
            <w:tcW w:w="920" w:type="dxa"/>
            <w:vAlign w:val="bottom"/>
          </w:tcPr>
          <w:p>
            <w:pPr>
              <w:jc w:val="right"/>
              <w:spacing w:after="0"/>
              <w:rPr>
                <w:sz w:val="20"/>
                <w:szCs w:val="20"/>
                <w:color w:val="auto"/>
              </w:rPr>
            </w:pPr>
            <w:r>
              <w:rPr>
                <w:rFonts w:ascii="Arial" w:cs="Arial" w:eastAsia="Arial" w:hAnsi="Arial"/>
                <w:sz w:val="11"/>
                <w:szCs w:val="11"/>
                <w:color w:val="auto"/>
              </w:rPr>
              <w:t>22,102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6,789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6,789</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Costs related to the follow-on public offering</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Unrealized loss on marketable securities</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(979)</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Foreign currency translation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w w:val="97"/>
              </w:rPr>
              <w:t>Net change in market value of effective foreign currency forward exchange contracts</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(2,908)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(2,908)</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148,988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148,988</w:t>
            </w:r>
          </w:p>
        </w:tc>
        <w:tc>
          <w:tcPr>
            <w:tcW w:w="0" w:type="dxa"/>
            <w:vAlign w:val="bottom"/>
          </w:tcPr>
          <w:p>
            <w:pPr>
              <w:spacing w:after="0"/>
              <w:rPr>
                <w:sz w:val="1"/>
                <w:szCs w:val="1"/>
                <w:color w:val="auto"/>
              </w:rPr>
            </w:pPr>
          </w:p>
        </w:tc>
      </w:tr>
      <w:tr>
        <w:trPr>
          <w:trHeight w:val="113"/>
        </w:trPr>
        <w:tc>
          <w:tcPr>
            <w:tcW w:w="4040" w:type="dxa"/>
            <w:vAlign w:val="bottom"/>
          </w:tcPr>
          <w:p>
            <w:pPr>
              <w:ind w:left="20"/>
              <w:spacing w:after="0" w:line="113" w:lineRule="exact"/>
              <w:rPr>
                <w:sz w:val="20"/>
                <w:szCs w:val="20"/>
                <w:color w:val="auto"/>
              </w:rPr>
            </w:pPr>
            <w:r>
              <w:rPr>
                <w:rFonts w:ascii="Arial" w:cs="Arial" w:eastAsia="Arial" w:hAnsi="Arial"/>
                <w:sz w:val="11"/>
                <w:szCs w:val="11"/>
                <w:b w:val="1"/>
                <w:bCs w:val="1"/>
                <w:color w:val="auto"/>
              </w:rPr>
              <w:t>Balance as of June 30, 2021</w:t>
            </w:r>
          </w:p>
        </w:tc>
        <w:tc>
          <w:tcPr>
            <w:tcW w:w="92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165,715,499</w:t>
            </w:r>
          </w:p>
        </w:tc>
        <w:tc>
          <w:tcPr>
            <w:tcW w:w="8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ind w:right="6"/>
              <w:spacing w:after="0" w:line="113" w:lineRule="exact"/>
              <w:rPr>
                <w:sz w:val="20"/>
                <w:szCs w:val="20"/>
                <w:color w:val="auto"/>
              </w:rPr>
            </w:pPr>
            <w:r>
              <w:rPr>
                <w:rFonts w:ascii="Arial" w:cs="Arial" w:eastAsia="Arial" w:hAnsi="Arial"/>
                <w:sz w:val="11"/>
                <w:szCs w:val="11"/>
                <w:b w:val="1"/>
                <w:bCs w:val="1"/>
                <w:color w:val="auto"/>
              </w:rPr>
              <w:t>164</w:t>
            </w:r>
          </w:p>
        </w:tc>
        <w:tc>
          <w:tcPr>
            <w:tcW w:w="60" w:type="dxa"/>
            <w:vAlign w:val="bottom"/>
          </w:tcPr>
          <w:p>
            <w:pPr>
              <w:spacing w:after="0"/>
              <w:rPr>
                <w:sz w:val="9"/>
                <w:szCs w:val="9"/>
                <w:color w:val="auto"/>
              </w:rPr>
            </w:pPr>
          </w:p>
        </w:tc>
        <w:tc>
          <w:tcPr>
            <w:tcW w:w="800" w:type="dxa"/>
            <w:vAlign w:val="bottom"/>
            <w:tcBorders>
              <w:top w:val="single" w:sz="8" w:color="auto"/>
              <w:bottom w:val="single" w:sz="8" w:color="auto"/>
            </w:tcBorders>
          </w:tcPr>
          <w:p>
            <w:pPr>
              <w:jc w:val="right"/>
              <w:ind w:right="6"/>
              <w:spacing w:after="0" w:line="113" w:lineRule="exact"/>
              <w:rPr>
                <w:sz w:val="20"/>
                <w:szCs w:val="20"/>
                <w:color w:val="auto"/>
              </w:rPr>
            </w:pPr>
            <w:r>
              <w:rPr>
                <w:rFonts w:ascii="Arial" w:cs="Arial" w:eastAsia="Arial" w:hAnsi="Arial"/>
                <w:sz w:val="11"/>
                <w:szCs w:val="11"/>
                <w:b w:val="1"/>
                <w:bCs w:val="1"/>
                <w:color w:val="auto"/>
              </w:rPr>
              <w:t>10,218,422</w:t>
            </w:r>
          </w:p>
        </w:tc>
        <w:tc>
          <w:tcPr>
            <w:tcW w:w="6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ind w:left="400"/>
              <w:spacing w:after="0" w:line="113" w:lineRule="exact"/>
              <w:rPr>
                <w:sz w:val="20"/>
                <w:szCs w:val="20"/>
                <w:color w:val="auto"/>
              </w:rPr>
            </w:pPr>
            <w:r>
              <w:rPr>
                <w:rFonts w:ascii="Arial" w:cs="Arial" w:eastAsia="Arial" w:hAnsi="Arial"/>
                <w:sz w:val="11"/>
                <w:szCs w:val="11"/>
                <w:b w:val="1"/>
                <w:bCs w:val="1"/>
                <w:color w:val="auto"/>
              </w:rPr>
              <w:t>12</w:t>
            </w:r>
          </w:p>
        </w:tc>
        <w:tc>
          <w:tcPr>
            <w:tcW w:w="60" w:type="dxa"/>
            <w:vAlign w:val="bottom"/>
          </w:tcPr>
          <w:p>
            <w:pPr>
              <w:spacing w:after="0"/>
              <w:rPr>
                <w:sz w:val="9"/>
                <w:szCs w:val="9"/>
                <w:color w:val="auto"/>
              </w:rPr>
            </w:pPr>
          </w:p>
        </w:tc>
        <w:tc>
          <w:tcPr>
            <w:tcW w:w="140" w:type="dxa"/>
            <w:vAlign w:val="bottom"/>
            <w:tcBorders>
              <w:top w:val="single" w:sz="8" w:color="auto"/>
              <w:bottom w:val="single" w:sz="8" w:color="auto"/>
            </w:tcBorders>
          </w:tcPr>
          <w:p>
            <w:pPr>
              <w:jc w:val="right"/>
              <w:ind w:right="8"/>
              <w:spacing w:after="0" w:line="113" w:lineRule="exact"/>
              <w:rPr>
                <w:sz w:val="20"/>
                <w:szCs w:val="20"/>
                <w:color w:val="auto"/>
              </w:rPr>
            </w:pPr>
            <w:r>
              <w:rPr>
                <w:rFonts w:ascii="Arial" w:cs="Arial" w:eastAsia="Arial" w:hAnsi="Arial"/>
                <w:sz w:val="11"/>
                <w:szCs w:val="11"/>
                <w:b w:val="1"/>
                <w:bCs w:val="1"/>
                <w:color w:val="auto"/>
                <w:w w:val="97"/>
              </w:rPr>
              <w:t>$</w:t>
            </w:r>
          </w:p>
        </w:tc>
        <w:tc>
          <w:tcPr>
            <w:tcW w:w="740" w:type="dxa"/>
            <w:vAlign w:val="bottom"/>
            <w:tcBorders>
              <w:top w:val="single" w:sz="8" w:color="auto"/>
              <w:bottom w:val="single" w:sz="8" w:color="auto"/>
            </w:tcBorders>
          </w:tcPr>
          <w:p>
            <w:pPr>
              <w:jc w:val="right"/>
              <w:ind w:right="6"/>
              <w:spacing w:after="0" w:line="113" w:lineRule="exact"/>
              <w:rPr>
                <w:sz w:val="20"/>
                <w:szCs w:val="20"/>
                <w:color w:val="auto"/>
              </w:rPr>
            </w:pPr>
            <w:r>
              <w:rPr>
                <w:rFonts w:ascii="Arial" w:cs="Arial" w:eastAsia="Arial" w:hAnsi="Arial"/>
                <w:sz w:val="11"/>
                <w:szCs w:val="11"/>
                <w:b w:val="1"/>
                <w:bCs w:val="1"/>
                <w:color w:val="auto"/>
              </w:rPr>
              <w:t>12,297,415</w:t>
            </w:r>
          </w:p>
        </w:tc>
        <w:tc>
          <w:tcPr>
            <w:tcW w:w="60" w:type="dxa"/>
            <w:vAlign w:val="bottom"/>
          </w:tcPr>
          <w:p>
            <w:pPr>
              <w:spacing w:after="0"/>
              <w:rPr>
                <w:sz w:val="9"/>
                <w:szCs w:val="9"/>
                <w:color w:val="auto"/>
              </w:rPr>
            </w:pPr>
          </w:p>
        </w:tc>
        <w:tc>
          <w:tcPr>
            <w:tcW w:w="140" w:type="dxa"/>
            <w:vAlign w:val="bottom"/>
            <w:tcBorders>
              <w:top w:val="single" w:sz="8" w:color="auto"/>
              <w:bottom w:val="single" w:sz="8" w:color="auto"/>
            </w:tcBorders>
          </w:tcPr>
          <w:p>
            <w:pPr>
              <w:jc w:val="right"/>
              <w:ind w:right="6"/>
              <w:spacing w:after="0" w:line="113" w:lineRule="exact"/>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707</w:t>
            </w:r>
          </w:p>
        </w:tc>
        <w:tc>
          <w:tcPr>
            <w:tcW w:w="8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(1,604,186)</w:t>
            </w:r>
          </w:p>
        </w:tc>
        <w:tc>
          <w:tcPr>
            <w:tcW w:w="60" w:type="dxa"/>
            <w:vAlign w:val="bottom"/>
          </w:tcPr>
          <w:p>
            <w:pPr>
              <w:spacing w:after="0"/>
              <w:rPr>
                <w:sz w:val="9"/>
                <w:szCs w:val="9"/>
                <w:color w:val="auto"/>
              </w:rPr>
            </w:pPr>
          </w:p>
        </w:tc>
        <w:tc>
          <w:tcPr>
            <w:tcW w:w="220" w:type="dxa"/>
            <w:vAlign w:val="bottom"/>
            <w:tcBorders>
              <w:top w:val="single" w:sz="8" w:color="auto"/>
              <w:bottom w:val="single" w:sz="8" w:color="auto"/>
            </w:tcBorders>
          </w:tcPr>
          <w:p>
            <w:pPr>
              <w:jc w:val="right"/>
              <w:ind w:right="88"/>
              <w:spacing w:after="0" w:line="113" w:lineRule="exact"/>
              <w:rPr>
                <w:sz w:val="20"/>
                <w:szCs w:val="20"/>
                <w:color w:val="auto"/>
              </w:rPr>
            </w:pPr>
            <w:r>
              <w:rPr>
                <w:rFonts w:ascii="Arial" w:cs="Arial" w:eastAsia="Arial" w:hAnsi="Arial"/>
                <w:sz w:val="11"/>
                <w:szCs w:val="11"/>
                <w:b w:val="1"/>
                <w:bCs w:val="1"/>
                <w:color w:val="auto"/>
                <w:w w:val="97"/>
              </w:rPr>
              <w:t>$</w:t>
            </w:r>
          </w:p>
        </w:tc>
        <w:tc>
          <w:tcPr>
            <w:tcW w:w="8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10,694,112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2"/>
          <w:szCs w:val="12"/>
          <w:b w:val="1"/>
          <w:bCs w:val="1"/>
          <w:color w:val="auto"/>
        </w:rPr>
        <w:t>TWILIO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Stockholders</w:t>
      </w:r>
      <w:r>
        <w:rPr>
          <w:rFonts w:ascii="Arial" w:cs="Arial" w:eastAsia="Arial" w:hAnsi="Arial"/>
          <w:sz w:val="16"/>
          <w:szCs w:val="16"/>
          <w:color w:val="auto"/>
        </w:rPr>
        <w:t>’</w:t>
      </w:r>
      <w:r>
        <w:rPr>
          <w:rFonts w:ascii="Arial" w:cs="Arial" w:eastAsia="Arial" w:hAnsi="Arial"/>
          <w:sz w:val="14"/>
          <w:szCs w:val="14"/>
          <w:b w:val="1"/>
          <w:bCs w:val="1"/>
          <w:color w:val="auto"/>
        </w:rPr>
        <w:t xml:space="preserve"> Equity, continued</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40" w:type="dxa"/>
            <w:vAlign w:val="bottom"/>
          </w:tcPr>
          <w:p>
            <w:pPr>
              <w:spacing w:after="0"/>
              <w:rPr>
                <w:sz w:val="10"/>
                <w:szCs w:val="10"/>
                <w:color w:val="auto"/>
              </w:rPr>
            </w:pPr>
          </w:p>
        </w:tc>
        <w:tc>
          <w:tcPr>
            <w:tcW w:w="166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w w:val="89"/>
              </w:rPr>
              <w:t>Common Stock</w:t>
            </w:r>
          </w:p>
        </w:tc>
        <w:tc>
          <w:tcPr>
            <w:tcW w:w="1600" w:type="dxa"/>
            <w:vAlign w:val="bottom"/>
            <w:gridSpan w:val="5"/>
          </w:tcPr>
          <w:p>
            <w:pPr>
              <w:ind w:left="42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Accumulated Other</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40" w:type="dxa"/>
            <w:vAlign w:val="bottom"/>
          </w:tcPr>
          <w:p>
            <w:pPr>
              <w:spacing w:after="0"/>
              <w:rPr>
                <w:sz w:val="5"/>
                <w:szCs w:val="5"/>
                <w:color w:val="auto"/>
              </w:rPr>
            </w:pPr>
          </w:p>
        </w:tc>
        <w:tc>
          <w:tcPr>
            <w:tcW w:w="1000" w:type="dxa"/>
            <w:vAlign w:val="bottom"/>
            <w:gridSpan w:val="2"/>
            <w:vMerge w:val="restart"/>
          </w:tcPr>
          <w:p>
            <w:pPr>
              <w:jc w:val="center"/>
              <w:ind w:left="526"/>
              <w:spacing w:after="0"/>
              <w:rPr>
                <w:sz w:val="20"/>
                <w:szCs w:val="20"/>
                <w:color w:val="auto"/>
              </w:rPr>
            </w:pPr>
            <w:r>
              <w:rPr>
                <w:rFonts w:ascii="Arial" w:cs="Arial" w:eastAsia="Arial" w:hAnsi="Arial"/>
                <w:sz w:val="11"/>
                <w:szCs w:val="11"/>
                <w:b w:val="1"/>
                <w:bCs w:val="1"/>
                <w:color w:val="auto"/>
                <w:w w:val="84"/>
              </w:rPr>
              <w:t>Class A</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Class B</w:t>
            </w: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40" w:type="dxa"/>
            <w:vAlign w:val="bottom"/>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gridSpan w:val="3"/>
          </w:tcPr>
          <w:p>
            <w:pPr>
              <w:jc w:val="center"/>
              <w:ind w:right="60"/>
              <w:spacing w:after="0" w:line="81" w:lineRule="exact"/>
              <w:rPr>
                <w:sz w:val="20"/>
                <w:szCs w:val="20"/>
                <w:color w:val="auto"/>
              </w:rPr>
            </w:pPr>
            <w:r>
              <w:rPr>
                <w:rFonts w:ascii="Arial" w:cs="Arial" w:eastAsia="Arial" w:hAnsi="Arial"/>
                <w:sz w:val="9"/>
                <w:szCs w:val="9"/>
                <w:b w:val="1"/>
                <w:bCs w:val="1"/>
                <w:color w:val="auto"/>
              </w:rPr>
              <w:t>Additional Paid-</w:t>
            </w:r>
          </w:p>
        </w:tc>
        <w:tc>
          <w:tcPr>
            <w:tcW w:w="140" w:type="dxa"/>
            <w:vAlign w:val="bottom"/>
          </w:tcPr>
          <w:p>
            <w:pPr>
              <w:spacing w:after="0"/>
              <w:rPr>
                <w:sz w:val="7"/>
                <w:szCs w:val="7"/>
                <w:color w:val="auto"/>
              </w:rPr>
            </w:pPr>
          </w:p>
        </w:tc>
        <w:tc>
          <w:tcPr>
            <w:tcW w:w="98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rPr>
              <w:t>Comprehensive</w:t>
            </w:r>
          </w:p>
        </w:tc>
        <w:tc>
          <w:tcPr>
            <w:tcW w:w="80" w:type="dxa"/>
            <w:vAlign w:val="bottom"/>
          </w:tcPr>
          <w:p>
            <w:pPr>
              <w:spacing w:after="0"/>
              <w:rPr>
                <w:sz w:val="7"/>
                <w:szCs w:val="7"/>
                <w:color w:val="auto"/>
              </w:rPr>
            </w:pPr>
          </w:p>
        </w:tc>
        <w:tc>
          <w:tcPr>
            <w:tcW w:w="82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Accumulated</w:t>
            </w:r>
          </w:p>
        </w:tc>
        <w:tc>
          <w:tcPr>
            <w:tcW w:w="1020" w:type="dxa"/>
            <w:vAlign w:val="bottom"/>
            <w:gridSpan w:val="2"/>
          </w:tcPr>
          <w:p>
            <w:pPr>
              <w:jc w:val="right"/>
              <w:ind w:right="6"/>
              <w:spacing w:after="0" w:line="81" w:lineRule="exact"/>
              <w:rPr>
                <w:sz w:val="20"/>
                <w:szCs w:val="20"/>
                <w:color w:val="auto"/>
              </w:rPr>
            </w:pPr>
            <w:r>
              <w:rPr>
                <w:rFonts w:ascii="Arial" w:cs="Arial" w:eastAsia="Arial" w:hAnsi="Arial"/>
                <w:sz w:val="9"/>
                <w:szCs w:val="9"/>
                <w:b w:val="1"/>
                <w:bCs w:val="1"/>
                <w:color w:val="auto"/>
              </w:rPr>
              <w:t>Total Stockholders’</w:t>
            </w:r>
          </w:p>
        </w:tc>
        <w:tc>
          <w:tcPr>
            <w:tcW w:w="0" w:type="dxa"/>
            <w:vAlign w:val="bottom"/>
          </w:tcPr>
          <w:p>
            <w:pPr>
              <w:spacing w:after="0"/>
              <w:rPr>
                <w:sz w:val="1"/>
                <w:szCs w:val="1"/>
                <w:color w:val="auto"/>
              </w:rPr>
            </w:pPr>
          </w:p>
        </w:tc>
      </w:tr>
      <w:tr>
        <w:trPr>
          <w:trHeight w:val="143"/>
        </w:trPr>
        <w:tc>
          <w:tcPr>
            <w:tcW w:w="4040" w:type="dxa"/>
            <w:vAlign w:val="bottom"/>
          </w:tcPr>
          <w:p>
            <w:pPr>
              <w:spacing w:after="0"/>
              <w:rPr>
                <w:sz w:val="12"/>
                <w:szCs w:val="12"/>
                <w:color w:val="auto"/>
              </w:rPr>
            </w:pPr>
          </w:p>
        </w:tc>
        <w:tc>
          <w:tcPr>
            <w:tcW w:w="1000" w:type="dxa"/>
            <w:vAlign w:val="bottom"/>
            <w:tcBorders>
              <w:bottom w:val="single" w:sz="8" w:color="auto"/>
            </w:tcBorders>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6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6"/>
              </w:rPr>
              <w:t>In Capital</w:t>
            </w: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88"/>
              </w:rPr>
              <w:t>Income (Loss)</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Deficit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8"/>
        </w:trPr>
        <w:tc>
          <w:tcPr>
            <w:tcW w:w="404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color w:val="auto"/>
                <w:w w:val="98"/>
              </w:rPr>
              <w:t>(In thousands, except share amounts)</w:t>
            </w: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040" w:type="dxa"/>
            <w:vAlign w:val="bottom"/>
          </w:tcPr>
          <w:p>
            <w:pPr>
              <w:ind w:left="20"/>
              <w:spacing w:after="0"/>
              <w:rPr>
                <w:sz w:val="20"/>
                <w:szCs w:val="20"/>
                <w:color w:val="auto"/>
              </w:rPr>
            </w:pPr>
            <w:r>
              <w:rPr>
                <w:rFonts w:ascii="Arial" w:cs="Arial" w:eastAsia="Arial" w:hAnsi="Arial"/>
                <w:sz w:val="11"/>
                <w:szCs w:val="11"/>
                <w:b w:val="1"/>
                <w:bCs w:val="1"/>
                <w:color w:val="auto"/>
              </w:rPr>
              <w:t>Balance as of June 30, 2021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165,715,499</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164</w:t>
            </w:r>
          </w:p>
        </w:tc>
        <w:tc>
          <w:tcPr>
            <w:tcW w:w="60" w:type="dxa"/>
            <w:vAlign w:val="bottom"/>
          </w:tcPr>
          <w:p>
            <w:pPr>
              <w:spacing w:after="0"/>
              <w:rPr>
                <w:sz w:val="12"/>
                <w:szCs w:val="12"/>
                <w:color w:val="auto"/>
              </w:rPr>
            </w:pP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10,218,422</w:t>
            </w: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12,297,415</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707</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(1,604,186)</w:t>
            </w:r>
          </w:p>
        </w:tc>
        <w:tc>
          <w:tcPr>
            <w:tcW w:w="60" w:type="dxa"/>
            <w:vAlign w:val="bottom"/>
          </w:tcPr>
          <w:p>
            <w:pPr>
              <w:spacing w:after="0"/>
              <w:rPr>
                <w:sz w:val="12"/>
                <w:szCs w:val="12"/>
                <w:color w:val="auto"/>
              </w:rPr>
            </w:pPr>
          </w:p>
        </w:tc>
        <w:tc>
          <w:tcPr>
            <w:tcW w:w="220" w:type="dxa"/>
            <w:vAlign w:val="bottom"/>
            <w:tcBorders>
              <w:bottom w:val="single" w:sz="8" w:color="auto"/>
            </w:tcBorders>
          </w:tcPr>
          <w:p>
            <w:pPr>
              <w:jc w:val="right"/>
              <w:ind w:right="89"/>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10,694,112</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040" w:type="dxa"/>
            <w:vAlign w:val="bottom"/>
            <w:shd w:val="clear" w:color="auto" w:fill="CCEEFF"/>
          </w:tcPr>
          <w:p>
            <w:pPr>
              <w:ind w:left="20"/>
              <w:spacing w:after="0" w:line="117" w:lineRule="exact"/>
              <w:rPr>
                <w:sz w:val="20"/>
                <w:szCs w:val="20"/>
                <w:color w:val="auto"/>
              </w:rPr>
            </w:pPr>
            <w:r>
              <w:rPr>
                <w:rFonts w:ascii="Arial" w:cs="Arial" w:eastAsia="Arial" w:hAnsi="Arial"/>
                <w:sz w:val="11"/>
                <w:szCs w:val="11"/>
                <w:color w:val="auto"/>
              </w:rPr>
              <w:t>Net loss</w:t>
            </w:r>
          </w:p>
        </w:tc>
        <w:tc>
          <w:tcPr>
            <w:tcW w:w="9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(224,109)</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(224,109)</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Exercises of vested stock options</w:t>
            </w:r>
          </w:p>
        </w:tc>
        <w:tc>
          <w:tcPr>
            <w:tcW w:w="920" w:type="dxa"/>
            <w:vAlign w:val="bottom"/>
          </w:tcPr>
          <w:p>
            <w:pPr>
              <w:jc w:val="right"/>
              <w:spacing w:after="0"/>
              <w:rPr>
                <w:sz w:val="20"/>
                <w:szCs w:val="20"/>
                <w:color w:val="auto"/>
              </w:rPr>
            </w:pPr>
            <w:r>
              <w:rPr>
                <w:rFonts w:ascii="Arial" w:cs="Arial" w:eastAsia="Arial" w:hAnsi="Arial"/>
                <w:sz w:val="11"/>
                <w:szCs w:val="11"/>
                <w:color w:val="auto"/>
              </w:rPr>
              <w:t>222,066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83,484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15,993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15,993</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Vesting of restricted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834,148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Value of equity awards withheld for tax liability</w:t>
            </w:r>
          </w:p>
        </w:tc>
        <w:tc>
          <w:tcPr>
            <w:tcW w:w="920" w:type="dxa"/>
            <w:vAlign w:val="bottom"/>
          </w:tcPr>
          <w:p>
            <w:pPr>
              <w:jc w:val="right"/>
              <w:spacing w:after="0"/>
              <w:rPr>
                <w:sz w:val="20"/>
                <w:szCs w:val="20"/>
                <w:color w:val="auto"/>
              </w:rPr>
            </w:pPr>
            <w:r>
              <w:rPr>
                <w:rFonts w:ascii="Arial" w:cs="Arial" w:eastAsia="Arial" w:hAnsi="Arial"/>
                <w:sz w:val="11"/>
                <w:szCs w:val="11"/>
                <w:color w:val="auto"/>
              </w:rPr>
              <w:t>(5,530)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(1,896)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(1,896)</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w w:val="96"/>
              </w:rPr>
              <w:t>Conversion of shares of Class B common stock into shares of Class A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388,725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(388,725)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Donated common stock</w:t>
            </w:r>
          </w:p>
        </w:tc>
        <w:tc>
          <w:tcPr>
            <w:tcW w:w="920" w:type="dxa"/>
            <w:vAlign w:val="bottom"/>
          </w:tcPr>
          <w:p>
            <w:pPr>
              <w:jc w:val="right"/>
              <w:spacing w:after="0"/>
              <w:rPr>
                <w:sz w:val="20"/>
                <w:szCs w:val="20"/>
                <w:color w:val="auto"/>
              </w:rPr>
            </w:pPr>
            <w:r>
              <w:rPr>
                <w:rFonts w:ascii="Arial" w:cs="Arial" w:eastAsia="Arial" w:hAnsi="Arial"/>
                <w:sz w:val="11"/>
                <w:szCs w:val="11"/>
                <w:color w:val="auto"/>
              </w:rPr>
              <w:t>22,102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8,389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8,389</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adjustments related to the follow-on public offering</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Shares issued in acquisition</w:t>
            </w:r>
          </w:p>
        </w:tc>
        <w:tc>
          <w:tcPr>
            <w:tcW w:w="920" w:type="dxa"/>
            <w:vAlign w:val="bottom"/>
          </w:tcPr>
          <w:p>
            <w:pPr>
              <w:jc w:val="right"/>
              <w:spacing w:after="0"/>
              <w:rPr>
                <w:sz w:val="20"/>
                <w:szCs w:val="20"/>
                <w:color w:val="auto"/>
              </w:rPr>
            </w:pPr>
            <w:r>
              <w:rPr>
                <w:rFonts w:ascii="Arial" w:cs="Arial" w:eastAsia="Arial" w:hAnsi="Arial"/>
                <w:sz w:val="11"/>
                <w:szCs w:val="11"/>
                <w:color w:val="auto"/>
              </w:rPr>
              <w:t>1,116,390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419,036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419,037</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Value of equity awards assumed in acquisition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1,511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1,511</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Shares issued in acquisition subject to future vesting</w:t>
            </w:r>
          </w:p>
        </w:tc>
        <w:tc>
          <w:tcPr>
            <w:tcW w:w="920" w:type="dxa"/>
            <w:vAlign w:val="bottom"/>
          </w:tcPr>
          <w:p>
            <w:pPr>
              <w:jc w:val="right"/>
              <w:spacing w:after="0"/>
              <w:rPr>
                <w:sz w:val="20"/>
                <w:szCs w:val="20"/>
                <w:color w:val="auto"/>
              </w:rPr>
            </w:pPr>
            <w:r>
              <w:rPr>
                <w:rFonts w:ascii="Arial" w:cs="Arial" w:eastAsia="Arial" w:hAnsi="Arial"/>
                <w:sz w:val="11"/>
                <w:szCs w:val="11"/>
                <w:color w:val="auto"/>
              </w:rPr>
              <w:t>59,533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Unrealized loss on marketable securities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(982)</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Foreign currency translation</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Net change in market value of effective foreign currency forward exchange contracts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169,734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169,734</w:t>
            </w:r>
          </w:p>
        </w:tc>
        <w:tc>
          <w:tcPr>
            <w:tcW w:w="0" w:type="dxa"/>
            <w:vAlign w:val="bottom"/>
          </w:tcPr>
          <w:p>
            <w:pPr>
              <w:spacing w:after="0"/>
              <w:rPr>
                <w:sz w:val="1"/>
                <w:szCs w:val="1"/>
                <w:color w:val="auto"/>
              </w:rPr>
            </w:pPr>
          </w:p>
        </w:tc>
      </w:tr>
      <w:tr>
        <w:trPr>
          <w:trHeight w:val="161"/>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September 30,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168,352,933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166</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9,913,181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12</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12,910,271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(1,828,295)</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11,081,749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2"/>
          <w:szCs w:val="12"/>
          <w:b w:val="1"/>
          <w:bCs w:val="1"/>
          <w:color w:val="auto"/>
        </w:rPr>
        <w:t>TWILIO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Stockholders</w:t>
      </w:r>
      <w:r>
        <w:rPr>
          <w:rFonts w:ascii="Arial" w:cs="Arial" w:eastAsia="Arial" w:hAnsi="Arial"/>
          <w:sz w:val="16"/>
          <w:szCs w:val="16"/>
          <w:color w:val="auto"/>
        </w:rPr>
        <w:t>’</w:t>
      </w:r>
      <w:r>
        <w:rPr>
          <w:rFonts w:ascii="Arial" w:cs="Arial" w:eastAsia="Arial" w:hAnsi="Arial"/>
          <w:sz w:val="14"/>
          <w:szCs w:val="14"/>
          <w:b w:val="1"/>
          <w:bCs w:val="1"/>
          <w:color w:val="auto"/>
        </w:rPr>
        <w:t xml:space="preserve"> Equity, continued</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40" w:type="dxa"/>
            <w:vAlign w:val="bottom"/>
          </w:tcPr>
          <w:p>
            <w:pPr>
              <w:spacing w:after="0"/>
              <w:rPr>
                <w:sz w:val="10"/>
                <w:szCs w:val="10"/>
                <w:color w:val="auto"/>
              </w:rPr>
            </w:pPr>
          </w:p>
        </w:tc>
        <w:tc>
          <w:tcPr>
            <w:tcW w:w="166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w w:val="89"/>
              </w:rPr>
              <w:t>Common Stock</w:t>
            </w:r>
          </w:p>
        </w:tc>
        <w:tc>
          <w:tcPr>
            <w:tcW w:w="1600" w:type="dxa"/>
            <w:vAlign w:val="bottom"/>
            <w:gridSpan w:val="5"/>
          </w:tcPr>
          <w:p>
            <w:pPr>
              <w:ind w:left="42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Accumulated Other</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2"/>
              </w:rPr>
              <w:t>Total Stockholders</w:t>
            </w:r>
            <w:r>
              <w:rPr>
                <w:rFonts w:ascii="Arial" w:cs="Arial" w:eastAsia="Arial" w:hAnsi="Arial"/>
                <w:sz w:val="16"/>
                <w:szCs w:val="16"/>
                <w:b w:val="1"/>
                <w:bCs w:val="1"/>
                <w:color w:val="auto"/>
                <w:w w:val="92"/>
              </w:rPr>
              <w:t>’</w:t>
            </w:r>
          </w:p>
        </w:tc>
        <w:tc>
          <w:tcPr>
            <w:tcW w:w="0" w:type="dxa"/>
            <w:vAlign w:val="bottom"/>
          </w:tcPr>
          <w:p>
            <w:pPr>
              <w:spacing w:after="0"/>
              <w:rPr>
                <w:sz w:val="1"/>
                <w:szCs w:val="1"/>
                <w:color w:val="auto"/>
              </w:rPr>
            </w:pPr>
          </w:p>
        </w:tc>
      </w:tr>
      <w:tr>
        <w:trPr>
          <w:trHeight w:val="61"/>
        </w:trPr>
        <w:tc>
          <w:tcPr>
            <w:tcW w:w="4040" w:type="dxa"/>
            <w:vAlign w:val="bottom"/>
          </w:tcPr>
          <w:p>
            <w:pPr>
              <w:spacing w:after="0"/>
              <w:rPr>
                <w:sz w:val="5"/>
                <w:szCs w:val="5"/>
                <w:color w:val="auto"/>
              </w:rPr>
            </w:pPr>
          </w:p>
        </w:tc>
        <w:tc>
          <w:tcPr>
            <w:tcW w:w="1000" w:type="dxa"/>
            <w:vAlign w:val="bottom"/>
            <w:gridSpan w:val="2"/>
            <w:vMerge w:val="restart"/>
          </w:tcPr>
          <w:p>
            <w:pPr>
              <w:jc w:val="center"/>
              <w:ind w:left="526"/>
              <w:spacing w:after="0" w:line="123" w:lineRule="exact"/>
              <w:rPr>
                <w:sz w:val="20"/>
                <w:szCs w:val="20"/>
                <w:color w:val="auto"/>
              </w:rPr>
            </w:pPr>
            <w:r>
              <w:rPr>
                <w:rFonts w:ascii="Arial" w:cs="Arial" w:eastAsia="Arial" w:hAnsi="Arial"/>
                <w:sz w:val="11"/>
                <w:szCs w:val="11"/>
                <w:b w:val="1"/>
                <w:bCs w:val="1"/>
                <w:color w:val="auto"/>
                <w:w w:val="84"/>
              </w:rPr>
              <w:t>Class A</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gridSpan w:val="3"/>
            <w:vMerge w:val="restart"/>
          </w:tcPr>
          <w:p>
            <w:pPr>
              <w:jc w:val="right"/>
              <w:spacing w:after="0" w:line="123" w:lineRule="exact"/>
              <w:rPr>
                <w:sz w:val="20"/>
                <w:szCs w:val="20"/>
                <w:color w:val="auto"/>
              </w:rPr>
            </w:pPr>
            <w:r>
              <w:rPr>
                <w:rFonts w:ascii="Arial" w:cs="Arial" w:eastAsia="Arial" w:hAnsi="Arial"/>
                <w:sz w:val="11"/>
                <w:szCs w:val="11"/>
                <w:b w:val="1"/>
                <w:bCs w:val="1"/>
                <w:color w:val="auto"/>
              </w:rPr>
              <w:t>Class B</w:t>
            </w: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4040" w:type="dxa"/>
            <w:vAlign w:val="bottom"/>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gridSpan w:val="3"/>
          </w:tcPr>
          <w:p>
            <w:pPr>
              <w:jc w:val="center"/>
              <w:ind w:right="60"/>
              <w:spacing w:after="0" w:line="82" w:lineRule="exact"/>
              <w:rPr>
                <w:sz w:val="20"/>
                <w:szCs w:val="20"/>
                <w:color w:val="auto"/>
              </w:rPr>
            </w:pPr>
            <w:r>
              <w:rPr>
                <w:rFonts w:ascii="Arial" w:cs="Arial" w:eastAsia="Arial" w:hAnsi="Arial"/>
                <w:sz w:val="9"/>
                <w:szCs w:val="9"/>
                <w:b w:val="1"/>
                <w:bCs w:val="1"/>
                <w:color w:val="auto"/>
              </w:rPr>
              <w:t>Additional Paid-</w:t>
            </w:r>
          </w:p>
        </w:tc>
        <w:tc>
          <w:tcPr>
            <w:tcW w:w="120" w:type="dxa"/>
            <w:vAlign w:val="bottom"/>
          </w:tcPr>
          <w:p>
            <w:pPr>
              <w:spacing w:after="0"/>
              <w:rPr>
                <w:sz w:val="7"/>
                <w:szCs w:val="7"/>
                <w:color w:val="auto"/>
              </w:rPr>
            </w:pPr>
          </w:p>
        </w:tc>
        <w:tc>
          <w:tcPr>
            <w:tcW w:w="1000" w:type="dxa"/>
            <w:vAlign w:val="bottom"/>
            <w:gridSpan w:val="2"/>
          </w:tcPr>
          <w:p>
            <w:pPr>
              <w:jc w:val="center"/>
              <w:ind w:right="200"/>
              <w:spacing w:after="0" w:line="82" w:lineRule="exact"/>
              <w:rPr>
                <w:sz w:val="20"/>
                <w:szCs w:val="20"/>
                <w:color w:val="auto"/>
              </w:rPr>
            </w:pPr>
            <w:r>
              <w:rPr>
                <w:rFonts w:ascii="Arial" w:cs="Arial" w:eastAsia="Arial" w:hAnsi="Arial"/>
                <w:sz w:val="9"/>
                <w:szCs w:val="9"/>
                <w:b w:val="1"/>
                <w:bCs w:val="1"/>
                <w:color w:val="auto"/>
              </w:rPr>
              <w:t>Comprehensive</w:t>
            </w:r>
          </w:p>
        </w:tc>
        <w:tc>
          <w:tcPr>
            <w:tcW w:w="80" w:type="dxa"/>
            <w:vAlign w:val="bottom"/>
          </w:tcPr>
          <w:p>
            <w:pPr>
              <w:spacing w:after="0"/>
              <w:rPr>
                <w:sz w:val="7"/>
                <w:szCs w:val="7"/>
                <w:color w:val="auto"/>
              </w:rPr>
            </w:pPr>
          </w:p>
        </w:tc>
        <w:tc>
          <w:tcPr>
            <w:tcW w:w="760" w:type="dxa"/>
            <w:vAlign w:val="bottom"/>
          </w:tcPr>
          <w:p>
            <w:pPr>
              <w:jc w:val="right"/>
              <w:ind w:right="66"/>
              <w:spacing w:after="0" w:line="82" w:lineRule="exact"/>
              <w:rPr>
                <w:sz w:val="20"/>
                <w:szCs w:val="20"/>
                <w:color w:val="auto"/>
              </w:rPr>
            </w:pPr>
            <w:r>
              <w:rPr>
                <w:rFonts w:ascii="Arial" w:cs="Arial" w:eastAsia="Arial" w:hAnsi="Arial"/>
                <w:sz w:val="9"/>
                <w:szCs w:val="9"/>
                <w:b w:val="1"/>
                <w:bCs w:val="1"/>
                <w:color w:val="auto"/>
              </w:rPr>
              <w:t>Accumulated</w:t>
            </w:r>
          </w:p>
        </w:tc>
        <w:tc>
          <w:tcPr>
            <w:tcW w:w="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000" w:type="dxa"/>
            <w:vAlign w:val="bottom"/>
            <w:tcBorders>
              <w:bottom w:val="single" w:sz="8" w:color="auto"/>
            </w:tcBorders>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6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6"/>
              </w:rPr>
              <w:t>In Capital</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88"/>
              </w:rPr>
              <w:t>Income (Loss)</w:t>
            </w: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Deficit</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31"/>
        </w:trPr>
        <w:tc>
          <w:tcPr>
            <w:tcW w:w="404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gridSpan w:val="8"/>
          </w:tcPr>
          <w:p>
            <w:pPr>
              <w:ind w:left="180"/>
              <w:spacing w:after="0"/>
              <w:rPr>
                <w:sz w:val="20"/>
                <w:szCs w:val="20"/>
                <w:color w:val="auto"/>
              </w:rPr>
            </w:pPr>
            <w:r>
              <w:rPr>
                <w:rFonts w:ascii="Arial" w:cs="Arial" w:eastAsia="Arial" w:hAnsi="Arial"/>
                <w:sz w:val="11"/>
                <w:szCs w:val="11"/>
                <w:color w:val="auto"/>
              </w:rPr>
              <w:t>(In thousands, except share amounts)</w:t>
            </w: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December 31, 2019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126,882,172</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124</w:t>
            </w:r>
          </w:p>
        </w:tc>
        <w:tc>
          <w:tcPr>
            <w:tcW w:w="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11,530,627</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1"/>
                <w:szCs w:val="11"/>
                <w:b w:val="1"/>
                <w:bCs w:val="1"/>
                <w:color w:val="auto"/>
              </w:rPr>
              <w:t>14</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4,952,999</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5,086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(678,812)</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4,279,411</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20"/>
              <w:spacing w:after="0"/>
              <w:rPr>
                <w:sz w:val="20"/>
                <w:szCs w:val="20"/>
                <w:color w:val="auto"/>
              </w:rPr>
            </w:pPr>
            <w:r>
              <w:rPr>
                <w:rFonts w:ascii="Arial" w:cs="Arial" w:eastAsia="Arial" w:hAnsi="Arial"/>
                <w:sz w:val="11"/>
                <w:szCs w:val="11"/>
                <w:color w:val="auto"/>
              </w:rPr>
              <w:t>Net loss</w:t>
            </w: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040" w:type="dxa"/>
            <w:vAlign w:val="bottom"/>
            <w:vMerge w:val="continue"/>
          </w:tcPr>
          <w:p>
            <w:pPr>
              <w:spacing w:after="0"/>
              <w:rPr>
                <w:sz w:val="8"/>
                <w:szCs w:val="8"/>
                <w:color w:val="auto"/>
              </w:rPr>
            </w:pPr>
          </w:p>
        </w:tc>
        <w:tc>
          <w:tcPr>
            <w:tcW w:w="9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ind w:right="6"/>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800" w:type="dxa"/>
            <w:vAlign w:val="bottom"/>
            <w:tcBorders>
              <w:top w:val="single" w:sz="8" w:color="auto"/>
            </w:tcBorders>
          </w:tcPr>
          <w:p>
            <w:pPr>
              <w:jc w:val="right"/>
              <w:ind w:right="6"/>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ind w:left="400"/>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ind w:right="6"/>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(94,791)</w:t>
            </w:r>
          </w:p>
        </w:tc>
        <w:tc>
          <w:tcPr>
            <w:tcW w:w="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(94,791)</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Exercises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243,029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426,001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8,231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8,231</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1"/>
                <w:szCs w:val="11"/>
                <w:color w:val="auto"/>
              </w:rPr>
              <w:t>849,763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23,107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Value of equity awards withheld for tax liability</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(4,692)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(1,674)</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Conversion of shares of Class B common stock into shares of Class A</w:t>
            </w:r>
          </w:p>
        </w:tc>
        <w:tc>
          <w:tcPr>
            <w:tcW w:w="920" w:type="dxa"/>
            <w:vAlign w:val="bottom"/>
          </w:tcPr>
          <w:p>
            <w:pPr>
              <w:jc w:val="right"/>
              <w:spacing w:after="0"/>
              <w:rPr>
                <w:sz w:val="20"/>
                <w:szCs w:val="20"/>
                <w:color w:val="auto"/>
              </w:rPr>
            </w:pPr>
            <w:r>
              <w:rPr>
                <w:rFonts w:ascii="Arial" w:cs="Arial" w:eastAsia="Arial" w:hAnsi="Arial"/>
                <w:sz w:val="11"/>
                <w:szCs w:val="11"/>
                <w:color w:val="auto"/>
              </w:rPr>
              <w:t>618,103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(618,103)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0"/>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Donated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2,701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2,701</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Unrealized loss on marketable securities</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(9,375)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(9,375)</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72,021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72,021</w:t>
            </w:r>
          </w:p>
        </w:tc>
        <w:tc>
          <w:tcPr>
            <w:tcW w:w="0" w:type="dxa"/>
            <w:vAlign w:val="bottom"/>
          </w:tcPr>
          <w:p>
            <w:pPr>
              <w:spacing w:after="0"/>
              <w:rPr>
                <w:sz w:val="1"/>
                <w:szCs w:val="1"/>
                <w:color w:val="auto"/>
              </w:rPr>
            </w:pPr>
          </w:p>
        </w:tc>
      </w:tr>
      <w:tr>
        <w:trPr>
          <w:trHeight w:val="133"/>
        </w:trPr>
        <w:tc>
          <w:tcPr>
            <w:tcW w:w="4040" w:type="dxa"/>
            <w:vAlign w:val="bottom"/>
          </w:tcPr>
          <w:p>
            <w:pPr>
              <w:ind w:left="20"/>
              <w:spacing w:after="0"/>
              <w:rPr>
                <w:sz w:val="20"/>
                <w:szCs w:val="20"/>
                <w:color w:val="auto"/>
              </w:rPr>
            </w:pPr>
            <w:r>
              <w:rPr>
                <w:rFonts w:ascii="Arial" w:cs="Arial" w:eastAsia="Arial" w:hAnsi="Arial"/>
                <w:sz w:val="11"/>
                <w:szCs w:val="11"/>
                <w:b w:val="1"/>
                <w:bCs w:val="1"/>
                <w:color w:val="auto"/>
              </w:rPr>
              <w:t>Balance as of March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128,606,443</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126</w:t>
            </w:r>
          </w:p>
        </w:tc>
        <w:tc>
          <w:tcPr>
            <w:tcW w:w="6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11,356,940</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1"/>
                <w:szCs w:val="11"/>
                <w:b w:val="1"/>
                <w:bCs w:val="1"/>
                <w:color w:val="auto"/>
              </w:rPr>
              <w:t>13</w:t>
            </w: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5,034,278</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(4,289)</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(773,603)</w:t>
            </w:r>
          </w:p>
        </w:tc>
        <w:tc>
          <w:tcPr>
            <w:tcW w:w="6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4,256,525</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040" w:type="dxa"/>
            <w:vAlign w:val="bottom"/>
            <w:shd w:val="clear" w:color="auto" w:fill="CCEEFF"/>
          </w:tcPr>
          <w:p>
            <w:pPr>
              <w:ind w:left="20"/>
              <w:spacing w:after="0" w:line="117" w:lineRule="exact"/>
              <w:rPr>
                <w:sz w:val="20"/>
                <w:szCs w:val="20"/>
                <w:color w:val="auto"/>
              </w:rPr>
            </w:pPr>
            <w:r>
              <w:rPr>
                <w:rFonts w:ascii="Arial" w:cs="Arial" w:eastAsia="Arial" w:hAnsi="Arial"/>
                <w:sz w:val="11"/>
                <w:szCs w:val="11"/>
                <w:color w:val="auto"/>
              </w:rPr>
              <w:t>Net loss</w:t>
            </w:r>
          </w:p>
        </w:tc>
        <w:tc>
          <w:tcPr>
            <w:tcW w:w="9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(99,923)</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(99,923)</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Exercises of stock options</w:t>
            </w:r>
          </w:p>
        </w:tc>
        <w:tc>
          <w:tcPr>
            <w:tcW w:w="920" w:type="dxa"/>
            <w:vAlign w:val="bottom"/>
          </w:tcPr>
          <w:p>
            <w:pPr>
              <w:jc w:val="right"/>
              <w:spacing w:after="0"/>
              <w:rPr>
                <w:sz w:val="20"/>
                <w:szCs w:val="20"/>
                <w:color w:val="auto"/>
              </w:rPr>
            </w:pPr>
            <w:r>
              <w:rPr>
                <w:rFonts w:ascii="Arial" w:cs="Arial" w:eastAsia="Arial" w:hAnsi="Arial"/>
                <w:sz w:val="11"/>
                <w:szCs w:val="11"/>
                <w:color w:val="auto"/>
              </w:rPr>
              <w:t>1,590,891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459,010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45,230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45,232</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Vesting of restricted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807,270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4,212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Value of equity awards withheld for tax liability</w:t>
            </w:r>
          </w:p>
        </w:tc>
        <w:tc>
          <w:tcPr>
            <w:tcW w:w="920" w:type="dxa"/>
            <w:vAlign w:val="bottom"/>
          </w:tcPr>
          <w:p>
            <w:pPr>
              <w:jc w:val="right"/>
              <w:spacing w:after="0"/>
              <w:rPr>
                <w:sz w:val="20"/>
                <w:szCs w:val="20"/>
                <w:color w:val="auto"/>
              </w:rPr>
            </w:pPr>
            <w:r>
              <w:rPr>
                <w:rFonts w:ascii="Arial" w:cs="Arial" w:eastAsia="Arial" w:hAnsi="Arial"/>
                <w:sz w:val="11"/>
                <w:szCs w:val="11"/>
                <w:color w:val="auto"/>
              </w:rPr>
              <w:t>(6,018)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(1,144)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(1,144)</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Conversion of shares of Class B common stock into shares of Class A</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983,005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(983,005)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Shares issued under ESPP</w:t>
            </w:r>
          </w:p>
        </w:tc>
        <w:tc>
          <w:tcPr>
            <w:tcW w:w="920" w:type="dxa"/>
            <w:vAlign w:val="bottom"/>
          </w:tcPr>
          <w:p>
            <w:pPr>
              <w:jc w:val="right"/>
              <w:spacing w:after="0"/>
              <w:rPr>
                <w:sz w:val="20"/>
                <w:szCs w:val="20"/>
                <w:color w:val="auto"/>
              </w:rPr>
            </w:pPr>
            <w:r>
              <w:rPr>
                <w:rFonts w:ascii="Arial" w:cs="Arial" w:eastAsia="Arial" w:hAnsi="Arial"/>
                <w:sz w:val="11"/>
                <w:szCs w:val="11"/>
                <w:color w:val="auto"/>
              </w:rPr>
              <w:t>190,642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16,473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16,473</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Donated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3,972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3,972</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Unrealized gain on marketable securities</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17,895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17,895</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82,559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82,559</w:t>
            </w:r>
          </w:p>
        </w:tc>
        <w:tc>
          <w:tcPr>
            <w:tcW w:w="0" w:type="dxa"/>
            <w:vAlign w:val="bottom"/>
          </w:tcPr>
          <w:p>
            <w:pPr>
              <w:spacing w:after="0"/>
              <w:rPr>
                <w:sz w:val="1"/>
                <w:szCs w:val="1"/>
                <w:color w:val="auto"/>
              </w:rPr>
            </w:pPr>
          </w:p>
        </w:tc>
      </w:tr>
      <w:tr>
        <w:trPr>
          <w:trHeight w:val="133"/>
        </w:trPr>
        <w:tc>
          <w:tcPr>
            <w:tcW w:w="4040" w:type="dxa"/>
            <w:vAlign w:val="bottom"/>
          </w:tcPr>
          <w:p>
            <w:pPr>
              <w:ind w:left="20"/>
              <w:spacing w:after="0"/>
              <w:rPr>
                <w:sz w:val="20"/>
                <w:szCs w:val="20"/>
                <w:color w:val="auto"/>
              </w:rPr>
            </w:pPr>
            <w:r>
              <w:rPr>
                <w:rFonts w:ascii="Arial" w:cs="Arial" w:eastAsia="Arial" w:hAnsi="Arial"/>
                <w:sz w:val="11"/>
                <w:szCs w:val="11"/>
                <w:b w:val="1"/>
                <w:bCs w:val="1"/>
                <w:color w:val="auto"/>
              </w:rPr>
              <w:t>Balance as of June 30,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132,194,335</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130</w:t>
            </w:r>
          </w:p>
        </w:tc>
        <w:tc>
          <w:tcPr>
            <w:tcW w:w="6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10,837,157</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1"/>
                <w:szCs w:val="11"/>
                <w:b w:val="1"/>
                <w:bCs w:val="1"/>
                <w:color w:val="auto"/>
              </w:rPr>
              <w:t>12</w:t>
            </w: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5,181,368</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13,606</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(873,526)</w:t>
            </w:r>
          </w:p>
        </w:tc>
        <w:tc>
          <w:tcPr>
            <w:tcW w:w="6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4,321,590</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040" w:type="dxa"/>
            <w:vAlign w:val="bottom"/>
            <w:shd w:val="clear" w:color="auto" w:fill="CCEEFF"/>
          </w:tcPr>
          <w:p>
            <w:pPr>
              <w:ind w:left="20"/>
              <w:spacing w:after="0" w:line="117" w:lineRule="exact"/>
              <w:rPr>
                <w:sz w:val="20"/>
                <w:szCs w:val="20"/>
                <w:color w:val="auto"/>
              </w:rPr>
            </w:pPr>
            <w:r>
              <w:rPr>
                <w:rFonts w:ascii="Arial" w:cs="Arial" w:eastAsia="Arial" w:hAnsi="Arial"/>
                <w:sz w:val="11"/>
                <w:szCs w:val="11"/>
                <w:color w:val="auto"/>
              </w:rPr>
              <w:t>Net loss</w:t>
            </w:r>
          </w:p>
        </w:tc>
        <w:tc>
          <w:tcPr>
            <w:tcW w:w="9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(116,914)</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(116,914)</w:t>
            </w:r>
          </w:p>
        </w:tc>
        <w:tc>
          <w:tcPr>
            <w:tcW w:w="0" w:type="dxa"/>
            <w:vAlign w:val="bottom"/>
          </w:tcPr>
          <w:p>
            <w:pPr>
              <w:spacing w:after="0"/>
              <w:rPr>
                <w:sz w:val="1"/>
                <w:szCs w:val="1"/>
                <w:color w:val="auto"/>
              </w:rPr>
            </w:pPr>
          </w:p>
        </w:tc>
      </w:tr>
      <w:tr>
        <w:trPr>
          <w:trHeight w:val="102"/>
        </w:trPr>
        <w:tc>
          <w:tcPr>
            <w:tcW w:w="4040" w:type="dxa"/>
            <w:vAlign w:val="bottom"/>
          </w:tcPr>
          <w:p>
            <w:pPr>
              <w:ind w:left="20"/>
              <w:spacing w:after="0" w:line="102" w:lineRule="exact"/>
              <w:rPr>
                <w:sz w:val="20"/>
                <w:szCs w:val="20"/>
                <w:color w:val="auto"/>
              </w:rPr>
            </w:pPr>
            <w:r>
              <w:rPr>
                <w:rFonts w:ascii="Arial" w:cs="Arial" w:eastAsia="Arial" w:hAnsi="Arial"/>
                <w:sz w:val="11"/>
                <w:szCs w:val="11"/>
                <w:color w:val="auto"/>
              </w:rPr>
              <w:t>Issuance of common stock in connection with a public offering, net of underwriting</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5,819,838</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ind w:right="6"/>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8"/>
                <w:szCs w:val="8"/>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620" w:type="dxa"/>
            <w:vAlign w:val="bottom"/>
            <w:gridSpan w:val="2"/>
            <w:vMerge w:val="restart"/>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1,408,744</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1,408,750</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discounts</w:t>
            </w: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Costs related to the public offering</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(541)</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Exercises of stock options</w:t>
            </w:r>
          </w:p>
        </w:tc>
        <w:tc>
          <w:tcPr>
            <w:tcW w:w="920" w:type="dxa"/>
            <w:vAlign w:val="bottom"/>
          </w:tcPr>
          <w:p>
            <w:pPr>
              <w:jc w:val="right"/>
              <w:spacing w:after="0"/>
              <w:rPr>
                <w:sz w:val="20"/>
                <w:szCs w:val="20"/>
                <w:color w:val="auto"/>
              </w:rPr>
            </w:pPr>
            <w:r>
              <w:rPr>
                <w:rFonts w:ascii="Arial" w:cs="Arial" w:eastAsia="Arial" w:hAnsi="Arial"/>
                <w:sz w:val="11"/>
                <w:szCs w:val="11"/>
                <w:color w:val="auto"/>
              </w:rPr>
              <w:t>218,555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173,199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9,221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9,221</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Vesting of restricted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926,032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1,688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Value of equity awards withheld for tax liability</w:t>
            </w:r>
          </w:p>
        </w:tc>
        <w:tc>
          <w:tcPr>
            <w:tcW w:w="920" w:type="dxa"/>
            <w:vAlign w:val="bottom"/>
          </w:tcPr>
          <w:p>
            <w:pPr>
              <w:jc w:val="right"/>
              <w:spacing w:after="0"/>
              <w:rPr>
                <w:sz w:val="20"/>
                <w:szCs w:val="20"/>
                <w:color w:val="auto"/>
              </w:rPr>
            </w:pPr>
            <w:r>
              <w:rPr>
                <w:rFonts w:ascii="Arial" w:cs="Arial" w:eastAsia="Arial" w:hAnsi="Arial"/>
                <w:sz w:val="11"/>
                <w:szCs w:val="11"/>
                <w:color w:val="auto"/>
              </w:rPr>
              <w:t>(5,870)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(1,409)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(1,409)</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Conversion of shares of Class B common stock into shares of Class A</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282,780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(282,780)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Equity component from partial settlement of 2023 convertible senior notes</w:t>
            </w:r>
          </w:p>
        </w:tc>
        <w:tc>
          <w:tcPr>
            <w:tcW w:w="920" w:type="dxa"/>
            <w:vAlign w:val="bottom"/>
          </w:tcPr>
          <w:p>
            <w:pPr>
              <w:jc w:val="right"/>
              <w:spacing w:after="0"/>
              <w:rPr>
                <w:sz w:val="20"/>
                <w:szCs w:val="20"/>
                <w:color w:val="auto"/>
              </w:rPr>
            </w:pPr>
            <w:r>
              <w:rPr>
                <w:rFonts w:ascii="Arial" w:cs="Arial" w:eastAsia="Arial" w:hAnsi="Arial"/>
                <w:sz w:val="11"/>
                <w:szCs w:val="11"/>
                <w:color w:val="auto"/>
              </w:rPr>
              <w:t>715,819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46,154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46,155</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Donated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5,757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5,757</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Unrealized loss on marketable securities</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(3,021)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(3,021)</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92,679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92,679</w:t>
            </w:r>
          </w:p>
        </w:tc>
        <w:tc>
          <w:tcPr>
            <w:tcW w:w="0" w:type="dxa"/>
            <w:vAlign w:val="bottom"/>
          </w:tcPr>
          <w:p>
            <w:pPr>
              <w:spacing w:after="0"/>
              <w:rPr>
                <w:sz w:val="1"/>
                <w:szCs w:val="1"/>
                <w:color w:val="auto"/>
              </w:rPr>
            </w:pPr>
          </w:p>
        </w:tc>
      </w:tr>
      <w:tr>
        <w:trPr>
          <w:trHeight w:val="133"/>
        </w:trPr>
        <w:tc>
          <w:tcPr>
            <w:tcW w:w="4040" w:type="dxa"/>
            <w:vAlign w:val="bottom"/>
          </w:tcPr>
          <w:p>
            <w:pPr>
              <w:ind w:left="20"/>
              <w:spacing w:after="0"/>
              <w:rPr>
                <w:sz w:val="20"/>
                <w:szCs w:val="20"/>
                <w:color w:val="auto"/>
              </w:rPr>
            </w:pPr>
            <w:r>
              <w:rPr>
                <w:rFonts w:ascii="Arial" w:cs="Arial" w:eastAsia="Arial" w:hAnsi="Arial"/>
                <w:sz w:val="11"/>
                <w:szCs w:val="11"/>
                <w:b w:val="1"/>
                <w:bCs w:val="1"/>
                <w:color w:val="auto"/>
              </w:rPr>
              <w:t>Balance as of September 30, 2020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140,173,591</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138</w:t>
            </w:r>
          </w:p>
        </w:tc>
        <w:tc>
          <w:tcPr>
            <w:tcW w:w="60" w:type="dxa"/>
            <w:vAlign w:val="bottom"/>
          </w:tcPr>
          <w:p>
            <w:pPr>
              <w:spacing w:after="0"/>
              <w:rPr>
                <w:sz w:val="11"/>
                <w:szCs w:val="11"/>
                <w:color w:val="auto"/>
              </w:rPr>
            </w:pPr>
          </w:p>
        </w:tc>
        <w:tc>
          <w:tcPr>
            <w:tcW w:w="8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10,729,264</w:t>
            </w:r>
          </w:p>
        </w:tc>
        <w:tc>
          <w:tcPr>
            <w:tcW w:w="6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tcBorders>
          </w:tcPr>
          <w:p>
            <w:pPr>
              <w:ind w:left="400"/>
              <w:spacing w:after="0"/>
              <w:rPr>
                <w:sz w:val="20"/>
                <w:szCs w:val="20"/>
                <w:color w:val="auto"/>
              </w:rPr>
            </w:pPr>
            <w:r>
              <w:rPr>
                <w:rFonts w:ascii="Arial" w:cs="Arial" w:eastAsia="Arial" w:hAnsi="Arial"/>
                <w:sz w:val="11"/>
                <w:szCs w:val="11"/>
                <w:b w:val="1"/>
                <w:bCs w:val="1"/>
                <w:color w:val="auto"/>
              </w:rPr>
              <w:t>12</w:t>
            </w:r>
          </w:p>
        </w:tc>
        <w:tc>
          <w:tcPr>
            <w:tcW w:w="60" w:type="dxa"/>
            <w:vAlign w:val="bottom"/>
          </w:tcPr>
          <w:p>
            <w:pPr>
              <w:spacing w:after="0"/>
              <w:rPr>
                <w:sz w:val="11"/>
                <w:szCs w:val="11"/>
                <w:color w:val="auto"/>
              </w:rPr>
            </w:pPr>
          </w:p>
        </w:tc>
        <w:tc>
          <w:tcPr>
            <w:tcW w:w="140" w:type="dxa"/>
            <w:vAlign w:val="bottom"/>
            <w:tcBorders>
              <w:top w:val="single" w:sz="8" w:color="auto"/>
            </w:tcBorders>
          </w:tcPr>
          <w:p>
            <w:pPr>
              <w:jc w:val="right"/>
              <w:ind w:right="8"/>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6,741,973</w:t>
            </w:r>
          </w:p>
        </w:tc>
        <w:tc>
          <w:tcPr>
            <w:tcW w:w="6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10,585</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(990,440)</w:t>
            </w:r>
          </w:p>
        </w:tc>
        <w:tc>
          <w:tcPr>
            <w:tcW w:w="6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5,762,268</w:t>
            </w:r>
          </w:p>
        </w:tc>
        <w:tc>
          <w:tcPr>
            <w:tcW w:w="0" w:type="dxa"/>
            <w:vAlign w:val="bottom"/>
          </w:tcPr>
          <w:p>
            <w:pPr>
              <w:spacing w:after="0"/>
              <w:rPr>
                <w:sz w:val="1"/>
                <w:szCs w:val="1"/>
                <w:color w:val="auto"/>
              </w:rPr>
            </w:pPr>
          </w:p>
        </w:tc>
      </w:tr>
      <w:tr>
        <w:trPr>
          <w:trHeight w:val="40"/>
        </w:trPr>
        <w:tc>
          <w:tcPr>
            <w:tcW w:w="40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TWILIO INC</w:t>
      </w:r>
      <w:r>
        <w:rPr>
          <w:rFonts w:ascii="Arial" w:cs="Arial" w:eastAsia="Arial" w:hAnsi="Arial"/>
          <w:sz w:val="10"/>
          <w:szCs w:val="10"/>
          <w:b w:val="1"/>
          <w:bCs w:val="1"/>
          <w:color w:val="auto"/>
        </w:rPr>
        <w: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99" w:lineRule="exact"/>
        <w:rPr>
          <w:sz w:val="20"/>
          <w:szCs w:val="20"/>
          <w:color w:val="auto"/>
        </w:rPr>
      </w:pPr>
    </w:p>
    <w:p>
      <w:pPr>
        <w:jc w:val="center"/>
        <w:ind w:left="6800"/>
        <w:spacing w:after="0"/>
        <w:rPr>
          <w:sz w:val="20"/>
          <w:szCs w:val="20"/>
          <w:color w:val="auto"/>
        </w:rPr>
      </w:pPr>
      <w:r>
        <w:rPr>
          <w:rFonts w:ascii="Arial" w:cs="Arial" w:eastAsia="Arial" w:hAnsi="Arial"/>
          <w:sz w:val="12"/>
          <w:szCs w:val="12"/>
          <w:b w:val="1"/>
          <w:bCs w:val="1"/>
          <w:color w:val="auto"/>
        </w:rPr>
        <w:t>Nine Months Ended</w:t>
      </w:r>
    </w:p>
    <w:p>
      <w:pPr>
        <w:jc w:val="center"/>
        <w:ind w:left="6800"/>
        <w:spacing w:after="0"/>
        <w:rPr>
          <w:sz w:val="20"/>
          <w:szCs w:val="20"/>
          <w:color w:val="auto"/>
        </w:rPr>
      </w:pPr>
      <w:r>
        <w:rPr>
          <w:rFonts w:ascii="Arial" w:cs="Arial" w:eastAsia="Arial" w:hAnsi="Arial"/>
          <w:sz w:val="12"/>
          <w:szCs w:val="12"/>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00" w:type="dxa"/>
            <w:vAlign w:val="bottom"/>
            <w:tcBorders>
              <w:bottom w:val="single" w:sz="8" w:color="CCEEFF"/>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2021</w:t>
            </w:r>
          </w:p>
        </w:tc>
        <w:tc>
          <w:tcPr>
            <w:tcW w:w="7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2"/>
                <w:szCs w:val="12"/>
                <w:b w:val="1"/>
                <w:bCs w:val="1"/>
                <w:color w:val="auto"/>
              </w:rPr>
              <w:t>2020</w:t>
            </w:r>
          </w:p>
        </w:tc>
      </w:tr>
      <w:tr>
        <w:trPr>
          <w:trHeight w:val="153"/>
        </w:trPr>
        <w:tc>
          <w:tcPr>
            <w:tcW w:w="6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OPERATING ACTIVITIES:</w:t>
            </w:r>
          </w:p>
        </w:tc>
        <w:tc>
          <w:tcPr>
            <w:tcW w:w="142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right"/>
              <w:ind w:right="289"/>
              <w:spacing w:after="0"/>
              <w:rPr>
                <w:sz w:val="20"/>
                <w:szCs w:val="20"/>
                <w:color w:val="auto"/>
              </w:rPr>
            </w:pPr>
            <w:r>
              <w:rPr>
                <w:rFonts w:ascii="Arial" w:cs="Arial" w:eastAsia="Arial" w:hAnsi="Arial"/>
                <w:sz w:val="12"/>
                <w:szCs w:val="12"/>
                <w:color w:val="auto"/>
              </w:rPr>
              <w:t>(In thousands)</w:t>
            </w:r>
          </w:p>
        </w:tc>
        <w:tc>
          <w:tcPr>
            <w:tcW w:w="1540" w:type="dxa"/>
            <w:vAlign w:val="bottom"/>
            <w:shd w:val="clear" w:color="auto" w:fill="CCEEFF"/>
          </w:tcPr>
          <w:p>
            <w:pPr>
              <w:spacing w:after="0"/>
              <w:rPr>
                <w:sz w:val="13"/>
                <w:szCs w:val="13"/>
                <w:color w:val="auto"/>
              </w:rPr>
            </w:pPr>
          </w:p>
        </w:tc>
      </w:tr>
      <w:tr>
        <w:trPr>
          <w:trHeight w:val="161"/>
        </w:trPr>
        <w:tc>
          <w:tcPr>
            <w:tcW w:w="6800" w:type="dxa"/>
            <w:vAlign w:val="bottom"/>
          </w:tcPr>
          <w:p>
            <w:pPr>
              <w:ind w:left="20"/>
              <w:spacing w:after="0"/>
              <w:rPr>
                <w:sz w:val="20"/>
                <w:szCs w:val="20"/>
                <w:color w:val="auto"/>
              </w:rPr>
            </w:pPr>
            <w:r>
              <w:rPr>
                <w:rFonts w:ascii="Arial" w:cs="Arial" w:eastAsia="Arial" w:hAnsi="Arial"/>
                <w:sz w:val="12"/>
                <w:szCs w:val="12"/>
                <w:color w:val="auto"/>
              </w:rPr>
              <w:t>Net loss</w:t>
            </w:r>
          </w:p>
        </w:tc>
        <w:tc>
          <w:tcPr>
            <w:tcW w:w="1420" w:type="dxa"/>
            <w:vAlign w:val="bottom"/>
          </w:tcPr>
          <w:p>
            <w:pPr>
              <w:jc w:val="right"/>
              <w:ind w:right="1279"/>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(658,504)</w:t>
            </w:r>
          </w:p>
        </w:tc>
        <w:tc>
          <w:tcPr>
            <w:tcW w:w="100" w:type="dxa"/>
            <w:vAlign w:val="bottom"/>
          </w:tcPr>
          <w:p>
            <w:pPr>
              <w:spacing w:after="0"/>
              <w:rPr>
                <w:sz w:val="13"/>
                <w:szCs w:val="13"/>
                <w:color w:val="auto"/>
              </w:rPr>
            </w:pPr>
          </w:p>
        </w:tc>
        <w:tc>
          <w:tcPr>
            <w:tcW w:w="640" w:type="dxa"/>
            <w:vAlign w:val="bottom"/>
          </w:tcPr>
          <w:p>
            <w:pPr>
              <w:jc w:val="right"/>
              <w:ind w:right="529"/>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spacing w:after="0"/>
              <w:rPr>
                <w:sz w:val="20"/>
                <w:szCs w:val="20"/>
                <w:color w:val="auto"/>
              </w:rPr>
            </w:pPr>
            <w:r>
              <w:rPr>
                <w:rFonts w:ascii="Arial" w:cs="Arial" w:eastAsia="Arial" w:hAnsi="Arial"/>
                <w:sz w:val="12"/>
                <w:szCs w:val="12"/>
                <w:color w:val="auto"/>
              </w:rPr>
              <w:t>(311,628)</w:t>
            </w:r>
          </w:p>
        </w:tc>
      </w:tr>
      <w:tr>
        <w:trPr>
          <w:trHeight w:val="166"/>
        </w:trPr>
        <w:tc>
          <w:tcPr>
            <w:tcW w:w="6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Adjustments to reconcile net loss to net cash (used in) provided by operating activities: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Depreciation and amortization</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189,669</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98,070</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Non-cash reduction to the right-of-use asset</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36,249</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27,240</w:t>
            </w: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Net amortization of investment premium and discount</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24,880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2,909</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Amortization of debt discount and issuance costs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5,457</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18,432</w:t>
            </w: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Stock-based compensation</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445,366</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237,822</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Amortization of deferred commissions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20,798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8,556</w:t>
            </w: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Tax benefit related to release of valuation allowance</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(15,569)</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(716)</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Allowance for credit losses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11,371</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8,417</w:t>
            </w: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Value of donated common stock</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24,583</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12,430</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Loss on extinguishment of debt</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28,965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3,155</w:t>
            </w: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Other adjustments</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8,626</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(142)</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Changes in operating assets and liabilities: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61"/>
        </w:trPr>
        <w:tc>
          <w:tcPr>
            <w:tcW w:w="6800" w:type="dxa"/>
            <w:vAlign w:val="bottom"/>
          </w:tcPr>
          <w:p>
            <w:pPr>
              <w:ind w:left="260"/>
              <w:spacing w:after="0"/>
              <w:rPr>
                <w:sz w:val="20"/>
                <w:szCs w:val="20"/>
                <w:color w:val="auto"/>
              </w:rPr>
            </w:pPr>
            <w:r>
              <w:rPr>
                <w:rFonts w:ascii="Arial" w:cs="Arial" w:eastAsia="Arial" w:hAnsi="Arial"/>
                <w:sz w:val="12"/>
                <w:szCs w:val="12"/>
                <w:color w:val="auto"/>
              </w:rPr>
              <w:t>Accounts receivable</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(81,186)</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(58,340)</w:t>
            </w:r>
          </w:p>
        </w:tc>
      </w:tr>
      <w:tr>
        <w:trPr>
          <w:trHeight w:val="166"/>
        </w:trPr>
        <w:tc>
          <w:tcPr>
            <w:tcW w:w="6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Prepaid expenses and other current assets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(59,929)</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(8,733)</w:t>
            </w:r>
          </w:p>
        </w:tc>
      </w:tr>
      <w:tr>
        <w:trPr>
          <w:trHeight w:val="161"/>
        </w:trPr>
        <w:tc>
          <w:tcPr>
            <w:tcW w:w="6800" w:type="dxa"/>
            <w:vAlign w:val="bottom"/>
          </w:tcPr>
          <w:p>
            <w:pPr>
              <w:ind w:left="260"/>
              <w:spacing w:after="0"/>
              <w:rPr>
                <w:sz w:val="20"/>
                <w:szCs w:val="20"/>
                <w:color w:val="auto"/>
              </w:rPr>
            </w:pPr>
            <w:r>
              <w:rPr>
                <w:rFonts w:ascii="Arial" w:cs="Arial" w:eastAsia="Arial" w:hAnsi="Arial"/>
                <w:sz w:val="12"/>
                <w:szCs w:val="12"/>
                <w:color w:val="auto"/>
              </w:rPr>
              <w:t>Other long-term assets</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(66,501)</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(64,777)</w:t>
            </w:r>
          </w:p>
        </w:tc>
      </w:tr>
      <w:tr>
        <w:trPr>
          <w:trHeight w:val="166"/>
        </w:trPr>
        <w:tc>
          <w:tcPr>
            <w:tcW w:w="6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Accounts payable</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(8,665)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r>
      <w:tr>
        <w:trPr>
          <w:trHeight w:val="161"/>
        </w:trPr>
        <w:tc>
          <w:tcPr>
            <w:tcW w:w="6800" w:type="dxa"/>
            <w:vAlign w:val="bottom"/>
          </w:tcPr>
          <w:p>
            <w:pPr>
              <w:ind w:left="260"/>
              <w:spacing w:after="0"/>
              <w:rPr>
                <w:sz w:val="20"/>
                <w:szCs w:val="20"/>
                <w:color w:val="auto"/>
              </w:rPr>
            </w:pPr>
            <w:r>
              <w:rPr>
                <w:rFonts w:ascii="Arial" w:cs="Arial" w:eastAsia="Arial" w:hAnsi="Arial"/>
                <w:sz w:val="12"/>
                <w:szCs w:val="12"/>
                <w:color w:val="auto"/>
              </w:rPr>
              <w:t>Accrued expenses and other current liabilities</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84,730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59,594</w:t>
            </w:r>
          </w:p>
        </w:tc>
      </w:tr>
      <w:tr>
        <w:trPr>
          <w:trHeight w:val="166"/>
        </w:trPr>
        <w:tc>
          <w:tcPr>
            <w:tcW w:w="6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Deferred revenue and customer deposits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27,004</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7,799</w:t>
            </w:r>
          </w:p>
        </w:tc>
      </w:tr>
      <w:tr>
        <w:trPr>
          <w:trHeight w:val="161"/>
        </w:trPr>
        <w:tc>
          <w:tcPr>
            <w:tcW w:w="6800" w:type="dxa"/>
            <w:vAlign w:val="bottom"/>
          </w:tcPr>
          <w:p>
            <w:pPr>
              <w:ind w:left="260"/>
              <w:spacing w:after="0"/>
              <w:rPr>
                <w:sz w:val="20"/>
                <w:szCs w:val="20"/>
                <w:color w:val="auto"/>
              </w:rPr>
            </w:pPr>
            <w:r>
              <w:rPr>
                <w:rFonts w:ascii="Arial" w:cs="Arial" w:eastAsia="Arial" w:hAnsi="Arial"/>
                <w:sz w:val="12"/>
                <w:szCs w:val="12"/>
                <w:color w:val="auto"/>
              </w:rPr>
              <w:t>Operating lease liabilities</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(36,274)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(25,161)</w:t>
            </w:r>
          </w:p>
        </w:tc>
      </w:tr>
      <w:tr>
        <w:trPr>
          <w:trHeight w:val="166"/>
        </w:trPr>
        <w:tc>
          <w:tcPr>
            <w:tcW w:w="6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Other long-term liabilities</w:t>
            </w:r>
          </w:p>
        </w:tc>
        <w:tc>
          <w:tcPr>
            <w:tcW w:w="14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(1,019)</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2,740</w:t>
            </w:r>
          </w:p>
        </w:tc>
      </w:tr>
      <w:tr>
        <w:trPr>
          <w:trHeight w:val="151"/>
        </w:trPr>
        <w:tc>
          <w:tcPr>
            <w:tcW w:w="6800" w:type="dxa"/>
            <w:vAlign w:val="bottom"/>
            <w:tcBorders>
              <w:bottom w:val="single" w:sz="8" w:color="CCEEFF"/>
            </w:tcBorders>
          </w:tcPr>
          <w:p>
            <w:pPr>
              <w:ind w:left="360"/>
              <w:spacing w:after="0"/>
              <w:rPr>
                <w:sz w:val="20"/>
                <w:szCs w:val="20"/>
                <w:color w:val="auto"/>
              </w:rPr>
            </w:pPr>
            <w:r>
              <w:rPr>
                <w:rFonts w:ascii="Arial" w:cs="Arial" w:eastAsia="Arial" w:hAnsi="Arial"/>
                <w:sz w:val="12"/>
                <w:szCs w:val="12"/>
                <w:color w:val="auto"/>
              </w:rPr>
              <w:t>Net cash (used in) provided by operating activities</w:t>
            </w:r>
          </w:p>
        </w:tc>
        <w:tc>
          <w:tcPr>
            <w:tcW w:w="1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(19,949)</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17,753</w:t>
            </w:r>
          </w:p>
        </w:tc>
      </w:tr>
      <w:tr>
        <w:trPr>
          <w:trHeight w:val="146"/>
        </w:trPr>
        <w:tc>
          <w:tcPr>
            <w:tcW w:w="6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INVESTING ACTIVITIES:</w:t>
            </w:r>
          </w:p>
        </w:tc>
        <w:tc>
          <w:tcPr>
            <w:tcW w:w="1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Acquisitions, net of cash acquired and other related payments</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(490,880)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(2,786)</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Purchases of marketable securities and other investments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(3,225,799)</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(1,465,158)</w:t>
            </w: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Proceeds from sales and maturities of marketable securities</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1,334,444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892,365</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Capitalized software development costs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(35,926)</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(26,114)</w:t>
            </w:r>
          </w:p>
        </w:tc>
      </w:tr>
      <w:tr>
        <w:trPr>
          <w:trHeight w:val="161"/>
        </w:trPr>
        <w:tc>
          <w:tcPr>
            <w:tcW w:w="68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Purchases of long-lived and intangible assets</w:t>
            </w:r>
          </w:p>
        </w:tc>
        <w:tc>
          <w:tcPr>
            <w:tcW w:w="1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(33,575)</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(19,252)</w:t>
            </w:r>
          </w:p>
        </w:tc>
      </w:tr>
      <w:tr>
        <w:trPr>
          <w:trHeight w:val="156"/>
        </w:trPr>
        <w:tc>
          <w:tcPr>
            <w:tcW w:w="6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cash used in investing activities</w:t>
            </w:r>
          </w:p>
        </w:tc>
        <w:tc>
          <w:tcPr>
            <w:tcW w:w="14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(2,451,736)</w:t>
            </w:r>
          </w:p>
        </w:tc>
        <w:tc>
          <w:tcPr>
            <w:tcW w:w="1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(620,945)</w:t>
            </w:r>
          </w:p>
        </w:tc>
      </w:tr>
      <w:tr>
        <w:trPr>
          <w:trHeight w:val="141"/>
        </w:trPr>
        <w:tc>
          <w:tcPr>
            <w:tcW w:w="6800" w:type="dxa"/>
            <w:vAlign w:val="bottom"/>
          </w:tcPr>
          <w:p>
            <w:pPr>
              <w:ind w:left="20"/>
              <w:spacing w:after="0"/>
              <w:rPr>
                <w:sz w:val="20"/>
                <w:szCs w:val="20"/>
                <w:color w:val="auto"/>
              </w:rPr>
            </w:pPr>
            <w:r>
              <w:rPr>
                <w:rFonts w:ascii="Arial" w:cs="Arial" w:eastAsia="Arial" w:hAnsi="Arial"/>
                <w:sz w:val="12"/>
                <w:szCs w:val="12"/>
                <w:color w:val="auto"/>
              </w:rPr>
              <w:t>CASH FLOWS FROM FINANCING ACTIVITIES:</w:t>
            </w:r>
          </w:p>
        </w:tc>
        <w:tc>
          <w:tcPr>
            <w:tcW w:w="1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Proceeds from a public equity offering</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1,766,400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1,408,750</w:t>
            </w: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Payments of costs related to public offerings</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(464)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(433)</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Proceeds from issuance of senior notes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987,500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Payments of debt issuance costs</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(2,751)</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Proceeds from settlement of capped call, net of settlement costs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228,412</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Principal payments on debt and finance leases</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(4,852)</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(6,688)</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Proceeds from exercises of stock options and shares issued in ESPP</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71,607</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79,157</w:t>
            </w:r>
          </w:p>
        </w:tc>
      </w:tr>
      <w:tr>
        <w:trPr>
          <w:trHeight w:val="161"/>
        </w:trPr>
        <w:tc>
          <w:tcPr>
            <w:tcW w:w="68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Value of equity awards withheld for tax liabilities</w:t>
            </w:r>
          </w:p>
        </w:tc>
        <w:tc>
          <w:tcPr>
            <w:tcW w:w="1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(6,552)</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(4,227)</w:t>
            </w:r>
          </w:p>
        </w:tc>
      </w:tr>
      <w:tr>
        <w:trPr>
          <w:trHeight w:val="156"/>
        </w:trPr>
        <w:tc>
          <w:tcPr>
            <w:tcW w:w="6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cash provided by financing activities</w:t>
            </w:r>
          </w:p>
        </w:tc>
        <w:tc>
          <w:tcPr>
            <w:tcW w:w="14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3,039,300</w:t>
            </w:r>
          </w:p>
        </w:tc>
        <w:tc>
          <w:tcPr>
            <w:tcW w:w="1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1,476,559</w:t>
            </w:r>
          </w:p>
        </w:tc>
      </w:tr>
      <w:tr>
        <w:trPr>
          <w:trHeight w:val="151"/>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Effect of exchange rate changes on cash, cash equivalents and restricted cash</w:t>
            </w:r>
          </w:p>
        </w:tc>
        <w:tc>
          <w:tcPr>
            <w:tcW w:w="1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INCREASE IN CASH, CASH EQUIVALENTS AND RESTRICTED CASH</w:t>
            </w:r>
          </w:p>
        </w:tc>
        <w:tc>
          <w:tcPr>
            <w:tcW w:w="14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567,458</w:t>
            </w:r>
          </w:p>
        </w:tc>
        <w:tc>
          <w:tcPr>
            <w:tcW w:w="1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873,367</w:t>
            </w: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678"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TWILIO INC</w:t>
      </w:r>
      <w:r>
        <w:rPr>
          <w:rFonts w:ascii="Arial" w:cs="Arial" w:eastAsia="Arial" w:hAnsi="Arial"/>
          <w:sz w:val="10"/>
          <w:szCs w:val="10"/>
          <w:b w:val="1"/>
          <w:bCs w:val="1"/>
          <w:color w:val="auto"/>
        </w:rPr>
        <w: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137795</wp:posOffset>
            </wp:positionV>
            <wp:extent cx="284416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4165" cy="6350"/>
                    </a:xfrm>
                    <a:prstGeom prst="rect">
                      <a:avLst/>
                    </a:prstGeom>
                    <a:noFill/>
                  </pic:spPr>
                </pic:pic>
              </a:graphicData>
            </a:graphic>
          </wp:anchor>
        </w:drawing>
      </w:r>
    </w:p>
    <w:p>
      <w:pPr>
        <w:spacing w:after="0" w:line="205" w:lineRule="exact"/>
        <w:rPr>
          <w:sz w:val="20"/>
          <w:szCs w:val="20"/>
          <w:color w:val="auto"/>
        </w:rPr>
      </w:pPr>
    </w:p>
    <w:p>
      <w:pPr>
        <w:jc w:val="center"/>
        <w:ind w:left="6800"/>
        <w:spacing w:after="0"/>
        <w:rPr>
          <w:sz w:val="20"/>
          <w:szCs w:val="20"/>
          <w:color w:val="auto"/>
        </w:rPr>
      </w:pPr>
      <w:r>
        <w:rPr>
          <w:rFonts w:ascii="Arial" w:cs="Arial" w:eastAsia="Arial" w:hAnsi="Arial"/>
          <w:sz w:val="12"/>
          <w:szCs w:val="12"/>
          <w:b w:val="1"/>
          <w:bCs w:val="1"/>
          <w:color w:val="auto"/>
        </w:rPr>
        <w:t>Nine Months Ended</w:t>
      </w:r>
    </w:p>
    <w:p>
      <w:pPr>
        <w:jc w:val="center"/>
        <w:ind w:left="6800"/>
        <w:spacing w:after="0"/>
        <w:rPr>
          <w:sz w:val="20"/>
          <w:szCs w:val="20"/>
          <w:color w:val="auto"/>
        </w:rPr>
      </w:pPr>
      <w:r>
        <w:rPr>
          <w:rFonts w:ascii="Arial" w:cs="Arial" w:eastAsia="Arial" w:hAnsi="Arial"/>
          <w:sz w:val="12"/>
          <w:szCs w:val="12"/>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00" w:type="dxa"/>
            <w:vAlign w:val="bottom"/>
          </w:tcPr>
          <w:p>
            <w:pPr>
              <w:spacing w:after="0"/>
              <w:rPr>
                <w:sz w:val="13"/>
                <w:szCs w:val="13"/>
                <w:color w:val="auto"/>
              </w:rPr>
            </w:pPr>
          </w:p>
        </w:tc>
        <w:tc>
          <w:tcPr>
            <w:tcW w:w="14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2021</w:t>
            </w:r>
          </w:p>
        </w:tc>
        <w:tc>
          <w:tcPr>
            <w:tcW w:w="7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1"/>
        </w:trPr>
        <w:tc>
          <w:tcPr>
            <w:tcW w:w="6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00" w:type="dxa"/>
            <w:vAlign w:val="bottom"/>
            <w:gridSpan w:val="3"/>
          </w:tcPr>
          <w:p>
            <w:pPr>
              <w:jc w:val="right"/>
              <w:ind w:right="289"/>
              <w:spacing w:after="0"/>
              <w:rPr>
                <w:sz w:val="20"/>
                <w:szCs w:val="20"/>
                <w:color w:val="auto"/>
              </w:rPr>
            </w:pPr>
            <w:r>
              <w:rPr>
                <w:rFonts w:ascii="Arial" w:cs="Arial" w:eastAsia="Arial" w:hAnsi="Arial"/>
                <w:sz w:val="12"/>
                <w:szCs w:val="12"/>
                <w:color w:val="auto"/>
              </w:rPr>
              <w:t>(In thousands)</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CASH EQUIVALENTS AND RESTRICTED CASH—Beginning of period</w:t>
            </w:r>
          </w:p>
        </w:tc>
        <w:tc>
          <w:tcPr>
            <w:tcW w:w="14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933,885</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253,735</w:t>
            </w:r>
          </w:p>
        </w:tc>
        <w:tc>
          <w:tcPr>
            <w:tcW w:w="0" w:type="dxa"/>
            <w:vAlign w:val="bottom"/>
          </w:tcPr>
          <w:p>
            <w:pPr>
              <w:spacing w:after="0"/>
              <w:rPr>
                <w:sz w:val="1"/>
                <w:szCs w:val="1"/>
                <w:color w:val="auto"/>
              </w:rPr>
            </w:pPr>
          </w:p>
        </w:tc>
      </w:tr>
      <w:tr>
        <w:trPr>
          <w:trHeight w:val="156"/>
        </w:trPr>
        <w:tc>
          <w:tcPr>
            <w:tcW w:w="6800" w:type="dxa"/>
            <w:vAlign w:val="bottom"/>
          </w:tcPr>
          <w:p>
            <w:pPr>
              <w:ind w:left="20"/>
              <w:spacing w:after="0"/>
              <w:rPr>
                <w:sz w:val="20"/>
                <w:szCs w:val="20"/>
                <w:color w:val="auto"/>
              </w:rPr>
            </w:pPr>
            <w:r>
              <w:rPr>
                <w:rFonts w:ascii="Arial" w:cs="Arial" w:eastAsia="Arial" w:hAnsi="Arial"/>
                <w:sz w:val="12"/>
                <w:szCs w:val="12"/>
                <w:color w:val="auto"/>
              </w:rPr>
              <w:t>CASH, CASH EQUIVALENTS AND RESTRICTED CASH —End of period</w:t>
            </w:r>
          </w:p>
        </w:tc>
        <w:tc>
          <w:tcPr>
            <w:tcW w:w="1440" w:type="dxa"/>
            <w:vAlign w:val="bottom"/>
            <w:tcBorders>
              <w:bottom w:val="single" w:sz="8" w:color="auto"/>
            </w:tcBorders>
          </w:tcPr>
          <w:p>
            <w:pPr>
              <w:jc w:val="right"/>
              <w:ind w:right="1299"/>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1,501,343</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52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1,127,102</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800" w:type="dxa"/>
            <w:vAlign w:val="bottom"/>
          </w:tcPr>
          <w:p>
            <w:pPr>
              <w:ind w:left="20"/>
              <w:spacing w:after="0"/>
              <w:rPr>
                <w:sz w:val="20"/>
                <w:szCs w:val="20"/>
                <w:color w:val="auto"/>
              </w:rPr>
            </w:pPr>
            <w:r>
              <w:rPr>
                <w:rFonts w:ascii="Arial" w:cs="Arial" w:eastAsia="Arial" w:hAnsi="Arial"/>
                <w:sz w:val="12"/>
                <w:szCs w:val="12"/>
                <w:color w:val="auto"/>
              </w:rPr>
              <w:t>Cash paid for income taxes, net</w:t>
            </w:r>
          </w:p>
        </w:tc>
        <w:tc>
          <w:tcPr>
            <w:tcW w:w="1440" w:type="dxa"/>
            <w:vAlign w:val="bottom"/>
            <w:tcBorders>
              <w:bottom w:val="single" w:sz="8" w:color="auto"/>
            </w:tcBorders>
          </w:tcPr>
          <w:p>
            <w:pPr>
              <w:jc w:val="right"/>
              <w:ind w:right="1299"/>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4,439</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52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1,962</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800" w:type="dxa"/>
            <w:vAlign w:val="bottom"/>
            <w:tcBorders>
              <w:bottom w:val="single" w:sz="8" w:color="CCEEFF"/>
            </w:tcBorders>
            <w:shd w:val="clear" w:color="auto" w:fill="CCEEFF"/>
          </w:tcPr>
          <w:p>
            <w:pPr>
              <w:ind w:left="20"/>
              <w:spacing w:after="0" w:line="124" w:lineRule="exact"/>
              <w:rPr>
                <w:sz w:val="20"/>
                <w:szCs w:val="20"/>
                <w:color w:val="auto"/>
              </w:rPr>
            </w:pPr>
            <w:r>
              <w:rPr>
                <w:rFonts w:ascii="Arial" w:cs="Arial" w:eastAsia="Arial" w:hAnsi="Arial"/>
                <w:sz w:val="12"/>
                <w:szCs w:val="12"/>
                <w:color w:val="auto"/>
              </w:rPr>
              <w:t>Cash paid for interest</w:t>
            </w:r>
          </w:p>
        </w:tc>
        <w:tc>
          <w:tcPr>
            <w:tcW w:w="1440" w:type="dxa"/>
            <w:vAlign w:val="bottom"/>
            <w:tcBorders>
              <w:bottom w:val="single" w:sz="8" w:color="auto"/>
            </w:tcBorders>
            <w:shd w:val="clear" w:color="auto" w:fill="CCEEFF"/>
          </w:tcPr>
          <w:p>
            <w:pPr>
              <w:jc w:val="right"/>
              <w:ind w:right="1299"/>
              <w:spacing w:after="0" w:line="124" w:lineRule="exact"/>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19,545</w:t>
            </w: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52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1,290</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color w:val="auto"/>
              </w:rPr>
              <w:t>NON-CASH INVESTING AND FINANCING ACTIVITIES:</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680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6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Purchases of property, equipment and intangible assets, accrued but not paid</w:t>
            </w:r>
          </w:p>
        </w:tc>
        <w:tc>
          <w:tcPr>
            <w:tcW w:w="1440" w:type="dxa"/>
            <w:vAlign w:val="bottom"/>
            <w:tcBorders>
              <w:bottom w:val="single" w:sz="8" w:color="auto"/>
            </w:tcBorders>
            <w:shd w:val="clear" w:color="auto" w:fill="CCEEFF"/>
          </w:tcPr>
          <w:p>
            <w:pPr>
              <w:jc w:val="right"/>
              <w:ind w:right="1299"/>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6,758</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52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1,261</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2"/>
                <w:szCs w:val="12"/>
                <w:color w:val="auto"/>
              </w:rPr>
              <w:t>Purchases of property and equipment through finance leases</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6800" w:type="dxa"/>
            <w:vAlign w:val="bottom"/>
            <w:vMerge w:val="continue"/>
          </w:tcPr>
          <w:p>
            <w:pPr>
              <w:spacing w:after="0"/>
              <w:rPr>
                <w:sz w:val="9"/>
                <w:szCs w:val="9"/>
                <w:color w:val="auto"/>
              </w:rPr>
            </w:pPr>
          </w:p>
        </w:tc>
        <w:tc>
          <w:tcPr>
            <w:tcW w:w="1440" w:type="dxa"/>
            <w:vAlign w:val="bottom"/>
            <w:tcBorders>
              <w:bottom w:val="single" w:sz="8" w:color="auto"/>
            </w:tcBorders>
          </w:tcPr>
          <w:p>
            <w:pPr>
              <w:jc w:val="right"/>
              <w:ind w:right="1299"/>
              <w:spacing w:after="0" w:line="104" w:lineRule="exact"/>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2"/>
                <w:szCs w:val="12"/>
                <w:color w:val="auto"/>
              </w:rPr>
              <w:t>11,876</w:t>
            </w:r>
          </w:p>
        </w:tc>
        <w:tc>
          <w:tcPr>
            <w:tcW w:w="100" w:type="dxa"/>
            <w:vAlign w:val="bottom"/>
          </w:tcPr>
          <w:p>
            <w:pPr>
              <w:spacing w:after="0"/>
              <w:rPr>
                <w:sz w:val="9"/>
                <w:szCs w:val="9"/>
                <w:color w:val="auto"/>
              </w:rPr>
            </w:pPr>
          </w:p>
        </w:tc>
        <w:tc>
          <w:tcPr>
            <w:tcW w:w="640" w:type="dxa"/>
            <w:vAlign w:val="bottom"/>
            <w:tcBorders>
              <w:bottom w:val="single" w:sz="8" w:color="auto"/>
            </w:tcBorders>
          </w:tcPr>
          <w:p>
            <w:pPr>
              <w:jc w:val="right"/>
              <w:ind w:right="529"/>
              <w:spacing w:after="0" w:line="104" w:lineRule="exact"/>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2"/>
                <w:szCs w:val="12"/>
                <w:color w:val="auto"/>
              </w:rPr>
              <w:t>15,047</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Value of common stock issued and stock awards assumed in acquisition</w:t>
            </w:r>
          </w:p>
        </w:tc>
        <w:tc>
          <w:tcPr>
            <w:tcW w:w="1440" w:type="dxa"/>
            <w:vAlign w:val="bottom"/>
            <w:tcBorders>
              <w:bottom w:val="single" w:sz="8" w:color="auto"/>
            </w:tcBorders>
            <w:shd w:val="clear" w:color="auto" w:fill="CCEEFF"/>
          </w:tcPr>
          <w:p>
            <w:pPr>
              <w:jc w:val="right"/>
              <w:ind w:right="1299"/>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420,548</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52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800" w:type="dxa"/>
            <w:vAlign w:val="bottom"/>
          </w:tcPr>
          <w:p>
            <w:pPr>
              <w:ind w:left="160"/>
              <w:spacing w:after="0" w:line="124" w:lineRule="exact"/>
              <w:rPr>
                <w:sz w:val="20"/>
                <w:szCs w:val="20"/>
                <w:color w:val="auto"/>
              </w:rPr>
            </w:pPr>
            <w:r>
              <w:rPr>
                <w:rFonts w:ascii="Arial" w:cs="Arial" w:eastAsia="Arial" w:hAnsi="Arial"/>
                <w:sz w:val="12"/>
                <w:szCs w:val="12"/>
                <w:color w:val="auto"/>
              </w:rPr>
              <w:t>Value of common stock issued to settle convertible senior notes</w:t>
            </w:r>
          </w:p>
        </w:tc>
        <w:tc>
          <w:tcPr>
            <w:tcW w:w="1440" w:type="dxa"/>
            <w:vAlign w:val="bottom"/>
            <w:tcBorders>
              <w:bottom w:val="single" w:sz="8" w:color="auto"/>
            </w:tcBorders>
          </w:tcPr>
          <w:p>
            <w:pPr>
              <w:jc w:val="right"/>
              <w:ind w:right="1299"/>
              <w:spacing w:after="0" w:line="124" w:lineRule="exact"/>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1,704,969</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ind w:right="52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171,840</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800" w:type="dxa"/>
            <w:vAlign w:val="bottom"/>
            <w:tcBorders>
              <w:bottom w:val="single" w:sz="8" w:color="CCEEFF"/>
            </w:tcBorders>
            <w:shd w:val="clear" w:color="auto" w:fill="CCEEFF"/>
          </w:tcPr>
          <w:p>
            <w:pPr>
              <w:ind w:left="160"/>
              <w:spacing w:after="0" w:line="124" w:lineRule="exact"/>
              <w:rPr>
                <w:sz w:val="20"/>
                <w:szCs w:val="20"/>
                <w:color w:val="auto"/>
              </w:rPr>
            </w:pPr>
            <w:r>
              <w:rPr>
                <w:rFonts w:ascii="Arial" w:cs="Arial" w:eastAsia="Arial" w:hAnsi="Arial"/>
                <w:sz w:val="12"/>
                <w:szCs w:val="12"/>
                <w:color w:val="auto"/>
              </w:rPr>
              <w:t>Stock-based compensation capitalized in software development costs</w:t>
            </w:r>
          </w:p>
        </w:tc>
        <w:tc>
          <w:tcPr>
            <w:tcW w:w="1440" w:type="dxa"/>
            <w:vAlign w:val="bottom"/>
            <w:tcBorders>
              <w:bottom w:val="single" w:sz="8" w:color="auto"/>
            </w:tcBorders>
            <w:shd w:val="clear" w:color="auto" w:fill="CCEEFF"/>
          </w:tcPr>
          <w:p>
            <w:pPr>
              <w:jc w:val="right"/>
              <w:ind w:right="1299"/>
              <w:spacing w:after="0" w:line="124" w:lineRule="exact"/>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14,938</w:t>
            </w: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52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10,711</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rPr>
              <w:t>RECONCILIATION OF CASH, CASH EQUIVALENTS AND RESTRICTED CASH TO THE CONDENSED CONSOLIDATED</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680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6800" w:type="dxa"/>
            <w:vAlign w:val="bottom"/>
          </w:tcPr>
          <w:p>
            <w:pPr>
              <w:ind w:left="20"/>
              <w:spacing w:after="0"/>
              <w:rPr>
                <w:sz w:val="20"/>
                <w:szCs w:val="20"/>
                <w:color w:val="auto"/>
              </w:rPr>
            </w:pPr>
            <w:r>
              <w:rPr>
                <w:rFonts w:ascii="Arial" w:cs="Arial" w:eastAsia="Arial" w:hAnsi="Arial"/>
                <w:sz w:val="12"/>
                <w:szCs w:val="12"/>
                <w:color w:val="auto"/>
              </w:rPr>
              <w:t>BALANCE SHEETS</w:t>
            </w:r>
          </w:p>
        </w:tc>
        <w:tc>
          <w:tcPr>
            <w:tcW w:w="1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Cash and cash equivalents</w:t>
            </w:r>
          </w:p>
        </w:tc>
        <w:tc>
          <w:tcPr>
            <w:tcW w:w="1440" w:type="dxa"/>
            <w:vAlign w:val="bottom"/>
            <w:shd w:val="clear" w:color="auto" w:fill="CCEEFF"/>
          </w:tcPr>
          <w:p>
            <w:pPr>
              <w:jc w:val="right"/>
              <w:ind w:right="1299"/>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1,497,498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29"/>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1,127,102</w:t>
            </w:r>
          </w:p>
        </w:tc>
        <w:tc>
          <w:tcPr>
            <w:tcW w:w="0" w:type="dxa"/>
            <w:vAlign w:val="bottom"/>
          </w:tcPr>
          <w:p>
            <w:pPr>
              <w:spacing w:after="0"/>
              <w:rPr>
                <w:sz w:val="1"/>
                <w:szCs w:val="1"/>
                <w:color w:val="auto"/>
              </w:rPr>
            </w:pP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Restricted cash in other current assets</w:t>
            </w:r>
          </w:p>
        </w:tc>
        <w:tc>
          <w:tcPr>
            <w:tcW w:w="1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2,733</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3"/>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Restricted cash in other long-term assets</w:t>
            </w:r>
          </w:p>
        </w:tc>
        <w:tc>
          <w:tcPr>
            <w:tcW w:w="14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1,112</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6800" w:type="dxa"/>
            <w:vAlign w:val="bottom"/>
          </w:tcPr>
          <w:p>
            <w:pPr>
              <w:ind w:left="260"/>
              <w:spacing w:after="0"/>
              <w:rPr>
                <w:sz w:val="20"/>
                <w:szCs w:val="20"/>
                <w:color w:val="auto"/>
              </w:rPr>
            </w:pPr>
            <w:r>
              <w:rPr>
                <w:rFonts w:ascii="Arial" w:cs="Arial" w:eastAsia="Arial" w:hAnsi="Arial"/>
                <w:sz w:val="12"/>
                <w:szCs w:val="12"/>
                <w:color w:val="auto"/>
              </w:rPr>
              <w:t>Total cash, cash equivalents and restricted cash</w:t>
            </w:r>
          </w:p>
        </w:tc>
        <w:tc>
          <w:tcPr>
            <w:tcW w:w="1440" w:type="dxa"/>
            <w:vAlign w:val="bottom"/>
            <w:tcBorders>
              <w:bottom w:val="single" w:sz="8" w:color="auto"/>
            </w:tcBorders>
          </w:tcPr>
          <w:p>
            <w:pPr>
              <w:jc w:val="right"/>
              <w:ind w:right="1299"/>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1,501,343</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52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1,127,102</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678" w:right="31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TWILIO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 and Description of Business</w:t>
      </w:r>
    </w:p>
    <w:p>
      <w:pPr>
        <w:spacing w:after="0" w:line="168" w:lineRule="exact"/>
        <w:rPr>
          <w:sz w:val="20"/>
          <w:szCs w:val="20"/>
          <w:color w:val="auto"/>
        </w:rPr>
      </w:pPr>
    </w:p>
    <w:p>
      <w:pPr>
        <w:jc w:val="both"/>
        <w:ind w:right="260" w:firstLine="367"/>
        <w:spacing w:after="0" w:line="314" w:lineRule="auto"/>
        <w:rPr>
          <w:sz w:val="20"/>
          <w:szCs w:val="20"/>
          <w:color w:val="auto"/>
        </w:rPr>
      </w:pPr>
      <w:r>
        <w:rPr>
          <w:rFonts w:ascii="Arial" w:cs="Arial" w:eastAsia="Arial" w:hAnsi="Arial"/>
          <w:sz w:val="12"/>
          <w:szCs w:val="12"/>
          <w:color w:val="auto"/>
        </w:rPr>
        <w:t>Twilio Inc. (the “Company”) was incorporated in the state of Delaware on March 13, 2008. The Company is the leading cloud communications platform and enables developers to build, scale and operate real-time customer engagement within their software applications via simple-to-use Application Programming Interfaces (“API”). The power, flexibility and reliability offered by the Company’s software building blocks empower entities of virtually every shape and size to build world-class engagement into their customer experience.</w:t>
      </w:r>
    </w:p>
    <w:p>
      <w:pPr>
        <w:spacing w:after="0" w:line="111" w:lineRule="exact"/>
        <w:rPr>
          <w:sz w:val="20"/>
          <w:szCs w:val="20"/>
          <w:color w:val="auto"/>
        </w:rPr>
      </w:pPr>
    </w:p>
    <w:p>
      <w:pPr>
        <w:ind w:right="20" w:firstLine="367"/>
        <w:spacing w:after="0" w:line="261" w:lineRule="auto"/>
        <w:rPr>
          <w:sz w:val="20"/>
          <w:szCs w:val="20"/>
          <w:color w:val="auto"/>
        </w:rPr>
      </w:pPr>
      <w:r>
        <w:rPr>
          <w:rFonts w:ascii="Arial" w:cs="Arial" w:eastAsia="Arial" w:hAnsi="Arial"/>
          <w:sz w:val="14"/>
          <w:szCs w:val="14"/>
          <w:color w:val="auto"/>
        </w:rPr>
        <w:t>The Company’s headquarters are located in San Francisco, California, and the Company has subsidiaries in Australia, Bermuda, Brazil, Canada, Colombia, Czech Republic, Estonia, France, Germany, Hong Kong, India, Ireland, Japan, Mexico, the Netherlands, Poland, Serbia, Singapore, Spain, Sweden, the United Kingdom and the United States.</w:t>
      </w:r>
    </w:p>
    <w:p>
      <w:pPr>
        <w:spacing w:after="0" w:line="138" w:lineRule="exact"/>
        <w:rPr>
          <w:sz w:val="20"/>
          <w:szCs w:val="20"/>
          <w:color w:val="auto"/>
        </w:rPr>
      </w:pPr>
    </w:p>
    <w:p>
      <w:pPr>
        <w:ind w:left="140" w:hanging="138"/>
        <w:spacing w:after="0"/>
        <w:tabs>
          <w:tab w:leader="none" w:pos="14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167" w:lineRule="exact"/>
        <w:rPr>
          <w:rFonts w:ascii="Arial" w:cs="Arial" w:eastAsia="Arial" w:hAnsi="Arial"/>
          <w:sz w:val="14"/>
          <w:szCs w:val="14"/>
          <w:b w:val="1"/>
          <w:bCs w:val="1"/>
          <w:color w:val="auto"/>
        </w:rPr>
      </w:pPr>
    </w:p>
    <w:p>
      <w:pPr>
        <w:ind w:left="980" w:hanging="611"/>
        <w:spacing w:after="0"/>
        <w:tabs>
          <w:tab w:leader="none" w:pos="980" w:val="left"/>
        </w:tabs>
        <w:numPr>
          <w:ilvl w:val="1"/>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Basis of Presentation</w:t>
      </w:r>
    </w:p>
    <w:p>
      <w:pPr>
        <w:spacing w:after="0" w:line="166" w:lineRule="exact"/>
        <w:rPr>
          <w:sz w:val="20"/>
          <w:szCs w:val="20"/>
          <w:color w:val="auto"/>
        </w:rPr>
      </w:pPr>
    </w:p>
    <w:p>
      <w:pPr>
        <w:ind w:right="80" w:firstLine="367"/>
        <w:spacing w:after="0" w:line="304" w:lineRule="auto"/>
        <w:rPr>
          <w:sz w:val="20"/>
          <w:szCs w:val="20"/>
          <w:color w:val="auto"/>
        </w:rPr>
      </w:pPr>
      <w:r>
        <w:rPr>
          <w:rFonts w:ascii="Arial" w:cs="Arial" w:eastAsia="Arial" w:hAnsi="Arial"/>
          <w:sz w:val="12"/>
          <w:szCs w:val="12"/>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26, 2021 (“Annual Report”).</w:t>
      </w:r>
    </w:p>
    <w:p>
      <w:pPr>
        <w:spacing w:after="0" w:line="117" w:lineRule="exact"/>
        <w:rPr>
          <w:sz w:val="20"/>
          <w:szCs w:val="20"/>
          <w:color w:val="auto"/>
        </w:rPr>
      </w:pPr>
    </w:p>
    <w:p>
      <w:pPr>
        <w:ind w:right="200" w:firstLine="367"/>
        <w:spacing w:after="0" w:line="261" w:lineRule="auto"/>
        <w:rPr>
          <w:sz w:val="20"/>
          <w:szCs w:val="20"/>
          <w:color w:val="auto"/>
        </w:rPr>
      </w:pPr>
      <w:r>
        <w:rPr>
          <w:rFonts w:ascii="Arial" w:cs="Arial" w:eastAsia="Arial" w:hAnsi="Arial"/>
          <w:sz w:val="14"/>
          <w:szCs w:val="14"/>
          <w:color w:val="auto"/>
        </w:rPr>
        <w:t>The condensed consolidated balance sheet as of December 31, 2020, included herein, was derived from the audited financial statements as of that date, but may not include all disclosures including certain notes required by U.S. GAAP on an annual reporting basis.</w:t>
      </w:r>
    </w:p>
    <w:p>
      <w:pPr>
        <w:spacing w:after="0" w:line="140" w:lineRule="exact"/>
        <w:rPr>
          <w:sz w:val="20"/>
          <w:szCs w:val="20"/>
          <w:color w:val="auto"/>
        </w:rPr>
      </w:pPr>
    </w:p>
    <w:p>
      <w:pPr>
        <w:ind w:right="80" w:firstLine="367"/>
        <w:spacing w:after="0" w:line="252" w:lineRule="auto"/>
        <w:rPr>
          <w:sz w:val="20"/>
          <w:szCs w:val="20"/>
          <w:color w:val="auto"/>
        </w:rPr>
      </w:pPr>
      <w:r>
        <w:rPr>
          <w:rFonts w:ascii="Arial" w:cs="Arial" w:eastAsia="Arial" w:hAnsi="Arial"/>
          <w:sz w:val="14"/>
          <w:szCs w:val="14"/>
          <w:color w:val="auto"/>
        </w:rPr>
        <w:t>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2021 or any future period.</w:t>
      </w:r>
    </w:p>
    <w:p>
      <w:pPr>
        <w:spacing w:after="0" w:line="146" w:lineRule="exact"/>
        <w:rPr>
          <w:sz w:val="20"/>
          <w:szCs w:val="20"/>
          <w:color w:val="auto"/>
        </w:rPr>
      </w:pPr>
    </w:p>
    <w:p>
      <w:pPr>
        <w:ind w:left="980" w:hanging="611"/>
        <w:spacing w:after="0"/>
        <w:tabs>
          <w:tab w:leader="none" w:pos="98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Principles of Consolidation</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condensed consolidated financial statements include the Company and its wholly owned subsidiaries. All significant intercompany balances and transactions have been eliminated.</w:t>
      </w:r>
    </w:p>
    <w:p>
      <w:pPr>
        <w:spacing w:after="0" w:line="189" w:lineRule="exact"/>
        <w:rPr>
          <w:sz w:val="20"/>
          <w:szCs w:val="20"/>
          <w:color w:val="auto"/>
        </w:rPr>
      </w:pPr>
    </w:p>
    <w:p>
      <w:pPr>
        <w:ind w:left="980" w:hanging="611"/>
        <w:spacing w:after="0"/>
        <w:tabs>
          <w:tab w:leader="none" w:pos="98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Use of Estimates</w:t>
      </w:r>
    </w:p>
    <w:p>
      <w:pPr>
        <w:spacing w:after="0" w:line="166" w:lineRule="exact"/>
        <w:rPr>
          <w:sz w:val="20"/>
          <w:szCs w:val="20"/>
          <w:color w:val="auto"/>
        </w:rPr>
      </w:pPr>
    </w:p>
    <w:p>
      <w:pPr>
        <w:ind w:firstLine="367"/>
        <w:spacing w:after="0" w:line="296" w:lineRule="auto"/>
        <w:rPr>
          <w:sz w:val="20"/>
          <w:szCs w:val="20"/>
          <w:color w:val="auto"/>
        </w:rPr>
      </w:pPr>
      <w:r>
        <w:rPr>
          <w:rFonts w:ascii="Arial" w:cs="Arial" w:eastAsia="Arial" w:hAnsi="Arial"/>
          <w:sz w:val="12"/>
          <w:szCs w:val="12"/>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allowances for doubtful accounts and customer credit reserves; recoverability of long-lived and intangible assets; capitalization and useful life of the Company’s capitalized internal-use software development costs; fair value of acquired intangible assets and goodwill;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980" w:hanging="611"/>
        <w:spacing w:after="0"/>
        <w:tabs>
          <w:tab w:leader="none" w:pos="98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Concentration of Credit Risk</w:t>
      </w:r>
    </w:p>
    <w:p>
      <w:pPr>
        <w:spacing w:after="0" w:line="166" w:lineRule="exact"/>
        <w:rPr>
          <w:sz w:val="20"/>
          <w:szCs w:val="20"/>
          <w:color w:val="auto"/>
        </w:rPr>
      </w:pPr>
    </w:p>
    <w:p>
      <w:pPr>
        <w:ind w:right="60" w:firstLine="367"/>
        <w:spacing w:after="0" w:line="252" w:lineRule="auto"/>
        <w:rPr>
          <w:sz w:val="20"/>
          <w:szCs w:val="20"/>
          <w:color w:val="auto"/>
        </w:rPr>
      </w:pPr>
      <w:r>
        <w:rPr>
          <w:rFonts w:ascii="Arial" w:cs="Arial" w:eastAsia="Arial" w:hAnsi="Arial"/>
          <w:sz w:val="14"/>
          <w:szCs w:val="14"/>
          <w:color w:val="auto"/>
        </w:rPr>
        <w:t>Financial instruments that potentially expose the Company to a concentration of credit risk consist primarily of cash, cash equivalents, marketable securities and accounts receivable. The Company maintains cash, cash equivalents and marketable securities with financial institutions that management believes are financially sound and have minimal credit risk exposure although the balances will exceed insured limits.</w:t>
      </w:r>
    </w:p>
    <w:p>
      <w:pPr>
        <w:spacing w:after="0" w:line="146" w:lineRule="exact"/>
        <w:rPr>
          <w:sz w:val="20"/>
          <w:szCs w:val="20"/>
          <w:color w:val="auto"/>
        </w:rPr>
      </w:pPr>
    </w:p>
    <w:p>
      <w:pPr>
        <w:ind w:right="60" w:firstLine="367"/>
        <w:spacing w:after="0" w:line="304" w:lineRule="auto"/>
        <w:rPr>
          <w:sz w:val="20"/>
          <w:szCs w:val="20"/>
          <w:color w:val="auto"/>
        </w:rPr>
      </w:pPr>
      <w:r>
        <w:rPr>
          <w:rFonts w:ascii="Arial" w:cs="Arial" w:eastAsia="Arial" w:hAnsi="Arial"/>
          <w:sz w:val="12"/>
          <w:szCs w:val="12"/>
          <w:color w:val="auto"/>
        </w:rPr>
        <w:t>The Company sells its services to a wide variety of customers. If the financial condition or results of operations of any significant customer deteriorates substantially, the Company’s results of operations could be adversely affected. To reduce credit risk, management performs credit evaluations of the financial condition of significant customers. The Company does not require collateral from its credit customers and maintains reserves for estimated credit losses on customer accounts when considered necessary. Actual credit losses may differ from the Company’s estimates. During the three and nine months ended September 30, 2021 and 2020, no customer organization accounted for more than 10% of the Company’s total revenue.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September 30, 2021 and December 31, 2020, no customer organization represented more than 10% of the Company’s gross accounts receivable.</w:t>
      </w:r>
    </w:p>
    <w:p>
      <w:pPr>
        <w:spacing w:after="0" w:line="166" w:lineRule="exact"/>
        <w:rPr>
          <w:sz w:val="20"/>
          <w:szCs w:val="20"/>
          <w:color w:val="auto"/>
        </w:rPr>
      </w:pPr>
    </w:p>
    <w:p>
      <w:pPr>
        <w:ind w:left="980" w:hanging="611"/>
        <w:spacing w:after="0"/>
        <w:tabs>
          <w:tab w:leader="none" w:pos="98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Changes to Significant Accounting Policies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Derivatives and Hedging</w:t>
      </w:r>
    </w:p>
    <w:p>
      <w:pPr>
        <w:spacing w:after="0" w:line="166" w:lineRule="exact"/>
        <w:rPr>
          <w:sz w:val="20"/>
          <w:szCs w:val="20"/>
          <w:color w:val="auto"/>
        </w:rPr>
      </w:pPr>
    </w:p>
    <w:p>
      <w:pPr>
        <w:ind w:firstLine="367"/>
        <w:spacing w:after="0" w:line="224" w:lineRule="auto"/>
        <w:rPr>
          <w:sz w:val="20"/>
          <w:szCs w:val="20"/>
          <w:color w:val="auto"/>
        </w:rPr>
      </w:pPr>
      <w:r>
        <w:rPr>
          <w:rFonts w:ascii="Arial" w:cs="Arial" w:eastAsia="Arial" w:hAnsi="Arial"/>
          <w:sz w:val="14"/>
          <w:szCs w:val="14"/>
          <w:color w:val="auto"/>
        </w:rPr>
        <w:t>The Company is exposed to a wide variety of risks arising from its business operations and overall economic conditions. These risks include exposure to fluctuations in various foreign currencies against its functional currency and can impact the value of cash receipts and payments. The Company minimizes its exposure to these risks through management of its core business activities, specifically, the amounts, sources and duration of its assets and liabilities, and the use of derivative financial instruments. In the second quarter of 2021, the Company started using foreign currency derivative forward contracts and in the future may also use foreign currency option contacts.</w:t>
      </w:r>
    </w:p>
    <w:p>
      <w:pPr>
        <w:spacing w:after="0" w:line="154" w:lineRule="exact"/>
        <w:rPr>
          <w:sz w:val="20"/>
          <w:szCs w:val="20"/>
          <w:color w:val="auto"/>
        </w:rPr>
      </w:pPr>
    </w:p>
    <w:p>
      <w:pPr>
        <w:ind w:right="60" w:firstLine="367"/>
        <w:spacing w:after="0" w:line="279" w:lineRule="auto"/>
        <w:rPr>
          <w:sz w:val="20"/>
          <w:szCs w:val="20"/>
          <w:color w:val="auto"/>
        </w:rPr>
      </w:pPr>
      <w:r>
        <w:rPr>
          <w:rFonts w:ascii="Arial" w:cs="Arial" w:eastAsia="Arial" w:hAnsi="Arial"/>
          <w:sz w:val="12"/>
          <w:szCs w:val="12"/>
          <w:color w:val="auto"/>
        </w:rPr>
        <w:t>Foreign currency derivative forward contracts involve fixing the exchange rate for delivery of a specified amount of foreign currency on a specified date. These agreements are typically cash settled in U.S. dollars for their fair value at or close to their settlement date. Foreign currency option contracts will require the Company to pay a premium for the right to sell a specified amount of foreign currency prior to the maturity date of the option. The Company does not enter into derivative financial instruments trading for speculative purposes.</w:t>
      </w:r>
    </w:p>
    <w:p>
      <w:pPr>
        <w:spacing w:after="0" w:line="141" w:lineRule="exact"/>
        <w:rPr>
          <w:sz w:val="20"/>
          <w:szCs w:val="20"/>
          <w:color w:val="auto"/>
        </w:rPr>
      </w:pPr>
    </w:p>
    <w:p>
      <w:pPr>
        <w:ind w:right="40" w:firstLine="490"/>
        <w:spacing w:after="0" w:line="235" w:lineRule="auto"/>
        <w:rPr>
          <w:sz w:val="20"/>
          <w:szCs w:val="20"/>
          <w:color w:val="auto"/>
        </w:rPr>
      </w:pPr>
      <w:r>
        <w:rPr>
          <w:rFonts w:ascii="Arial" w:cs="Arial" w:eastAsia="Arial" w:hAnsi="Arial"/>
          <w:sz w:val="14"/>
          <w:szCs w:val="14"/>
          <w:color w:val="auto"/>
        </w:rPr>
        <w:t>Derivative instruments are carried at fair value and recorded as either an asset or a liability until they mature. Gains and losses resulting from changes in fair value of these instruments are accounted for depending on the use of the derivative and whether it is designated and qualifies for hedge accounting. For derivative instruments designated as cash flow hedges, gains or losses are initially recorded in other comprehensive income (“OCI”) in the balance sheet, then reclassified into the statement of operations in the period in which the derivative instrument matures. These realized gains and losses are recorded within the same financial statement line item as the hedged transaction.</w:t>
      </w:r>
    </w:p>
    <w:p>
      <w:pPr>
        <w:spacing w:after="0" w:line="145" w:lineRule="exact"/>
        <w:rPr>
          <w:sz w:val="20"/>
          <w:szCs w:val="20"/>
          <w:color w:val="auto"/>
        </w:rPr>
      </w:pPr>
    </w:p>
    <w:p>
      <w:pPr>
        <w:ind w:right="260" w:firstLine="367"/>
        <w:spacing w:after="0" w:line="261" w:lineRule="auto"/>
        <w:rPr>
          <w:sz w:val="20"/>
          <w:szCs w:val="20"/>
          <w:color w:val="auto"/>
        </w:rPr>
      </w:pPr>
      <w:r>
        <w:rPr>
          <w:rFonts w:ascii="Arial" w:cs="Arial" w:eastAsia="Arial" w:hAnsi="Arial"/>
          <w:sz w:val="14"/>
          <w:szCs w:val="14"/>
          <w:color w:val="auto"/>
        </w:rPr>
        <w:t>The Company’s foreign currency derivative contracts are classified within Level 2 of the fair value hierarchy because the valuation inputs are based on quoted prices and market observable data of similar instruments in active markets, such as currency spot and forward rates.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There have been no other changes to the Company’s significant accounting policies as described in its Annual Report.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ind w:left="360" w:right="9640" w:hanging="358"/>
        <w:spacing w:after="0" w:line="569" w:lineRule="auto"/>
        <w:tabs>
          <w:tab w:leader="none" w:pos="129" w:val="left"/>
        </w:tabs>
        <w:numPr>
          <w:ilvl w:val="0"/>
          <w:numId w:val="1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Fair Value Measurements </w:t>
      </w:r>
      <w:r>
        <w:rPr>
          <w:rFonts w:ascii="Arial" w:cs="Arial" w:eastAsia="Arial" w:hAnsi="Arial"/>
          <w:sz w:val="12"/>
          <w:szCs w:val="12"/>
          <w:i w:val="1"/>
          <w:iCs w:val="1"/>
          <w:color w:val="auto"/>
        </w:rPr>
        <w:t>Financial Assets</w:t>
      </w:r>
    </w:p>
    <w:p>
      <w:pPr>
        <w:ind w:left="360"/>
        <w:spacing w:after="0"/>
        <w:rPr>
          <w:rFonts w:ascii="Arial" w:cs="Arial" w:eastAsia="Arial" w:hAnsi="Arial"/>
          <w:sz w:val="12"/>
          <w:szCs w:val="12"/>
          <w:b w:val="1"/>
          <w:bCs w:val="1"/>
          <w:color w:val="auto"/>
        </w:rPr>
      </w:pPr>
      <w:r>
        <w:rPr>
          <w:rFonts w:ascii="Arial" w:cs="Arial" w:eastAsia="Arial" w:hAnsi="Arial"/>
          <w:sz w:val="14"/>
          <w:szCs w:val="14"/>
          <w:color w:val="auto"/>
        </w:rPr>
        <w:t>The following tables provide the financial assets and liabilities measured at fair value on a recurring basis: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Amortized</w:t>
            </w:r>
          </w:p>
        </w:tc>
        <w:tc>
          <w:tcPr>
            <w:tcW w:w="180" w:type="dxa"/>
            <w:vAlign w:val="bottom"/>
          </w:tcPr>
          <w:p>
            <w:pPr>
              <w:spacing w:after="0"/>
              <w:rPr>
                <w:sz w:val="10"/>
                <w:szCs w:val="10"/>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2"/>
              </w:rPr>
              <w:t>Gross</w:t>
            </w:r>
          </w:p>
        </w:tc>
        <w:tc>
          <w:tcPr>
            <w:tcW w:w="160" w:type="dxa"/>
            <w:vAlign w:val="bottom"/>
          </w:tcPr>
          <w:p>
            <w:pPr>
              <w:spacing w:after="0"/>
              <w:rPr>
                <w:sz w:val="10"/>
                <w:szCs w:val="10"/>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2"/>
              </w:rPr>
              <w:t>Gross</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0"/>
                <w:szCs w:val="10"/>
                <w:b w:val="1"/>
                <w:bCs w:val="1"/>
                <w:color w:val="auto"/>
                <w:w w:val="87"/>
              </w:rPr>
              <w:t>Fair Value Hierarchy as of</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tcPr>
          <w:p>
            <w:pPr>
              <w:jc w:val="center"/>
              <w:ind w:right="240"/>
              <w:spacing w:after="0" w:line="92" w:lineRule="exact"/>
              <w:rPr>
                <w:sz w:val="20"/>
                <w:szCs w:val="20"/>
                <w:color w:val="auto"/>
              </w:rPr>
            </w:pPr>
            <w:r>
              <w:rPr>
                <w:rFonts w:ascii="Arial" w:cs="Arial" w:eastAsia="Arial" w:hAnsi="Arial"/>
                <w:sz w:val="10"/>
                <w:szCs w:val="10"/>
                <w:b w:val="1"/>
                <w:bCs w:val="1"/>
                <w:color w:val="auto"/>
                <w:w w:val="85"/>
              </w:rPr>
              <w:t>Cost or</w:t>
            </w:r>
          </w:p>
        </w:tc>
        <w:tc>
          <w:tcPr>
            <w:tcW w:w="1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180"/>
              <w:spacing w:after="0" w:line="92" w:lineRule="exact"/>
              <w:rPr>
                <w:sz w:val="20"/>
                <w:szCs w:val="20"/>
                <w:color w:val="auto"/>
              </w:rPr>
            </w:pPr>
            <w:r>
              <w:rPr>
                <w:rFonts w:ascii="Arial" w:cs="Arial" w:eastAsia="Arial" w:hAnsi="Arial"/>
                <w:sz w:val="10"/>
                <w:szCs w:val="10"/>
                <w:b w:val="1"/>
                <w:bCs w:val="1"/>
                <w:color w:val="auto"/>
                <w:w w:val="83"/>
              </w:rPr>
              <w:t>September 30, 2021</w:t>
            </w: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tcPr>
          <w:p>
            <w:pPr>
              <w:jc w:val="center"/>
              <w:ind w:right="240"/>
              <w:spacing w:after="0" w:line="41" w:lineRule="exact"/>
              <w:rPr>
                <w:sz w:val="20"/>
                <w:szCs w:val="20"/>
                <w:color w:val="auto"/>
              </w:rPr>
            </w:pPr>
            <w:r>
              <w:rPr>
                <w:rFonts w:ascii="Arial" w:cs="Arial" w:eastAsia="Arial" w:hAnsi="Arial"/>
                <w:sz w:val="4"/>
                <w:szCs w:val="4"/>
                <w:b w:val="1"/>
                <w:bCs w:val="1"/>
                <w:color w:val="auto"/>
              </w:rPr>
              <w:t>Carrying</w:t>
            </w:r>
          </w:p>
        </w:tc>
        <w:tc>
          <w:tcPr>
            <w:tcW w:w="180" w:type="dxa"/>
            <w:vAlign w:val="bottom"/>
          </w:tcPr>
          <w:p>
            <w:pPr>
              <w:spacing w:after="0"/>
              <w:rPr>
                <w:sz w:val="3"/>
                <w:szCs w:val="3"/>
                <w:color w:val="auto"/>
              </w:rPr>
            </w:pPr>
          </w:p>
        </w:tc>
        <w:tc>
          <w:tcPr>
            <w:tcW w:w="920" w:type="dxa"/>
            <w:vAlign w:val="bottom"/>
            <w:gridSpan w:val="2"/>
          </w:tcPr>
          <w:p>
            <w:pPr>
              <w:jc w:val="center"/>
              <w:ind w:right="280"/>
              <w:spacing w:after="0" w:line="41" w:lineRule="exact"/>
              <w:rPr>
                <w:sz w:val="20"/>
                <w:szCs w:val="20"/>
                <w:color w:val="auto"/>
              </w:rPr>
            </w:pPr>
            <w:r>
              <w:rPr>
                <w:rFonts w:ascii="Arial" w:cs="Arial" w:eastAsia="Arial" w:hAnsi="Arial"/>
                <w:sz w:val="4"/>
                <w:szCs w:val="4"/>
                <w:b w:val="1"/>
                <w:bCs w:val="1"/>
                <w:color w:val="auto"/>
              </w:rPr>
              <w:t>Unrealized</w:t>
            </w:r>
          </w:p>
        </w:tc>
        <w:tc>
          <w:tcPr>
            <w:tcW w:w="160" w:type="dxa"/>
            <w:vAlign w:val="bottom"/>
          </w:tcPr>
          <w:p>
            <w:pPr>
              <w:spacing w:after="0"/>
              <w:rPr>
                <w:sz w:val="3"/>
                <w:szCs w:val="3"/>
                <w:color w:val="auto"/>
              </w:rPr>
            </w:pPr>
          </w:p>
        </w:tc>
        <w:tc>
          <w:tcPr>
            <w:tcW w:w="920" w:type="dxa"/>
            <w:vAlign w:val="bottom"/>
            <w:gridSpan w:val="2"/>
          </w:tcPr>
          <w:p>
            <w:pPr>
              <w:jc w:val="center"/>
              <w:ind w:right="280"/>
              <w:spacing w:after="0" w:line="41" w:lineRule="exact"/>
              <w:rPr>
                <w:sz w:val="20"/>
                <w:szCs w:val="20"/>
                <w:color w:val="auto"/>
              </w:rPr>
            </w:pPr>
            <w:r>
              <w:rPr>
                <w:rFonts w:ascii="Arial" w:cs="Arial" w:eastAsia="Arial" w:hAnsi="Arial"/>
                <w:sz w:val="4"/>
                <w:szCs w:val="4"/>
                <w:b w:val="1"/>
                <w:bCs w:val="1"/>
                <w:color w:val="auto"/>
              </w:rPr>
              <w:t>Unrealized</w:t>
            </w: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jc w:val="right"/>
              <w:ind w:right="230"/>
              <w:spacing w:after="0" w:line="41" w:lineRule="exact"/>
              <w:rPr>
                <w:sz w:val="20"/>
                <w:szCs w:val="20"/>
                <w:color w:val="auto"/>
              </w:rPr>
            </w:pPr>
            <w:r>
              <w:rPr>
                <w:rFonts w:ascii="Arial" w:cs="Arial" w:eastAsia="Arial" w:hAnsi="Arial"/>
                <w:sz w:val="4"/>
                <w:szCs w:val="4"/>
                <w:b w:val="1"/>
                <w:bCs w:val="1"/>
                <w:color w:val="auto"/>
              </w:rPr>
              <w:t>Aggregate</w:t>
            </w:r>
          </w:p>
        </w:tc>
        <w:tc>
          <w:tcPr>
            <w:tcW w:w="0" w:type="dxa"/>
            <w:vAlign w:val="bottom"/>
          </w:tcPr>
          <w:p>
            <w:pPr>
              <w:spacing w:after="0"/>
              <w:rPr>
                <w:sz w:val="1"/>
                <w:szCs w:val="1"/>
                <w:color w:val="auto"/>
              </w:rPr>
            </w:pPr>
          </w:p>
        </w:tc>
      </w:tr>
      <w:tr>
        <w:trPr>
          <w:trHeight w:val="123"/>
        </w:trPr>
        <w:tc>
          <w:tcPr>
            <w:tcW w:w="38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9"/>
              </w:rPr>
              <w:t>Value</w:t>
            </w: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6"/>
              </w:rPr>
              <w:t>Gains</w:t>
            </w: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75"/>
              </w:rPr>
              <w:t>Losses</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6"/>
              <w:spacing w:after="0"/>
              <w:rPr>
                <w:sz w:val="20"/>
                <w:szCs w:val="20"/>
                <w:color w:val="auto"/>
              </w:rPr>
            </w:pPr>
            <w:r>
              <w:rPr>
                <w:rFonts w:ascii="Arial" w:cs="Arial" w:eastAsia="Arial" w:hAnsi="Arial"/>
                <w:sz w:val="10"/>
                <w:szCs w:val="10"/>
                <w:b w:val="1"/>
                <w:bCs w:val="1"/>
                <w:color w:val="auto"/>
                <w:w w:val="88"/>
              </w:rPr>
              <w:t>Level 1</w:t>
            </w: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8"/>
              </w:rPr>
              <w:t>Level 2</w:t>
            </w: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Level 3</w:t>
            </w: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40"/>
        </w:trPr>
        <w:tc>
          <w:tcPr>
            <w:tcW w:w="3800" w:type="dxa"/>
            <w:vAlign w:val="bottom"/>
          </w:tcPr>
          <w:p>
            <w:pPr>
              <w:ind w:left="20"/>
              <w:spacing w:after="0"/>
              <w:rPr>
                <w:sz w:val="20"/>
                <w:szCs w:val="20"/>
                <w:color w:val="auto"/>
              </w:rPr>
            </w:pPr>
            <w:r>
              <w:rPr>
                <w:rFonts w:ascii="Arial" w:cs="Arial" w:eastAsia="Arial" w:hAnsi="Arial"/>
                <w:sz w:val="11"/>
                <w:szCs w:val="11"/>
                <w:b w:val="1"/>
                <w:bCs w:val="1"/>
                <w:color w:val="auto"/>
              </w:rPr>
              <w:t>Financial Assets: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6"/>
              <w:spacing w:after="0"/>
              <w:rPr>
                <w:sz w:val="20"/>
                <w:szCs w:val="20"/>
                <w:color w:val="auto"/>
              </w:rPr>
            </w:pPr>
            <w:r>
              <w:rPr>
                <w:rFonts w:ascii="Arial" w:cs="Arial" w:eastAsia="Arial" w:hAnsi="Arial"/>
                <w:sz w:val="11"/>
                <w:szCs w:val="11"/>
                <w:color w:val="auto"/>
                <w:w w:val="88"/>
              </w:rPr>
              <w:t>(In thousands)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800" w:type="dxa"/>
            <w:vAlign w:val="bottom"/>
          </w:tcPr>
          <w:p>
            <w:pPr>
              <w:ind w:left="160"/>
              <w:spacing w:after="0"/>
              <w:rPr>
                <w:sz w:val="20"/>
                <w:szCs w:val="20"/>
                <w:color w:val="auto"/>
              </w:rPr>
            </w:pPr>
            <w:r>
              <w:rPr>
                <w:rFonts w:ascii="Arial" w:cs="Arial" w:eastAsia="Arial" w:hAnsi="Arial"/>
                <w:sz w:val="11"/>
                <w:szCs w:val="11"/>
                <w:color w:val="auto"/>
              </w:rPr>
              <w:t>Money market funds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10"/>
              <w:spacing w:after="0"/>
              <w:rPr>
                <w:sz w:val="20"/>
                <w:szCs w:val="20"/>
                <w:color w:val="auto"/>
              </w:rPr>
            </w:pPr>
            <w:r>
              <w:rPr>
                <w:rFonts w:ascii="Arial" w:cs="Arial" w:eastAsia="Arial" w:hAnsi="Arial"/>
                <w:sz w:val="11"/>
                <w:szCs w:val="11"/>
                <w:color w:val="auto"/>
              </w:rPr>
              <w:t>1,087,268</w:t>
            </w:r>
          </w:p>
        </w:tc>
        <w:tc>
          <w:tcPr>
            <w:tcW w:w="8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1,087,268</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1,087,268</w:t>
            </w:r>
          </w:p>
        </w:tc>
        <w:tc>
          <w:tcPr>
            <w:tcW w:w="0" w:type="dxa"/>
            <w:vAlign w:val="bottom"/>
          </w:tcPr>
          <w:p>
            <w:pPr>
              <w:spacing w:after="0"/>
              <w:rPr>
                <w:sz w:val="1"/>
                <w:szCs w:val="1"/>
                <w:color w:val="auto"/>
              </w:rPr>
            </w:pPr>
          </w:p>
        </w:tc>
      </w:tr>
      <w:tr>
        <w:trPr>
          <w:trHeight w:val="146"/>
        </w:trPr>
        <w:tc>
          <w:tcPr>
            <w:tcW w:w="38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Commercial paper</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1"/>
                <w:szCs w:val="11"/>
                <w:color w:val="auto"/>
              </w:rPr>
              <w:t>74,209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74,209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74,209</w:t>
            </w:r>
          </w:p>
        </w:tc>
        <w:tc>
          <w:tcPr>
            <w:tcW w:w="0" w:type="dxa"/>
            <w:vAlign w:val="bottom"/>
          </w:tcPr>
          <w:p>
            <w:pPr>
              <w:spacing w:after="0"/>
              <w:rPr>
                <w:sz w:val="1"/>
                <w:szCs w:val="1"/>
                <w:color w:val="auto"/>
              </w:rPr>
            </w:pPr>
          </w:p>
        </w:tc>
      </w:tr>
      <w:tr>
        <w:trPr>
          <w:trHeight w:val="130"/>
        </w:trPr>
        <w:tc>
          <w:tcPr>
            <w:tcW w:w="3800" w:type="dxa"/>
            <w:vAlign w:val="bottom"/>
            <w:tcBorders>
              <w:bottom w:val="single" w:sz="8" w:color="CCEEFF"/>
            </w:tcBorders>
          </w:tcPr>
          <w:p>
            <w:pPr>
              <w:ind w:left="360"/>
              <w:spacing w:after="0" w:line="117" w:lineRule="exact"/>
              <w:rPr>
                <w:sz w:val="20"/>
                <w:szCs w:val="20"/>
                <w:color w:val="auto"/>
              </w:rPr>
            </w:pPr>
            <w:r>
              <w:rPr>
                <w:rFonts w:ascii="Arial" w:cs="Arial" w:eastAsia="Arial" w:hAnsi="Arial"/>
                <w:sz w:val="11"/>
                <w:szCs w:val="11"/>
                <w:color w:val="auto"/>
              </w:rPr>
              <w:t>Total included in cash and cash equivalents</w:t>
            </w:r>
          </w:p>
        </w:tc>
        <w:tc>
          <w:tcPr>
            <w:tcW w:w="1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1"/>
                <w:szCs w:val="11"/>
                <w:color w:val="auto"/>
              </w:rPr>
              <w:t>1,161,477</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1,087,268</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74,209</w:t>
            </w: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1,161,477</w:t>
            </w:r>
          </w:p>
        </w:tc>
        <w:tc>
          <w:tcPr>
            <w:tcW w:w="0" w:type="dxa"/>
            <w:vAlign w:val="bottom"/>
          </w:tcPr>
          <w:p>
            <w:pPr>
              <w:spacing w:after="0"/>
              <w:rPr>
                <w:sz w:val="1"/>
                <w:szCs w:val="1"/>
                <w:color w:val="auto"/>
              </w:rPr>
            </w:pPr>
          </w:p>
        </w:tc>
      </w:tr>
      <w:tr>
        <w:trPr>
          <w:trHeight w:val="126"/>
        </w:trPr>
        <w:tc>
          <w:tcPr>
            <w:tcW w:w="3800" w:type="dxa"/>
            <w:vAlign w:val="bottom"/>
            <w:shd w:val="clear" w:color="auto" w:fill="CCEEFF"/>
          </w:tcPr>
          <w:p>
            <w:pPr>
              <w:ind w:left="20"/>
              <w:spacing w:after="0" w:line="120" w:lineRule="exact"/>
              <w:rPr>
                <w:sz w:val="20"/>
                <w:szCs w:val="20"/>
                <w:color w:val="auto"/>
              </w:rPr>
            </w:pPr>
            <w:r>
              <w:rPr>
                <w:rFonts w:ascii="Arial" w:cs="Arial" w:eastAsia="Arial" w:hAnsi="Arial"/>
                <w:sz w:val="11"/>
                <w:szCs w:val="11"/>
                <w:color w:val="auto"/>
              </w:rPr>
              <w:t>Marketable securities:</w:t>
            </w: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800" w:type="dxa"/>
            <w:vAlign w:val="bottom"/>
          </w:tcPr>
          <w:p>
            <w:pPr>
              <w:ind w:left="160"/>
              <w:spacing w:after="0"/>
              <w:rPr>
                <w:sz w:val="20"/>
                <w:szCs w:val="20"/>
                <w:color w:val="auto"/>
              </w:rPr>
            </w:pPr>
            <w:r>
              <w:rPr>
                <w:rFonts w:ascii="Arial" w:cs="Arial" w:eastAsia="Arial" w:hAnsi="Arial"/>
                <w:sz w:val="11"/>
                <w:szCs w:val="11"/>
                <w:color w:val="auto"/>
              </w:rPr>
              <w:t>U.S. Treasury securities</w:t>
            </w:r>
          </w:p>
        </w:tc>
        <w:tc>
          <w:tcPr>
            <w:tcW w:w="180" w:type="dxa"/>
            <w:vAlign w:val="bottom"/>
          </w:tcPr>
          <w:p>
            <w:pPr>
              <w:spacing w:after="0"/>
              <w:rPr>
                <w:sz w:val="12"/>
                <w:szCs w:val="12"/>
                <w:color w:val="auto"/>
              </w:rPr>
            </w:pPr>
          </w:p>
        </w:tc>
        <w:tc>
          <w:tcPr>
            <w:tcW w:w="820" w:type="dxa"/>
            <w:vAlign w:val="bottom"/>
          </w:tcPr>
          <w:p>
            <w:pPr>
              <w:jc w:val="right"/>
              <w:ind w:right="10"/>
              <w:spacing w:after="0"/>
              <w:rPr>
                <w:sz w:val="20"/>
                <w:szCs w:val="20"/>
                <w:color w:val="auto"/>
              </w:rPr>
            </w:pPr>
            <w:r>
              <w:rPr>
                <w:rFonts w:ascii="Arial" w:cs="Arial" w:eastAsia="Arial" w:hAnsi="Arial"/>
                <w:sz w:val="11"/>
                <w:szCs w:val="11"/>
                <w:color w:val="auto"/>
              </w:rPr>
              <w:t>349,951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(353)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349,671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8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349,671</w:t>
            </w:r>
          </w:p>
        </w:tc>
        <w:tc>
          <w:tcPr>
            <w:tcW w:w="0" w:type="dxa"/>
            <w:vAlign w:val="bottom"/>
          </w:tcPr>
          <w:p>
            <w:pPr>
              <w:spacing w:after="0"/>
              <w:rPr>
                <w:sz w:val="1"/>
                <w:szCs w:val="1"/>
                <w:color w:val="auto"/>
              </w:rPr>
            </w:pPr>
          </w:p>
        </w:tc>
      </w:tr>
      <w:tr>
        <w:trPr>
          <w:trHeight w:val="146"/>
        </w:trPr>
        <w:tc>
          <w:tcPr>
            <w:tcW w:w="38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Non-U.S. Government securities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1"/>
                <w:szCs w:val="11"/>
                <w:color w:val="auto"/>
              </w:rPr>
              <w:t>242,258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242,013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242,013</w:t>
            </w:r>
          </w:p>
        </w:tc>
        <w:tc>
          <w:tcPr>
            <w:tcW w:w="0" w:type="dxa"/>
            <w:vAlign w:val="bottom"/>
          </w:tcPr>
          <w:p>
            <w:pPr>
              <w:spacing w:after="0"/>
              <w:rPr>
                <w:sz w:val="1"/>
                <w:szCs w:val="1"/>
                <w:color w:val="auto"/>
              </w:rPr>
            </w:pPr>
          </w:p>
        </w:tc>
      </w:tr>
      <w:tr>
        <w:trPr>
          <w:trHeight w:val="140"/>
        </w:trPr>
        <w:tc>
          <w:tcPr>
            <w:tcW w:w="3800" w:type="dxa"/>
            <w:vAlign w:val="bottom"/>
          </w:tcPr>
          <w:p>
            <w:pPr>
              <w:ind w:left="160"/>
              <w:spacing w:after="0"/>
              <w:rPr>
                <w:sz w:val="20"/>
                <w:szCs w:val="20"/>
                <w:color w:val="auto"/>
              </w:rPr>
            </w:pPr>
            <w:r>
              <w:rPr>
                <w:rFonts w:ascii="Arial" w:cs="Arial" w:eastAsia="Arial" w:hAnsi="Arial"/>
                <w:sz w:val="11"/>
                <w:szCs w:val="11"/>
                <w:color w:val="auto"/>
              </w:rPr>
              <w:t>Corporate debt securities and commercial paper</w:t>
            </w:r>
          </w:p>
        </w:tc>
        <w:tc>
          <w:tcPr>
            <w:tcW w:w="180" w:type="dxa"/>
            <w:vAlign w:val="bottom"/>
          </w:tcPr>
          <w:p>
            <w:pPr>
              <w:spacing w:after="0"/>
              <w:rPr>
                <w:sz w:val="12"/>
                <w:szCs w:val="12"/>
                <w:color w:val="auto"/>
              </w:rPr>
            </w:pPr>
          </w:p>
        </w:tc>
        <w:tc>
          <w:tcPr>
            <w:tcW w:w="820" w:type="dxa"/>
            <w:vAlign w:val="bottom"/>
          </w:tcPr>
          <w:p>
            <w:pPr>
              <w:jc w:val="right"/>
              <w:ind w:right="10"/>
              <w:spacing w:after="0"/>
              <w:rPr>
                <w:sz w:val="20"/>
                <w:szCs w:val="20"/>
                <w:color w:val="auto"/>
              </w:rPr>
            </w:pPr>
            <w:r>
              <w:rPr>
                <w:rFonts w:ascii="Arial" w:cs="Arial" w:eastAsia="Arial" w:hAnsi="Arial"/>
                <w:sz w:val="11"/>
                <w:szCs w:val="11"/>
                <w:color w:val="auto"/>
              </w:rPr>
              <w:t>3,302,309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4,141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(1,380)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27,000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3,278,070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3,305,070</w:t>
            </w:r>
          </w:p>
        </w:tc>
        <w:tc>
          <w:tcPr>
            <w:tcW w:w="0" w:type="dxa"/>
            <w:vAlign w:val="bottom"/>
          </w:tcPr>
          <w:p>
            <w:pPr>
              <w:spacing w:after="0"/>
              <w:rPr>
                <w:sz w:val="1"/>
                <w:szCs w:val="1"/>
                <w:color w:val="auto"/>
              </w:rPr>
            </w:pPr>
          </w:p>
        </w:tc>
      </w:tr>
      <w:tr>
        <w:trPr>
          <w:trHeight w:val="136"/>
        </w:trPr>
        <w:tc>
          <w:tcPr>
            <w:tcW w:w="3800" w:type="dxa"/>
            <w:vAlign w:val="bottom"/>
            <w:tcBorders>
              <w:top w:val="single" w:sz="8" w:color="CCEEFF"/>
            </w:tcBorders>
            <w:shd w:val="clear" w:color="auto" w:fill="CCEEFF"/>
          </w:tcPr>
          <w:p>
            <w:pPr>
              <w:ind w:left="360"/>
              <w:spacing w:after="0" w:line="120" w:lineRule="exact"/>
              <w:rPr>
                <w:sz w:val="20"/>
                <w:szCs w:val="20"/>
                <w:color w:val="auto"/>
              </w:rPr>
            </w:pPr>
            <w:r>
              <w:rPr>
                <w:rFonts w:ascii="Arial" w:cs="Arial" w:eastAsia="Arial" w:hAnsi="Arial"/>
                <w:sz w:val="11"/>
                <w:szCs w:val="11"/>
                <w:color w:val="auto"/>
              </w:rPr>
              <w:t>Total marketable securities</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1"/>
                <w:szCs w:val="11"/>
                <w:color w:val="auto"/>
              </w:rPr>
              <w:t>3,894,518</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4,218</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(1,982)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618,684</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3,278,070</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3,896,754</w:t>
            </w:r>
          </w:p>
        </w:tc>
        <w:tc>
          <w:tcPr>
            <w:tcW w:w="0" w:type="dxa"/>
            <w:vAlign w:val="bottom"/>
          </w:tcPr>
          <w:p>
            <w:pPr>
              <w:spacing w:after="0"/>
              <w:rPr>
                <w:sz w:val="1"/>
                <w:szCs w:val="1"/>
                <w:color w:val="auto"/>
              </w:rPr>
            </w:pPr>
          </w:p>
        </w:tc>
      </w:tr>
      <w:tr>
        <w:trPr>
          <w:trHeight w:val="130"/>
        </w:trPr>
        <w:tc>
          <w:tcPr>
            <w:tcW w:w="3800" w:type="dxa"/>
            <w:vAlign w:val="bottom"/>
          </w:tcPr>
          <w:p>
            <w:pPr>
              <w:ind w:left="520"/>
              <w:spacing w:after="0" w:line="124" w:lineRule="exact"/>
              <w:rPr>
                <w:sz w:val="20"/>
                <w:szCs w:val="20"/>
                <w:color w:val="auto"/>
              </w:rPr>
            </w:pPr>
            <w:r>
              <w:rPr>
                <w:rFonts w:ascii="Arial" w:cs="Arial" w:eastAsia="Arial" w:hAnsi="Arial"/>
                <w:sz w:val="11"/>
                <w:szCs w:val="11"/>
                <w:color w:val="auto"/>
              </w:rPr>
              <w:t>Total financial assets</w:t>
            </w: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1"/>
                <w:szCs w:val="11"/>
                <w:color w:val="auto"/>
              </w:rPr>
              <w:t>5,055,995</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4,218</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(1,982)</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1,705,952</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3,352,279</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ind w:left="6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5,058,231</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800" w:type="dxa"/>
            <w:vAlign w:val="bottom"/>
            <w:shd w:val="clear" w:color="auto" w:fill="CCEEFF"/>
          </w:tcPr>
          <w:p>
            <w:pPr>
              <w:ind w:left="20"/>
              <w:spacing w:after="0" w:line="106" w:lineRule="exact"/>
              <w:rPr>
                <w:sz w:val="20"/>
                <w:szCs w:val="20"/>
                <w:color w:val="auto"/>
              </w:rPr>
            </w:pPr>
            <w:r>
              <w:rPr>
                <w:rFonts w:ascii="Arial" w:cs="Arial" w:eastAsia="Arial" w:hAnsi="Arial"/>
                <w:sz w:val="11"/>
                <w:szCs w:val="11"/>
                <w:b w:val="1"/>
                <w:bCs w:val="1"/>
                <w:color w:val="auto"/>
              </w:rPr>
              <w:t>Financial Liabilities:</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800" w:type="dxa"/>
            <w:vAlign w:val="bottom"/>
          </w:tcPr>
          <w:p>
            <w:pPr>
              <w:ind w:left="20"/>
              <w:spacing w:after="0"/>
              <w:rPr>
                <w:sz w:val="20"/>
                <w:szCs w:val="20"/>
                <w:color w:val="auto"/>
              </w:rPr>
            </w:pPr>
            <w:r>
              <w:rPr>
                <w:rFonts w:ascii="Arial" w:cs="Arial" w:eastAsia="Arial" w:hAnsi="Arial"/>
                <w:sz w:val="11"/>
                <w:szCs w:val="11"/>
                <w:color w:val="auto"/>
              </w:rPr>
              <w:t>Accrued expenses and other current liabilities: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Foreign currency derivative liabilities</w:t>
            </w: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(3,069)</w:t>
            </w:r>
          </w:p>
        </w:tc>
        <w:tc>
          <w:tcPr>
            <w:tcW w:w="0" w:type="dxa"/>
            <w:vAlign w:val="bottom"/>
          </w:tcPr>
          <w:p>
            <w:pPr>
              <w:spacing w:after="0"/>
              <w:rPr>
                <w:sz w:val="1"/>
                <w:szCs w:val="1"/>
                <w:color w:val="auto"/>
              </w:rPr>
            </w:pPr>
          </w:p>
        </w:tc>
      </w:tr>
      <w:tr>
        <w:trPr>
          <w:trHeight w:val="130"/>
        </w:trPr>
        <w:tc>
          <w:tcPr>
            <w:tcW w:w="3800" w:type="dxa"/>
            <w:vAlign w:val="bottom"/>
          </w:tcPr>
          <w:p>
            <w:pPr>
              <w:ind w:left="520"/>
              <w:spacing w:after="0" w:line="124" w:lineRule="exact"/>
              <w:rPr>
                <w:sz w:val="20"/>
                <w:szCs w:val="20"/>
                <w:color w:val="auto"/>
              </w:rPr>
            </w:pPr>
            <w:r>
              <w:rPr>
                <w:rFonts w:ascii="Arial" w:cs="Arial" w:eastAsia="Arial" w:hAnsi="Arial"/>
                <w:sz w:val="11"/>
                <w:szCs w:val="11"/>
                <w:color w:val="auto"/>
              </w:rPr>
              <w:t>Total financial liabilities</w:t>
            </w: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(3,069)</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(3,069)</w:t>
            </w:r>
          </w:p>
        </w:tc>
        <w:tc>
          <w:tcPr>
            <w:tcW w:w="10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(3,069)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Amortized</w:t>
            </w:r>
          </w:p>
        </w:tc>
        <w:tc>
          <w:tcPr>
            <w:tcW w:w="180" w:type="dxa"/>
            <w:vAlign w:val="bottom"/>
          </w:tcPr>
          <w:p>
            <w:pPr>
              <w:spacing w:after="0"/>
              <w:rPr>
                <w:sz w:val="24"/>
                <w:szCs w:val="24"/>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2"/>
              </w:rPr>
              <w:t>Gross</w:t>
            </w:r>
          </w:p>
        </w:tc>
        <w:tc>
          <w:tcPr>
            <w:tcW w:w="160" w:type="dxa"/>
            <w:vAlign w:val="bottom"/>
          </w:tcPr>
          <w:p>
            <w:pPr>
              <w:spacing w:after="0"/>
              <w:rPr>
                <w:sz w:val="24"/>
                <w:szCs w:val="24"/>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2"/>
              </w:rPr>
              <w:t>Gross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0"/>
                <w:szCs w:val="10"/>
                <w:b w:val="1"/>
                <w:bCs w:val="1"/>
                <w:color w:val="auto"/>
                <w:w w:val="87"/>
              </w:rPr>
              <w:t>Fair Value Hierarchy as of</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tcPr>
          <w:p>
            <w:pPr>
              <w:jc w:val="center"/>
              <w:ind w:right="240"/>
              <w:spacing w:after="0" w:line="92" w:lineRule="exact"/>
              <w:rPr>
                <w:sz w:val="20"/>
                <w:szCs w:val="20"/>
                <w:color w:val="auto"/>
              </w:rPr>
            </w:pPr>
            <w:r>
              <w:rPr>
                <w:rFonts w:ascii="Arial" w:cs="Arial" w:eastAsia="Arial" w:hAnsi="Arial"/>
                <w:sz w:val="10"/>
                <w:szCs w:val="10"/>
                <w:b w:val="1"/>
                <w:bCs w:val="1"/>
                <w:color w:val="auto"/>
                <w:w w:val="85"/>
              </w:rPr>
              <w:t>Cost or</w:t>
            </w:r>
          </w:p>
        </w:tc>
        <w:tc>
          <w:tcPr>
            <w:tcW w:w="1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180"/>
              <w:spacing w:after="0" w:line="92" w:lineRule="exact"/>
              <w:rPr>
                <w:sz w:val="20"/>
                <w:szCs w:val="20"/>
                <w:color w:val="auto"/>
              </w:rPr>
            </w:pPr>
            <w:r>
              <w:rPr>
                <w:rFonts w:ascii="Arial" w:cs="Arial" w:eastAsia="Arial" w:hAnsi="Arial"/>
                <w:sz w:val="10"/>
                <w:szCs w:val="10"/>
                <w:b w:val="1"/>
                <w:bCs w:val="1"/>
                <w:color w:val="auto"/>
                <w:w w:val="86"/>
              </w:rPr>
              <w:t>December 31, 2020</w:t>
            </w: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tcPr>
          <w:p>
            <w:pPr>
              <w:jc w:val="center"/>
              <w:ind w:right="240"/>
              <w:spacing w:after="0" w:line="41" w:lineRule="exact"/>
              <w:rPr>
                <w:sz w:val="20"/>
                <w:szCs w:val="20"/>
                <w:color w:val="auto"/>
              </w:rPr>
            </w:pPr>
            <w:r>
              <w:rPr>
                <w:rFonts w:ascii="Arial" w:cs="Arial" w:eastAsia="Arial" w:hAnsi="Arial"/>
                <w:sz w:val="4"/>
                <w:szCs w:val="4"/>
                <w:b w:val="1"/>
                <w:bCs w:val="1"/>
                <w:color w:val="auto"/>
              </w:rPr>
              <w:t>Carrying</w:t>
            </w:r>
          </w:p>
        </w:tc>
        <w:tc>
          <w:tcPr>
            <w:tcW w:w="180" w:type="dxa"/>
            <w:vAlign w:val="bottom"/>
          </w:tcPr>
          <w:p>
            <w:pPr>
              <w:spacing w:after="0"/>
              <w:rPr>
                <w:sz w:val="3"/>
                <w:szCs w:val="3"/>
                <w:color w:val="auto"/>
              </w:rPr>
            </w:pPr>
          </w:p>
        </w:tc>
        <w:tc>
          <w:tcPr>
            <w:tcW w:w="920" w:type="dxa"/>
            <w:vAlign w:val="bottom"/>
            <w:gridSpan w:val="2"/>
          </w:tcPr>
          <w:p>
            <w:pPr>
              <w:jc w:val="center"/>
              <w:ind w:right="280"/>
              <w:spacing w:after="0" w:line="41" w:lineRule="exact"/>
              <w:rPr>
                <w:sz w:val="20"/>
                <w:szCs w:val="20"/>
                <w:color w:val="auto"/>
              </w:rPr>
            </w:pPr>
            <w:r>
              <w:rPr>
                <w:rFonts w:ascii="Arial" w:cs="Arial" w:eastAsia="Arial" w:hAnsi="Arial"/>
                <w:sz w:val="4"/>
                <w:szCs w:val="4"/>
                <w:b w:val="1"/>
                <w:bCs w:val="1"/>
                <w:color w:val="auto"/>
              </w:rPr>
              <w:t>Unrealized</w:t>
            </w:r>
          </w:p>
        </w:tc>
        <w:tc>
          <w:tcPr>
            <w:tcW w:w="160" w:type="dxa"/>
            <w:vAlign w:val="bottom"/>
          </w:tcPr>
          <w:p>
            <w:pPr>
              <w:spacing w:after="0"/>
              <w:rPr>
                <w:sz w:val="3"/>
                <w:szCs w:val="3"/>
                <w:color w:val="auto"/>
              </w:rPr>
            </w:pPr>
          </w:p>
        </w:tc>
        <w:tc>
          <w:tcPr>
            <w:tcW w:w="920" w:type="dxa"/>
            <w:vAlign w:val="bottom"/>
            <w:gridSpan w:val="2"/>
          </w:tcPr>
          <w:p>
            <w:pPr>
              <w:jc w:val="center"/>
              <w:ind w:right="280"/>
              <w:spacing w:after="0" w:line="41" w:lineRule="exact"/>
              <w:rPr>
                <w:sz w:val="20"/>
                <w:szCs w:val="20"/>
                <w:color w:val="auto"/>
              </w:rPr>
            </w:pPr>
            <w:r>
              <w:rPr>
                <w:rFonts w:ascii="Arial" w:cs="Arial" w:eastAsia="Arial" w:hAnsi="Arial"/>
                <w:sz w:val="4"/>
                <w:szCs w:val="4"/>
                <w:b w:val="1"/>
                <w:bCs w:val="1"/>
                <w:color w:val="auto"/>
              </w:rPr>
              <w:t>Unrealized</w:t>
            </w: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jc w:val="right"/>
              <w:ind w:right="230"/>
              <w:spacing w:after="0" w:line="41" w:lineRule="exact"/>
              <w:rPr>
                <w:sz w:val="20"/>
                <w:szCs w:val="20"/>
                <w:color w:val="auto"/>
              </w:rPr>
            </w:pPr>
            <w:r>
              <w:rPr>
                <w:rFonts w:ascii="Arial" w:cs="Arial" w:eastAsia="Arial" w:hAnsi="Arial"/>
                <w:sz w:val="4"/>
                <w:szCs w:val="4"/>
                <w:b w:val="1"/>
                <w:bCs w:val="1"/>
                <w:color w:val="auto"/>
              </w:rPr>
              <w:t>Aggregate</w:t>
            </w:r>
          </w:p>
        </w:tc>
        <w:tc>
          <w:tcPr>
            <w:tcW w:w="0" w:type="dxa"/>
            <w:vAlign w:val="bottom"/>
          </w:tcPr>
          <w:p>
            <w:pPr>
              <w:spacing w:after="0"/>
              <w:rPr>
                <w:sz w:val="1"/>
                <w:szCs w:val="1"/>
                <w:color w:val="auto"/>
              </w:rPr>
            </w:pPr>
          </w:p>
        </w:tc>
      </w:tr>
      <w:tr>
        <w:trPr>
          <w:trHeight w:val="123"/>
        </w:trPr>
        <w:tc>
          <w:tcPr>
            <w:tcW w:w="38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9"/>
              </w:rPr>
              <w:t>Value</w:t>
            </w: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6"/>
              </w:rPr>
              <w:t>Gains</w:t>
            </w: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75"/>
              </w:rPr>
              <w:t>Losses</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6"/>
              <w:spacing w:after="0"/>
              <w:rPr>
                <w:sz w:val="20"/>
                <w:szCs w:val="20"/>
                <w:color w:val="auto"/>
              </w:rPr>
            </w:pPr>
            <w:r>
              <w:rPr>
                <w:rFonts w:ascii="Arial" w:cs="Arial" w:eastAsia="Arial" w:hAnsi="Arial"/>
                <w:sz w:val="10"/>
                <w:szCs w:val="10"/>
                <w:b w:val="1"/>
                <w:bCs w:val="1"/>
                <w:color w:val="auto"/>
                <w:w w:val="88"/>
              </w:rPr>
              <w:t>Level 1</w:t>
            </w: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8"/>
              </w:rPr>
              <w:t>Level 2</w:t>
            </w: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Level 3</w:t>
            </w: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40"/>
        </w:trPr>
        <w:tc>
          <w:tcPr>
            <w:tcW w:w="3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Financial Assets: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6"/>
              <w:spacing w:after="0"/>
              <w:rPr>
                <w:sz w:val="20"/>
                <w:szCs w:val="20"/>
                <w:color w:val="auto"/>
              </w:rPr>
            </w:pPr>
            <w:r>
              <w:rPr>
                <w:rFonts w:ascii="Arial" w:cs="Arial" w:eastAsia="Arial" w:hAnsi="Arial"/>
                <w:sz w:val="11"/>
                <w:szCs w:val="11"/>
                <w:color w:val="auto"/>
                <w:w w:val="88"/>
              </w:rPr>
              <w:t>(In thousands)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800" w:type="dxa"/>
            <w:vAlign w:val="bottom"/>
          </w:tcPr>
          <w:p>
            <w:pPr>
              <w:ind w:left="160"/>
              <w:spacing w:after="0"/>
              <w:rPr>
                <w:sz w:val="20"/>
                <w:szCs w:val="20"/>
                <w:color w:val="auto"/>
              </w:rPr>
            </w:pPr>
            <w:r>
              <w:rPr>
                <w:rFonts w:ascii="Arial" w:cs="Arial" w:eastAsia="Arial" w:hAnsi="Arial"/>
                <w:sz w:val="11"/>
                <w:szCs w:val="11"/>
                <w:color w:val="auto"/>
              </w:rPr>
              <w:t>Money market funds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10"/>
              <w:spacing w:after="0"/>
              <w:rPr>
                <w:sz w:val="20"/>
                <w:szCs w:val="20"/>
                <w:color w:val="auto"/>
              </w:rPr>
            </w:pPr>
            <w:r>
              <w:rPr>
                <w:rFonts w:ascii="Arial" w:cs="Arial" w:eastAsia="Arial" w:hAnsi="Arial"/>
                <w:sz w:val="11"/>
                <w:szCs w:val="11"/>
                <w:color w:val="auto"/>
              </w:rPr>
              <w:t>656,749</w:t>
            </w:r>
          </w:p>
        </w:tc>
        <w:tc>
          <w:tcPr>
            <w:tcW w:w="8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656,749</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656,749</w:t>
            </w:r>
          </w:p>
        </w:tc>
        <w:tc>
          <w:tcPr>
            <w:tcW w:w="0" w:type="dxa"/>
            <w:vAlign w:val="bottom"/>
          </w:tcPr>
          <w:p>
            <w:pPr>
              <w:spacing w:after="0"/>
              <w:rPr>
                <w:sz w:val="1"/>
                <w:szCs w:val="1"/>
                <w:color w:val="auto"/>
              </w:rPr>
            </w:pPr>
          </w:p>
        </w:tc>
      </w:tr>
      <w:tr>
        <w:trPr>
          <w:trHeight w:val="146"/>
        </w:trPr>
        <w:tc>
          <w:tcPr>
            <w:tcW w:w="38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Commercial paper</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1"/>
                <w:szCs w:val="11"/>
                <w:color w:val="auto"/>
              </w:rPr>
              <w:t>2,000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w:t>
            </w:r>
          </w:p>
        </w:tc>
        <w:tc>
          <w:tcPr>
            <w:tcW w:w="0" w:type="dxa"/>
            <w:vAlign w:val="bottom"/>
          </w:tcPr>
          <w:p>
            <w:pPr>
              <w:spacing w:after="0"/>
              <w:rPr>
                <w:sz w:val="1"/>
                <w:szCs w:val="1"/>
                <w:color w:val="auto"/>
              </w:rPr>
            </w:pPr>
          </w:p>
        </w:tc>
      </w:tr>
      <w:tr>
        <w:trPr>
          <w:trHeight w:val="130"/>
        </w:trPr>
        <w:tc>
          <w:tcPr>
            <w:tcW w:w="3800" w:type="dxa"/>
            <w:vAlign w:val="bottom"/>
            <w:tcBorders>
              <w:bottom w:val="single" w:sz="8" w:color="CCEEFF"/>
            </w:tcBorders>
          </w:tcPr>
          <w:p>
            <w:pPr>
              <w:ind w:left="360"/>
              <w:spacing w:after="0" w:line="117" w:lineRule="exact"/>
              <w:rPr>
                <w:sz w:val="20"/>
                <w:szCs w:val="20"/>
                <w:color w:val="auto"/>
              </w:rPr>
            </w:pPr>
            <w:r>
              <w:rPr>
                <w:rFonts w:ascii="Arial" w:cs="Arial" w:eastAsia="Arial" w:hAnsi="Arial"/>
                <w:sz w:val="11"/>
                <w:szCs w:val="11"/>
                <w:color w:val="auto"/>
              </w:rPr>
              <w:t>Total included in cash and cash equivalents</w:t>
            </w:r>
          </w:p>
        </w:tc>
        <w:tc>
          <w:tcPr>
            <w:tcW w:w="1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1"/>
                <w:szCs w:val="11"/>
                <w:color w:val="auto"/>
              </w:rPr>
              <w:t>658,749</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656,749</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2,000</w:t>
            </w: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658,749</w:t>
            </w:r>
          </w:p>
        </w:tc>
        <w:tc>
          <w:tcPr>
            <w:tcW w:w="0" w:type="dxa"/>
            <w:vAlign w:val="bottom"/>
          </w:tcPr>
          <w:p>
            <w:pPr>
              <w:spacing w:after="0"/>
              <w:rPr>
                <w:sz w:val="1"/>
                <w:szCs w:val="1"/>
                <w:color w:val="auto"/>
              </w:rPr>
            </w:pPr>
          </w:p>
        </w:tc>
      </w:tr>
      <w:tr>
        <w:trPr>
          <w:trHeight w:val="126"/>
        </w:trPr>
        <w:tc>
          <w:tcPr>
            <w:tcW w:w="3800" w:type="dxa"/>
            <w:vAlign w:val="bottom"/>
            <w:shd w:val="clear" w:color="auto" w:fill="CCEEFF"/>
          </w:tcPr>
          <w:p>
            <w:pPr>
              <w:ind w:left="20"/>
              <w:spacing w:after="0" w:line="120" w:lineRule="exact"/>
              <w:rPr>
                <w:sz w:val="20"/>
                <w:szCs w:val="20"/>
                <w:color w:val="auto"/>
              </w:rPr>
            </w:pPr>
            <w:r>
              <w:rPr>
                <w:rFonts w:ascii="Arial" w:cs="Arial" w:eastAsia="Arial" w:hAnsi="Arial"/>
                <w:sz w:val="11"/>
                <w:szCs w:val="11"/>
                <w:color w:val="auto"/>
              </w:rPr>
              <w:t>Marketable securities:</w:t>
            </w: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800" w:type="dxa"/>
            <w:vAlign w:val="bottom"/>
          </w:tcPr>
          <w:p>
            <w:pPr>
              <w:ind w:left="160"/>
              <w:spacing w:after="0"/>
              <w:rPr>
                <w:sz w:val="20"/>
                <w:szCs w:val="20"/>
                <w:color w:val="auto"/>
              </w:rPr>
            </w:pPr>
            <w:r>
              <w:rPr>
                <w:rFonts w:ascii="Arial" w:cs="Arial" w:eastAsia="Arial" w:hAnsi="Arial"/>
                <w:sz w:val="11"/>
                <w:szCs w:val="11"/>
                <w:color w:val="auto"/>
              </w:rPr>
              <w:t>U.S. Treasury securities</w:t>
            </w:r>
          </w:p>
        </w:tc>
        <w:tc>
          <w:tcPr>
            <w:tcW w:w="180" w:type="dxa"/>
            <w:vAlign w:val="bottom"/>
          </w:tcPr>
          <w:p>
            <w:pPr>
              <w:spacing w:after="0"/>
              <w:rPr>
                <w:sz w:val="12"/>
                <w:szCs w:val="12"/>
                <w:color w:val="auto"/>
              </w:rPr>
            </w:pPr>
          </w:p>
        </w:tc>
        <w:tc>
          <w:tcPr>
            <w:tcW w:w="820" w:type="dxa"/>
            <w:vAlign w:val="bottom"/>
          </w:tcPr>
          <w:p>
            <w:pPr>
              <w:jc w:val="right"/>
              <w:ind w:right="10"/>
              <w:spacing w:after="0"/>
              <w:rPr>
                <w:sz w:val="20"/>
                <w:szCs w:val="20"/>
                <w:color w:val="auto"/>
              </w:rPr>
            </w:pPr>
            <w:r>
              <w:rPr>
                <w:rFonts w:ascii="Arial" w:cs="Arial" w:eastAsia="Arial" w:hAnsi="Arial"/>
                <w:sz w:val="11"/>
                <w:szCs w:val="11"/>
                <w:color w:val="auto"/>
              </w:rPr>
              <w:t>223,247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389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223,635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8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223,635</w:t>
            </w:r>
          </w:p>
        </w:tc>
        <w:tc>
          <w:tcPr>
            <w:tcW w:w="0" w:type="dxa"/>
            <w:vAlign w:val="bottom"/>
          </w:tcPr>
          <w:p>
            <w:pPr>
              <w:spacing w:after="0"/>
              <w:rPr>
                <w:sz w:val="1"/>
                <w:szCs w:val="1"/>
                <w:color w:val="auto"/>
              </w:rPr>
            </w:pPr>
          </w:p>
        </w:tc>
      </w:tr>
      <w:tr>
        <w:trPr>
          <w:trHeight w:val="146"/>
        </w:trPr>
        <w:tc>
          <w:tcPr>
            <w:tcW w:w="38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Corporate debt securities and commercial paper</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1"/>
                <w:szCs w:val="11"/>
                <w:color w:val="auto"/>
              </w:rPr>
              <w:t>1,874,257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1,832,271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1,882,271</w:t>
            </w:r>
          </w:p>
        </w:tc>
        <w:tc>
          <w:tcPr>
            <w:tcW w:w="0" w:type="dxa"/>
            <w:vAlign w:val="bottom"/>
          </w:tcPr>
          <w:p>
            <w:pPr>
              <w:spacing w:after="0"/>
              <w:rPr>
                <w:sz w:val="1"/>
                <w:szCs w:val="1"/>
                <w:color w:val="auto"/>
              </w:rPr>
            </w:pPr>
          </w:p>
        </w:tc>
      </w:tr>
      <w:tr>
        <w:trPr>
          <w:trHeight w:val="130"/>
        </w:trPr>
        <w:tc>
          <w:tcPr>
            <w:tcW w:w="3800" w:type="dxa"/>
            <w:vAlign w:val="bottom"/>
            <w:tcBorders>
              <w:bottom w:val="single" w:sz="8" w:color="CCEEFF"/>
            </w:tcBorders>
          </w:tcPr>
          <w:p>
            <w:pPr>
              <w:ind w:left="360"/>
              <w:spacing w:after="0" w:line="117" w:lineRule="exact"/>
              <w:rPr>
                <w:sz w:val="20"/>
                <w:szCs w:val="20"/>
                <w:color w:val="auto"/>
              </w:rPr>
            </w:pPr>
            <w:r>
              <w:rPr>
                <w:rFonts w:ascii="Arial" w:cs="Arial" w:eastAsia="Arial" w:hAnsi="Arial"/>
                <w:sz w:val="11"/>
                <w:szCs w:val="11"/>
                <w:color w:val="auto"/>
              </w:rPr>
              <w:t>Total marketable securities</w:t>
            </w:r>
          </w:p>
        </w:tc>
        <w:tc>
          <w:tcPr>
            <w:tcW w:w="1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1"/>
                <w:szCs w:val="11"/>
                <w:color w:val="auto"/>
              </w:rPr>
              <w:t>2,097,504</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8,538</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(136)</w:t>
            </w: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273,635</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1,832,271</w:t>
            </w: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2,105,906</w:t>
            </w:r>
          </w:p>
        </w:tc>
        <w:tc>
          <w:tcPr>
            <w:tcW w:w="0" w:type="dxa"/>
            <w:vAlign w:val="bottom"/>
          </w:tcPr>
          <w:p>
            <w:pPr>
              <w:spacing w:after="0"/>
              <w:rPr>
                <w:sz w:val="1"/>
                <w:szCs w:val="1"/>
                <w:color w:val="auto"/>
              </w:rPr>
            </w:pPr>
          </w:p>
        </w:tc>
      </w:tr>
      <w:tr>
        <w:trPr>
          <w:trHeight w:val="158"/>
        </w:trPr>
        <w:tc>
          <w:tcPr>
            <w:tcW w:w="3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1"/>
                <w:szCs w:val="11"/>
                <w:color w:val="auto"/>
              </w:rPr>
              <w:t>Total financial assets</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1"/>
                <w:szCs w:val="11"/>
                <w:color w:val="auto"/>
              </w:rPr>
              <w:t>2,756,253</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8,538</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(136)</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930,384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1,834,271</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2,764,655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20" w:firstLine="367"/>
        <w:spacing w:after="0" w:line="299" w:lineRule="auto"/>
        <w:rPr>
          <w:sz w:val="20"/>
          <w:szCs w:val="20"/>
          <w:color w:val="auto"/>
        </w:rPr>
      </w:pPr>
      <w:r>
        <w:rPr>
          <w:rFonts w:ascii="Arial" w:cs="Arial" w:eastAsia="Arial" w:hAnsi="Arial"/>
          <w:sz w:val="12"/>
          <w:szCs w:val="12"/>
          <w:color w:val="auto"/>
        </w:rPr>
        <w:t>The Company’s primary objective when investing excess cash is preservation of capital, hence the Company’s marketable securities primarily consist of U.S. Treasury Securities, high credit quality corporate debt securities and commercial paper. As the Company views its marketable securities as available to support current operations, it has classified all available for sale securities as short-term. As of September 30, 2021 and December 31, 2020, for fixed income securities that were in unrealized loss positions, the Company has determined that (i) it does not have the intent to sell any of these investments, and (ii) it is not more likely than not that it will be required to sell any of these investments before recovery of the entire amortized cost basis. In addition, as of September 30, 2021 and December 31, 2020, the Company anticipates that it will recover the entire amortized cost basis of such fixed income securities before maturity.</w:t>
      </w:r>
    </w:p>
    <w:p>
      <w:pPr>
        <w:spacing w:after="0" w:line="120" w:lineRule="exact"/>
        <w:rPr>
          <w:sz w:val="20"/>
          <w:szCs w:val="20"/>
          <w:color w:val="auto"/>
        </w:rPr>
      </w:pPr>
    </w:p>
    <w:p>
      <w:pPr>
        <w:ind w:right="140" w:firstLine="367"/>
        <w:spacing w:after="0" w:line="261" w:lineRule="auto"/>
        <w:rPr>
          <w:sz w:val="20"/>
          <w:szCs w:val="20"/>
          <w:color w:val="auto"/>
        </w:rPr>
      </w:pPr>
      <w:r>
        <w:rPr>
          <w:rFonts w:ascii="Arial" w:cs="Arial" w:eastAsia="Arial" w:hAnsi="Arial"/>
          <w:sz w:val="14"/>
          <w:szCs w:val="14"/>
          <w:color w:val="auto"/>
        </w:rPr>
        <w:t>The Company regularly reviews changes to the rating of its debt securities by rating agencies as well as reasonably monitors the surrounding economic conditions to assess the risk of expected credit losses. As of September 30, 2021, the risk of expected credit losses was not significant.</w:t>
      </w:r>
    </w:p>
    <w:p>
      <w:pPr>
        <w:spacing w:after="0" w:line="140" w:lineRule="exact"/>
        <w:rPr>
          <w:sz w:val="20"/>
          <w:szCs w:val="20"/>
          <w:color w:val="auto"/>
        </w:rPr>
      </w:pPr>
    </w:p>
    <w:p>
      <w:pPr>
        <w:ind w:right="120" w:firstLine="367"/>
        <w:spacing w:after="0" w:line="345" w:lineRule="auto"/>
        <w:rPr>
          <w:sz w:val="20"/>
          <w:szCs w:val="20"/>
          <w:color w:val="auto"/>
        </w:rPr>
      </w:pPr>
      <w:r>
        <w:rPr>
          <w:rFonts w:ascii="Arial" w:cs="Arial" w:eastAsia="Arial" w:hAnsi="Arial"/>
          <w:sz w:val="12"/>
          <w:szCs w:val="12"/>
          <w:color w:val="auto"/>
        </w:rPr>
        <w:t>Interest earned on marketable securities was $16.2 million and $39.5 million in the three and nine months ended September 30, 2021, respectively, and $7.1 million and $23.7 million in the three and nine months ended September 30, 2020, respectively. The interest is recorded as other expenses, net, in the accompanying condensed consolidated statements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summarizes the contractual maturities of marketable securities:</w:t>
      </w:r>
    </w:p>
    <w:p>
      <w:pPr>
        <w:spacing w:after="0" w:line="196"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60" w:type="dxa"/>
            <w:vAlign w:val="bottom"/>
            <w:gridSpan w:val="5"/>
          </w:tcPr>
          <w:p>
            <w:pPr>
              <w:ind w:left="680"/>
              <w:spacing w:after="0"/>
              <w:rPr>
                <w:sz w:val="20"/>
                <w:szCs w:val="20"/>
                <w:color w:val="auto"/>
              </w:rPr>
            </w:pPr>
            <w:r>
              <w:rPr>
                <w:rFonts w:ascii="Arial" w:cs="Arial" w:eastAsia="Arial" w:hAnsi="Arial"/>
                <w:sz w:val="12"/>
                <w:szCs w:val="12"/>
                <w:b w:val="1"/>
                <w:bCs w:val="1"/>
                <w:color w:val="auto"/>
              </w:rPr>
              <w:t>As of September 30, 2021</w:t>
            </w:r>
          </w:p>
        </w:tc>
        <w:tc>
          <w:tcPr>
            <w:tcW w:w="420" w:type="dxa"/>
            <w:vAlign w:val="bottom"/>
          </w:tcPr>
          <w:p>
            <w:pPr>
              <w:spacing w:after="0"/>
              <w:rPr>
                <w:sz w:val="14"/>
                <w:szCs w:val="14"/>
                <w:color w:val="auto"/>
              </w:rPr>
            </w:pPr>
          </w:p>
        </w:tc>
        <w:tc>
          <w:tcPr>
            <w:tcW w:w="2860" w:type="dxa"/>
            <w:vAlign w:val="bottom"/>
            <w:gridSpan w:val="4"/>
          </w:tcPr>
          <w:p>
            <w:pPr>
              <w:jc w:val="right"/>
              <w:ind w:right="939"/>
              <w:spacing w:after="0"/>
              <w:rPr>
                <w:sz w:val="20"/>
                <w:szCs w:val="20"/>
                <w:color w:val="auto"/>
              </w:rPr>
            </w:pPr>
            <w:r>
              <w:rPr>
                <w:rFonts w:ascii="Arial" w:cs="Arial" w:eastAsia="Arial" w:hAnsi="Arial"/>
                <w:sz w:val="12"/>
                <w:szCs w:val="12"/>
                <w:b w:val="1"/>
                <w:bCs w:val="1"/>
                <w:color w:val="auto"/>
              </w:rPr>
              <w:t>As of December 31, 2020</w:t>
            </w:r>
          </w:p>
        </w:tc>
      </w:tr>
      <w:tr>
        <w:trPr>
          <w:trHeight w:val="115"/>
        </w:trPr>
        <w:tc>
          <w:tcPr>
            <w:tcW w:w="42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380"/>
              <w:spacing w:after="0" w:line="115" w:lineRule="exact"/>
              <w:rPr>
                <w:sz w:val="20"/>
                <w:szCs w:val="20"/>
                <w:color w:val="auto"/>
              </w:rPr>
            </w:pPr>
            <w:r>
              <w:rPr>
                <w:rFonts w:ascii="Arial" w:cs="Arial" w:eastAsia="Arial" w:hAnsi="Arial"/>
                <w:sz w:val="12"/>
                <w:szCs w:val="12"/>
                <w:b w:val="1"/>
                <w:bCs w:val="1"/>
                <w:color w:val="auto"/>
                <w:w w:val="95"/>
              </w:rPr>
              <w:t>Amortized</w:t>
            </w:r>
          </w:p>
        </w:tc>
        <w:tc>
          <w:tcPr>
            <w:tcW w:w="3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479"/>
              <w:spacing w:after="0" w:line="115" w:lineRule="exact"/>
              <w:rPr>
                <w:sz w:val="20"/>
                <w:szCs w:val="20"/>
                <w:color w:val="auto"/>
              </w:rPr>
            </w:pPr>
            <w:r>
              <w:rPr>
                <w:rFonts w:ascii="Arial" w:cs="Arial" w:eastAsia="Arial" w:hAnsi="Arial"/>
                <w:sz w:val="12"/>
                <w:szCs w:val="12"/>
                <w:b w:val="1"/>
                <w:bCs w:val="1"/>
                <w:color w:val="auto"/>
              </w:rPr>
              <w:t>Aggregate</w:t>
            </w:r>
          </w:p>
        </w:tc>
        <w:tc>
          <w:tcPr>
            <w:tcW w:w="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520"/>
              <w:spacing w:after="0" w:line="115" w:lineRule="exact"/>
              <w:rPr>
                <w:sz w:val="20"/>
                <w:szCs w:val="20"/>
                <w:color w:val="auto"/>
              </w:rPr>
            </w:pPr>
            <w:r>
              <w:rPr>
                <w:rFonts w:ascii="Arial" w:cs="Arial" w:eastAsia="Arial" w:hAnsi="Arial"/>
                <w:sz w:val="12"/>
                <w:szCs w:val="12"/>
                <w:b w:val="1"/>
                <w:bCs w:val="1"/>
                <w:color w:val="auto"/>
                <w:w w:val="95"/>
              </w:rPr>
              <w:t>Amortized</w:t>
            </w:r>
          </w:p>
        </w:tc>
        <w:tc>
          <w:tcPr>
            <w:tcW w:w="2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459"/>
              <w:spacing w:after="0" w:line="115" w:lineRule="exact"/>
              <w:rPr>
                <w:sz w:val="20"/>
                <w:szCs w:val="20"/>
                <w:color w:val="auto"/>
              </w:rPr>
            </w:pPr>
            <w:r>
              <w:rPr>
                <w:rFonts w:ascii="Arial" w:cs="Arial" w:eastAsia="Arial" w:hAnsi="Arial"/>
                <w:sz w:val="12"/>
                <w:szCs w:val="12"/>
                <w:b w:val="1"/>
                <w:bCs w:val="1"/>
                <w:color w:val="auto"/>
              </w:rPr>
              <w:t>Aggregate</w:t>
            </w:r>
          </w:p>
        </w:tc>
      </w:tr>
      <w:tr>
        <w:trPr>
          <w:trHeight w:val="159"/>
        </w:trPr>
        <w:tc>
          <w:tcPr>
            <w:tcW w:w="4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2"/>
                <w:szCs w:val="12"/>
                <w:b w:val="1"/>
                <w:bCs w:val="1"/>
                <w:color w:val="auto"/>
                <w:w w:val="89"/>
              </w:rPr>
              <w:t>Cost</w:t>
            </w:r>
          </w:p>
        </w:tc>
        <w:tc>
          <w:tcPr>
            <w:tcW w:w="3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2"/>
                <w:szCs w:val="12"/>
                <w:b w:val="1"/>
                <w:bCs w:val="1"/>
                <w:color w:val="auto"/>
              </w:rPr>
              <w:t>Fair Value</w:t>
            </w: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2"/>
                <w:szCs w:val="12"/>
                <w:b w:val="1"/>
                <w:bCs w:val="1"/>
                <w:color w:val="auto"/>
                <w:w w:val="89"/>
              </w:rPr>
              <w:t>Cost</w:t>
            </w: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b w:val="1"/>
                <w:bCs w:val="1"/>
                <w:color w:val="auto"/>
              </w:rPr>
              <w:t>Fair Value</w:t>
            </w:r>
          </w:p>
        </w:tc>
      </w:tr>
      <w:tr>
        <w:trPr>
          <w:trHeight w:val="155"/>
        </w:trPr>
        <w:tc>
          <w:tcPr>
            <w:tcW w:w="4280" w:type="dxa"/>
            <w:vAlign w:val="bottom"/>
          </w:tcPr>
          <w:p>
            <w:pPr>
              <w:ind w:left="20"/>
              <w:spacing w:after="0"/>
              <w:rPr>
                <w:sz w:val="20"/>
                <w:szCs w:val="20"/>
                <w:color w:val="auto"/>
              </w:rPr>
            </w:pPr>
            <w:r>
              <w:rPr>
                <w:rFonts w:ascii="Arial" w:cs="Arial" w:eastAsia="Arial" w:hAnsi="Arial"/>
                <w:sz w:val="12"/>
                <w:szCs w:val="12"/>
                <w:b w:val="1"/>
                <w:bCs w:val="1"/>
                <w:color w:val="auto"/>
              </w:rPr>
              <w:t>Financial Assets:</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3"/>
          </w:tcPr>
          <w:p>
            <w:pPr>
              <w:jc w:val="right"/>
              <w:ind w:right="39"/>
              <w:spacing w:after="0"/>
              <w:rPr>
                <w:sz w:val="20"/>
                <w:szCs w:val="20"/>
                <w:color w:val="auto"/>
              </w:rPr>
            </w:pPr>
            <w:r>
              <w:rPr>
                <w:rFonts w:ascii="Arial" w:cs="Arial" w:eastAsia="Arial" w:hAnsi="Arial"/>
                <w:sz w:val="12"/>
                <w:szCs w:val="12"/>
                <w:color w:val="auto"/>
              </w:rPr>
              <w:t>(In thousands)</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6"/>
        </w:trPr>
        <w:tc>
          <w:tcPr>
            <w:tcW w:w="4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than one year</w:t>
            </w:r>
          </w:p>
        </w:tc>
        <w:tc>
          <w:tcPr>
            <w:tcW w:w="3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1,119,954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1,121,537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1,126,091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1,128,927</w:t>
            </w:r>
          </w:p>
        </w:tc>
      </w:tr>
      <w:tr>
        <w:trPr>
          <w:trHeight w:val="161"/>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One to three years</w:t>
            </w: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2,774,564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2,775,217</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971,413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976,979</w:t>
            </w:r>
          </w:p>
        </w:tc>
      </w:tr>
      <w:tr>
        <w:trPr>
          <w:trHeight w:val="178"/>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w:t>
            </w: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3,894,518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3,896,754</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2,097,504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2,105,906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Strategic Investments</w:t>
      </w:r>
    </w:p>
    <w:p>
      <w:pPr>
        <w:spacing w:after="0" w:line="166" w:lineRule="exact"/>
        <w:rPr>
          <w:sz w:val="20"/>
          <w:szCs w:val="20"/>
          <w:color w:val="auto"/>
        </w:rPr>
      </w:pPr>
    </w:p>
    <w:p>
      <w:pPr>
        <w:ind w:right="140" w:firstLine="367"/>
        <w:spacing w:after="0" w:line="249" w:lineRule="auto"/>
        <w:rPr>
          <w:sz w:val="20"/>
          <w:szCs w:val="20"/>
          <w:color w:val="auto"/>
        </w:rPr>
      </w:pPr>
      <w:r>
        <w:rPr>
          <w:rFonts w:ascii="Arial" w:cs="Arial" w:eastAsia="Arial" w:hAnsi="Arial"/>
          <w:sz w:val="14"/>
          <w:szCs w:val="14"/>
          <w:color w:val="auto"/>
        </w:rPr>
        <w:t>As of September 30, 2021 and December 31, 2020, the Company held strategic investments with a carrying value of $66.3 million and $9.3 million, respectively, in equity securities of privately held companies and restricted equity securities of a publicly held company. The Company does not have a controlling interest in nor can it exercise significant influence over any of these companies. These securities are recorded as other long-term assets in the accompanying condensed consolidated balance sheets. There were no impairments or other adjustments recorded in the three and nine months ended September 30, 2021 or 2020.</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Financial Liabilities</w:t>
      </w:r>
    </w:p>
    <w:p>
      <w:pPr>
        <w:spacing w:after="0" w:line="166" w:lineRule="exact"/>
        <w:rPr>
          <w:sz w:val="20"/>
          <w:szCs w:val="20"/>
          <w:color w:val="auto"/>
        </w:rPr>
      </w:pPr>
    </w:p>
    <w:p>
      <w:pPr>
        <w:ind w:right="400" w:firstLine="367"/>
        <w:spacing w:after="0" w:line="252" w:lineRule="auto"/>
        <w:rPr>
          <w:sz w:val="20"/>
          <w:szCs w:val="20"/>
          <w:color w:val="auto"/>
        </w:rPr>
      </w:pPr>
      <w:r>
        <w:rPr>
          <w:rFonts w:ascii="Arial" w:cs="Arial" w:eastAsia="Arial" w:hAnsi="Arial"/>
          <w:sz w:val="14"/>
          <w:szCs w:val="14"/>
          <w:color w:val="auto"/>
        </w:rPr>
        <w:t>The Company’s financial liabilities that are not measured at fair value on a recurring basis consist of its senior notes due 2029 and 2031 (“2029 Notes” and “2031 Notes,” respectively). The Company’s convertible senior notes due 2023 (“Convertible Notes”) were fully redeemed in June 2021 and were no longer outstanding as of the end of the second quarter of 2021. Refer to Note 10 for further details on these financial liabilities.</w:t>
      </w:r>
    </w:p>
    <w:p>
      <w:pPr>
        <w:spacing w:after="0" w:line="146" w:lineRule="exact"/>
        <w:rPr>
          <w:sz w:val="20"/>
          <w:szCs w:val="20"/>
          <w:color w:val="auto"/>
        </w:rPr>
      </w:pPr>
    </w:p>
    <w:p>
      <w:pPr>
        <w:ind w:right="160" w:firstLine="367"/>
        <w:spacing w:after="0" w:line="261" w:lineRule="auto"/>
        <w:rPr>
          <w:sz w:val="20"/>
          <w:szCs w:val="20"/>
          <w:color w:val="auto"/>
        </w:rPr>
      </w:pPr>
      <w:r>
        <w:rPr>
          <w:rFonts w:ascii="Arial" w:cs="Arial" w:eastAsia="Arial" w:hAnsi="Arial"/>
          <w:sz w:val="14"/>
          <w:szCs w:val="14"/>
          <w:color w:val="auto"/>
        </w:rPr>
        <w:t>As of September 30, 2021, the fair values of the 2029 Notes and 2031 Notes were $512.9 million and $513.4 million, respectively. The 2029 Notes and 2031 Notes are classified as Level 2 financial instruments within the fair value hierarchy.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Derivative Instruments and Hedging Activities</w:t>
      </w:r>
    </w:p>
    <w:p>
      <w:pPr>
        <w:spacing w:after="0" w:line="168" w:lineRule="exact"/>
        <w:rPr>
          <w:sz w:val="20"/>
          <w:szCs w:val="20"/>
          <w:color w:val="auto"/>
        </w:rPr>
      </w:pPr>
    </w:p>
    <w:p>
      <w:pPr>
        <w:ind w:firstLine="367"/>
        <w:spacing w:after="0" w:line="314" w:lineRule="auto"/>
        <w:rPr>
          <w:sz w:val="20"/>
          <w:szCs w:val="20"/>
          <w:color w:val="auto"/>
        </w:rPr>
      </w:pPr>
      <w:r>
        <w:rPr>
          <w:rFonts w:ascii="Arial" w:cs="Arial" w:eastAsia="Arial" w:hAnsi="Arial"/>
          <w:sz w:val="12"/>
          <w:szCs w:val="12"/>
          <w:color w:val="auto"/>
        </w:rPr>
        <w:t>As of September 30, 2021, the Company had outstanding foreign currency forward contracts designated as cash flow hedges with total buy and sell notional values of $63.4 million and $76.7 million, respectively. The notional value represents the amount that will be purchased or sold upon maturity of the forward contract. As of September 30, 2021, these contracts had maturities of less than 6 months and the $3.1 million fair value of the associated liability was recorded in accrued expenses and other current liabilities in the accompanying condensed consolidated balance sheet.</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Losses associated with these foreign currency forward contracts were as follows:</w:t>
      </w:r>
    </w:p>
    <w:p>
      <w:pPr>
        <w:spacing w:after="0" w:line="181" w:lineRule="exact"/>
        <w:rPr>
          <w:sz w:val="20"/>
          <w:szCs w:val="20"/>
          <w:color w:val="auto"/>
        </w:rPr>
      </w:pPr>
    </w:p>
    <w:tbl>
      <w:tblPr>
        <w:tblLayout w:type="fixed"/>
        <w:tblInd w:w="62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tcPr>
          <w:p>
            <w:pPr>
              <w:ind w:left="140"/>
              <w:spacing w:after="0"/>
              <w:rPr>
                <w:sz w:val="20"/>
                <w:szCs w:val="20"/>
                <w:color w:val="auto"/>
              </w:rPr>
            </w:pPr>
            <w:r>
              <w:rPr>
                <w:rFonts w:ascii="Arial" w:cs="Arial" w:eastAsia="Arial" w:hAnsi="Arial"/>
                <w:sz w:val="12"/>
                <w:szCs w:val="12"/>
                <w:b w:val="1"/>
                <w:bCs w:val="1"/>
                <w:color w:val="auto"/>
              </w:rPr>
              <w:t>Three Months Ended</w:t>
            </w:r>
          </w:p>
        </w:tc>
        <w:tc>
          <w:tcPr>
            <w:tcW w:w="480" w:type="dxa"/>
            <w:vAlign w:val="bottom"/>
          </w:tcPr>
          <w:p>
            <w:pPr>
              <w:spacing w:after="0"/>
              <w:rPr>
                <w:sz w:val="12"/>
                <w:szCs w:val="12"/>
                <w:color w:val="auto"/>
              </w:rPr>
            </w:pPr>
          </w:p>
        </w:tc>
        <w:tc>
          <w:tcPr>
            <w:tcW w:w="1600" w:type="dxa"/>
            <w:vAlign w:val="bottom"/>
          </w:tcPr>
          <w:p>
            <w:pPr>
              <w:jc w:val="right"/>
              <w:ind w:right="339"/>
              <w:spacing w:after="0"/>
              <w:rPr>
                <w:sz w:val="20"/>
                <w:szCs w:val="20"/>
                <w:color w:val="auto"/>
              </w:rPr>
            </w:pPr>
            <w:r>
              <w:rPr>
                <w:rFonts w:ascii="Arial" w:cs="Arial" w:eastAsia="Arial" w:hAnsi="Arial"/>
                <w:sz w:val="12"/>
                <w:szCs w:val="12"/>
                <w:b w:val="1"/>
                <w:bCs w:val="1"/>
                <w:color w:val="auto"/>
              </w:rPr>
              <w:t>Nine Months Ended</w:t>
            </w:r>
          </w:p>
        </w:tc>
      </w:tr>
      <w:tr>
        <w:trPr>
          <w:trHeight w:val="163"/>
        </w:trPr>
        <w:tc>
          <w:tcPr>
            <w:tcW w:w="2860" w:type="dxa"/>
            <w:vAlign w:val="bottom"/>
          </w:tcPr>
          <w:p>
            <w:pPr>
              <w:spacing w:after="0"/>
              <w:rPr>
                <w:sz w:val="14"/>
                <w:szCs w:val="14"/>
                <w:color w:val="auto"/>
              </w:rPr>
            </w:pPr>
          </w:p>
        </w:tc>
        <w:tc>
          <w:tcPr>
            <w:tcW w:w="3060" w:type="dxa"/>
            <w:vAlign w:val="bottom"/>
            <w:gridSpan w:val="2"/>
          </w:tcPr>
          <w:p>
            <w:pPr>
              <w:ind w:left="660"/>
              <w:spacing w:after="0"/>
              <w:rPr>
                <w:sz w:val="20"/>
                <w:szCs w:val="20"/>
                <w:color w:val="auto"/>
              </w:rPr>
            </w:pPr>
            <w:r>
              <w:rPr>
                <w:rFonts w:ascii="Arial" w:cs="Arial" w:eastAsia="Arial" w:hAnsi="Arial"/>
                <w:sz w:val="12"/>
                <w:szCs w:val="12"/>
                <w:b w:val="1"/>
                <w:bCs w:val="1"/>
                <w:color w:val="auto"/>
              </w:rPr>
              <w:t>Condensed Consolidated Statement of</w:t>
            </w:r>
          </w:p>
        </w:tc>
        <w:tc>
          <w:tcPr>
            <w:tcW w:w="5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679"/>
              <w:spacing w:after="0"/>
              <w:rPr>
                <w:sz w:val="20"/>
                <w:szCs w:val="20"/>
                <w:color w:val="auto"/>
              </w:rPr>
            </w:pPr>
            <w:r>
              <w:rPr>
                <w:rFonts w:ascii="Arial" w:cs="Arial" w:eastAsia="Arial" w:hAnsi="Arial"/>
                <w:sz w:val="12"/>
                <w:szCs w:val="12"/>
                <w:b w:val="1"/>
                <w:bCs w:val="1"/>
                <w:color w:val="auto"/>
              </w:rPr>
              <w:t>September 30,</w:t>
            </w:r>
          </w:p>
        </w:tc>
      </w:tr>
      <w:tr>
        <w:trPr>
          <w:trHeight w:val="151"/>
        </w:trPr>
        <w:tc>
          <w:tcPr>
            <w:tcW w:w="2860" w:type="dxa"/>
            <w:vAlign w:val="bottom"/>
          </w:tcPr>
          <w:p>
            <w:pPr>
              <w:spacing w:after="0"/>
              <w:rPr>
                <w:sz w:val="13"/>
                <w:szCs w:val="13"/>
                <w:color w:val="auto"/>
              </w:rPr>
            </w:pPr>
          </w:p>
        </w:tc>
        <w:tc>
          <w:tcPr>
            <w:tcW w:w="3060" w:type="dxa"/>
            <w:vAlign w:val="bottom"/>
            <w:gridSpan w:val="2"/>
          </w:tcPr>
          <w:p>
            <w:pPr>
              <w:ind w:left="160"/>
              <w:spacing w:after="0"/>
              <w:rPr>
                <w:sz w:val="20"/>
                <w:szCs w:val="20"/>
                <w:color w:val="auto"/>
              </w:rPr>
            </w:pPr>
            <w:r>
              <w:rPr>
                <w:rFonts w:ascii="Arial" w:cs="Arial" w:eastAsia="Arial" w:hAnsi="Arial"/>
                <w:sz w:val="12"/>
                <w:szCs w:val="12"/>
                <w:b w:val="1"/>
                <w:bCs w:val="1"/>
                <w:color w:val="auto"/>
                <w:w w:val="99"/>
              </w:rPr>
              <w:t>Operations and Statement of Comprehensive Loss</w:t>
            </w:r>
          </w:p>
        </w:tc>
        <w:tc>
          <w:tcPr>
            <w:tcW w:w="580" w:type="dxa"/>
            <w:vAlign w:val="bottom"/>
          </w:tcPr>
          <w:p>
            <w:pPr>
              <w:spacing w:after="0"/>
              <w:rPr>
                <w:sz w:val="13"/>
                <w:szCs w:val="13"/>
                <w:color w:val="auto"/>
              </w:rPr>
            </w:pPr>
          </w:p>
        </w:tc>
        <w:tc>
          <w:tcPr>
            <w:tcW w:w="1840" w:type="dxa"/>
            <w:vAlign w:val="bottom"/>
          </w:tcPr>
          <w:p>
            <w:pPr>
              <w:jc w:val="right"/>
              <w:ind w:right="959"/>
              <w:spacing w:after="0"/>
              <w:rPr>
                <w:sz w:val="20"/>
                <w:szCs w:val="20"/>
                <w:color w:val="auto"/>
              </w:rPr>
            </w:pPr>
            <w:r>
              <w:rPr>
                <w:rFonts w:ascii="Arial" w:cs="Arial" w:eastAsia="Arial" w:hAnsi="Arial"/>
                <w:sz w:val="12"/>
                <w:szCs w:val="12"/>
                <w:b w:val="1"/>
                <w:bCs w:val="1"/>
                <w:color w:val="auto"/>
              </w:rPr>
              <w:t>2021</w:t>
            </w:r>
          </w:p>
        </w:tc>
        <w:tc>
          <w:tcPr>
            <w:tcW w:w="480" w:type="dxa"/>
            <w:vAlign w:val="bottom"/>
          </w:tcPr>
          <w:p>
            <w:pPr>
              <w:spacing w:after="0"/>
              <w:rPr>
                <w:sz w:val="13"/>
                <w:szCs w:val="13"/>
                <w:color w:val="auto"/>
              </w:rPr>
            </w:pPr>
          </w:p>
        </w:tc>
        <w:tc>
          <w:tcPr>
            <w:tcW w:w="1600" w:type="dxa"/>
            <w:vAlign w:val="bottom"/>
          </w:tcPr>
          <w:p>
            <w:pPr>
              <w:jc w:val="right"/>
              <w:ind w:right="739"/>
              <w:spacing w:after="0"/>
              <w:rPr>
                <w:sz w:val="20"/>
                <w:szCs w:val="20"/>
                <w:color w:val="auto"/>
              </w:rPr>
            </w:pPr>
            <w:r>
              <w:rPr>
                <w:rFonts w:ascii="Arial" w:cs="Arial" w:eastAsia="Arial" w:hAnsi="Arial"/>
                <w:sz w:val="12"/>
                <w:szCs w:val="12"/>
                <w:b w:val="1"/>
                <w:bCs w:val="1"/>
                <w:color w:val="auto"/>
              </w:rPr>
              <w:t>2021</w:t>
            </w:r>
          </w:p>
        </w:tc>
      </w:tr>
      <w:tr>
        <w:trPr>
          <w:trHeight w:val="153"/>
        </w:trPr>
        <w:tc>
          <w:tcPr>
            <w:tcW w:w="2860" w:type="dxa"/>
            <w:vAlign w:val="bottom"/>
          </w:tcPr>
          <w:p>
            <w:pPr>
              <w:spacing w:after="0"/>
              <w:rPr>
                <w:sz w:val="13"/>
                <w:szCs w:val="13"/>
                <w:color w:val="auto"/>
              </w:rPr>
            </w:pPr>
          </w:p>
        </w:tc>
        <w:tc>
          <w:tcPr>
            <w:tcW w:w="2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gridSpan w:val="2"/>
          </w:tcPr>
          <w:p>
            <w:pPr>
              <w:ind w:left="1500"/>
              <w:spacing w:after="0"/>
              <w:rPr>
                <w:sz w:val="20"/>
                <w:szCs w:val="20"/>
                <w:color w:val="auto"/>
              </w:rPr>
            </w:pPr>
            <w:r>
              <w:rPr>
                <w:rFonts w:ascii="Arial" w:cs="Arial" w:eastAsia="Arial" w:hAnsi="Arial"/>
                <w:sz w:val="12"/>
                <w:szCs w:val="12"/>
                <w:color w:val="auto"/>
              </w:rPr>
              <w:t>(In thousands)</w:t>
            </w:r>
          </w:p>
        </w:tc>
        <w:tc>
          <w:tcPr>
            <w:tcW w:w="1600" w:type="dxa"/>
            <w:vAlign w:val="bottom"/>
            <w:tcBorders>
              <w:top w:val="single" w:sz="8" w:color="auto"/>
            </w:tcBorders>
          </w:tcPr>
          <w:p>
            <w:pPr>
              <w:spacing w:after="0"/>
              <w:rPr>
                <w:sz w:val="13"/>
                <w:szCs w:val="13"/>
                <w:color w:val="auto"/>
              </w:rPr>
            </w:pPr>
          </w:p>
        </w:tc>
      </w:tr>
      <w:tr>
        <w:trPr>
          <w:trHeight w:val="128"/>
        </w:trPr>
        <w:tc>
          <w:tcPr>
            <w:tcW w:w="2860" w:type="dxa"/>
            <w:vAlign w:val="bottom"/>
            <w:shd w:val="clear" w:color="auto" w:fill="CCEEFF"/>
          </w:tcPr>
          <w:p>
            <w:pPr>
              <w:ind w:left="380"/>
              <w:spacing w:after="0" w:line="128" w:lineRule="exact"/>
              <w:rPr>
                <w:sz w:val="20"/>
                <w:szCs w:val="20"/>
                <w:color w:val="auto"/>
              </w:rPr>
            </w:pPr>
            <w:r>
              <w:rPr>
                <w:rFonts w:ascii="Arial" w:cs="Arial" w:eastAsia="Arial" w:hAnsi="Arial"/>
                <w:sz w:val="12"/>
                <w:szCs w:val="12"/>
                <w:color w:val="auto"/>
              </w:rPr>
              <w:t>Losses recognized in OCI</w:t>
            </w:r>
          </w:p>
        </w:tc>
        <w:tc>
          <w:tcPr>
            <w:tcW w:w="3060" w:type="dxa"/>
            <w:vAlign w:val="bottom"/>
            <w:gridSpan w:val="2"/>
            <w:shd w:val="clear" w:color="auto" w:fill="CCEEFF"/>
          </w:tcPr>
          <w:p>
            <w:pPr>
              <w:ind w:left="380"/>
              <w:spacing w:after="0" w:line="128" w:lineRule="exact"/>
              <w:rPr>
                <w:sz w:val="20"/>
                <w:szCs w:val="20"/>
                <w:color w:val="auto"/>
              </w:rPr>
            </w:pPr>
            <w:r>
              <w:rPr>
                <w:rFonts w:ascii="Arial" w:cs="Arial" w:eastAsia="Arial" w:hAnsi="Arial"/>
                <w:sz w:val="12"/>
                <w:szCs w:val="12"/>
                <w:color w:val="auto"/>
              </w:rPr>
              <w:t>Net change in market value of effective foreign</w:t>
            </w:r>
          </w:p>
        </w:tc>
        <w:tc>
          <w:tcPr>
            <w:tcW w:w="580" w:type="dxa"/>
            <w:vAlign w:val="bottom"/>
            <w:shd w:val="clear" w:color="auto" w:fill="CCEEFF"/>
          </w:tcPr>
          <w:p>
            <w:pPr>
              <w:jc w:val="right"/>
              <w:ind w:right="99"/>
              <w:spacing w:after="0" w:line="128" w:lineRule="exact"/>
              <w:rPr>
                <w:sz w:val="20"/>
                <w:szCs w:val="20"/>
                <w:color w:val="auto"/>
              </w:rPr>
            </w:pPr>
            <w:r>
              <w:rPr>
                <w:rFonts w:ascii="Arial" w:cs="Arial" w:eastAsia="Arial" w:hAnsi="Arial"/>
                <w:sz w:val="12"/>
                <w:szCs w:val="12"/>
                <w:color w:val="auto"/>
              </w:rPr>
              <w:t>$</w:t>
            </w:r>
          </w:p>
        </w:tc>
        <w:tc>
          <w:tcPr>
            <w:tcW w:w="1840" w:type="dxa"/>
            <w:vAlign w:val="bottom"/>
            <w:shd w:val="clear" w:color="auto" w:fill="CCEEFF"/>
          </w:tcPr>
          <w:p>
            <w:pPr>
              <w:jc w:val="right"/>
              <w:ind w:right="179"/>
              <w:spacing w:after="0" w:line="128" w:lineRule="exact"/>
              <w:rPr>
                <w:sz w:val="20"/>
                <w:szCs w:val="20"/>
                <w:color w:val="auto"/>
              </w:rPr>
            </w:pPr>
            <w:r>
              <w:rPr>
                <w:rFonts w:ascii="Arial" w:cs="Arial" w:eastAsia="Arial" w:hAnsi="Arial"/>
                <w:sz w:val="12"/>
                <w:szCs w:val="12"/>
                <w:color w:val="auto"/>
              </w:rPr>
              <w:t>(161)</w:t>
            </w:r>
          </w:p>
        </w:tc>
        <w:tc>
          <w:tcPr>
            <w:tcW w:w="480" w:type="dxa"/>
            <w:vAlign w:val="bottom"/>
            <w:shd w:val="clear" w:color="auto" w:fill="CCEEFF"/>
          </w:tcPr>
          <w:p>
            <w:pPr>
              <w:jc w:val="right"/>
              <w:ind w:right="99"/>
              <w:spacing w:after="0" w:line="128" w:lineRule="exact"/>
              <w:rPr>
                <w:sz w:val="20"/>
                <w:szCs w:val="20"/>
                <w:color w:val="auto"/>
              </w:rPr>
            </w:pPr>
            <w:r>
              <w:rPr>
                <w:rFonts w:ascii="Arial" w:cs="Arial" w:eastAsia="Arial" w:hAnsi="Arial"/>
                <w:sz w:val="12"/>
                <w:szCs w:val="12"/>
                <w:color w:val="auto"/>
              </w:rPr>
              <w:t>$</w:t>
            </w:r>
          </w:p>
        </w:tc>
        <w:tc>
          <w:tcPr>
            <w:tcW w:w="16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(3,069)</w:t>
            </w:r>
          </w:p>
        </w:tc>
      </w:tr>
      <w:tr>
        <w:trPr>
          <w:trHeight w:val="160"/>
        </w:trPr>
        <w:tc>
          <w:tcPr>
            <w:tcW w:w="2860" w:type="dxa"/>
            <w:vAlign w:val="bottom"/>
            <w:shd w:val="clear" w:color="auto" w:fill="CCEEFF"/>
          </w:tcPr>
          <w:p>
            <w:pPr>
              <w:spacing w:after="0"/>
              <w:rPr>
                <w:sz w:val="13"/>
                <w:szCs w:val="13"/>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currency forward exchange contracts</w:t>
            </w:r>
          </w:p>
        </w:tc>
        <w:tc>
          <w:tcPr>
            <w:tcW w:w="5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136"/>
        </w:trPr>
        <w:tc>
          <w:tcPr>
            <w:tcW w:w="2860" w:type="dxa"/>
            <w:vAlign w:val="bottom"/>
          </w:tcPr>
          <w:p>
            <w:pPr>
              <w:ind w:left="380"/>
              <w:spacing w:after="0" w:line="136" w:lineRule="exact"/>
              <w:rPr>
                <w:sz w:val="20"/>
                <w:szCs w:val="20"/>
                <w:color w:val="auto"/>
              </w:rPr>
            </w:pPr>
            <w:r>
              <w:rPr>
                <w:rFonts w:ascii="Arial" w:cs="Arial" w:eastAsia="Arial" w:hAnsi="Arial"/>
                <w:sz w:val="12"/>
                <w:szCs w:val="12"/>
                <w:color w:val="auto"/>
                <w:w w:val="95"/>
              </w:rPr>
              <w:t>Losses recognized in income due to instruments</w:t>
            </w:r>
          </w:p>
        </w:tc>
        <w:tc>
          <w:tcPr>
            <w:tcW w:w="3060" w:type="dxa"/>
            <w:vAlign w:val="bottom"/>
            <w:gridSpan w:val="2"/>
          </w:tcPr>
          <w:p>
            <w:pPr>
              <w:ind w:left="380"/>
              <w:spacing w:after="0" w:line="136" w:lineRule="exact"/>
              <w:rPr>
                <w:sz w:val="20"/>
                <w:szCs w:val="20"/>
                <w:color w:val="auto"/>
              </w:rPr>
            </w:pPr>
            <w:r>
              <w:rPr>
                <w:rFonts w:ascii="Arial" w:cs="Arial" w:eastAsia="Arial" w:hAnsi="Arial"/>
                <w:sz w:val="12"/>
                <w:szCs w:val="12"/>
                <w:color w:val="auto"/>
              </w:rPr>
              <w:t>Cost of revenue</w:t>
            </w:r>
          </w:p>
        </w:tc>
        <w:tc>
          <w:tcPr>
            <w:tcW w:w="580" w:type="dxa"/>
            <w:vAlign w:val="bottom"/>
          </w:tcPr>
          <w:p>
            <w:pPr>
              <w:jc w:val="right"/>
              <w:ind w:right="99"/>
              <w:spacing w:after="0" w:line="136" w:lineRule="exact"/>
              <w:rPr>
                <w:sz w:val="20"/>
                <w:szCs w:val="20"/>
                <w:color w:val="auto"/>
              </w:rPr>
            </w:pPr>
            <w:r>
              <w:rPr>
                <w:rFonts w:ascii="Arial" w:cs="Arial" w:eastAsia="Arial" w:hAnsi="Arial"/>
                <w:sz w:val="12"/>
                <w:szCs w:val="12"/>
                <w:color w:val="auto"/>
              </w:rPr>
              <w:t>$</w:t>
            </w:r>
          </w:p>
        </w:tc>
        <w:tc>
          <w:tcPr>
            <w:tcW w:w="1840" w:type="dxa"/>
            <w:vAlign w:val="bottom"/>
          </w:tcPr>
          <w:p>
            <w:pPr>
              <w:jc w:val="right"/>
              <w:ind w:right="179"/>
              <w:spacing w:after="0" w:line="136" w:lineRule="exact"/>
              <w:rPr>
                <w:sz w:val="20"/>
                <w:szCs w:val="20"/>
                <w:color w:val="auto"/>
              </w:rPr>
            </w:pPr>
            <w:r>
              <w:rPr>
                <w:rFonts w:ascii="Arial" w:cs="Arial" w:eastAsia="Arial" w:hAnsi="Arial"/>
                <w:sz w:val="12"/>
                <w:szCs w:val="12"/>
                <w:color w:val="auto"/>
              </w:rPr>
              <w:t>(2,464)</w:t>
            </w:r>
          </w:p>
        </w:tc>
        <w:tc>
          <w:tcPr>
            <w:tcW w:w="480" w:type="dxa"/>
            <w:vAlign w:val="bottom"/>
          </w:tcPr>
          <w:p>
            <w:pPr>
              <w:jc w:val="right"/>
              <w:ind w:right="99"/>
              <w:spacing w:after="0" w:line="136" w:lineRule="exact"/>
              <w:rPr>
                <w:sz w:val="20"/>
                <w:szCs w:val="20"/>
                <w:color w:val="auto"/>
              </w:rPr>
            </w:pPr>
            <w:r>
              <w:rPr>
                <w:rFonts w:ascii="Arial" w:cs="Arial" w:eastAsia="Arial" w:hAnsi="Arial"/>
                <w:sz w:val="12"/>
                <w:szCs w:val="12"/>
                <w:color w:val="auto"/>
              </w:rPr>
              <w:t>$</w:t>
            </w:r>
          </w:p>
        </w:tc>
        <w:tc>
          <w:tcPr>
            <w:tcW w:w="1600" w:type="dxa"/>
            <w:vAlign w:val="bottom"/>
          </w:tcPr>
          <w:p>
            <w:pPr>
              <w:jc w:val="right"/>
              <w:spacing w:after="0" w:line="136" w:lineRule="exact"/>
              <w:rPr>
                <w:sz w:val="20"/>
                <w:szCs w:val="20"/>
                <w:color w:val="auto"/>
              </w:rPr>
            </w:pPr>
            <w:r>
              <w:rPr>
                <w:rFonts w:ascii="Arial" w:cs="Arial" w:eastAsia="Arial" w:hAnsi="Arial"/>
                <w:sz w:val="12"/>
                <w:szCs w:val="12"/>
                <w:color w:val="auto"/>
              </w:rPr>
              <w:t>(2,931)</w:t>
            </w:r>
          </w:p>
        </w:tc>
      </w:tr>
    </w:tbl>
    <w:p>
      <w:pPr>
        <w:ind w:left="640"/>
        <w:spacing w:after="0"/>
        <w:rPr>
          <w:sz w:val="20"/>
          <w:szCs w:val="20"/>
          <w:color w:val="auto"/>
        </w:rPr>
      </w:pPr>
      <w:r>
        <w:rPr>
          <w:rFonts w:ascii="Arial" w:cs="Arial" w:eastAsia="Arial" w:hAnsi="Arial"/>
          <w:sz w:val="12"/>
          <w:szCs w:val="12"/>
          <w:color w:val="auto"/>
        </w:rPr>
        <w:t>maturing</w:t>
      </w:r>
    </w:p>
    <w:p>
      <w:pPr>
        <w:spacing w:after="0" w:line="226" w:lineRule="exact"/>
        <w:rPr>
          <w:sz w:val="20"/>
          <w:szCs w:val="20"/>
          <w:color w:val="auto"/>
        </w:rPr>
      </w:pPr>
    </w:p>
    <w:p>
      <w:pPr>
        <w:ind w:right="80" w:firstLine="367"/>
        <w:spacing w:after="0" w:line="304" w:lineRule="auto"/>
        <w:rPr>
          <w:sz w:val="20"/>
          <w:szCs w:val="20"/>
          <w:color w:val="auto"/>
        </w:rPr>
      </w:pPr>
      <w:r>
        <w:rPr>
          <w:rFonts w:ascii="Arial" w:cs="Arial" w:eastAsia="Arial" w:hAnsi="Arial"/>
          <w:sz w:val="12"/>
          <w:szCs w:val="12"/>
          <w:color w:val="auto"/>
        </w:rPr>
        <w:t>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consolidated balance sheet.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September 30, 2021, the Company did not have any offsetting arrangements.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Property and Equipment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Property and equipment consisted of the following:</w:t>
      </w:r>
    </w:p>
    <w:p>
      <w:pPr>
        <w:spacing w:after="0" w:line="196"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5740" w:type="dxa"/>
            <w:vAlign w:val="bottom"/>
          </w:tcPr>
          <w:p>
            <w:pPr>
              <w:spacing w:after="0"/>
              <w:rPr>
                <w:sz w:val="13"/>
                <w:szCs w:val="13"/>
                <w:color w:val="auto"/>
              </w:rPr>
            </w:pPr>
          </w:p>
        </w:tc>
        <w:tc>
          <w:tcPr>
            <w:tcW w:w="1500" w:type="dxa"/>
            <w:vAlign w:val="bottom"/>
          </w:tcPr>
          <w:p>
            <w:pPr>
              <w:jc w:val="center"/>
              <w:ind w:left="539"/>
              <w:spacing w:after="0"/>
              <w:rPr>
                <w:sz w:val="20"/>
                <w:szCs w:val="20"/>
                <w:color w:val="auto"/>
              </w:rPr>
            </w:pPr>
            <w:r>
              <w:rPr>
                <w:rFonts w:ascii="Arial" w:cs="Arial" w:eastAsia="Arial" w:hAnsi="Arial"/>
                <w:sz w:val="12"/>
                <w:szCs w:val="12"/>
                <w:b w:val="1"/>
                <w:bCs w:val="1"/>
                <w:color w:val="auto"/>
                <w:w w:val="86"/>
              </w:rPr>
              <w:t>As of</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tcPr>
          <w:p>
            <w:pPr>
              <w:jc w:val="center"/>
              <w:ind w:right="439"/>
              <w:spacing w:after="0"/>
              <w:rPr>
                <w:sz w:val="20"/>
                <w:szCs w:val="20"/>
                <w:color w:val="auto"/>
              </w:rPr>
            </w:pPr>
            <w:r>
              <w:rPr>
                <w:rFonts w:ascii="Arial" w:cs="Arial" w:eastAsia="Arial" w:hAnsi="Arial"/>
                <w:sz w:val="12"/>
                <w:szCs w:val="12"/>
                <w:b w:val="1"/>
                <w:bCs w:val="1"/>
                <w:color w:val="auto"/>
                <w:w w:val="86"/>
              </w:rPr>
              <w:t>As of</w:t>
            </w:r>
          </w:p>
        </w:tc>
      </w:tr>
      <w:tr>
        <w:trPr>
          <w:trHeight w:val="163"/>
        </w:trPr>
        <w:tc>
          <w:tcPr>
            <w:tcW w:w="5740" w:type="dxa"/>
            <w:vAlign w:val="bottom"/>
          </w:tcPr>
          <w:p>
            <w:pPr>
              <w:spacing w:after="0"/>
              <w:rPr>
                <w:sz w:val="14"/>
                <w:szCs w:val="14"/>
                <w:color w:val="auto"/>
              </w:rPr>
            </w:pPr>
          </w:p>
        </w:tc>
        <w:tc>
          <w:tcPr>
            <w:tcW w:w="1500" w:type="dxa"/>
            <w:vAlign w:val="bottom"/>
          </w:tcPr>
          <w:p>
            <w:pPr>
              <w:jc w:val="center"/>
              <w:ind w:left="539"/>
              <w:spacing w:after="0"/>
              <w:rPr>
                <w:sz w:val="20"/>
                <w:szCs w:val="20"/>
                <w:color w:val="auto"/>
              </w:rPr>
            </w:pPr>
            <w:r>
              <w:rPr>
                <w:rFonts w:ascii="Arial" w:cs="Arial" w:eastAsia="Arial" w:hAnsi="Arial"/>
                <w:sz w:val="12"/>
                <w:szCs w:val="12"/>
                <w:b w:val="1"/>
                <w:bCs w:val="1"/>
                <w:color w:val="auto"/>
                <w:w w:val="90"/>
              </w:rPr>
              <w:t>September 30,</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tcPr>
          <w:p>
            <w:pPr>
              <w:jc w:val="center"/>
              <w:ind w:right="439"/>
              <w:spacing w:after="0"/>
              <w:rPr>
                <w:sz w:val="20"/>
                <w:szCs w:val="20"/>
                <w:color w:val="auto"/>
              </w:rPr>
            </w:pPr>
            <w:r>
              <w:rPr>
                <w:rFonts w:ascii="Arial" w:cs="Arial" w:eastAsia="Arial" w:hAnsi="Arial"/>
                <w:sz w:val="12"/>
                <w:szCs w:val="12"/>
                <w:b w:val="1"/>
                <w:bCs w:val="1"/>
                <w:color w:val="auto"/>
                <w:w w:val="89"/>
              </w:rPr>
              <w:t>December 31,</w:t>
            </w:r>
          </w:p>
        </w:tc>
      </w:tr>
      <w:tr>
        <w:trPr>
          <w:trHeight w:val="166"/>
        </w:trPr>
        <w:tc>
          <w:tcPr>
            <w:tcW w:w="5740" w:type="dxa"/>
            <w:vAlign w:val="bottom"/>
          </w:tcPr>
          <w:p>
            <w:pPr>
              <w:spacing w:after="0"/>
              <w:rPr>
                <w:sz w:val="14"/>
                <w:szCs w:val="14"/>
                <w:color w:val="auto"/>
              </w:rPr>
            </w:pPr>
          </w:p>
        </w:tc>
        <w:tc>
          <w:tcPr>
            <w:tcW w:w="1500" w:type="dxa"/>
            <w:vAlign w:val="bottom"/>
            <w:tcBorders>
              <w:bottom w:val="single" w:sz="8" w:color="auto"/>
            </w:tcBorders>
          </w:tcPr>
          <w:p>
            <w:pPr>
              <w:jc w:val="center"/>
              <w:ind w:left="519"/>
              <w:spacing w:after="0"/>
              <w:rPr>
                <w:sz w:val="20"/>
                <w:szCs w:val="20"/>
                <w:color w:val="auto"/>
              </w:rPr>
            </w:pPr>
            <w:r>
              <w:rPr>
                <w:rFonts w:ascii="Arial" w:cs="Arial" w:eastAsia="Arial" w:hAnsi="Arial"/>
                <w:sz w:val="12"/>
                <w:szCs w:val="12"/>
                <w:b w:val="1"/>
                <w:bCs w:val="1"/>
                <w:color w:val="auto"/>
                <w:w w:val="89"/>
              </w:rPr>
              <w:t>2021</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439"/>
              <w:spacing w:after="0"/>
              <w:rPr>
                <w:sz w:val="20"/>
                <w:szCs w:val="20"/>
                <w:color w:val="auto"/>
              </w:rPr>
            </w:pPr>
            <w:r>
              <w:rPr>
                <w:rFonts w:ascii="Arial" w:cs="Arial" w:eastAsia="Arial" w:hAnsi="Arial"/>
                <w:sz w:val="12"/>
                <w:szCs w:val="12"/>
                <w:b w:val="1"/>
                <w:bCs w:val="1"/>
                <w:color w:val="auto"/>
                <w:w w:val="97"/>
              </w:rPr>
              <w:t>2020</w:t>
            </w:r>
          </w:p>
        </w:tc>
      </w:tr>
      <w:tr>
        <w:trPr>
          <w:trHeight w:val="153"/>
        </w:trPr>
        <w:tc>
          <w:tcPr>
            <w:tcW w:w="57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gridSpan w:val="3"/>
          </w:tcPr>
          <w:p>
            <w:pPr>
              <w:jc w:val="right"/>
              <w:ind w:right="139"/>
              <w:spacing w:after="0"/>
              <w:rPr>
                <w:sz w:val="20"/>
                <w:szCs w:val="20"/>
                <w:color w:val="auto"/>
              </w:rPr>
            </w:pPr>
            <w:r>
              <w:rPr>
                <w:rFonts w:ascii="Arial" w:cs="Arial" w:eastAsia="Arial" w:hAnsi="Arial"/>
                <w:sz w:val="12"/>
                <w:szCs w:val="12"/>
                <w:color w:val="auto"/>
              </w:rPr>
              <w:t>(In thousands)</w:t>
            </w:r>
          </w:p>
        </w:tc>
        <w:tc>
          <w:tcPr>
            <w:tcW w:w="1600" w:type="dxa"/>
            <w:vAlign w:val="bottom"/>
          </w:tcPr>
          <w:p>
            <w:pPr>
              <w:spacing w:after="0"/>
              <w:rPr>
                <w:sz w:val="13"/>
                <w:szCs w:val="13"/>
                <w:color w:val="auto"/>
              </w:rPr>
            </w:pPr>
          </w:p>
        </w:tc>
      </w:tr>
      <w:tr>
        <w:trPr>
          <w:trHeight w:val="166"/>
        </w:trPr>
        <w:tc>
          <w:tcPr>
            <w:tcW w:w="5740" w:type="dxa"/>
            <w:vAlign w:val="bottom"/>
            <w:shd w:val="clear" w:color="auto" w:fill="CCEEFF"/>
          </w:tcPr>
          <w:p>
            <w:pPr>
              <w:spacing w:after="0"/>
              <w:rPr>
                <w:sz w:val="20"/>
                <w:szCs w:val="20"/>
                <w:color w:val="auto"/>
              </w:rPr>
            </w:pPr>
            <w:r>
              <w:rPr>
                <w:rFonts w:ascii="Arial" w:cs="Arial" w:eastAsia="Arial" w:hAnsi="Arial"/>
                <w:sz w:val="12"/>
                <w:szCs w:val="12"/>
                <w:color w:val="auto"/>
              </w:rPr>
              <w:t>Capitalized internal-use software development costs</w:t>
            </w:r>
          </w:p>
        </w:tc>
        <w:tc>
          <w:tcPr>
            <w:tcW w:w="1500" w:type="dxa"/>
            <w:vAlign w:val="bottom"/>
            <w:shd w:val="clear" w:color="auto" w:fill="CCEEFF"/>
          </w:tcPr>
          <w:p>
            <w:pPr>
              <w:jc w:val="right"/>
              <w:ind w:right="135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185,037</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142,489</w:t>
            </w:r>
          </w:p>
        </w:tc>
      </w:tr>
      <w:tr>
        <w:trPr>
          <w:trHeight w:val="163"/>
        </w:trPr>
        <w:tc>
          <w:tcPr>
            <w:tcW w:w="5740" w:type="dxa"/>
            <w:vAlign w:val="bottom"/>
          </w:tcPr>
          <w:p>
            <w:pPr>
              <w:spacing w:after="0" w:line="164" w:lineRule="exact"/>
              <w:rPr>
                <w:sz w:val="20"/>
                <w:szCs w:val="20"/>
                <w:color w:val="auto"/>
              </w:rPr>
            </w:pPr>
            <w:r>
              <w:rPr>
                <w:rFonts w:ascii="Arial" w:cs="Arial" w:eastAsia="Arial" w:hAnsi="Arial"/>
                <w:sz w:val="12"/>
                <w:szCs w:val="12"/>
                <w:color w:val="auto"/>
              </w:rPr>
              <w:t xml:space="preserve">Data center equipment </w:t>
            </w:r>
            <w:r>
              <w:rPr>
                <w:rFonts w:ascii="Arial" w:cs="Arial" w:eastAsia="Arial" w:hAnsi="Arial"/>
                <w:sz w:val="15"/>
                <w:szCs w:val="15"/>
                <w:color w:val="auto"/>
                <w:vertAlign w:val="superscript"/>
              </w:rPr>
              <w:t>(1)</w:t>
            </w:r>
          </w:p>
        </w:tc>
        <w:tc>
          <w:tcPr>
            <w:tcW w:w="1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64,104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43,477</w:t>
            </w:r>
          </w:p>
        </w:tc>
      </w:tr>
      <w:tr>
        <w:trPr>
          <w:trHeight w:val="163"/>
        </w:trPr>
        <w:tc>
          <w:tcPr>
            <w:tcW w:w="5740" w:type="dxa"/>
            <w:vAlign w:val="bottom"/>
            <w:shd w:val="clear" w:color="auto" w:fill="CCEEFF"/>
          </w:tcPr>
          <w:p>
            <w:pPr>
              <w:spacing w:after="0"/>
              <w:rPr>
                <w:sz w:val="20"/>
                <w:szCs w:val="20"/>
                <w:color w:val="auto"/>
              </w:rPr>
            </w:pPr>
            <w:r>
              <w:rPr>
                <w:rFonts w:ascii="Arial" w:cs="Arial" w:eastAsia="Arial" w:hAnsi="Arial"/>
                <w:sz w:val="12"/>
                <w:szCs w:val="12"/>
                <w:color w:val="auto"/>
              </w:rPr>
              <w:t>Leasehold improvements</w:t>
            </w:r>
          </w:p>
        </w:tc>
        <w:tc>
          <w:tcPr>
            <w:tcW w:w="15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80,897</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69,756</w:t>
            </w:r>
          </w:p>
        </w:tc>
      </w:tr>
      <w:tr>
        <w:trPr>
          <w:trHeight w:val="161"/>
        </w:trPr>
        <w:tc>
          <w:tcPr>
            <w:tcW w:w="5740" w:type="dxa"/>
            <w:vAlign w:val="bottom"/>
          </w:tcPr>
          <w:p>
            <w:pPr>
              <w:spacing w:after="0"/>
              <w:rPr>
                <w:sz w:val="20"/>
                <w:szCs w:val="20"/>
                <w:color w:val="auto"/>
              </w:rPr>
            </w:pPr>
            <w:r>
              <w:rPr>
                <w:rFonts w:ascii="Arial" w:cs="Arial" w:eastAsia="Arial" w:hAnsi="Arial"/>
                <w:sz w:val="12"/>
                <w:szCs w:val="12"/>
                <w:color w:val="auto"/>
              </w:rPr>
              <w:t>Office equipment</w:t>
            </w:r>
          </w:p>
        </w:tc>
        <w:tc>
          <w:tcPr>
            <w:tcW w:w="15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56,291</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35,346</w:t>
            </w:r>
          </w:p>
        </w:tc>
      </w:tr>
      <w:tr>
        <w:trPr>
          <w:trHeight w:val="166"/>
        </w:trPr>
        <w:tc>
          <w:tcPr>
            <w:tcW w:w="5740" w:type="dxa"/>
            <w:vAlign w:val="bottom"/>
            <w:shd w:val="clear" w:color="auto" w:fill="CCEEFF"/>
          </w:tcPr>
          <w:p>
            <w:pPr>
              <w:spacing w:after="0" w:line="166" w:lineRule="exact"/>
              <w:rPr>
                <w:sz w:val="20"/>
                <w:szCs w:val="20"/>
                <w:color w:val="auto"/>
              </w:rPr>
            </w:pPr>
            <w:r>
              <w:rPr>
                <w:rFonts w:ascii="Arial" w:cs="Arial" w:eastAsia="Arial" w:hAnsi="Arial"/>
                <w:sz w:val="12"/>
                <w:szCs w:val="12"/>
                <w:color w:val="auto"/>
              </w:rPr>
              <w:t xml:space="preserve">Furniture and fixtures </w:t>
            </w:r>
            <w:r>
              <w:rPr>
                <w:rFonts w:ascii="Arial" w:cs="Arial" w:eastAsia="Arial" w:hAnsi="Arial"/>
                <w:sz w:val="15"/>
                <w:szCs w:val="15"/>
                <w:color w:val="auto"/>
                <w:vertAlign w:val="superscript"/>
              </w:rPr>
              <w:t>(1)</w:t>
            </w:r>
          </w:p>
        </w:tc>
        <w:tc>
          <w:tcPr>
            <w:tcW w:w="15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15,646</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12,312</w:t>
            </w:r>
          </w:p>
        </w:tc>
      </w:tr>
      <w:tr>
        <w:trPr>
          <w:trHeight w:val="161"/>
        </w:trPr>
        <w:tc>
          <w:tcPr>
            <w:tcW w:w="5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Software</w:t>
            </w:r>
          </w:p>
        </w:tc>
        <w:tc>
          <w:tcPr>
            <w:tcW w:w="15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10,491</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9,943</w:t>
            </w:r>
          </w:p>
        </w:tc>
      </w:tr>
      <w:tr>
        <w:trPr>
          <w:trHeight w:val="156"/>
        </w:trPr>
        <w:tc>
          <w:tcPr>
            <w:tcW w:w="57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Total property and equipment</w:t>
            </w:r>
          </w:p>
        </w:tc>
        <w:tc>
          <w:tcPr>
            <w:tcW w:w="15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412,466</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313,323</w:t>
            </w:r>
          </w:p>
        </w:tc>
      </w:tr>
      <w:tr>
        <w:trPr>
          <w:trHeight w:val="161"/>
        </w:trPr>
        <w:tc>
          <w:tcPr>
            <w:tcW w:w="5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accumulated depreciation and amortization</w:t>
            </w:r>
          </w:p>
        </w:tc>
        <w:tc>
          <w:tcPr>
            <w:tcW w:w="15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(175,225)</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(130,084)</w:t>
            </w:r>
          </w:p>
        </w:tc>
      </w:tr>
      <w:tr>
        <w:trPr>
          <w:trHeight w:val="181"/>
        </w:trPr>
        <w:tc>
          <w:tcPr>
            <w:tcW w:w="5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Total property and equipment, net</w:t>
            </w:r>
          </w:p>
        </w:tc>
        <w:tc>
          <w:tcPr>
            <w:tcW w:w="1500" w:type="dxa"/>
            <w:vAlign w:val="bottom"/>
            <w:tcBorders>
              <w:bottom w:val="single" w:sz="8" w:color="auto"/>
            </w:tcBorders>
            <w:shd w:val="clear" w:color="auto" w:fill="CCEEFF"/>
          </w:tcPr>
          <w:p>
            <w:pPr>
              <w:jc w:val="right"/>
              <w:ind w:right="1359"/>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237,241</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183,239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____________________________________</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7"/>
          <w:szCs w:val="7"/>
          <w:color w:val="auto"/>
        </w:rPr>
        <w:t>(</w:t>
      </w:r>
      <w:r>
        <w:rPr>
          <w:rFonts w:ascii="Arial" w:cs="Arial" w:eastAsia="Arial" w:hAnsi="Arial"/>
          <w:sz w:val="15"/>
          <w:szCs w:val="15"/>
          <w:color w:val="auto"/>
          <w:vertAlign w:val="superscript"/>
        </w:rPr>
        <w:t>1</w:t>
      </w:r>
      <w:r>
        <w:rPr>
          <w:rFonts w:ascii="Arial" w:cs="Arial" w:eastAsia="Arial" w:hAnsi="Arial"/>
          <w:sz w:val="7"/>
          <w:szCs w:val="7"/>
          <w:color w:val="auto"/>
        </w:rPr>
        <w:t xml:space="preserve">) </w:t>
      </w:r>
      <w:r>
        <w:rPr>
          <w:rFonts w:ascii="Arial" w:cs="Arial" w:eastAsia="Arial" w:hAnsi="Arial"/>
          <w:sz w:val="12"/>
          <w:szCs w:val="12"/>
          <w:color w:val="auto"/>
        </w:rPr>
        <w:t>Data center equipment and furniture and fixtures contain assets under finance leases. See Note 6 for further detail.</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Supplemental depreciation and amortization disclosures are as follows:</w:t>
      </w:r>
    </w:p>
    <w:p>
      <w:pPr>
        <w:spacing w:after="0" w:line="181"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3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40" w:type="dxa"/>
            <w:vAlign w:val="bottom"/>
            <w:gridSpan w:val="2"/>
          </w:tcPr>
          <w:p>
            <w:pPr>
              <w:ind w:left="780"/>
              <w:spacing w:after="0"/>
              <w:rPr>
                <w:sz w:val="20"/>
                <w:szCs w:val="20"/>
                <w:color w:val="auto"/>
              </w:rPr>
            </w:pPr>
            <w:r>
              <w:rPr>
                <w:rFonts w:ascii="Arial" w:cs="Arial" w:eastAsia="Arial" w:hAnsi="Arial"/>
                <w:sz w:val="12"/>
                <w:szCs w:val="12"/>
                <w:b w:val="1"/>
                <w:bCs w:val="1"/>
                <w:color w:val="auto"/>
              </w:rPr>
              <w:t>Three Months Ended</w:t>
            </w: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80" w:type="dxa"/>
            <w:vAlign w:val="bottom"/>
            <w:gridSpan w:val="2"/>
          </w:tcPr>
          <w:p>
            <w:pPr>
              <w:jc w:val="right"/>
              <w:ind w:right="79"/>
              <w:spacing w:after="0"/>
              <w:rPr>
                <w:sz w:val="20"/>
                <w:szCs w:val="20"/>
                <w:color w:val="auto"/>
              </w:rPr>
            </w:pPr>
            <w:r>
              <w:rPr>
                <w:rFonts w:ascii="Arial" w:cs="Arial" w:eastAsia="Arial" w:hAnsi="Arial"/>
                <w:sz w:val="12"/>
                <w:szCs w:val="12"/>
                <w:b w:val="1"/>
                <w:bCs w:val="1"/>
                <w:color w:val="auto"/>
              </w:rPr>
              <w:t>Nine Months Ended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780"/>
              <w:spacing w:after="0"/>
              <w:rPr>
                <w:sz w:val="20"/>
                <w:szCs w:val="20"/>
                <w:color w:val="auto"/>
              </w:rPr>
            </w:pPr>
            <w:r>
              <w:rPr>
                <w:rFonts w:ascii="Arial" w:cs="Arial" w:eastAsia="Arial" w:hAnsi="Arial"/>
                <w:sz w:val="12"/>
                <w:szCs w:val="12"/>
                <w:b w:val="1"/>
                <w:bCs w:val="1"/>
                <w:color w:val="auto"/>
                <w:w w:val="92"/>
              </w:rPr>
              <w:t>September 30,</w:t>
            </w: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September 30,</w:t>
            </w: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979"/>
              <w:spacing w:after="0"/>
              <w:rPr>
                <w:sz w:val="20"/>
                <w:szCs w:val="20"/>
                <w:color w:val="auto"/>
              </w:rPr>
            </w:pPr>
            <w:r>
              <w:rPr>
                <w:rFonts w:ascii="Arial" w:cs="Arial" w:eastAsia="Arial" w:hAnsi="Arial"/>
                <w:sz w:val="12"/>
                <w:szCs w:val="12"/>
                <w:b w:val="1"/>
                <w:bCs w:val="1"/>
                <w:color w:val="auto"/>
              </w:rPr>
              <w:t>2021</w:t>
            </w:r>
          </w:p>
        </w:tc>
        <w:tc>
          <w:tcPr>
            <w:tcW w:w="4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39"/>
              <w:spacing w:after="0"/>
              <w:rPr>
                <w:sz w:val="20"/>
                <w:szCs w:val="20"/>
                <w:color w:val="auto"/>
              </w:rPr>
            </w:pPr>
            <w:r>
              <w:rPr>
                <w:rFonts w:ascii="Arial" w:cs="Arial" w:eastAsia="Arial" w:hAnsi="Arial"/>
                <w:sz w:val="12"/>
                <w:szCs w:val="12"/>
                <w:b w:val="1"/>
                <w:bCs w:val="1"/>
                <w:color w:val="auto"/>
              </w:rPr>
              <w:t>2020</w:t>
            </w:r>
          </w:p>
        </w:tc>
        <w:tc>
          <w:tcPr>
            <w:tcW w:w="6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979"/>
              <w:spacing w:after="0"/>
              <w:rPr>
                <w:sz w:val="20"/>
                <w:szCs w:val="20"/>
                <w:color w:val="auto"/>
              </w:rPr>
            </w:pPr>
            <w:r>
              <w:rPr>
                <w:rFonts w:ascii="Arial" w:cs="Arial" w:eastAsia="Arial" w:hAnsi="Arial"/>
                <w:sz w:val="12"/>
                <w:szCs w:val="12"/>
                <w:b w:val="1"/>
                <w:bCs w:val="1"/>
                <w:color w:val="auto"/>
              </w:rPr>
              <w:t>2021</w:t>
            </w: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0" w:type="dxa"/>
            <w:vAlign w:val="bottom"/>
            <w:gridSpan w:val="2"/>
          </w:tcPr>
          <w:p>
            <w:pPr>
              <w:jc w:val="right"/>
              <w:ind w:right="179"/>
              <w:spacing w:after="0"/>
              <w:rPr>
                <w:sz w:val="20"/>
                <w:szCs w:val="20"/>
                <w:color w:val="auto"/>
              </w:rPr>
            </w:pPr>
            <w:r>
              <w:rPr>
                <w:rFonts w:ascii="Arial" w:cs="Arial" w:eastAsia="Arial" w:hAnsi="Arial"/>
                <w:sz w:val="12"/>
                <w:szCs w:val="12"/>
                <w:color w:val="auto"/>
              </w:rPr>
              <w:t>(In thousands)</w:t>
            </w:r>
          </w:p>
        </w:tc>
        <w:tc>
          <w:tcPr>
            <w:tcW w:w="1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7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Depreciation and amortization expense</w:t>
            </w: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rPr>
              <w:t>14,546</w:t>
            </w:r>
          </w:p>
        </w:tc>
        <w:tc>
          <w:tcPr>
            <w:tcW w:w="48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12,843</w:t>
            </w:r>
          </w:p>
        </w:tc>
        <w:tc>
          <w:tcPr>
            <w:tcW w:w="62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43,198</w:t>
            </w:r>
          </w:p>
        </w:tc>
        <w:tc>
          <w:tcPr>
            <w:tcW w:w="46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61"/>
        </w:trPr>
        <w:tc>
          <w:tcPr>
            <w:tcW w:w="3740" w:type="dxa"/>
            <w:vAlign w:val="bottom"/>
          </w:tcPr>
          <w:p>
            <w:pPr>
              <w:ind w:left="380"/>
              <w:spacing w:after="0"/>
              <w:rPr>
                <w:sz w:val="20"/>
                <w:szCs w:val="20"/>
                <w:color w:val="auto"/>
              </w:rPr>
            </w:pPr>
            <w:r>
              <w:rPr>
                <w:rFonts w:ascii="Arial" w:cs="Arial" w:eastAsia="Arial" w:hAnsi="Arial"/>
                <w:sz w:val="12"/>
                <w:szCs w:val="12"/>
                <w:color w:val="auto"/>
              </w:rPr>
              <w:t>Capitalized internal-use software development costs</w:t>
            </w:r>
          </w:p>
        </w:tc>
        <w:tc>
          <w:tcPr>
            <w:tcW w:w="70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560" w:type="dxa"/>
            <w:vAlign w:val="bottom"/>
          </w:tcPr>
          <w:p>
            <w:pPr>
              <w:jc w:val="right"/>
              <w:ind w:right="439"/>
              <w:spacing w:after="0"/>
              <w:rPr>
                <w:sz w:val="20"/>
                <w:szCs w:val="20"/>
                <w:color w:val="auto"/>
              </w:rPr>
            </w:pPr>
            <w:r>
              <w:rPr>
                <w:rFonts w:ascii="Arial" w:cs="Arial" w:eastAsia="Arial" w:hAnsi="Arial"/>
                <w:sz w:val="12"/>
                <w:szCs w:val="12"/>
                <w:color w:val="auto"/>
              </w:rPr>
              <w:t>17,999</w:t>
            </w:r>
          </w:p>
        </w:tc>
        <w:tc>
          <w:tcPr>
            <w:tcW w:w="480" w:type="dxa"/>
            <w:vAlign w:val="bottom"/>
          </w:tcPr>
          <w:p>
            <w:pPr>
              <w:jc w:val="right"/>
              <w:ind w:right="339"/>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99"/>
              <w:spacing w:after="0"/>
              <w:rPr>
                <w:sz w:val="20"/>
                <w:szCs w:val="20"/>
                <w:color w:val="auto"/>
              </w:rPr>
            </w:pPr>
            <w:r>
              <w:rPr>
                <w:rFonts w:ascii="Arial" w:cs="Arial" w:eastAsia="Arial" w:hAnsi="Arial"/>
                <w:sz w:val="12"/>
                <w:szCs w:val="12"/>
                <w:color w:val="auto"/>
              </w:rPr>
              <w:t>12,172</w:t>
            </w:r>
          </w:p>
        </w:tc>
        <w:tc>
          <w:tcPr>
            <w:tcW w:w="620" w:type="dxa"/>
            <w:vAlign w:val="bottom"/>
          </w:tcPr>
          <w:p>
            <w:pPr>
              <w:jc w:val="right"/>
              <w:ind w:right="2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419"/>
              <w:spacing w:after="0"/>
              <w:rPr>
                <w:sz w:val="20"/>
                <w:szCs w:val="20"/>
                <w:color w:val="auto"/>
              </w:rPr>
            </w:pPr>
            <w:r>
              <w:rPr>
                <w:rFonts w:ascii="Arial" w:cs="Arial" w:eastAsia="Arial" w:hAnsi="Arial"/>
                <w:sz w:val="12"/>
                <w:szCs w:val="12"/>
                <w:color w:val="auto"/>
              </w:rPr>
              <w:t>49,527</w:t>
            </w:r>
          </w:p>
        </w:tc>
        <w:tc>
          <w:tcPr>
            <w:tcW w:w="460" w:type="dxa"/>
            <w:vAlign w:val="bottom"/>
          </w:tcPr>
          <w:p>
            <w:pPr>
              <w:jc w:val="right"/>
              <w:ind w:right="319"/>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28"/>
        </w:trPr>
        <w:tc>
          <w:tcPr>
            <w:tcW w:w="3740" w:type="dxa"/>
            <w:vAlign w:val="bottom"/>
            <w:shd w:val="clear" w:color="auto" w:fill="CCEEFF"/>
          </w:tcPr>
          <w:p>
            <w:pPr>
              <w:ind w:left="380"/>
              <w:spacing w:after="0" w:line="128" w:lineRule="exact"/>
              <w:rPr>
                <w:sz w:val="20"/>
                <w:szCs w:val="20"/>
                <w:color w:val="auto"/>
              </w:rPr>
            </w:pPr>
            <w:r>
              <w:rPr>
                <w:rFonts w:ascii="Arial" w:cs="Arial" w:eastAsia="Arial" w:hAnsi="Arial"/>
                <w:sz w:val="12"/>
                <w:szCs w:val="12"/>
                <w:color w:val="auto"/>
                <w:w w:val="97"/>
              </w:rPr>
              <w:t>Stock based compensation costs included in capitalized internal-</w:t>
            </w:r>
          </w:p>
        </w:tc>
        <w:tc>
          <w:tcPr>
            <w:tcW w:w="70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560" w:type="dxa"/>
            <w:vAlign w:val="bottom"/>
            <w:vMerge w:val="restart"/>
            <w:shd w:val="clear" w:color="auto" w:fill="CCEEFF"/>
          </w:tcPr>
          <w:p>
            <w:pPr>
              <w:jc w:val="right"/>
              <w:ind w:right="439"/>
              <w:spacing w:after="0"/>
              <w:rPr>
                <w:sz w:val="20"/>
                <w:szCs w:val="20"/>
                <w:color w:val="auto"/>
              </w:rPr>
            </w:pPr>
            <w:r>
              <w:rPr>
                <w:rFonts w:ascii="Arial" w:cs="Arial" w:eastAsia="Arial" w:hAnsi="Arial"/>
                <w:sz w:val="12"/>
                <w:szCs w:val="12"/>
                <w:color w:val="auto"/>
              </w:rPr>
              <w:t>5,198</w:t>
            </w:r>
          </w:p>
        </w:tc>
        <w:tc>
          <w:tcPr>
            <w:tcW w:w="480" w:type="dxa"/>
            <w:vAlign w:val="bottom"/>
            <w:vMerge w:val="restart"/>
            <w:shd w:val="clear" w:color="auto" w:fill="CCEEFF"/>
          </w:tcPr>
          <w:p>
            <w:pPr>
              <w:jc w:val="right"/>
              <w:ind w:right="339"/>
              <w:spacing w:after="0"/>
              <w:rPr>
                <w:sz w:val="20"/>
                <w:szCs w:val="20"/>
                <w:color w:val="auto"/>
              </w:rPr>
            </w:pPr>
            <w:r>
              <w:rPr>
                <w:rFonts w:ascii="Arial" w:cs="Arial" w:eastAsia="Arial" w:hAnsi="Arial"/>
                <w:sz w:val="12"/>
                <w:szCs w:val="12"/>
                <w:color w:val="auto"/>
                <w:w w:val="89"/>
              </w:rPr>
              <w:t>$</w:t>
            </w:r>
          </w:p>
        </w:tc>
        <w:tc>
          <w:tcPr>
            <w:tcW w:w="118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rPr>
              <w:t>3,696</w:t>
            </w:r>
          </w:p>
        </w:tc>
        <w:tc>
          <w:tcPr>
            <w:tcW w:w="620" w:type="dxa"/>
            <w:vAlign w:val="bottom"/>
            <w:vMerge w:val="restart"/>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1520" w:type="dxa"/>
            <w:vAlign w:val="bottom"/>
            <w:vMerge w:val="restart"/>
            <w:shd w:val="clear" w:color="auto" w:fill="CCEEFF"/>
          </w:tcPr>
          <w:p>
            <w:pPr>
              <w:jc w:val="right"/>
              <w:ind w:right="419"/>
              <w:spacing w:after="0"/>
              <w:rPr>
                <w:sz w:val="20"/>
                <w:szCs w:val="20"/>
                <w:color w:val="auto"/>
              </w:rPr>
            </w:pPr>
            <w:r>
              <w:rPr>
                <w:rFonts w:ascii="Arial" w:cs="Arial" w:eastAsia="Arial" w:hAnsi="Arial"/>
                <w:sz w:val="12"/>
                <w:szCs w:val="12"/>
                <w:color w:val="auto"/>
              </w:rPr>
              <w:t>14,938</w:t>
            </w:r>
          </w:p>
        </w:tc>
        <w:tc>
          <w:tcPr>
            <w:tcW w:w="460" w:type="dxa"/>
            <w:vAlign w:val="bottom"/>
            <w:vMerge w:val="restart"/>
            <w:shd w:val="clear" w:color="auto" w:fill="CCEEFF"/>
          </w:tcPr>
          <w:p>
            <w:pPr>
              <w:jc w:val="right"/>
              <w:ind w:right="319"/>
              <w:spacing w:after="0"/>
              <w:rPr>
                <w:sz w:val="20"/>
                <w:szCs w:val="20"/>
                <w:color w:val="auto"/>
              </w:rPr>
            </w:pPr>
            <w:r>
              <w:rPr>
                <w:rFonts w:ascii="Arial" w:cs="Arial" w:eastAsia="Arial" w:hAnsi="Arial"/>
                <w:sz w:val="12"/>
                <w:szCs w:val="12"/>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60"/>
        </w:trPr>
        <w:tc>
          <w:tcPr>
            <w:tcW w:w="3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use software development costs</w:t>
            </w:r>
          </w:p>
        </w:tc>
        <w:tc>
          <w:tcPr>
            <w:tcW w:w="700" w:type="dxa"/>
            <w:vAlign w:val="bottom"/>
            <w:vMerge w:val="continue"/>
            <w:shd w:val="clear" w:color="auto" w:fill="CCEEFF"/>
          </w:tcPr>
          <w:p>
            <w:pPr>
              <w:spacing w:after="0"/>
              <w:rPr>
                <w:sz w:val="13"/>
                <w:szCs w:val="13"/>
                <w:color w:val="auto"/>
              </w:rPr>
            </w:pPr>
          </w:p>
        </w:tc>
        <w:tc>
          <w:tcPr>
            <w:tcW w:w="1560" w:type="dxa"/>
            <w:vAlign w:val="bottom"/>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520" w:type="dxa"/>
            <w:vAlign w:val="bottom"/>
            <w:vMerge w:val="continue"/>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740" w:type="dxa"/>
            <w:vAlign w:val="bottom"/>
          </w:tcPr>
          <w:p>
            <w:pPr>
              <w:ind w:left="380"/>
              <w:spacing w:after="0" w:line="126" w:lineRule="exact"/>
              <w:rPr>
                <w:sz w:val="20"/>
                <w:szCs w:val="20"/>
                <w:color w:val="auto"/>
              </w:rPr>
            </w:pPr>
            <w:r>
              <w:rPr>
                <w:rFonts w:ascii="Arial" w:cs="Arial" w:eastAsia="Arial" w:hAnsi="Arial"/>
                <w:sz w:val="12"/>
                <w:szCs w:val="12"/>
                <w:color w:val="auto"/>
              </w:rPr>
              <w:t>Amortization of capitalized internal-use software development</w:t>
            </w:r>
          </w:p>
        </w:tc>
        <w:tc>
          <w:tcPr>
            <w:tcW w:w="700" w:type="dxa"/>
            <w:vAlign w:val="bottom"/>
            <w:vMerge w:val="restart"/>
          </w:tcPr>
          <w:p>
            <w:pPr>
              <w:jc w:val="right"/>
              <w:ind w:right="199"/>
              <w:spacing w:after="0"/>
              <w:rPr>
                <w:sz w:val="20"/>
                <w:szCs w:val="20"/>
                <w:color w:val="auto"/>
              </w:rPr>
            </w:pPr>
            <w:r>
              <w:rPr>
                <w:rFonts w:ascii="Arial" w:cs="Arial" w:eastAsia="Arial" w:hAnsi="Arial"/>
                <w:sz w:val="12"/>
                <w:szCs w:val="12"/>
                <w:color w:val="auto"/>
              </w:rPr>
              <w:t>$</w:t>
            </w:r>
          </w:p>
        </w:tc>
        <w:tc>
          <w:tcPr>
            <w:tcW w:w="1560" w:type="dxa"/>
            <w:vAlign w:val="bottom"/>
            <w:vMerge w:val="restart"/>
          </w:tcPr>
          <w:p>
            <w:pPr>
              <w:jc w:val="right"/>
              <w:ind w:right="439"/>
              <w:spacing w:after="0"/>
              <w:rPr>
                <w:sz w:val="20"/>
                <w:szCs w:val="20"/>
                <w:color w:val="auto"/>
              </w:rPr>
            </w:pPr>
            <w:r>
              <w:rPr>
                <w:rFonts w:ascii="Arial" w:cs="Arial" w:eastAsia="Arial" w:hAnsi="Arial"/>
                <w:sz w:val="12"/>
                <w:szCs w:val="12"/>
                <w:color w:val="auto"/>
              </w:rPr>
              <w:t>4,419</w:t>
            </w:r>
          </w:p>
        </w:tc>
        <w:tc>
          <w:tcPr>
            <w:tcW w:w="480" w:type="dxa"/>
            <w:vAlign w:val="bottom"/>
            <w:vMerge w:val="restart"/>
          </w:tcPr>
          <w:p>
            <w:pPr>
              <w:jc w:val="right"/>
              <w:ind w:right="339"/>
              <w:spacing w:after="0"/>
              <w:rPr>
                <w:sz w:val="20"/>
                <w:szCs w:val="20"/>
                <w:color w:val="auto"/>
              </w:rPr>
            </w:pPr>
            <w:r>
              <w:rPr>
                <w:rFonts w:ascii="Arial" w:cs="Arial" w:eastAsia="Arial" w:hAnsi="Arial"/>
                <w:sz w:val="12"/>
                <w:szCs w:val="12"/>
                <w:color w:val="auto"/>
                <w:w w:val="89"/>
              </w:rPr>
              <w:t>$</w:t>
            </w:r>
          </w:p>
        </w:tc>
        <w:tc>
          <w:tcPr>
            <w:tcW w:w="1180" w:type="dxa"/>
            <w:vAlign w:val="bottom"/>
            <w:vMerge w:val="restart"/>
          </w:tcPr>
          <w:p>
            <w:pPr>
              <w:jc w:val="right"/>
              <w:ind w:right="199"/>
              <w:spacing w:after="0"/>
              <w:rPr>
                <w:sz w:val="20"/>
                <w:szCs w:val="20"/>
                <w:color w:val="auto"/>
              </w:rPr>
            </w:pPr>
            <w:r>
              <w:rPr>
                <w:rFonts w:ascii="Arial" w:cs="Arial" w:eastAsia="Arial" w:hAnsi="Arial"/>
                <w:sz w:val="12"/>
                <w:szCs w:val="12"/>
                <w:color w:val="auto"/>
              </w:rPr>
              <w:t>4,380</w:t>
            </w:r>
          </w:p>
        </w:tc>
        <w:tc>
          <w:tcPr>
            <w:tcW w:w="620" w:type="dxa"/>
            <w:vAlign w:val="bottom"/>
            <w:vMerge w:val="restart"/>
          </w:tcPr>
          <w:p>
            <w:pPr>
              <w:jc w:val="right"/>
              <w:ind w:right="239"/>
              <w:spacing w:after="0"/>
              <w:rPr>
                <w:sz w:val="20"/>
                <w:szCs w:val="20"/>
                <w:color w:val="auto"/>
              </w:rPr>
            </w:pPr>
            <w:r>
              <w:rPr>
                <w:rFonts w:ascii="Arial" w:cs="Arial" w:eastAsia="Arial" w:hAnsi="Arial"/>
                <w:sz w:val="12"/>
                <w:szCs w:val="12"/>
                <w:color w:val="auto"/>
              </w:rPr>
              <w:t>$</w:t>
            </w:r>
          </w:p>
        </w:tc>
        <w:tc>
          <w:tcPr>
            <w:tcW w:w="1520" w:type="dxa"/>
            <w:vAlign w:val="bottom"/>
            <w:vMerge w:val="restart"/>
          </w:tcPr>
          <w:p>
            <w:pPr>
              <w:jc w:val="right"/>
              <w:ind w:right="419"/>
              <w:spacing w:after="0"/>
              <w:rPr>
                <w:sz w:val="20"/>
                <w:szCs w:val="20"/>
                <w:color w:val="auto"/>
              </w:rPr>
            </w:pPr>
            <w:r>
              <w:rPr>
                <w:rFonts w:ascii="Arial" w:cs="Arial" w:eastAsia="Arial" w:hAnsi="Arial"/>
                <w:sz w:val="12"/>
                <w:szCs w:val="12"/>
                <w:color w:val="auto"/>
              </w:rPr>
              <w:t>13,270</w:t>
            </w:r>
          </w:p>
        </w:tc>
        <w:tc>
          <w:tcPr>
            <w:tcW w:w="460" w:type="dxa"/>
            <w:vAlign w:val="bottom"/>
            <w:vMerge w:val="restart"/>
          </w:tcPr>
          <w:p>
            <w:pPr>
              <w:jc w:val="right"/>
              <w:ind w:right="319"/>
              <w:spacing w:after="0"/>
              <w:rPr>
                <w:sz w:val="20"/>
                <w:szCs w:val="20"/>
                <w:color w:val="auto"/>
              </w:rPr>
            </w:pPr>
            <w:r>
              <w:rPr>
                <w:rFonts w:ascii="Arial" w:cs="Arial" w:eastAsia="Arial" w:hAnsi="Arial"/>
                <w:sz w:val="12"/>
                <w:szCs w:val="12"/>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5"/>
        </w:trPr>
        <w:tc>
          <w:tcPr>
            <w:tcW w:w="3740" w:type="dxa"/>
            <w:vAlign w:val="bottom"/>
          </w:tcPr>
          <w:p>
            <w:pPr>
              <w:ind w:left="20"/>
              <w:spacing w:after="0"/>
              <w:rPr>
                <w:sz w:val="20"/>
                <w:szCs w:val="20"/>
                <w:color w:val="auto"/>
              </w:rPr>
            </w:pPr>
            <w:r>
              <w:rPr>
                <w:rFonts w:ascii="Arial" w:cs="Arial" w:eastAsia="Arial" w:hAnsi="Arial"/>
                <w:sz w:val="12"/>
                <w:szCs w:val="12"/>
                <w:color w:val="auto"/>
              </w:rPr>
              <w:t>costs</w:t>
            </w:r>
          </w:p>
        </w:tc>
        <w:tc>
          <w:tcPr>
            <w:tcW w:w="7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Right-of-Use Asset and Lease Liabilities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Company has entered into various operating lease agreements for office space and data centers and finance lease agreements for data center and office equipment and furniture.</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As of September 30, 2021, the Company had 32 leased properties with remaining lease terms ranging from 0.2 years to 8.0 years, some of which include options to extend the leases for up to 5.0 years.</w:t>
      </w:r>
    </w:p>
    <w:p>
      <w:pPr>
        <w:spacing w:after="0" w:line="260"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components of the lease expense recorded in the accompanying condensed consolidated statements of operations were as follows:</w:t>
      </w:r>
    </w:p>
    <w:p>
      <w:pPr>
        <w:spacing w:after="0" w:line="181"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gridSpan w:val="4"/>
          </w:tcPr>
          <w:p>
            <w:pPr>
              <w:ind w:left="160"/>
              <w:spacing w:after="0"/>
              <w:rPr>
                <w:sz w:val="20"/>
                <w:szCs w:val="20"/>
                <w:color w:val="auto"/>
              </w:rPr>
            </w:pPr>
            <w:r>
              <w:rPr>
                <w:rFonts w:ascii="Arial" w:cs="Arial" w:eastAsia="Arial" w:hAnsi="Arial"/>
                <w:sz w:val="12"/>
                <w:szCs w:val="12"/>
                <w:b w:val="1"/>
                <w:bCs w:val="1"/>
                <w:color w:val="auto"/>
              </w:rPr>
              <w:t>Three Months Ended</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gridSpan w:val="4"/>
          </w:tcPr>
          <w:p>
            <w:pPr>
              <w:jc w:val="right"/>
              <w:ind w:right="79"/>
              <w:spacing w:after="0"/>
              <w:rPr>
                <w:sz w:val="20"/>
                <w:szCs w:val="20"/>
                <w:color w:val="auto"/>
              </w:rPr>
            </w:pPr>
            <w:r>
              <w:rPr>
                <w:rFonts w:ascii="Arial" w:cs="Arial" w:eastAsia="Arial" w:hAnsi="Arial"/>
                <w:sz w:val="12"/>
                <w:szCs w:val="12"/>
                <w:b w:val="1"/>
                <w:bCs w:val="1"/>
                <w:color w:val="auto"/>
              </w:rPr>
              <w:t>Nine Months Ended</w:t>
            </w:r>
          </w:p>
        </w:tc>
        <w:tc>
          <w:tcPr>
            <w:tcW w:w="720" w:type="dxa"/>
            <w:vAlign w:val="bottom"/>
          </w:tcPr>
          <w:p>
            <w:pPr>
              <w:spacing w:after="0"/>
              <w:rPr>
                <w:sz w:val="12"/>
                <w:szCs w:val="12"/>
                <w:color w:val="auto"/>
              </w:rPr>
            </w:pPr>
          </w:p>
        </w:tc>
      </w:tr>
      <w:tr>
        <w:trPr>
          <w:trHeight w:val="161"/>
        </w:trPr>
        <w:tc>
          <w:tcPr>
            <w:tcW w:w="376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w w:val="92"/>
              </w:rPr>
              <w:t>September 30,</w:t>
            </w: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760"/>
              <w:spacing w:after="0"/>
              <w:rPr>
                <w:sz w:val="20"/>
                <w:szCs w:val="20"/>
                <w:color w:val="auto"/>
              </w:rPr>
            </w:pPr>
            <w:r>
              <w:rPr>
                <w:rFonts w:ascii="Arial" w:cs="Arial" w:eastAsia="Arial" w:hAnsi="Arial"/>
                <w:sz w:val="12"/>
                <w:szCs w:val="12"/>
                <w:b w:val="1"/>
                <w:bCs w:val="1"/>
                <w:color w:val="auto"/>
                <w:w w:val="90"/>
              </w:rPr>
              <w:t>September 30,</w:t>
            </w: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53"/>
        </w:trPr>
        <w:tc>
          <w:tcPr>
            <w:tcW w:w="3760" w:type="dxa"/>
            <w:vAlign w:val="bottom"/>
          </w:tcPr>
          <w:p>
            <w:pPr>
              <w:spacing w:after="0"/>
              <w:rPr>
                <w:sz w:val="13"/>
                <w:szCs w:val="13"/>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2021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b w:val="1"/>
                <w:bCs w:val="1"/>
                <w:color w:val="auto"/>
              </w:rPr>
              <w:t>2020</w:t>
            </w:r>
          </w:p>
        </w:tc>
      </w:tr>
      <w:tr>
        <w:trPr>
          <w:trHeight w:val="153"/>
        </w:trPr>
        <w:tc>
          <w:tcPr>
            <w:tcW w:w="3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0" w:type="dxa"/>
            <w:vAlign w:val="bottom"/>
            <w:gridSpan w:val="3"/>
          </w:tcPr>
          <w:p>
            <w:pPr>
              <w:jc w:val="right"/>
              <w:ind w:right="179"/>
              <w:spacing w:after="0"/>
              <w:rPr>
                <w:sz w:val="20"/>
                <w:szCs w:val="20"/>
                <w:color w:val="auto"/>
              </w:rPr>
            </w:pPr>
            <w:r>
              <w:rPr>
                <w:rFonts w:ascii="Arial" w:cs="Arial" w:eastAsia="Arial" w:hAnsi="Arial"/>
                <w:sz w:val="12"/>
                <w:szCs w:val="12"/>
                <w:color w:val="auto"/>
              </w:rPr>
              <w:t>(In thousands)</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7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Operating lease cost</w:t>
            </w:r>
          </w:p>
        </w:tc>
        <w:tc>
          <w:tcPr>
            <w:tcW w:w="1320" w:type="dxa"/>
            <w:vAlign w:val="bottom"/>
            <w:shd w:val="clear" w:color="auto" w:fill="CCEEFF"/>
          </w:tcPr>
          <w:p>
            <w:pPr>
              <w:jc w:val="right"/>
              <w:ind w:right="819"/>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16,141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12,127</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45,519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r>
      <w:tr>
        <w:trPr>
          <w:trHeight w:val="161"/>
        </w:trPr>
        <w:tc>
          <w:tcPr>
            <w:tcW w:w="3760" w:type="dxa"/>
            <w:vAlign w:val="bottom"/>
          </w:tcPr>
          <w:p>
            <w:pPr>
              <w:ind w:left="380"/>
              <w:spacing w:after="0"/>
              <w:rPr>
                <w:sz w:val="20"/>
                <w:szCs w:val="20"/>
                <w:color w:val="auto"/>
              </w:rPr>
            </w:pPr>
            <w:r>
              <w:rPr>
                <w:rFonts w:ascii="Arial" w:cs="Arial" w:eastAsia="Arial" w:hAnsi="Arial"/>
                <w:sz w:val="12"/>
                <w:szCs w:val="12"/>
                <w:color w:val="auto"/>
              </w:rPr>
              <w:t>Finance lease cost:</w:t>
            </w:r>
          </w:p>
        </w:tc>
        <w:tc>
          <w:tcPr>
            <w:tcW w:w="1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7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Amortization of assets</w:t>
            </w:r>
          </w:p>
        </w:tc>
        <w:tc>
          <w:tcPr>
            <w:tcW w:w="13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2,384</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8,389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1"/>
        </w:trPr>
        <w:tc>
          <w:tcPr>
            <w:tcW w:w="3760" w:type="dxa"/>
            <w:vAlign w:val="bottom"/>
          </w:tcPr>
          <w:p>
            <w:pPr>
              <w:ind w:left="480"/>
              <w:spacing w:after="0"/>
              <w:rPr>
                <w:sz w:val="20"/>
                <w:szCs w:val="20"/>
                <w:color w:val="auto"/>
              </w:rPr>
            </w:pPr>
            <w:r>
              <w:rPr>
                <w:rFonts w:ascii="Arial" w:cs="Arial" w:eastAsia="Arial" w:hAnsi="Arial"/>
                <w:sz w:val="12"/>
                <w:szCs w:val="12"/>
                <w:color w:val="auto"/>
              </w:rPr>
              <w:t>Interest on lease liabilities</w:t>
            </w:r>
          </w:p>
        </w:tc>
        <w:tc>
          <w:tcPr>
            <w:tcW w:w="13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282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212</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805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7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Short-term lease cost</w:t>
            </w:r>
          </w:p>
        </w:tc>
        <w:tc>
          <w:tcPr>
            <w:tcW w:w="13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1,195</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61"/>
        </w:trPr>
        <w:tc>
          <w:tcPr>
            <w:tcW w:w="376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Variable lease cost</w:t>
            </w:r>
          </w:p>
        </w:tc>
        <w:tc>
          <w:tcPr>
            <w:tcW w:w="13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2,389</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2,066</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r>
      <w:tr>
        <w:trPr>
          <w:trHeight w:val="181"/>
        </w:trPr>
        <w:tc>
          <w:tcPr>
            <w:tcW w:w="37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Total net lease cost</w:t>
            </w:r>
          </w:p>
        </w:tc>
        <w:tc>
          <w:tcPr>
            <w:tcW w:w="13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22,519</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17,984</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65,375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Supplemental balance sheet information related to leases was as follows:</w:t>
      </w:r>
    </w:p>
    <w:p>
      <w:pPr>
        <w:spacing w:after="0" w:line="196" w:lineRule="exact"/>
        <w:rPr>
          <w:sz w:val="20"/>
          <w:szCs w:val="20"/>
          <w:color w:val="auto"/>
        </w:rPr>
      </w:pPr>
    </w:p>
    <w:tbl>
      <w:tblPr>
        <w:tblLayout w:type="fixed"/>
        <w:tblInd w:w="180" w:type="dxa"/>
        <w:tblCellMar>
          <w:top w:w="0" w:type="dxa"/>
          <w:left w:w="0" w:type="dxa"/>
          <w:bottom w:w="0" w:type="dxa"/>
          <w:right w:w="0" w:type="dxa"/>
        </w:tblCellMar>
      </w:tblPr>
      <w:tr>
        <w:trPr>
          <w:trHeight w:val="159"/>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6"/>
              </w:rPr>
              <w:t>As of</w:t>
            </w:r>
          </w:p>
        </w:tc>
        <w:tc>
          <w:tcPr>
            <w:tcW w:w="360" w:type="dxa"/>
            <w:vAlign w:val="bottom"/>
          </w:tcPr>
          <w:p>
            <w:pPr>
              <w:spacing w:after="0"/>
              <w:rPr>
                <w:sz w:val="13"/>
                <w:szCs w:val="13"/>
                <w:color w:val="auto"/>
              </w:rPr>
            </w:pPr>
          </w:p>
        </w:tc>
        <w:tc>
          <w:tcPr>
            <w:tcW w:w="1220" w:type="dxa"/>
            <w:vAlign w:val="bottom"/>
          </w:tcPr>
          <w:p>
            <w:pPr>
              <w:jc w:val="center"/>
              <w:ind w:right="299"/>
              <w:spacing w:after="0"/>
              <w:rPr>
                <w:sz w:val="20"/>
                <w:szCs w:val="20"/>
                <w:color w:val="auto"/>
              </w:rPr>
            </w:pPr>
            <w:r>
              <w:rPr>
                <w:rFonts w:ascii="Arial" w:cs="Arial" w:eastAsia="Arial" w:hAnsi="Arial"/>
                <w:sz w:val="12"/>
                <w:szCs w:val="12"/>
                <w:b w:val="1"/>
                <w:bCs w:val="1"/>
                <w:color w:val="auto"/>
                <w:w w:val="86"/>
              </w:rPr>
              <w:t>As of</w:t>
            </w:r>
          </w:p>
        </w:tc>
      </w:tr>
      <w:tr>
        <w:trPr>
          <w:trHeight w:val="163"/>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September 30,</w:t>
            </w:r>
          </w:p>
        </w:tc>
        <w:tc>
          <w:tcPr>
            <w:tcW w:w="360" w:type="dxa"/>
            <w:vAlign w:val="bottom"/>
          </w:tcPr>
          <w:p>
            <w:pPr>
              <w:spacing w:after="0"/>
              <w:rPr>
                <w:sz w:val="14"/>
                <w:szCs w:val="14"/>
                <w:color w:val="auto"/>
              </w:rPr>
            </w:pPr>
          </w:p>
        </w:tc>
        <w:tc>
          <w:tcPr>
            <w:tcW w:w="1220" w:type="dxa"/>
            <w:vAlign w:val="bottom"/>
          </w:tcPr>
          <w:p>
            <w:pPr>
              <w:jc w:val="center"/>
              <w:ind w:right="299"/>
              <w:spacing w:after="0"/>
              <w:rPr>
                <w:sz w:val="20"/>
                <w:szCs w:val="20"/>
                <w:color w:val="auto"/>
              </w:rPr>
            </w:pPr>
            <w:r>
              <w:rPr>
                <w:rFonts w:ascii="Arial" w:cs="Arial" w:eastAsia="Arial" w:hAnsi="Arial"/>
                <w:sz w:val="12"/>
                <w:szCs w:val="12"/>
                <w:b w:val="1"/>
                <w:bCs w:val="1"/>
                <w:color w:val="auto"/>
                <w:w w:val="89"/>
              </w:rPr>
              <w:t>December 31,</w:t>
            </w:r>
          </w:p>
        </w:tc>
      </w:tr>
      <w:tr>
        <w:trPr>
          <w:trHeight w:val="166"/>
        </w:trPr>
        <w:tc>
          <w:tcPr>
            <w:tcW w:w="2480" w:type="dxa"/>
            <w:vAlign w:val="bottom"/>
            <w:gridSpan w:val="2"/>
          </w:tcPr>
          <w:p>
            <w:pPr>
              <w:ind w:left="20"/>
              <w:spacing w:after="0"/>
              <w:rPr>
                <w:sz w:val="20"/>
                <w:szCs w:val="20"/>
                <w:color w:val="auto"/>
              </w:rPr>
            </w:pPr>
            <w:r>
              <w:rPr>
                <w:rFonts w:ascii="Arial" w:cs="Arial" w:eastAsia="Arial" w:hAnsi="Arial"/>
                <w:sz w:val="12"/>
                <w:szCs w:val="12"/>
                <w:b w:val="1"/>
                <w:bCs w:val="1"/>
                <w:color w:val="auto"/>
              </w:rPr>
              <w:t>Leases</w:t>
            </w:r>
          </w:p>
        </w:tc>
        <w:tc>
          <w:tcPr>
            <w:tcW w:w="5180" w:type="dxa"/>
            <w:vAlign w:val="bottom"/>
            <w:gridSpan w:val="2"/>
          </w:tcPr>
          <w:p>
            <w:pPr>
              <w:spacing w:after="0"/>
              <w:rPr>
                <w:sz w:val="20"/>
                <w:szCs w:val="20"/>
                <w:color w:val="auto"/>
              </w:rPr>
            </w:pPr>
            <w:r>
              <w:rPr>
                <w:rFonts w:ascii="Arial" w:cs="Arial" w:eastAsia="Arial" w:hAnsi="Arial"/>
                <w:sz w:val="12"/>
                <w:szCs w:val="12"/>
                <w:b w:val="1"/>
                <w:bCs w:val="1"/>
                <w:color w:val="auto"/>
              </w:rPr>
              <w:t>Classification</w:t>
            </w:r>
          </w:p>
        </w:tc>
        <w:tc>
          <w:tcPr>
            <w:tcW w:w="240" w:type="dxa"/>
            <w:vAlign w:val="bottom"/>
          </w:tcPr>
          <w:p>
            <w:pPr>
              <w:spacing w:after="0"/>
              <w:rPr>
                <w:sz w:val="14"/>
                <w:szCs w:val="14"/>
                <w:color w:val="auto"/>
              </w:rPr>
            </w:pPr>
          </w:p>
        </w:tc>
        <w:tc>
          <w:tcPr>
            <w:tcW w:w="1340" w:type="dxa"/>
            <w:vAlign w:val="bottom"/>
          </w:tcPr>
          <w:p>
            <w:pPr>
              <w:jc w:val="center"/>
              <w:ind w:right="159"/>
              <w:spacing w:after="0"/>
              <w:rPr>
                <w:sz w:val="20"/>
                <w:szCs w:val="20"/>
                <w:color w:val="auto"/>
              </w:rPr>
            </w:pPr>
            <w:r>
              <w:rPr>
                <w:rFonts w:ascii="Arial" w:cs="Arial" w:eastAsia="Arial" w:hAnsi="Arial"/>
                <w:sz w:val="12"/>
                <w:szCs w:val="12"/>
                <w:b w:val="1"/>
                <w:bCs w:val="1"/>
                <w:color w:val="auto"/>
                <w:w w:val="89"/>
              </w:rPr>
              <w:t>2021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center"/>
              <w:ind w:right="319"/>
              <w:spacing w:after="0"/>
              <w:rPr>
                <w:sz w:val="20"/>
                <w:szCs w:val="20"/>
                <w:color w:val="auto"/>
              </w:rPr>
            </w:pPr>
            <w:r>
              <w:rPr>
                <w:rFonts w:ascii="Arial" w:cs="Arial" w:eastAsia="Arial" w:hAnsi="Arial"/>
                <w:sz w:val="12"/>
                <w:szCs w:val="12"/>
                <w:b w:val="1"/>
                <w:bCs w:val="1"/>
                <w:color w:val="auto"/>
                <w:w w:val="89"/>
              </w:rPr>
              <w:t>2020</w:t>
            </w:r>
          </w:p>
        </w:tc>
      </w:tr>
      <w:tr>
        <w:trPr>
          <w:trHeight w:val="154"/>
        </w:trPr>
        <w:tc>
          <w:tcPr>
            <w:tcW w:w="238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auto"/>
              </w:rPr>
              <w:t>Assets:</w:t>
            </w:r>
          </w:p>
        </w:tc>
        <w:tc>
          <w:tcPr>
            <w:tcW w:w="100" w:type="dxa"/>
            <w:vAlign w:val="bottom"/>
          </w:tcPr>
          <w:p>
            <w:pPr>
              <w:spacing w:after="0"/>
              <w:rPr>
                <w:sz w:val="13"/>
                <w:szCs w:val="13"/>
                <w:color w:val="auto"/>
              </w:rPr>
            </w:pPr>
          </w:p>
        </w:tc>
        <w:tc>
          <w:tcPr>
            <w:tcW w:w="5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3"/>
          </w:tcPr>
          <w:p>
            <w:pPr>
              <w:jc w:val="right"/>
              <w:ind w:right="9"/>
              <w:spacing w:after="0"/>
              <w:rPr>
                <w:sz w:val="20"/>
                <w:szCs w:val="20"/>
                <w:color w:val="auto"/>
              </w:rPr>
            </w:pPr>
            <w:r>
              <w:rPr>
                <w:rFonts w:ascii="Arial" w:cs="Arial" w:eastAsia="Arial" w:hAnsi="Arial"/>
                <w:sz w:val="12"/>
                <w:szCs w:val="12"/>
                <w:color w:val="auto"/>
              </w:rPr>
              <w:t>(In thousands)</w:t>
            </w:r>
          </w:p>
        </w:tc>
        <w:tc>
          <w:tcPr>
            <w:tcW w:w="1220" w:type="dxa"/>
            <w:vAlign w:val="bottom"/>
            <w:tcBorders>
              <w:top w:val="single" w:sz="8" w:color="auto"/>
            </w:tcBorders>
          </w:tcPr>
          <w:p>
            <w:pPr>
              <w:spacing w:after="0"/>
              <w:rPr>
                <w:sz w:val="13"/>
                <w:szCs w:val="13"/>
                <w:color w:val="auto"/>
              </w:rPr>
            </w:pPr>
          </w:p>
        </w:tc>
      </w:tr>
      <w:tr>
        <w:trPr>
          <w:trHeight w:val="165"/>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Operating lease assets</w:t>
            </w:r>
          </w:p>
        </w:tc>
        <w:tc>
          <w:tcPr>
            <w:tcW w:w="5180" w:type="dxa"/>
            <w:vAlign w:val="bottom"/>
            <w:gridSpan w:val="2"/>
            <w:shd w:val="clear" w:color="auto" w:fill="CCEEFF"/>
          </w:tcPr>
          <w:p>
            <w:pPr>
              <w:spacing w:after="0" w:line="166" w:lineRule="exact"/>
              <w:rPr>
                <w:sz w:val="20"/>
                <w:szCs w:val="20"/>
                <w:color w:val="auto"/>
              </w:rPr>
            </w:pPr>
            <w:r>
              <w:rPr>
                <w:rFonts w:ascii="Arial" w:cs="Arial" w:eastAsia="Arial" w:hAnsi="Arial"/>
                <w:sz w:val="12"/>
                <w:szCs w:val="12"/>
                <w:color w:val="auto"/>
              </w:rPr>
              <w:t xml:space="preserve">Operating right-of-use asset, net of accumulated amortization </w:t>
            </w:r>
            <w:r>
              <w:rPr>
                <w:rFonts w:ascii="Arial" w:cs="Arial" w:eastAsia="Arial" w:hAnsi="Arial"/>
                <w:sz w:val="15"/>
                <w:szCs w:val="15"/>
                <w:color w:val="auto"/>
                <w:vertAlign w:val="superscript"/>
              </w:rPr>
              <w:t>(1)</w:t>
            </w:r>
          </w:p>
        </w:tc>
        <w:tc>
          <w:tcPr>
            <w:tcW w:w="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248,582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258,610</w:t>
            </w:r>
          </w:p>
        </w:tc>
      </w:tr>
      <w:tr>
        <w:trPr>
          <w:trHeight w:val="163"/>
        </w:trPr>
        <w:tc>
          <w:tcPr>
            <w:tcW w:w="248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Finance lease assets</w:t>
            </w:r>
          </w:p>
        </w:tc>
        <w:tc>
          <w:tcPr>
            <w:tcW w:w="5180" w:type="dxa"/>
            <w:vAlign w:val="bottom"/>
            <w:tcBorders>
              <w:bottom w:val="single" w:sz="8" w:color="CCEEFF"/>
            </w:tcBorders>
            <w:gridSpan w:val="2"/>
          </w:tcPr>
          <w:p>
            <w:pPr>
              <w:spacing w:after="0" w:line="164" w:lineRule="exact"/>
              <w:rPr>
                <w:sz w:val="20"/>
                <w:szCs w:val="20"/>
                <w:color w:val="auto"/>
              </w:rPr>
            </w:pPr>
            <w:r>
              <w:rPr>
                <w:rFonts w:ascii="Arial" w:cs="Arial" w:eastAsia="Arial" w:hAnsi="Arial"/>
                <w:sz w:val="12"/>
                <w:szCs w:val="12"/>
                <w:color w:val="auto"/>
              </w:rPr>
              <w:t xml:space="preserve">Property and equipment, net of accumulated depreciation </w:t>
            </w:r>
            <w:r>
              <w:rPr>
                <w:rFonts w:ascii="Arial" w:cs="Arial" w:eastAsia="Arial" w:hAnsi="Arial"/>
                <w:sz w:val="15"/>
                <w:szCs w:val="15"/>
                <w:color w:val="auto"/>
                <w:vertAlign w:val="superscript"/>
              </w:rPr>
              <w:t>(2)</w:t>
            </w: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29,027</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25,771</w:t>
            </w:r>
          </w:p>
        </w:tc>
      </w:tr>
      <w:tr>
        <w:trPr>
          <w:trHeight w:val="178"/>
        </w:trPr>
        <w:tc>
          <w:tcPr>
            <w:tcW w:w="24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2"/>
                <w:szCs w:val="12"/>
                <w:b w:val="1"/>
                <w:bCs w:val="1"/>
                <w:color w:val="auto"/>
              </w:rPr>
              <w:t>Total leased assets</w:t>
            </w:r>
          </w:p>
        </w:tc>
        <w:tc>
          <w:tcPr>
            <w:tcW w:w="5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277,609</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284,381</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34"/>
        </w:trPr>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63"/>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5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61"/>
        </w:trPr>
        <w:tc>
          <w:tcPr>
            <w:tcW w:w="2480" w:type="dxa"/>
            <w:vAlign w:val="bottom"/>
            <w:gridSpan w:val="2"/>
          </w:tcPr>
          <w:p>
            <w:pPr>
              <w:ind w:left="20"/>
              <w:spacing w:after="0"/>
              <w:rPr>
                <w:sz w:val="20"/>
                <w:szCs w:val="20"/>
                <w:color w:val="auto"/>
              </w:rPr>
            </w:pPr>
            <w:r>
              <w:rPr>
                <w:rFonts w:ascii="Arial" w:cs="Arial" w:eastAsia="Arial" w:hAnsi="Arial"/>
                <w:sz w:val="12"/>
                <w:szCs w:val="12"/>
                <w:color w:val="auto"/>
              </w:rPr>
              <w:t>Current</w:t>
            </w:r>
          </w:p>
        </w:tc>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6"/>
        </w:trPr>
        <w:tc>
          <w:tcPr>
            <w:tcW w:w="24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Operating</w:t>
            </w:r>
          </w:p>
        </w:tc>
        <w:tc>
          <w:tcPr>
            <w:tcW w:w="5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lease liability, current</w:t>
            </w:r>
          </w:p>
        </w:tc>
        <w:tc>
          <w:tcPr>
            <w:tcW w:w="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50,760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48,338</w:t>
            </w:r>
          </w:p>
        </w:tc>
      </w:tr>
      <w:tr>
        <w:trPr>
          <w:trHeight w:val="161"/>
        </w:trPr>
        <w:tc>
          <w:tcPr>
            <w:tcW w:w="2480" w:type="dxa"/>
            <w:vAlign w:val="bottom"/>
            <w:gridSpan w:val="2"/>
          </w:tcPr>
          <w:p>
            <w:pPr>
              <w:ind w:left="200"/>
              <w:spacing w:after="0"/>
              <w:rPr>
                <w:sz w:val="20"/>
                <w:szCs w:val="20"/>
                <w:color w:val="auto"/>
              </w:rPr>
            </w:pPr>
            <w:r>
              <w:rPr>
                <w:rFonts w:ascii="Arial" w:cs="Arial" w:eastAsia="Arial" w:hAnsi="Arial"/>
                <w:sz w:val="12"/>
                <w:szCs w:val="12"/>
                <w:color w:val="auto"/>
              </w:rPr>
              <w:t>Finance</w:t>
            </w:r>
          </w:p>
        </w:tc>
        <w:tc>
          <w:tcPr>
            <w:tcW w:w="5180" w:type="dxa"/>
            <w:vAlign w:val="bottom"/>
            <w:gridSpan w:val="2"/>
          </w:tcPr>
          <w:p>
            <w:pPr>
              <w:spacing w:after="0"/>
              <w:rPr>
                <w:sz w:val="20"/>
                <w:szCs w:val="20"/>
                <w:color w:val="auto"/>
              </w:rPr>
            </w:pPr>
            <w:r>
              <w:rPr>
                <w:rFonts w:ascii="Arial" w:cs="Arial" w:eastAsia="Arial" w:hAnsi="Arial"/>
                <w:sz w:val="12"/>
                <w:szCs w:val="12"/>
                <w:color w:val="auto"/>
              </w:rPr>
              <w:t>Finance lease liability, current</w:t>
            </w: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10,150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9,062</w:t>
            </w:r>
          </w:p>
        </w:tc>
      </w:tr>
      <w:tr>
        <w:trPr>
          <w:trHeight w:val="166"/>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Noncurrent</w:t>
            </w:r>
          </w:p>
        </w:tc>
        <w:tc>
          <w:tcPr>
            <w:tcW w:w="5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61"/>
        </w:trPr>
        <w:tc>
          <w:tcPr>
            <w:tcW w:w="2480" w:type="dxa"/>
            <w:vAlign w:val="bottom"/>
            <w:gridSpan w:val="2"/>
          </w:tcPr>
          <w:p>
            <w:pPr>
              <w:ind w:left="200"/>
              <w:spacing w:after="0"/>
              <w:rPr>
                <w:sz w:val="20"/>
                <w:szCs w:val="20"/>
                <w:color w:val="auto"/>
              </w:rPr>
            </w:pPr>
            <w:r>
              <w:rPr>
                <w:rFonts w:ascii="Arial" w:cs="Arial" w:eastAsia="Arial" w:hAnsi="Arial"/>
                <w:sz w:val="12"/>
                <w:szCs w:val="12"/>
                <w:color w:val="auto"/>
              </w:rPr>
              <w:t>Operating</w:t>
            </w:r>
          </w:p>
        </w:tc>
        <w:tc>
          <w:tcPr>
            <w:tcW w:w="5180" w:type="dxa"/>
            <w:vAlign w:val="bottom"/>
            <w:gridSpan w:val="2"/>
          </w:tcPr>
          <w:p>
            <w:pPr>
              <w:spacing w:after="0"/>
              <w:rPr>
                <w:sz w:val="20"/>
                <w:szCs w:val="20"/>
                <w:color w:val="auto"/>
              </w:rPr>
            </w:pPr>
            <w:r>
              <w:rPr>
                <w:rFonts w:ascii="Arial" w:cs="Arial" w:eastAsia="Arial" w:hAnsi="Arial"/>
                <w:sz w:val="12"/>
                <w:szCs w:val="12"/>
                <w:color w:val="auto"/>
              </w:rPr>
              <w:t>Operating lease liability, noncurrent</w:t>
            </w: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223,033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229,905</w:t>
            </w:r>
          </w:p>
        </w:tc>
      </w:tr>
      <w:tr>
        <w:trPr>
          <w:trHeight w:val="163"/>
        </w:trPr>
        <w:tc>
          <w:tcPr>
            <w:tcW w:w="24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Finance</w:t>
            </w:r>
          </w:p>
        </w:tc>
        <w:tc>
          <w:tcPr>
            <w:tcW w:w="5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Finance lease liability, noncurrent</w:t>
            </w:r>
          </w:p>
        </w:tc>
        <w:tc>
          <w:tcPr>
            <w:tcW w:w="2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20,254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17,856</w:t>
            </w:r>
          </w:p>
        </w:tc>
      </w:tr>
      <w:tr>
        <w:trPr>
          <w:trHeight w:val="156"/>
        </w:trPr>
        <w:tc>
          <w:tcPr>
            <w:tcW w:w="2480" w:type="dxa"/>
            <w:vAlign w:val="bottom"/>
            <w:gridSpan w:val="2"/>
          </w:tcPr>
          <w:p>
            <w:pPr>
              <w:ind w:left="360"/>
              <w:spacing w:after="0"/>
              <w:rPr>
                <w:sz w:val="20"/>
                <w:szCs w:val="20"/>
                <w:color w:val="auto"/>
              </w:rPr>
            </w:pPr>
            <w:r>
              <w:rPr>
                <w:rFonts w:ascii="Arial" w:cs="Arial" w:eastAsia="Arial" w:hAnsi="Arial"/>
                <w:sz w:val="12"/>
                <w:szCs w:val="12"/>
                <w:b w:val="1"/>
                <w:bCs w:val="1"/>
                <w:color w:val="auto"/>
              </w:rPr>
              <w:t>Total lease liabilities</w:t>
            </w:r>
          </w:p>
        </w:tc>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304,197</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305,161</w:t>
            </w: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____________________________________</w:t>
      </w:r>
    </w:p>
    <w:p>
      <w:pPr>
        <w:spacing w:after="0" w:line="12" w:lineRule="exact"/>
        <w:rPr>
          <w:sz w:val="20"/>
          <w:szCs w:val="20"/>
          <w:color w:val="auto"/>
        </w:rPr>
      </w:pPr>
    </w:p>
    <w:p>
      <w:pPr>
        <w:ind w:left="480" w:hanging="111"/>
        <w:spacing w:after="0"/>
        <w:tabs>
          <w:tab w:leader="none" w:pos="480" w:val="left"/>
        </w:tabs>
        <w:numPr>
          <w:ilvl w:val="0"/>
          <w:numId w:val="11"/>
        </w:numPr>
        <w:rPr>
          <w:rFonts w:ascii="Arial" w:cs="Arial" w:eastAsia="Arial" w:hAnsi="Arial"/>
          <w:sz w:val="12"/>
          <w:szCs w:val="12"/>
          <w:color w:val="auto"/>
          <w:vertAlign w:val="superscript"/>
        </w:rPr>
      </w:pPr>
      <w:r>
        <w:rPr>
          <w:rFonts w:ascii="Arial" w:cs="Arial" w:eastAsia="Arial" w:hAnsi="Arial"/>
          <w:sz w:val="10"/>
          <w:szCs w:val="10"/>
          <w:color w:val="auto"/>
        </w:rPr>
        <w:t>Operating lease assets are recorded net of accumulated amortization of $88.9 million and $57.1 million as of September 30, 2021 and December 31, 2020, respectively.</w:t>
      </w:r>
    </w:p>
    <w:p>
      <w:pPr>
        <w:spacing w:after="0" w:line="49" w:lineRule="exact"/>
        <w:rPr>
          <w:rFonts w:ascii="Arial" w:cs="Arial" w:eastAsia="Arial" w:hAnsi="Arial"/>
          <w:sz w:val="12"/>
          <w:szCs w:val="12"/>
          <w:color w:val="auto"/>
          <w:vertAlign w:val="superscript"/>
        </w:rPr>
      </w:pPr>
    </w:p>
    <w:p>
      <w:pPr>
        <w:ind w:left="480" w:hanging="111"/>
        <w:spacing w:after="0"/>
        <w:tabs>
          <w:tab w:leader="none" w:pos="480" w:val="left"/>
        </w:tabs>
        <w:numPr>
          <w:ilvl w:val="0"/>
          <w:numId w:val="11"/>
        </w:numPr>
        <w:rPr>
          <w:rFonts w:ascii="Arial" w:cs="Arial" w:eastAsia="Arial" w:hAnsi="Arial"/>
          <w:sz w:val="12"/>
          <w:szCs w:val="12"/>
          <w:color w:val="auto"/>
          <w:vertAlign w:val="superscript"/>
        </w:rPr>
      </w:pPr>
      <w:r>
        <w:rPr>
          <w:rFonts w:ascii="Arial" w:cs="Arial" w:eastAsia="Arial" w:hAnsi="Arial"/>
          <w:sz w:val="10"/>
          <w:szCs w:val="10"/>
          <w:color w:val="auto"/>
        </w:rPr>
        <w:t>Finance lease assets are recorded net of accumulated depreciation of $23.4 million and $15.0 million as of September 30, 2021 and December 31, 2020, respectively.</w:t>
      </w:r>
    </w:p>
    <w:p>
      <w:pPr>
        <w:spacing w:after="0" w:line="226"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Supplemental cash flow and other information related to leases was as follows:</w:t>
      </w:r>
    </w:p>
    <w:p>
      <w:pPr>
        <w:spacing w:after="0" w:line="194" w:lineRule="exact"/>
        <w:rPr>
          <w:sz w:val="20"/>
          <w:szCs w:val="20"/>
          <w:color w:val="auto"/>
        </w:rPr>
      </w:pPr>
    </w:p>
    <w:p>
      <w:pPr>
        <w:jc w:val="center"/>
        <w:ind w:left="7380"/>
        <w:spacing w:after="0"/>
        <w:rPr>
          <w:sz w:val="20"/>
          <w:szCs w:val="20"/>
          <w:color w:val="auto"/>
        </w:rPr>
      </w:pPr>
      <w:r>
        <w:rPr>
          <w:rFonts w:ascii="Arial" w:cs="Arial" w:eastAsia="Arial" w:hAnsi="Arial"/>
          <w:sz w:val="12"/>
          <w:szCs w:val="12"/>
          <w:b w:val="1"/>
          <w:bCs w:val="1"/>
          <w:color w:val="auto"/>
        </w:rPr>
        <w:t>Nine Months Ended</w:t>
      </w:r>
    </w:p>
    <w:p>
      <w:pPr>
        <w:jc w:val="center"/>
        <w:ind w:left="7380"/>
        <w:spacing w:after="0"/>
        <w:rPr>
          <w:sz w:val="20"/>
          <w:szCs w:val="20"/>
          <w:color w:val="auto"/>
        </w:rPr>
      </w:pPr>
      <w:r>
        <w:rPr>
          <w:rFonts w:ascii="Arial" w:cs="Arial" w:eastAsia="Arial" w:hAnsi="Arial"/>
          <w:sz w:val="12"/>
          <w:szCs w:val="12"/>
          <w:b w:val="1"/>
          <w:bCs w:val="1"/>
          <w:color w:val="auto"/>
        </w:rPr>
        <w:t>September 30,</w:t>
      </w:r>
    </w:p>
    <w:p>
      <w:pPr>
        <w:spacing w:after="0" w:line="7" w:lineRule="exact"/>
        <w:rPr>
          <w:sz w:val="20"/>
          <w:szCs w:val="20"/>
          <w:color w:val="auto"/>
        </w:rPr>
      </w:pPr>
    </w:p>
    <w:tbl>
      <w:tblPr>
        <w:tblLayout w:type="fixed"/>
        <w:tblInd w:w="240" w:type="dxa"/>
        <w:tblCellMar>
          <w:top w:w="0" w:type="dxa"/>
          <w:left w:w="0" w:type="dxa"/>
          <w:bottom w:w="0" w:type="dxa"/>
          <w:right w:w="0" w:type="dxa"/>
        </w:tblCellMar>
      </w:tblPr>
      <w:tr>
        <w:trPr>
          <w:trHeight w:val="158"/>
        </w:trPr>
        <w:tc>
          <w:tcPr>
            <w:tcW w:w="740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2021</w:t>
            </w:r>
          </w:p>
        </w:tc>
        <w:tc>
          <w:tcPr>
            <w:tcW w:w="6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2020</w:t>
            </w:r>
          </w:p>
        </w:tc>
      </w:tr>
      <w:tr>
        <w:trPr>
          <w:trHeight w:val="151"/>
        </w:trPr>
        <w:tc>
          <w:tcPr>
            <w:tcW w:w="7400" w:type="dxa"/>
            <w:vAlign w:val="bottom"/>
          </w:tcPr>
          <w:p>
            <w:pPr>
              <w:ind w:left="20"/>
              <w:spacing w:after="0"/>
              <w:rPr>
                <w:sz w:val="20"/>
                <w:szCs w:val="20"/>
                <w:color w:val="auto"/>
              </w:rPr>
            </w:pPr>
            <w:r>
              <w:rPr>
                <w:rFonts w:ascii="Arial" w:cs="Arial" w:eastAsia="Arial" w:hAnsi="Arial"/>
                <w:sz w:val="12"/>
                <w:szCs w:val="12"/>
                <w:color w:val="auto"/>
              </w:rPr>
              <w:t>Cash paid for amounts included in the measurement of lease liabilities:</w:t>
            </w:r>
          </w:p>
        </w:tc>
        <w:tc>
          <w:tcPr>
            <w:tcW w:w="1060" w:type="dxa"/>
            <w:vAlign w:val="bottom"/>
          </w:tcPr>
          <w:p>
            <w:pPr>
              <w:spacing w:after="0"/>
              <w:rPr>
                <w:sz w:val="13"/>
                <w:szCs w:val="13"/>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2"/>
                <w:szCs w:val="12"/>
                <w:color w:val="auto"/>
              </w:rPr>
              <w:t>(In thousands)</w:t>
            </w:r>
          </w:p>
        </w:tc>
        <w:tc>
          <w:tcPr>
            <w:tcW w:w="1140" w:type="dxa"/>
            <w:vAlign w:val="bottom"/>
          </w:tcPr>
          <w:p>
            <w:pPr>
              <w:spacing w:after="0"/>
              <w:rPr>
                <w:sz w:val="13"/>
                <w:szCs w:val="13"/>
                <w:color w:val="auto"/>
              </w:rPr>
            </w:pPr>
          </w:p>
        </w:tc>
      </w:tr>
      <w:tr>
        <w:trPr>
          <w:trHeight w:val="166"/>
        </w:trPr>
        <w:tc>
          <w:tcPr>
            <w:tcW w:w="74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Operating cash flows from operating leases</w:t>
            </w: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44,551</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34,124</w:t>
            </w:r>
          </w:p>
        </w:tc>
      </w:tr>
      <w:tr>
        <w:trPr>
          <w:trHeight w:val="161"/>
        </w:trPr>
        <w:tc>
          <w:tcPr>
            <w:tcW w:w="7400" w:type="dxa"/>
            <w:vAlign w:val="bottom"/>
          </w:tcPr>
          <w:p>
            <w:pPr>
              <w:ind w:left="180"/>
              <w:spacing w:after="0"/>
              <w:rPr>
                <w:sz w:val="20"/>
                <w:szCs w:val="20"/>
                <w:color w:val="auto"/>
              </w:rPr>
            </w:pPr>
            <w:r>
              <w:rPr>
                <w:rFonts w:ascii="Arial" w:cs="Arial" w:eastAsia="Arial" w:hAnsi="Arial"/>
                <w:sz w:val="12"/>
                <w:szCs w:val="12"/>
                <w:color w:val="auto"/>
              </w:rPr>
              <w:t>Operating cash flows from finance leases (interest)</w:t>
            </w:r>
          </w:p>
        </w:tc>
        <w:tc>
          <w:tcPr>
            <w:tcW w:w="1060" w:type="dxa"/>
            <w:vAlign w:val="bottom"/>
          </w:tcPr>
          <w:p>
            <w:pPr>
              <w:jc w:val="right"/>
              <w:ind w:right="919"/>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139"/>
              <w:spacing w:after="0"/>
              <w:rPr>
                <w:sz w:val="20"/>
                <w:szCs w:val="20"/>
                <w:color w:val="auto"/>
              </w:rPr>
            </w:pPr>
            <w:r>
              <w:rPr>
                <w:rFonts w:ascii="Arial" w:cs="Arial" w:eastAsia="Arial" w:hAnsi="Arial"/>
                <w:sz w:val="12"/>
                <w:szCs w:val="12"/>
                <w:color w:val="auto"/>
              </w:rPr>
              <w:t>788</w:t>
            </w:r>
          </w:p>
        </w:tc>
        <w:tc>
          <w:tcPr>
            <w:tcW w:w="560" w:type="dxa"/>
            <w:vAlign w:val="bottom"/>
          </w:tcPr>
          <w:p>
            <w:pPr>
              <w:jc w:val="right"/>
              <w:ind w:right="379"/>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99"/>
              <w:spacing w:after="0"/>
              <w:rPr>
                <w:sz w:val="20"/>
                <w:szCs w:val="20"/>
                <w:color w:val="auto"/>
              </w:rPr>
            </w:pPr>
            <w:r>
              <w:rPr>
                <w:rFonts w:ascii="Arial" w:cs="Arial" w:eastAsia="Arial" w:hAnsi="Arial"/>
                <w:sz w:val="12"/>
                <w:szCs w:val="12"/>
                <w:color w:val="auto"/>
              </w:rPr>
              <w:t>604</w:t>
            </w:r>
          </w:p>
        </w:tc>
      </w:tr>
      <w:tr>
        <w:trPr>
          <w:trHeight w:val="166"/>
        </w:trPr>
        <w:tc>
          <w:tcPr>
            <w:tcW w:w="74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Financing cash flows from finance leases</w:t>
            </w: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8,343</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5,721</w:t>
            </w:r>
          </w:p>
        </w:tc>
      </w:tr>
      <w:tr>
        <w:trPr>
          <w:trHeight w:val="194"/>
        </w:trPr>
        <w:tc>
          <w:tcPr>
            <w:tcW w:w="7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63"/>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 average remaining lease term (in years):</w:t>
            </w:r>
          </w:p>
        </w:tc>
        <w:tc>
          <w:tcPr>
            <w:tcW w:w="10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1"/>
        </w:trPr>
        <w:tc>
          <w:tcPr>
            <w:tcW w:w="7400" w:type="dxa"/>
            <w:vAlign w:val="bottom"/>
          </w:tcPr>
          <w:p>
            <w:pPr>
              <w:ind w:left="180"/>
              <w:spacing w:after="0"/>
              <w:rPr>
                <w:sz w:val="20"/>
                <w:szCs w:val="20"/>
                <w:color w:val="auto"/>
              </w:rPr>
            </w:pPr>
            <w:r>
              <w:rPr>
                <w:rFonts w:ascii="Arial" w:cs="Arial" w:eastAsia="Arial" w:hAnsi="Arial"/>
                <w:sz w:val="12"/>
                <w:szCs w:val="12"/>
                <w:color w:val="auto"/>
              </w:rPr>
              <w:t>Operating leases</w:t>
            </w:r>
          </w:p>
        </w:tc>
        <w:tc>
          <w:tcPr>
            <w:tcW w:w="10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w:t>
            </w:r>
          </w:p>
        </w:tc>
        <w:tc>
          <w:tcPr>
            <w:tcW w:w="5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66"/>
        </w:trPr>
        <w:tc>
          <w:tcPr>
            <w:tcW w:w="74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Finance leases</w:t>
            </w:r>
          </w:p>
        </w:tc>
        <w:tc>
          <w:tcPr>
            <w:tcW w:w="10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5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r>
      <w:tr>
        <w:trPr>
          <w:trHeight w:val="194"/>
        </w:trPr>
        <w:tc>
          <w:tcPr>
            <w:tcW w:w="7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63"/>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 average discount rate:</w:t>
            </w:r>
          </w:p>
        </w:tc>
        <w:tc>
          <w:tcPr>
            <w:tcW w:w="10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1"/>
        </w:trPr>
        <w:tc>
          <w:tcPr>
            <w:tcW w:w="7400" w:type="dxa"/>
            <w:vAlign w:val="bottom"/>
          </w:tcPr>
          <w:p>
            <w:pPr>
              <w:ind w:left="180"/>
              <w:spacing w:after="0"/>
              <w:rPr>
                <w:sz w:val="20"/>
                <w:szCs w:val="20"/>
                <w:color w:val="auto"/>
              </w:rPr>
            </w:pPr>
            <w:r>
              <w:rPr>
                <w:rFonts w:ascii="Arial" w:cs="Arial" w:eastAsia="Arial" w:hAnsi="Arial"/>
                <w:sz w:val="12"/>
                <w:szCs w:val="12"/>
                <w:color w:val="auto"/>
              </w:rPr>
              <w:t>Operating leases</w:t>
            </w:r>
          </w:p>
        </w:tc>
        <w:tc>
          <w:tcPr>
            <w:tcW w:w="10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4.5 %</w:t>
            </w:r>
          </w:p>
        </w:tc>
        <w:tc>
          <w:tcPr>
            <w:tcW w:w="5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5.3 %</w:t>
            </w:r>
          </w:p>
        </w:tc>
      </w:tr>
      <w:tr>
        <w:trPr>
          <w:trHeight w:val="166"/>
        </w:trPr>
        <w:tc>
          <w:tcPr>
            <w:tcW w:w="74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Finance leases</w:t>
            </w:r>
          </w:p>
        </w:tc>
        <w:tc>
          <w:tcPr>
            <w:tcW w:w="10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3.5 %</w:t>
            </w:r>
          </w:p>
        </w:tc>
        <w:tc>
          <w:tcPr>
            <w:tcW w:w="5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4.1 %</w:t>
            </w:r>
          </w:p>
        </w:tc>
      </w:tr>
    </w:tbl>
    <w:p>
      <w:pPr>
        <w:spacing w:after="0" w:line="22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Maturities of lease liabilities were as follows:</w:t>
      </w:r>
    </w:p>
    <w:p>
      <w:pPr>
        <w:spacing w:after="0" w:line="196"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344"/>
              <w:spacing w:after="0"/>
              <w:rPr>
                <w:sz w:val="20"/>
                <w:szCs w:val="20"/>
                <w:color w:val="auto"/>
              </w:rPr>
            </w:pPr>
            <w:r>
              <w:rPr>
                <w:rFonts w:ascii="Arial" w:cs="Arial" w:eastAsia="Arial" w:hAnsi="Arial"/>
                <w:sz w:val="12"/>
                <w:szCs w:val="12"/>
                <w:b w:val="1"/>
                <w:bCs w:val="1"/>
                <w:color w:val="auto"/>
              </w:rPr>
              <w:t>As of September 30, 2021</w:t>
            </w:r>
          </w:p>
        </w:tc>
        <w:tc>
          <w:tcPr>
            <w:tcW w:w="500" w:type="dxa"/>
            <w:vAlign w:val="bottom"/>
            <w:tcBorders>
              <w:bottom w:val="single" w:sz="8" w:color="auto"/>
            </w:tcBorders>
          </w:tcPr>
          <w:p>
            <w:pPr>
              <w:spacing w:after="0"/>
              <w:rPr>
                <w:sz w:val="14"/>
                <w:szCs w:val="14"/>
                <w:color w:val="auto"/>
              </w:rPr>
            </w:pPr>
          </w:p>
        </w:tc>
      </w:tr>
      <w:tr>
        <w:trPr>
          <w:trHeight w:val="115"/>
        </w:trPr>
        <w:tc>
          <w:tcPr>
            <w:tcW w:w="13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040" w:type="dxa"/>
            <w:vAlign w:val="bottom"/>
          </w:tcPr>
          <w:p>
            <w:pPr>
              <w:jc w:val="right"/>
              <w:spacing w:after="0" w:line="115" w:lineRule="exact"/>
              <w:rPr>
                <w:sz w:val="20"/>
                <w:szCs w:val="20"/>
                <w:color w:val="auto"/>
              </w:rPr>
            </w:pPr>
            <w:r>
              <w:rPr>
                <w:rFonts w:ascii="Arial" w:cs="Arial" w:eastAsia="Arial" w:hAnsi="Arial"/>
                <w:sz w:val="12"/>
                <w:szCs w:val="12"/>
                <w:b w:val="1"/>
                <w:bCs w:val="1"/>
                <w:color w:val="auto"/>
              </w:rPr>
              <w:t>Operating</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4"/>
              <w:spacing w:after="0" w:line="115" w:lineRule="exact"/>
              <w:rPr>
                <w:sz w:val="20"/>
                <w:szCs w:val="20"/>
                <w:color w:val="auto"/>
              </w:rPr>
            </w:pPr>
            <w:r>
              <w:rPr>
                <w:rFonts w:ascii="Arial" w:cs="Arial" w:eastAsia="Arial" w:hAnsi="Arial"/>
                <w:sz w:val="12"/>
                <w:szCs w:val="12"/>
                <w:b w:val="1"/>
                <w:bCs w:val="1"/>
                <w:color w:val="auto"/>
              </w:rPr>
              <w:t>Finance</w:t>
            </w:r>
          </w:p>
        </w:tc>
        <w:tc>
          <w:tcPr>
            <w:tcW w:w="500" w:type="dxa"/>
            <w:vAlign w:val="bottom"/>
          </w:tcPr>
          <w:p>
            <w:pPr>
              <w:spacing w:after="0"/>
              <w:rPr>
                <w:sz w:val="10"/>
                <w:szCs w:val="10"/>
                <w:color w:val="auto"/>
              </w:rPr>
            </w:pPr>
          </w:p>
        </w:tc>
      </w:tr>
      <w:tr>
        <w:trPr>
          <w:trHeight w:val="159"/>
        </w:trPr>
        <w:tc>
          <w:tcPr>
            <w:tcW w:w="13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b w:val="1"/>
                <w:bCs w:val="1"/>
                <w:color w:val="auto"/>
              </w:rPr>
              <w:t>Leases</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b w:val="1"/>
                <w:bCs w:val="1"/>
                <w:color w:val="auto"/>
              </w:rPr>
              <w:t>Leases</w:t>
            </w:r>
          </w:p>
        </w:tc>
        <w:tc>
          <w:tcPr>
            <w:tcW w:w="500" w:type="dxa"/>
            <w:vAlign w:val="bottom"/>
            <w:tcBorders>
              <w:bottom w:val="single" w:sz="8" w:color="auto"/>
            </w:tcBorders>
          </w:tcPr>
          <w:p>
            <w:pPr>
              <w:spacing w:after="0"/>
              <w:rPr>
                <w:sz w:val="13"/>
                <w:szCs w:val="13"/>
                <w:color w:val="auto"/>
              </w:rPr>
            </w:pPr>
          </w:p>
        </w:tc>
      </w:tr>
      <w:tr>
        <w:trPr>
          <w:trHeight w:val="132"/>
        </w:trPr>
        <w:tc>
          <w:tcPr>
            <w:tcW w:w="1300" w:type="dxa"/>
            <w:vAlign w:val="bottom"/>
            <w:tcBorders>
              <w:bottom w:val="single" w:sz="8" w:color="auto"/>
            </w:tcBorders>
          </w:tcPr>
          <w:p>
            <w:pPr>
              <w:spacing w:after="0" w:line="127" w:lineRule="exact"/>
              <w:rPr>
                <w:sz w:val="20"/>
                <w:szCs w:val="20"/>
                <w:color w:val="auto"/>
              </w:rPr>
            </w:pPr>
            <w:r>
              <w:rPr>
                <w:rFonts w:ascii="Arial" w:cs="Arial" w:eastAsia="Arial" w:hAnsi="Arial"/>
                <w:sz w:val="12"/>
                <w:szCs w:val="12"/>
                <w:color w:val="auto"/>
                <w:w w:val="90"/>
              </w:rPr>
              <w:t>Year Ended December 31,</w:t>
            </w:r>
          </w:p>
        </w:tc>
        <w:tc>
          <w:tcPr>
            <w:tcW w:w="3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right"/>
              <w:ind w:right="664"/>
              <w:spacing w:after="0" w:line="127" w:lineRule="exact"/>
              <w:rPr>
                <w:sz w:val="20"/>
                <w:szCs w:val="20"/>
                <w:color w:val="auto"/>
              </w:rPr>
            </w:pPr>
            <w:r>
              <w:rPr>
                <w:rFonts w:ascii="Arial" w:cs="Arial" w:eastAsia="Arial" w:hAnsi="Arial"/>
                <w:sz w:val="12"/>
                <w:szCs w:val="12"/>
                <w:color w:val="auto"/>
              </w:rPr>
              <w:t>(In thousands)</w:t>
            </w:r>
          </w:p>
        </w:tc>
        <w:tc>
          <w:tcPr>
            <w:tcW w:w="500" w:type="dxa"/>
            <w:vAlign w:val="bottom"/>
          </w:tcPr>
          <w:p>
            <w:pPr>
              <w:spacing w:after="0"/>
              <w:rPr>
                <w:sz w:val="11"/>
                <w:szCs w:val="11"/>
                <w:color w:val="auto"/>
              </w:rPr>
            </w:pPr>
          </w:p>
        </w:tc>
      </w:tr>
      <w:tr>
        <w:trPr>
          <w:trHeight w:val="169"/>
        </w:trPr>
        <w:tc>
          <w:tcPr>
            <w:tcW w:w="4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2021 (remaining three months)</w:t>
            </w:r>
          </w:p>
        </w:tc>
        <w:tc>
          <w:tcPr>
            <w:tcW w:w="1040" w:type="dxa"/>
            <w:vAlign w:val="bottom"/>
            <w:shd w:val="clear" w:color="auto" w:fill="CCEEFF"/>
          </w:tcPr>
          <w:p>
            <w:pPr>
              <w:jc w:val="right"/>
              <w:ind w:right="923"/>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14,742</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84"/>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2,920</w:t>
            </w:r>
          </w:p>
        </w:tc>
      </w:tr>
      <w:tr>
        <w:trPr>
          <w:trHeight w:val="161"/>
        </w:trPr>
        <w:tc>
          <w:tcPr>
            <w:tcW w:w="1300" w:type="dxa"/>
            <w:vAlign w:val="bottom"/>
          </w:tcPr>
          <w:p>
            <w:pPr>
              <w:spacing w:after="0"/>
              <w:rPr>
                <w:sz w:val="20"/>
                <w:szCs w:val="20"/>
                <w:color w:val="auto"/>
              </w:rPr>
            </w:pPr>
            <w:r>
              <w:rPr>
                <w:rFonts w:ascii="Arial" w:cs="Arial" w:eastAsia="Arial" w:hAnsi="Arial"/>
                <w:sz w:val="12"/>
                <w:szCs w:val="12"/>
                <w:color w:val="auto"/>
              </w:rPr>
              <w:t>2022</w:t>
            </w:r>
          </w:p>
        </w:tc>
        <w:tc>
          <w:tcPr>
            <w:tcW w:w="3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63,245</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10,681</w:t>
            </w:r>
          </w:p>
        </w:tc>
      </w:tr>
      <w:tr>
        <w:trPr>
          <w:trHeight w:val="166"/>
        </w:trPr>
        <w:tc>
          <w:tcPr>
            <w:tcW w:w="130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33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55,476</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9,934</w:t>
            </w:r>
          </w:p>
        </w:tc>
      </w:tr>
      <w:tr>
        <w:trPr>
          <w:trHeight w:val="161"/>
        </w:trPr>
        <w:tc>
          <w:tcPr>
            <w:tcW w:w="1300" w:type="dxa"/>
            <w:vAlign w:val="bottom"/>
          </w:tcPr>
          <w:p>
            <w:pPr>
              <w:spacing w:after="0"/>
              <w:rPr>
                <w:sz w:val="20"/>
                <w:szCs w:val="20"/>
                <w:color w:val="auto"/>
              </w:rPr>
            </w:pPr>
            <w:r>
              <w:rPr>
                <w:rFonts w:ascii="Arial" w:cs="Arial" w:eastAsia="Arial" w:hAnsi="Arial"/>
                <w:sz w:val="12"/>
                <w:szCs w:val="12"/>
                <w:color w:val="auto"/>
              </w:rPr>
              <w:t>2024</w:t>
            </w:r>
          </w:p>
        </w:tc>
        <w:tc>
          <w:tcPr>
            <w:tcW w:w="3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50,857</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6,693</w:t>
            </w:r>
          </w:p>
        </w:tc>
      </w:tr>
      <w:tr>
        <w:trPr>
          <w:trHeight w:val="166"/>
        </w:trPr>
        <w:tc>
          <w:tcPr>
            <w:tcW w:w="130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33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37,706</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1,394</w:t>
            </w:r>
          </w:p>
        </w:tc>
      </w:tr>
      <w:tr>
        <w:trPr>
          <w:trHeight w:val="161"/>
        </w:trPr>
        <w:tc>
          <w:tcPr>
            <w:tcW w:w="46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10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89,223</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518</w:t>
            </w:r>
          </w:p>
        </w:tc>
      </w:tr>
      <w:tr>
        <w:trPr>
          <w:trHeight w:val="156"/>
        </w:trPr>
        <w:tc>
          <w:tcPr>
            <w:tcW w:w="46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Total lease payments</w:t>
            </w:r>
          </w:p>
        </w:tc>
        <w:tc>
          <w:tcPr>
            <w:tcW w:w="10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311,249</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32,140</w:t>
            </w:r>
          </w:p>
        </w:tc>
      </w:tr>
      <w:tr>
        <w:trPr>
          <w:trHeight w:val="161"/>
        </w:trPr>
        <w:tc>
          <w:tcPr>
            <w:tcW w:w="46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Less: imputed interest</w:t>
            </w:r>
          </w:p>
        </w:tc>
        <w:tc>
          <w:tcPr>
            <w:tcW w:w="10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(37,456)</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(1,736)</w:t>
            </w:r>
          </w:p>
        </w:tc>
      </w:tr>
      <w:tr>
        <w:trPr>
          <w:trHeight w:val="156"/>
        </w:trPr>
        <w:tc>
          <w:tcPr>
            <w:tcW w:w="46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Total lease obligations</w:t>
            </w:r>
          </w:p>
        </w:tc>
        <w:tc>
          <w:tcPr>
            <w:tcW w:w="10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273,793</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30,404</w:t>
            </w:r>
          </w:p>
        </w:tc>
      </w:tr>
      <w:tr>
        <w:trPr>
          <w:trHeight w:val="161"/>
        </w:trPr>
        <w:tc>
          <w:tcPr>
            <w:tcW w:w="46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Less: current obligations</w:t>
            </w:r>
          </w:p>
        </w:tc>
        <w:tc>
          <w:tcPr>
            <w:tcW w:w="10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(50,760)</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(10,150)</w:t>
            </w:r>
          </w:p>
        </w:tc>
      </w:tr>
      <w:tr>
        <w:trPr>
          <w:trHeight w:val="181"/>
        </w:trPr>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Long-term lease obligations</w:t>
            </w:r>
          </w:p>
        </w:tc>
        <w:tc>
          <w:tcPr>
            <w:tcW w:w="104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223,033</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20,254</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right="20" w:firstLine="367"/>
        <w:spacing w:after="0" w:line="252" w:lineRule="auto"/>
        <w:rPr>
          <w:sz w:val="20"/>
          <w:szCs w:val="20"/>
          <w:color w:val="auto"/>
        </w:rPr>
      </w:pPr>
      <w:r>
        <w:rPr>
          <w:rFonts w:ascii="Arial" w:cs="Arial" w:eastAsia="Arial" w:hAnsi="Arial"/>
          <w:sz w:val="14"/>
          <w:szCs w:val="14"/>
          <w:color w:val="auto"/>
        </w:rPr>
        <w:t>As of September 30, 2021, the Company had an additional operating lease obligation totaling $11.0 million for a lease that will commence in the first quarter of 2023 with a lease term of 6.2 years and additional finance lease obligations totaling $10.5 million for three leases that will commence in the fourth quarter of 2021 with lease terms of 4.0 years. The Company carries letters of credit securing certain of its lease commitments.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Business Combinations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Zipwhip, Inc.</w:t>
      </w:r>
    </w:p>
    <w:p>
      <w:pPr>
        <w:spacing w:after="0" w:line="166" w:lineRule="exact"/>
        <w:rPr>
          <w:sz w:val="20"/>
          <w:szCs w:val="20"/>
          <w:color w:val="auto"/>
        </w:rPr>
      </w:pPr>
    </w:p>
    <w:p>
      <w:pPr>
        <w:ind w:firstLine="367"/>
        <w:spacing w:after="0" w:line="249" w:lineRule="auto"/>
        <w:rPr>
          <w:sz w:val="20"/>
          <w:szCs w:val="20"/>
          <w:color w:val="auto"/>
        </w:rPr>
      </w:pPr>
      <w:r>
        <w:rPr>
          <w:rFonts w:ascii="Arial" w:cs="Arial" w:eastAsia="Arial" w:hAnsi="Arial"/>
          <w:sz w:val="14"/>
          <w:szCs w:val="14"/>
          <w:color w:val="auto"/>
        </w:rPr>
        <w:t>In July 2021, the Company acquired all outstanding shares of Zipwhip, Inc. (“Zipwhip”), a leading provider of toll-free messaging in the United States, for a purchase price of $838.4 million. The purchase price included $418.0 million of cash, $419.0 million fair value of 1.1 million shares of the Company's Class A common stock and $1.5 million fair value of the pre-combination services of Zipwhip employees reflected in the unvested equity awards assumed by the Company at closing. Additionally, at closing, the Company issued 59,533 shares of its Class A common stock which are subject to vesting over a period of 3 years. Vesting of these shares will be recorded in the stock-based compensation expense.</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Part of the cash consideration paid at closing was to settle the vested equity awards of Zipwhip employees. The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both"/>
        <w:ind w:right="320"/>
        <w:spacing w:after="0" w:line="314" w:lineRule="auto"/>
        <w:rPr>
          <w:sz w:val="20"/>
          <w:szCs w:val="20"/>
          <w:color w:val="auto"/>
        </w:rPr>
      </w:pPr>
      <w:r>
        <w:rPr>
          <w:rFonts w:ascii="Arial" w:cs="Arial" w:eastAsia="Arial" w:hAnsi="Arial"/>
          <w:sz w:val="12"/>
          <w:szCs w:val="12"/>
          <w:color w:val="auto"/>
        </w:rPr>
        <w:t>Company assumed all unvested and outstanding equity awards of Zipwhip continuing employees, as converted into its own equity awards, at the conversion ratio provided in the Agreement and Plan of Merger and Reorganization (the “Merger Agreement”). This transaction also included a $19.1 million of additional cash consideration for certain employees, which will vest as these employees provide services in the post-acquisition period. This amount will be recorded in the operating expenses over a period of 3 years as the services are provided.</w:t>
      </w:r>
    </w:p>
    <w:p>
      <w:pPr>
        <w:spacing w:after="0" w:line="111" w:lineRule="exact"/>
        <w:rPr>
          <w:sz w:val="20"/>
          <w:szCs w:val="20"/>
          <w:color w:val="auto"/>
        </w:rPr>
      </w:pPr>
    </w:p>
    <w:p>
      <w:pPr>
        <w:ind w:right="160" w:firstLine="367"/>
        <w:spacing w:after="0" w:line="235" w:lineRule="auto"/>
        <w:rPr>
          <w:sz w:val="20"/>
          <w:szCs w:val="20"/>
          <w:color w:val="auto"/>
        </w:rPr>
      </w:pPr>
      <w:r>
        <w:rPr>
          <w:rFonts w:ascii="Arial" w:cs="Arial" w:eastAsia="Arial" w:hAnsi="Arial"/>
          <w:sz w:val="14"/>
          <w:szCs w:val="14"/>
          <w:color w:val="auto"/>
        </w:rPr>
        <w:t>The acquisition was accounted for as a business combination and the total preliminary purchase price of $838.4 million was allocated to the net tangible and intangible assets and liabilities based on their preliminary fair values on the acquisition date with the excess recorded as goodwill. These estimates were derived from information currently available. The determination of the fair values and estimated lives of depreciable tangible and identifiable intangible assets requires significant judgment. As of September 30, 2021, the primary areas that are not yet finalized include determination of the purchase price, valuation of acquired intangible assets, contingencies and income and other taxes.</w:t>
      </w:r>
    </w:p>
    <w:p>
      <w:pPr>
        <w:spacing w:after="0" w:line="145" w:lineRule="exact"/>
        <w:rPr>
          <w:sz w:val="20"/>
          <w:szCs w:val="20"/>
          <w:color w:val="auto"/>
        </w:rPr>
      </w:pPr>
    </w:p>
    <w:p>
      <w:pPr>
        <w:ind w:firstLine="367"/>
        <w:spacing w:after="0" w:line="234" w:lineRule="auto"/>
        <w:rPr>
          <w:sz w:val="20"/>
          <w:szCs w:val="20"/>
          <w:color w:val="auto"/>
        </w:rPr>
      </w:pPr>
      <w:r>
        <w:rPr>
          <w:rFonts w:ascii="Arial" w:cs="Arial" w:eastAsia="Arial" w:hAnsi="Arial"/>
          <w:sz w:val="14"/>
          <w:szCs w:val="14"/>
          <w:color w:val="auto"/>
        </w:rPr>
        <w:t>The fair value of the 1.2 million aggregate number of shares of the Company's Class A common stock issued at closing was determined based on the closing market price of the Company's Class A common stock on the acquisition date. The fair value of the $30.7 million unvested equity awards assumed on the acquisition date was determined (a) for options, by using the Black-Scholes option pricing model with the applicable assumptions as of the acquisition date; (b) for restricted stock units, by using the closing market price of the Company's Class A common stock on the acquisition date. These awards will continue to vest as Zipwhip employees continue to provide services in the post-acquisition period. The fair value of these awards will be recorded into the stock-based compensation expense over the respective vesting period of each award.</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purchase price components are summarized in the following table:</w:t>
      </w:r>
    </w:p>
    <w:p>
      <w:pPr>
        <w:spacing w:after="0" w:line="19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Total</w:t>
            </w:r>
          </w:p>
        </w:tc>
      </w:tr>
      <w:tr>
        <w:trPr>
          <w:trHeight w:val="153"/>
        </w:trPr>
        <w:tc>
          <w:tcPr>
            <w:tcW w:w="7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319"/>
              <w:spacing w:after="0"/>
              <w:rPr>
                <w:sz w:val="20"/>
                <w:szCs w:val="20"/>
                <w:color w:val="auto"/>
              </w:rPr>
            </w:pPr>
            <w:r>
              <w:rPr>
                <w:rFonts w:ascii="Arial" w:cs="Arial" w:eastAsia="Arial" w:hAnsi="Arial"/>
                <w:sz w:val="12"/>
                <w:szCs w:val="12"/>
                <w:color w:val="auto"/>
              </w:rPr>
              <w:t>(In thousands)</w:t>
            </w:r>
          </w:p>
        </w:tc>
      </w:tr>
      <w:tr>
        <w:trPr>
          <w:trHeight w:val="166"/>
        </w:trPr>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Fair value of Class A common stock transferred</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419,037</w:t>
            </w:r>
          </w:p>
        </w:tc>
      </w:tr>
      <w:tr>
        <w:trPr>
          <w:trHeight w:val="161"/>
        </w:trPr>
        <w:tc>
          <w:tcPr>
            <w:tcW w:w="7600" w:type="dxa"/>
            <w:vAlign w:val="bottom"/>
          </w:tcPr>
          <w:p>
            <w:pPr>
              <w:spacing w:after="0"/>
              <w:rPr>
                <w:sz w:val="20"/>
                <w:szCs w:val="20"/>
                <w:color w:val="auto"/>
              </w:rPr>
            </w:pPr>
            <w:r>
              <w:rPr>
                <w:rFonts w:ascii="Arial" w:cs="Arial" w:eastAsia="Arial" w:hAnsi="Arial"/>
                <w:sz w:val="12"/>
                <w:szCs w:val="12"/>
                <w:color w:val="auto"/>
              </w:rPr>
              <w:t>Cash consideration</w:t>
            </w:r>
          </w:p>
        </w:tc>
        <w:tc>
          <w:tcPr>
            <w:tcW w:w="2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417,900</w:t>
            </w:r>
          </w:p>
        </w:tc>
      </w:tr>
      <w:tr>
        <w:trPr>
          <w:trHeight w:val="163"/>
        </w:trPr>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Fair value of the pre-combination service through equity awards</w:t>
            </w:r>
          </w:p>
        </w:tc>
        <w:tc>
          <w:tcPr>
            <w:tcW w:w="2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1,511</w:t>
            </w:r>
          </w:p>
        </w:tc>
      </w:tr>
      <w:tr>
        <w:trPr>
          <w:trHeight w:val="156"/>
        </w:trPr>
        <w:tc>
          <w:tcPr>
            <w:tcW w:w="7600" w:type="dxa"/>
            <w:vAlign w:val="bottom"/>
          </w:tcPr>
          <w:p>
            <w:pPr>
              <w:ind w:left="160"/>
              <w:spacing w:after="0"/>
              <w:rPr>
                <w:sz w:val="20"/>
                <w:szCs w:val="20"/>
                <w:color w:val="auto"/>
              </w:rPr>
            </w:pPr>
            <w:r>
              <w:rPr>
                <w:rFonts w:ascii="Arial" w:cs="Arial" w:eastAsia="Arial" w:hAnsi="Arial"/>
                <w:sz w:val="12"/>
                <w:szCs w:val="12"/>
                <w:color w:val="auto"/>
              </w:rPr>
              <w:t>Total purchase price</w:t>
            </w: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838,448</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presents the preliminary purchase price allocation recorded in the Company's consolidated balance sheet as of September 30, 2021:</w:t>
      </w:r>
    </w:p>
    <w:p>
      <w:pPr>
        <w:spacing w:after="0" w:line="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2"/>
                <w:szCs w:val="12"/>
                <w:b w:val="1"/>
                <w:bCs w:val="1"/>
                <w:color w:val="auto"/>
              </w:rPr>
              <w:t>Total</w:t>
            </w:r>
          </w:p>
        </w:tc>
      </w:tr>
      <w:tr>
        <w:trPr>
          <w:trHeight w:val="153"/>
        </w:trPr>
        <w:tc>
          <w:tcPr>
            <w:tcW w:w="7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ind w:right="359"/>
              <w:spacing w:after="0"/>
              <w:rPr>
                <w:sz w:val="20"/>
                <w:szCs w:val="20"/>
                <w:color w:val="auto"/>
              </w:rPr>
            </w:pPr>
            <w:r>
              <w:rPr>
                <w:rFonts w:ascii="Arial" w:cs="Arial" w:eastAsia="Arial" w:hAnsi="Arial"/>
                <w:sz w:val="12"/>
                <w:szCs w:val="12"/>
                <w:color w:val="auto"/>
              </w:rPr>
              <w:t>(In thousands)</w:t>
            </w:r>
          </w:p>
        </w:tc>
      </w:tr>
      <w:tr>
        <w:trPr>
          <w:trHeight w:val="166"/>
        </w:trPr>
        <w:tc>
          <w:tcPr>
            <w:tcW w:w="794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21,610</w:t>
            </w:r>
          </w:p>
        </w:tc>
      </w:tr>
      <w:tr>
        <w:trPr>
          <w:trHeight w:val="161"/>
        </w:trPr>
        <w:tc>
          <w:tcPr>
            <w:tcW w:w="7940" w:type="dxa"/>
            <w:vAlign w:val="bottom"/>
          </w:tcPr>
          <w:p>
            <w:pPr>
              <w:spacing w:after="0"/>
              <w:rPr>
                <w:sz w:val="20"/>
                <w:szCs w:val="20"/>
                <w:color w:val="auto"/>
              </w:rPr>
            </w:pPr>
            <w:r>
              <w:rPr>
                <w:rFonts w:ascii="Arial" w:cs="Arial" w:eastAsia="Arial" w:hAnsi="Arial"/>
                <w:sz w:val="12"/>
                <w:szCs w:val="12"/>
                <w:color w:val="auto"/>
              </w:rPr>
              <w:t>Accounts receivable and other current assets</w:t>
            </w: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11,481</w:t>
            </w:r>
          </w:p>
        </w:tc>
      </w:tr>
      <w:tr>
        <w:trPr>
          <w:trHeight w:val="166"/>
        </w:trPr>
        <w:tc>
          <w:tcPr>
            <w:tcW w:w="794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2,950</w:t>
            </w:r>
          </w:p>
        </w:tc>
      </w:tr>
      <w:tr>
        <w:trPr>
          <w:trHeight w:val="161"/>
        </w:trPr>
        <w:tc>
          <w:tcPr>
            <w:tcW w:w="7940" w:type="dxa"/>
            <w:vAlign w:val="bottom"/>
          </w:tcPr>
          <w:p>
            <w:pPr>
              <w:spacing w:after="0"/>
              <w:rPr>
                <w:sz w:val="20"/>
                <w:szCs w:val="20"/>
                <w:color w:val="auto"/>
              </w:rPr>
            </w:pPr>
            <w:r>
              <w:rPr>
                <w:rFonts w:ascii="Arial" w:cs="Arial" w:eastAsia="Arial" w:hAnsi="Arial"/>
                <w:sz w:val="12"/>
                <w:szCs w:val="12"/>
                <w:color w:val="auto"/>
              </w:rPr>
              <w:t>Operating right-of-use asset</w:t>
            </w: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23,545</w:t>
            </w:r>
          </w:p>
        </w:tc>
      </w:tr>
      <w:tr>
        <w:trPr>
          <w:trHeight w:val="166"/>
        </w:trPr>
        <w:tc>
          <w:tcPr>
            <w:tcW w:w="7940" w:type="dxa"/>
            <w:vAlign w:val="bottom"/>
            <w:shd w:val="clear" w:color="auto" w:fill="CCEEFF"/>
          </w:tcPr>
          <w:p>
            <w:pPr>
              <w:spacing w:after="0" w:line="166" w:lineRule="exact"/>
              <w:rPr>
                <w:sz w:val="20"/>
                <w:szCs w:val="20"/>
                <w:color w:val="auto"/>
              </w:rPr>
            </w:pPr>
            <w:r>
              <w:rPr>
                <w:rFonts w:ascii="Arial" w:cs="Arial" w:eastAsia="Arial" w:hAnsi="Arial"/>
                <w:sz w:val="12"/>
                <w:szCs w:val="12"/>
                <w:color w:val="auto"/>
              </w:rPr>
              <w:t xml:space="preserve">Intangible assets </w:t>
            </w:r>
            <w:r>
              <w:rPr>
                <w:rFonts w:ascii="Arial" w:cs="Arial" w:eastAsia="Arial" w:hAnsi="Arial"/>
                <w:sz w:val="15"/>
                <w:szCs w:val="15"/>
                <w:color w:val="auto"/>
                <w:vertAlign w:val="superscript"/>
              </w:rPr>
              <w:t>(1)</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244,500</w:t>
            </w:r>
          </w:p>
        </w:tc>
      </w:tr>
      <w:tr>
        <w:trPr>
          <w:trHeight w:val="161"/>
        </w:trPr>
        <w:tc>
          <w:tcPr>
            <w:tcW w:w="7940" w:type="dxa"/>
            <w:vAlign w:val="bottom"/>
          </w:tcPr>
          <w:p>
            <w:pPr>
              <w:spacing w:after="0"/>
              <w:rPr>
                <w:sz w:val="20"/>
                <w:szCs w:val="20"/>
                <w:color w:val="auto"/>
              </w:rPr>
            </w:pPr>
            <w:r>
              <w:rPr>
                <w:rFonts w:ascii="Arial" w:cs="Arial" w:eastAsia="Arial" w:hAnsi="Arial"/>
                <w:sz w:val="12"/>
                <w:szCs w:val="12"/>
                <w:color w:val="auto"/>
              </w:rPr>
              <w:t>Other assets</w:t>
            </w: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370</w:t>
            </w:r>
          </w:p>
        </w:tc>
      </w:tr>
      <w:tr>
        <w:trPr>
          <w:trHeight w:val="166"/>
        </w:trPr>
        <w:tc>
          <w:tcPr>
            <w:tcW w:w="794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600,070</w:t>
            </w:r>
          </w:p>
        </w:tc>
      </w:tr>
      <w:tr>
        <w:trPr>
          <w:trHeight w:val="161"/>
        </w:trPr>
        <w:tc>
          <w:tcPr>
            <w:tcW w:w="7940" w:type="dxa"/>
            <w:vAlign w:val="bottom"/>
          </w:tcPr>
          <w:p>
            <w:pPr>
              <w:spacing w:after="0"/>
              <w:rPr>
                <w:sz w:val="20"/>
                <w:szCs w:val="20"/>
                <w:color w:val="auto"/>
              </w:rPr>
            </w:pPr>
            <w:r>
              <w:rPr>
                <w:rFonts w:ascii="Arial" w:cs="Arial" w:eastAsia="Arial" w:hAnsi="Arial"/>
                <w:sz w:val="12"/>
                <w:szCs w:val="12"/>
                <w:color w:val="auto"/>
              </w:rPr>
              <w:t>Accounts payable and other liabilities</w:t>
            </w: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(20,239)</w:t>
            </w:r>
          </w:p>
        </w:tc>
      </w:tr>
      <w:tr>
        <w:trPr>
          <w:trHeight w:val="166"/>
        </w:trPr>
        <w:tc>
          <w:tcPr>
            <w:tcW w:w="7940" w:type="dxa"/>
            <w:vAlign w:val="bottom"/>
            <w:shd w:val="clear" w:color="auto" w:fill="CCEEFF"/>
          </w:tcPr>
          <w:p>
            <w:pPr>
              <w:spacing w:after="0"/>
              <w:rPr>
                <w:sz w:val="20"/>
                <w:szCs w:val="20"/>
                <w:color w:val="auto"/>
              </w:rPr>
            </w:pPr>
            <w:r>
              <w:rPr>
                <w:rFonts w:ascii="Arial" w:cs="Arial" w:eastAsia="Arial" w:hAnsi="Arial"/>
                <w:sz w:val="12"/>
                <w:szCs w:val="12"/>
                <w:color w:val="auto"/>
              </w:rPr>
              <w:t>Deferred revenue</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(4,526)</w:t>
            </w:r>
          </w:p>
        </w:tc>
      </w:tr>
      <w:tr>
        <w:trPr>
          <w:trHeight w:val="161"/>
        </w:trPr>
        <w:tc>
          <w:tcPr>
            <w:tcW w:w="7940" w:type="dxa"/>
            <w:vAlign w:val="bottom"/>
          </w:tcPr>
          <w:p>
            <w:pPr>
              <w:spacing w:after="0"/>
              <w:rPr>
                <w:sz w:val="20"/>
                <w:szCs w:val="20"/>
                <w:color w:val="auto"/>
              </w:rPr>
            </w:pPr>
            <w:r>
              <w:rPr>
                <w:rFonts w:ascii="Arial" w:cs="Arial" w:eastAsia="Arial" w:hAnsi="Arial"/>
                <w:sz w:val="12"/>
                <w:szCs w:val="12"/>
                <w:color w:val="auto"/>
              </w:rPr>
              <w:t>Operating lease liability, noncurrent</w:t>
            </w: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(23,169)</w:t>
            </w:r>
          </w:p>
        </w:tc>
      </w:tr>
      <w:tr>
        <w:trPr>
          <w:trHeight w:val="163"/>
        </w:trPr>
        <w:tc>
          <w:tcPr>
            <w:tcW w:w="7940" w:type="dxa"/>
            <w:vAlign w:val="bottom"/>
            <w:shd w:val="clear" w:color="auto" w:fill="CCEEFF"/>
          </w:tcPr>
          <w:p>
            <w:pPr>
              <w:spacing w:after="0"/>
              <w:rPr>
                <w:sz w:val="20"/>
                <w:szCs w:val="20"/>
                <w:color w:val="auto"/>
              </w:rPr>
            </w:pPr>
            <w:r>
              <w:rPr>
                <w:rFonts w:ascii="Arial" w:cs="Arial" w:eastAsia="Arial" w:hAnsi="Arial"/>
                <w:sz w:val="12"/>
                <w:szCs w:val="12"/>
                <w:color w:val="auto"/>
              </w:rPr>
              <w:t>Deferred tax liability</w:t>
            </w:r>
          </w:p>
        </w:tc>
        <w:tc>
          <w:tcPr>
            <w:tcW w:w="2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(18,144)</w:t>
            </w:r>
          </w:p>
        </w:tc>
      </w:tr>
      <w:tr>
        <w:trPr>
          <w:trHeight w:val="156"/>
        </w:trPr>
        <w:tc>
          <w:tcPr>
            <w:tcW w:w="7940" w:type="dxa"/>
            <w:vAlign w:val="bottom"/>
          </w:tcPr>
          <w:p>
            <w:pPr>
              <w:ind w:left="160"/>
              <w:spacing w:after="0"/>
              <w:rPr>
                <w:sz w:val="20"/>
                <w:szCs w:val="20"/>
                <w:color w:val="auto"/>
              </w:rPr>
            </w:pPr>
            <w:r>
              <w:rPr>
                <w:rFonts w:ascii="Arial" w:cs="Arial" w:eastAsia="Arial" w:hAnsi="Arial"/>
                <w:sz w:val="12"/>
                <w:szCs w:val="12"/>
                <w:color w:val="auto"/>
              </w:rPr>
              <w:t>Total purchase price</w:t>
            </w: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838,448</w:t>
            </w: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____________________________________</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7"/>
          <w:szCs w:val="17"/>
          <w:color w:val="auto"/>
          <w:vertAlign w:val="superscript"/>
        </w:rPr>
        <w:t>(</w:t>
      </w:r>
      <w:r>
        <w:rPr>
          <w:rFonts w:ascii="Arial" w:cs="Arial" w:eastAsia="Arial" w:hAnsi="Arial"/>
          <w:sz w:val="15"/>
          <w:szCs w:val="15"/>
          <w:color w:val="auto"/>
          <w:vertAlign w:val="superscript"/>
        </w:rPr>
        <w:t>1</w:t>
      </w:r>
      <w:r>
        <w:rPr>
          <w:rFonts w:ascii="Arial" w:cs="Arial" w:eastAsia="Arial" w:hAnsi="Arial"/>
          <w:sz w:val="17"/>
          <w:szCs w:val="17"/>
          <w:color w:val="auto"/>
          <w:vertAlign w:val="superscript"/>
        </w:rPr>
        <w:t>)</w:t>
      </w:r>
      <w:r>
        <w:rPr>
          <w:rFonts w:ascii="Arial" w:cs="Arial" w:eastAsia="Arial" w:hAnsi="Arial"/>
          <w:sz w:val="12"/>
          <w:szCs w:val="12"/>
          <w:color w:val="auto"/>
        </w:rPr>
        <w:t xml:space="preserve"> Identifiable intangible assets are comprised of the following:</w:t>
      </w:r>
    </w:p>
    <w:p>
      <w:pPr>
        <w:spacing w:after="0" w:line="143"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4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restart"/>
          </w:tcPr>
          <w:p>
            <w:pPr>
              <w:jc w:val="right"/>
              <w:ind w:right="519"/>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2"/>
                <w:szCs w:val="12"/>
                <w:color w:val="auto"/>
              </w:rPr>
            </w:pPr>
          </w:p>
        </w:tc>
        <w:tc>
          <w:tcPr>
            <w:tcW w:w="1400" w:type="dxa"/>
            <w:vAlign w:val="bottom"/>
          </w:tcPr>
          <w:p>
            <w:pPr>
              <w:ind w:left="420"/>
              <w:spacing w:after="0"/>
              <w:rPr>
                <w:sz w:val="20"/>
                <w:szCs w:val="20"/>
                <w:color w:val="auto"/>
              </w:rPr>
            </w:pPr>
            <w:r>
              <w:rPr>
                <w:rFonts w:ascii="Arial" w:cs="Arial" w:eastAsia="Arial" w:hAnsi="Arial"/>
                <w:sz w:val="12"/>
                <w:szCs w:val="12"/>
                <w:b w:val="1"/>
                <w:bCs w:val="1"/>
                <w:color w:val="auto"/>
              </w:rPr>
              <w:t>Estimated</w:t>
            </w: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life</w:t>
            </w:r>
          </w:p>
        </w:tc>
        <w:tc>
          <w:tcPr>
            <w:tcW w:w="0" w:type="dxa"/>
            <w:vAlign w:val="bottom"/>
          </w:tcPr>
          <w:p>
            <w:pPr>
              <w:spacing w:after="0"/>
              <w:rPr>
                <w:sz w:val="1"/>
                <w:szCs w:val="1"/>
                <w:color w:val="auto"/>
              </w:rPr>
            </w:pPr>
          </w:p>
        </w:tc>
      </w:tr>
      <w:tr>
        <w:trPr>
          <w:trHeight w:val="153"/>
        </w:trPr>
        <w:tc>
          <w:tcPr>
            <w:tcW w:w="4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299"/>
              <w:spacing w:after="0"/>
              <w:rPr>
                <w:sz w:val="20"/>
                <w:szCs w:val="20"/>
                <w:color w:val="auto"/>
              </w:rPr>
            </w:pPr>
            <w:r>
              <w:rPr>
                <w:rFonts w:ascii="Arial" w:cs="Arial" w:eastAsia="Arial" w:hAnsi="Arial"/>
                <w:sz w:val="12"/>
                <w:szCs w:val="12"/>
                <w:color w:val="auto"/>
              </w:rPr>
              <w:t>(In thousands)</w:t>
            </w:r>
          </w:p>
        </w:tc>
        <w:tc>
          <w:tcPr>
            <w:tcW w:w="8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2"/>
                <w:szCs w:val="12"/>
                <w:color w:val="auto"/>
                <w:w w:val="90"/>
              </w:rPr>
              <w:t>(In years)</w:t>
            </w:r>
          </w:p>
        </w:tc>
        <w:tc>
          <w:tcPr>
            <w:tcW w:w="0" w:type="dxa"/>
            <w:vAlign w:val="bottom"/>
          </w:tcPr>
          <w:p>
            <w:pPr>
              <w:spacing w:after="0"/>
              <w:rPr>
                <w:sz w:val="1"/>
                <w:szCs w:val="1"/>
                <w:color w:val="auto"/>
              </w:rPr>
            </w:pPr>
          </w:p>
        </w:tc>
      </w:tr>
      <w:tr>
        <w:trPr>
          <w:trHeight w:val="166"/>
        </w:trPr>
        <w:tc>
          <w:tcPr>
            <w:tcW w:w="4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Developed technology</w:t>
            </w: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56,800</w:t>
            </w:r>
          </w:p>
        </w:tc>
        <w:tc>
          <w:tcPr>
            <w:tcW w:w="1480" w:type="dxa"/>
            <w:vAlign w:val="bottom"/>
            <w:gridSpan w:val="2"/>
            <w:shd w:val="clear" w:color="auto" w:fill="CCEEFF"/>
          </w:tcPr>
          <w:p>
            <w:pPr>
              <w:jc w:val="center"/>
              <w:ind w:left="39"/>
              <w:spacing w:after="0"/>
              <w:rPr>
                <w:sz w:val="20"/>
                <w:szCs w:val="20"/>
                <w:color w:val="auto"/>
              </w:rPr>
            </w:pPr>
            <w:r>
              <w:rPr>
                <w:rFonts w:ascii="Arial" w:cs="Arial" w:eastAsia="Arial" w:hAnsi="Arial"/>
                <w:sz w:val="12"/>
                <w:szCs w:val="12"/>
                <w:color w:val="auto"/>
                <w:w w:val="89"/>
              </w:rPr>
              <w:t>7</w:t>
            </w:r>
          </w:p>
        </w:tc>
        <w:tc>
          <w:tcPr>
            <w:tcW w:w="0" w:type="dxa"/>
            <w:vAlign w:val="bottom"/>
          </w:tcPr>
          <w:p>
            <w:pPr>
              <w:spacing w:after="0"/>
              <w:rPr>
                <w:sz w:val="1"/>
                <w:szCs w:val="1"/>
                <w:color w:val="auto"/>
              </w:rPr>
            </w:pPr>
          </w:p>
        </w:tc>
      </w:tr>
      <w:tr>
        <w:trPr>
          <w:trHeight w:val="161"/>
        </w:trPr>
        <w:tc>
          <w:tcPr>
            <w:tcW w:w="4380" w:type="dxa"/>
            <w:vAlign w:val="bottom"/>
          </w:tcPr>
          <w:p>
            <w:pPr>
              <w:ind w:left="20"/>
              <w:spacing w:after="0"/>
              <w:rPr>
                <w:sz w:val="20"/>
                <w:szCs w:val="20"/>
                <w:color w:val="auto"/>
              </w:rPr>
            </w:pPr>
            <w:r>
              <w:rPr>
                <w:rFonts w:ascii="Arial" w:cs="Arial" w:eastAsia="Arial" w:hAnsi="Arial"/>
                <w:sz w:val="12"/>
                <w:szCs w:val="12"/>
                <w:color w:val="auto"/>
              </w:rPr>
              <w:t>Customer relationships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147,700</w:t>
            </w:r>
          </w:p>
        </w:tc>
        <w:tc>
          <w:tcPr>
            <w:tcW w:w="1480" w:type="dxa"/>
            <w:vAlign w:val="bottom"/>
            <w:gridSpan w:val="2"/>
          </w:tcPr>
          <w:p>
            <w:pPr>
              <w:jc w:val="center"/>
              <w:ind w:left="19"/>
              <w:spacing w:after="0"/>
              <w:rPr>
                <w:sz w:val="20"/>
                <w:szCs w:val="20"/>
                <w:color w:val="auto"/>
              </w:rPr>
            </w:pPr>
            <w:r>
              <w:rPr>
                <w:rFonts w:ascii="Arial" w:cs="Arial" w:eastAsia="Arial" w:hAnsi="Arial"/>
                <w:sz w:val="12"/>
                <w:szCs w:val="12"/>
                <w:color w:val="auto"/>
                <w:w w:val="89"/>
              </w:rPr>
              <w:t>10</w:t>
            </w:r>
          </w:p>
        </w:tc>
        <w:tc>
          <w:tcPr>
            <w:tcW w:w="0" w:type="dxa"/>
            <w:vAlign w:val="bottom"/>
          </w:tcPr>
          <w:p>
            <w:pPr>
              <w:spacing w:after="0"/>
              <w:rPr>
                <w:sz w:val="1"/>
                <w:szCs w:val="1"/>
                <w:color w:val="auto"/>
              </w:rPr>
            </w:pPr>
          </w:p>
        </w:tc>
      </w:tr>
      <w:tr>
        <w:trPr>
          <w:trHeight w:val="166"/>
        </w:trPr>
        <w:tc>
          <w:tcPr>
            <w:tcW w:w="4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Supplier relationships</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39,600</w:t>
            </w:r>
          </w:p>
        </w:tc>
        <w:tc>
          <w:tcPr>
            <w:tcW w:w="1480" w:type="dxa"/>
            <w:vAlign w:val="bottom"/>
            <w:gridSpan w:val="2"/>
            <w:shd w:val="clear" w:color="auto" w:fill="CCEEFF"/>
          </w:tcPr>
          <w:p>
            <w:pPr>
              <w:jc w:val="center"/>
              <w:ind w:left="39"/>
              <w:spacing w:after="0"/>
              <w:rPr>
                <w:sz w:val="20"/>
                <w:szCs w:val="20"/>
                <w:color w:val="auto"/>
              </w:rPr>
            </w:pPr>
            <w:r>
              <w:rPr>
                <w:rFonts w:ascii="Arial" w:cs="Arial" w:eastAsia="Arial" w:hAnsi="Arial"/>
                <w:sz w:val="12"/>
                <w:szCs w:val="12"/>
                <w:color w:val="auto"/>
                <w:w w:val="89"/>
              </w:rPr>
              <w:t>5</w:t>
            </w:r>
          </w:p>
        </w:tc>
        <w:tc>
          <w:tcPr>
            <w:tcW w:w="0" w:type="dxa"/>
            <w:vAlign w:val="bottom"/>
          </w:tcPr>
          <w:p>
            <w:pPr>
              <w:spacing w:after="0"/>
              <w:rPr>
                <w:sz w:val="1"/>
                <w:szCs w:val="1"/>
                <w:color w:val="auto"/>
              </w:rPr>
            </w:pPr>
          </w:p>
        </w:tc>
      </w:tr>
      <w:tr>
        <w:trPr>
          <w:trHeight w:val="161"/>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Trade names</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400</w:t>
            </w:r>
          </w:p>
        </w:tc>
        <w:tc>
          <w:tcPr>
            <w:tcW w:w="148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2"/>
                <w:szCs w:val="12"/>
                <w:color w:val="auto"/>
                <w:w w:val="89"/>
              </w:rPr>
              <w:t>5</w:t>
            </w:r>
          </w:p>
        </w:tc>
        <w:tc>
          <w:tcPr>
            <w:tcW w:w="0" w:type="dxa"/>
            <w:vAlign w:val="bottom"/>
          </w:tcPr>
          <w:p>
            <w:pPr>
              <w:spacing w:after="0"/>
              <w:rPr>
                <w:sz w:val="1"/>
                <w:szCs w:val="1"/>
                <w:color w:val="auto"/>
              </w:rPr>
            </w:pPr>
          </w:p>
        </w:tc>
      </w:tr>
      <w:tr>
        <w:trPr>
          <w:trHeight w:val="181"/>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Total intangible assets acquired</w:t>
            </w:r>
          </w:p>
        </w:tc>
        <w:tc>
          <w:tcPr>
            <w:tcW w:w="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244,500</w:t>
            </w: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Company acquired a net deferred tax liability of $18.1 million in this business combination that is included in long-term liabilities in the accompanying consolidated balance sheet.</w:t>
      </w:r>
    </w:p>
    <w:p>
      <w:pPr>
        <w:spacing w:after="0" w:line="189" w:lineRule="exact"/>
        <w:rPr>
          <w:sz w:val="20"/>
          <w:szCs w:val="20"/>
          <w:color w:val="auto"/>
        </w:rPr>
      </w:pPr>
    </w:p>
    <w:p>
      <w:pPr>
        <w:ind w:right="480" w:firstLine="367"/>
        <w:spacing w:after="0" w:line="261" w:lineRule="auto"/>
        <w:rPr>
          <w:sz w:val="20"/>
          <w:szCs w:val="20"/>
          <w:color w:val="auto"/>
        </w:rPr>
      </w:pPr>
      <w:r>
        <w:rPr>
          <w:rFonts w:ascii="Arial" w:cs="Arial" w:eastAsia="Arial" w:hAnsi="Arial"/>
          <w:sz w:val="14"/>
          <w:szCs w:val="14"/>
          <w:color w:val="auto"/>
        </w:rPr>
        <w:t>Goodwill generated from this acquisition primarily represents the value that is expected from the increased scale and synergies as a result of the integration of both businesses. Goodwill is not deductible for tax purposes.</w:t>
      </w:r>
    </w:p>
    <w:p>
      <w:pPr>
        <w:spacing w:after="0" w:line="140" w:lineRule="exact"/>
        <w:rPr>
          <w:sz w:val="20"/>
          <w:szCs w:val="20"/>
          <w:color w:val="auto"/>
        </w:rPr>
      </w:pPr>
    </w:p>
    <w:p>
      <w:pPr>
        <w:ind w:firstLine="367"/>
        <w:spacing w:after="0" w:line="167" w:lineRule="exact"/>
        <w:rPr>
          <w:sz w:val="20"/>
          <w:szCs w:val="20"/>
          <w:color w:val="auto"/>
        </w:rPr>
      </w:pPr>
      <w:r>
        <w:rPr>
          <w:rFonts w:ascii="Arial" w:cs="Arial" w:eastAsia="Arial" w:hAnsi="Arial"/>
          <w:sz w:val="14"/>
          <w:szCs w:val="14"/>
          <w:color w:val="auto"/>
        </w:rPr>
        <w:t>The estimated fair value of the intangible assets acquired was determined by the Company. The Company engaged a third</w:t>
      </w:r>
      <w:r>
        <w:rPr>
          <w:rFonts w:ascii="MS PGothic" w:cs="MS PGothic" w:eastAsia="MS PGothic" w:hAnsi="MS PGothic"/>
          <w:sz w:val="14"/>
          <w:szCs w:val="14"/>
          <w:color w:val="auto"/>
        </w:rPr>
        <w:t>‑</w:t>
      </w:r>
      <w:r>
        <w:rPr>
          <w:rFonts w:ascii="Arial" w:cs="Arial" w:eastAsia="Arial" w:hAnsi="Arial"/>
          <w:sz w:val="14"/>
          <w:szCs w:val="14"/>
          <w:color w:val="auto"/>
        </w:rPr>
        <w:t>party expert to assist with the valuation analysis. The Company used a relief-from-royalty method to estimate the fair values of the developed technology and trade names, a multi-period excess earnings method to estimate the fair values of customer relationships and a with-and-without method to estimate the fair value of the supplier relationships.</w:t>
      </w:r>
    </w:p>
    <w:p>
      <w:pPr>
        <w:spacing w:after="0" w:line="154" w:lineRule="exact"/>
        <w:rPr>
          <w:sz w:val="20"/>
          <w:szCs w:val="20"/>
          <w:color w:val="auto"/>
        </w:rPr>
      </w:pPr>
    </w:p>
    <w:p>
      <w:pPr>
        <w:ind w:right="60" w:firstLine="367"/>
        <w:spacing w:after="0" w:line="345" w:lineRule="auto"/>
        <w:rPr>
          <w:sz w:val="20"/>
          <w:szCs w:val="20"/>
          <w:color w:val="auto"/>
        </w:rPr>
      </w:pPr>
      <w:r>
        <w:rPr>
          <w:rFonts w:ascii="Arial" w:cs="Arial" w:eastAsia="Arial" w:hAnsi="Arial"/>
          <w:sz w:val="12"/>
          <w:szCs w:val="12"/>
          <w:color w:val="auto"/>
        </w:rPr>
        <w:t>Most of the net tangible assets were valued at their respective carrying amounts as of the acquisition date, as the Company believes that these amounts approximate their current fair values, except for operating right-of-use assets. The value of the acquired operating right-of-use assets was reduced by $1.7 million to its respective fair value on the acquisition date.</w:t>
      </w:r>
    </w:p>
    <w:p>
      <w:pPr>
        <w:spacing w:after="0" w:line="93" w:lineRule="exact"/>
        <w:rPr>
          <w:sz w:val="20"/>
          <w:szCs w:val="20"/>
          <w:color w:val="auto"/>
        </w:rPr>
      </w:pPr>
    </w:p>
    <w:p>
      <w:pPr>
        <w:ind w:firstLine="367"/>
        <w:spacing w:after="0" w:line="249" w:lineRule="auto"/>
        <w:rPr>
          <w:sz w:val="20"/>
          <w:szCs w:val="20"/>
          <w:color w:val="auto"/>
        </w:rPr>
      </w:pPr>
      <w:r>
        <w:rPr>
          <w:rFonts w:ascii="Arial" w:cs="Arial" w:eastAsia="Arial" w:hAnsi="Arial"/>
          <w:sz w:val="14"/>
          <w:szCs w:val="14"/>
          <w:color w:val="auto"/>
        </w:rPr>
        <w:t>The acquired entity's results of operations were included in the Company's consolidated financial statements from the date of acquisition, July 14, 2021. For the three months ended September 30, 2021, Zipwhip contributed net operating revenue of $23.6 million, which is reflected in the accompanying consolidated statement of operations. Due to the integrated nature of the Company's operations, the Company believes that it is not practicable to separately identify earnings of Zipwhip on a stand-alone basis. Pro forma results of operations for this acquisition are not presented as the financial impact to the Company's consolidated financial statements is not material.</w:t>
      </w:r>
    </w:p>
    <w:p>
      <w:pPr>
        <w:spacing w:after="0" w:line="148" w:lineRule="exact"/>
        <w:rPr>
          <w:sz w:val="20"/>
          <w:szCs w:val="20"/>
          <w:color w:val="auto"/>
        </w:rPr>
      </w:pPr>
    </w:p>
    <w:p>
      <w:pPr>
        <w:ind w:right="100" w:firstLine="367"/>
        <w:spacing w:after="0" w:line="261" w:lineRule="auto"/>
        <w:rPr>
          <w:sz w:val="20"/>
          <w:szCs w:val="20"/>
          <w:color w:val="auto"/>
        </w:rPr>
      </w:pPr>
      <w:r>
        <w:rPr>
          <w:rFonts w:ascii="Arial" w:cs="Arial" w:eastAsia="Arial" w:hAnsi="Arial"/>
          <w:sz w:val="14"/>
          <w:szCs w:val="14"/>
          <w:color w:val="auto"/>
        </w:rPr>
        <w:t>During the three and nine months ended September 30, 2021, the Company incurred costs related to this acquisition of $1.6 million and $4.2 million, respectively, that were expensed as incurred and recorded in general and administrative expenses in the accompanying consolidated statement of operations.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420" w:firstLine="367"/>
        <w:spacing w:after="0" w:line="261" w:lineRule="auto"/>
        <w:rPr>
          <w:sz w:val="20"/>
          <w:szCs w:val="20"/>
          <w:color w:val="auto"/>
        </w:rPr>
      </w:pPr>
      <w:r>
        <w:rPr>
          <w:rFonts w:ascii="Arial" w:cs="Arial" w:eastAsia="Arial" w:hAnsi="Arial"/>
          <w:sz w:val="14"/>
          <w:szCs w:val="14"/>
          <w:color w:val="auto"/>
        </w:rPr>
        <w:t>During the first and second quarter of 2021, the Company acquired ValueFirst Digital Media Private Limited and Ionic Security, Inc. for an aggregate purchase price of $100.2 million of which $37.0 million was allocated to intangible assets and $63.4 million was allocated to goodwill.</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Goodwill and Intangible Assets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Goodwill</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Goodwill balance as of September 30, 2021 and December 31, 2020, was as follows:</w:t>
      </w:r>
    </w:p>
    <w:p>
      <w:pPr>
        <w:spacing w:after="0" w:line="155"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2"/>
                <w:szCs w:val="12"/>
                <w:b w:val="1"/>
                <w:bCs w:val="1"/>
                <w:color w:val="auto"/>
              </w:rPr>
              <w:t>Total</w:t>
            </w:r>
          </w:p>
        </w:tc>
      </w:tr>
      <w:tr>
        <w:trPr>
          <w:trHeight w:val="153"/>
        </w:trPr>
        <w:tc>
          <w:tcPr>
            <w:tcW w:w="8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jc w:val="right"/>
              <w:ind w:right="399"/>
              <w:spacing w:after="0"/>
              <w:rPr>
                <w:sz w:val="20"/>
                <w:szCs w:val="20"/>
                <w:color w:val="auto"/>
              </w:rPr>
            </w:pPr>
            <w:r>
              <w:rPr>
                <w:rFonts w:ascii="Arial" w:cs="Arial" w:eastAsia="Arial" w:hAnsi="Arial"/>
                <w:sz w:val="12"/>
                <w:szCs w:val="12"/>
                <w:color w:val="auto"/>
              </w:rPr>
              <w:t>(In thousands)</w:t>
            </w:r>
          </w:p>
        </w:tc>
      </w:tr>
      <w:tr>
        <w:trPr>
          <w:trHeight w:val="166"/>
        </w:trPr>
        <w:tc>
          <w:tcPr>
            <w:tcW w:w="80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Balance as of December 31, 2020</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4,595,394</w:t>
            </w:r>
          </w:p>
        </w:tc>
      </w:tr>
      <w:tr>
        <w:trPr>
          <w:trHeight w:val="161"/>
        </w:trPr>
        <w:tc>
          <w:tcPr>
            <w:tcW w:w="8000" w:type="dxa"/>
            <w:vAlign w:val="bottom"/>
            <w:tcBorders>
              <w:bottom w:val="single" w:sz="8" w:color="CCEEFF"/>
            </w:tcBorders>
          </w:tcPr>
          <w:p>
            <w:pPr>
              <w:ind w:left="660"/>
              <w:spacing w:after="0"/>
              <w:rPr>
                <w:sz w:val="20"/>
                <w:szCs w:val="20"/>
                <w:color w:val="auto"/>
              </w:rPr>
            </w:pPr>
            <w:r>
              <w:rPr>
                <w:rFonts w:ascii="Arial" w:cs="Arial" w:eastAsia="Arial" w:hAnsi="Arial"/>
                <w:sz w:val="12"/>
                <w:szCs w:val="12"/>
                <w:color w:val="auto"/>
              </w:rPr>
              <w:t>Goodwill additions and adjustments</w:t>
            </w:r>
          </w:p>
        </w:tc>
        <w:tc>
          <w:tcPr>
            <w:tcW w:w="7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667,657</w:t>
            </w:r>
          </w:p>
        </w:tc>
      </w:tr>
      <w:tr>
        <w:trPr>
          <w:trHeight w:val="178"/>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Balance as of September 30, 2021</w:t>
            </w:r>
          </w:p>
        </w:tc>
        <w:tc>
          <w:tcPr>
            <w:tcW w:w="7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5,263,051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Intangible assets consisted of the following:</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43"/>
        </w:trPr>
        <w:tc>
          <w:tcPr>
            <w:tcW w:w="4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2"/>
          </w:tcPr>
          <w:p>
            <w:pPr>
              <w:ind w:left="480"/>
              <w:spacing w:after="0"/>
              <w:rPr>
                <w:sz w:val="20"/>
                <w:szCs w:val="20"/>
                <w:color w:val="auto"/>
              </w:rPr>
            </w:pPr>
            <w:r>
              <w:rPr>
                <w:rFonts w:ascii="Arial" w:cs="Arial" w:eastAsia="Arial" w:hAnsi="Arial"/>
                <w:sz w:val="12"/>
                <w:szCs w:val="12"/>
                <w:b w:val="1"/>
                <w:bCs w:val="1"/>
                <w:color w:val="auto"/>
              </w:rPr>
              <w:t>As of</w:t>
            </w: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460"/>
              <w:spacing w:after="0"/>
              <w:rPr>
                <w:sz w:val="20"/>
                <w:szCs w:val="20"/>
                <w:color w:val="auto"/>
              </w:rPr>
            </w:pPr>
            <w:r>
              <w:rPr>
                <w:rFonts w:ascii="Arial" w:cs="Arial" w:eastAsia="Arial" w:hAnsi="Arial"/>
                <w:sz w:val="12"/>
                <w:szCs w:val="12"/>
                <w:b w:val="1"/>
                <w:bCs w:val="1"/>
                <w:color w:val="auto"/>
              </w:rPr>
              <w:t>September 30, 2021</w:t>
            </w:r>
          </w:p>
        </w:tc>
        <w:tc>
          <w:tcPr>
            <w:tcW w:w="8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540" w:type="dxa"/>
            <w:vAlign w:val="bottom"/>
          </w:tcPr>
          <w:p>
            <w:pPr>
              <w:spacing w:after="0"/>
              <w:rPr>
                <w:sz w:val="10"/>
                <w:szCs w:val="10"/>
                <w:color w:val="auto"/>
              </w:rPr>
            </w:pPr>
          </w:p>
        </w:tc>
        <w:tc>
          <w:tcPr>
            <w:tcW w:w="14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Gross</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60" w:type="dxa"/>
            <w:vAlign w:val="bottom"/>
            <w:gridSpan w:val="2"/>
          </w:tcPr>
          <w:p>
            <w:pPr>
              <w:ind w:left="280"/>
              <w:spacing w:after="0" w:line="120" w:lineRule="exact"/>
              <w:rPr>
                <w:sz w:val="20"/>
                <w:szCs w:val="20"/>
                <w:color w:val="auto"/>
              </w:rPr>
            </w:pPr>
            <w:r>
              <w:rPr>
                <w:rFonts w:ascii="Arial" w:cs="Arial" w:eastAsia="Arial" w:hAnsi="Arial"/>
                <w:sz w:val="12"/>
                <w:szCs w:val="12"/>
                <w:b w:val="1"/>
                <w:bCs w:val="1"/>
                <w:color w:val="auto"/>
              </w:rPr>
              <w:t>Accumulated</w:t>
            </w:r>
          </w:p>
        </w:tc>
        <w:tc>
          <w:tcPr>
            <w:tcW w:w="860" w:type="dxa"/>
            <w:vAlign w:val="bottom"/>
          </w:tcPr>
          <w:p>
            <w:pPr>
              <w:spacing w:after="0"/>
              <w:rPr>
                <w:sz w:val="10"/>
                <w:szCs w:val="10"/>
                <w:color w:val="auto"/>
              </w:rPr>
            </w:pPr>
          </w:p>
        </w:tc>
        <w:tc>
          <w:tcPr>
            <w:tcW w:w="1140" w:type="dxa"/>
            <w:vAlign w:val="bottom"/>
            <w:vMerge w:val="restart"/>
          </w:tcPr>
          <w:p>
            <w:pPr>
              <w:jc w:val="right"/>
              <w:ind w:right="599"/>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59"/>
        </w:trPr>
        <w:tc>
          <w:tcPr>
            <w:tcW w:w="4540" w:type="dxa"/>
            <w:vAlign w:val="bottom"/>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Amortization</w:t>
            </w:r>
          </w:p>
        </w:tc>
        <w:tc>
          <w:tcPr>
            <w:tcW w:w="8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tcPr>
          <w:p>
            <w:pPr>
              <w:ind w:left="500"/>
              <w:spacing w:after="0"/>
              <w:rPr>
                <w:sz w:val="20"/>
                <w:szCs w:val="20"/>
                <w:color w:val="auto"/>
              </w:rPr>
            </w:pPr>
            <w:r>
              <w:rPr>
                <w:rFonts w:ascii="Arial" w:cs="Arial" w:eastAsia="Arial" w:hAnsi="Arial"/>
                <w:sz w:val="12"/>
                <w:szCs w:val="12"/>
                <w:color w:val="auto"/>
              </w:rPr>
              <w:t>Amortizable intangible assets:</w:t>
            </w: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60" w:type="dxa"/>
            <w:vAlign w:val="bottom"/>
            <w:gridSpan w:val="2"/>
          </w:tcPr>
          <w:p>
            <w:pPr>
              <w:ind w:left="280"/>
              <w:spacing w:after="0"/>
              <w:rPr>
                <w:sz w:val="20"/>
                <w:szCs w:val="20"/>
                <w:color w:val="auto"/>
              </w:rPr>
            </w:pPr>
            <w:r>
              <w:rPr>
                <w:rFonts w:ascii="Arial" w:cs="Arial" w:eastAsia="Arial" w:hAnsi="Arial"/>
                <w:sz w:val="12"/>
                <w:szCs w:val="12"/>
                <w:color w:val="auto"/>
              </w:rPr>
              <w:t>(In thousands)</w:t>
            </w: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540" w:type="dxa"/>
            <w:vAlign w:val="bottom"/>
            <w:shd w:val="clear" w:color="auto" w:fill="CCEEFF"/>
          </w:tcPr>
          <w:p>
            <w:pPr>
              <w:ind w:left="640"/>
              <w:spacing w:after="0"/>
              <w:rPr>
                <w:sz w:val="20"/>
                <w:szCs w:val="20"/>
                <w:color w:val="auto"/>
              </w:rPr>
            </w:pPr>
            <w:r>
              <w:rPr>
                <w:rFonts w:ascii="Arial" w:cs="Arial" w:eastAsia="Arial" w:hAnsi="Arial"/>
                <w:sz w:val="12"/>
                <w:szCs w:val="12"/>
                <w:color w:val="auto"/>
              </w:rPr>
              <w:t>Developed technology</w:t>
            </w:r>
          </w:p>
        </w:tc>
        <w:tc>
          <w:tcPr>
            <w:tcW w:w="1400" w:type="dxa"/>
            <w:vAlign w:val="bottom"/>
            <w:shd w:val="clear" w:color="auto" w:fill="CCEEFF"/>
          </w:tcPr>
          <w:p>
            <w:pPr>
              <w:jc w:val="right"/>
              <w:ind w:right="779"/>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794,831</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(194,285)</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600,546</w:t>
            </w:r>
          </w:p>
        </w:tc>
        <w:tc>
          <w:tcPr>
            <w:tcW w:w="0" w:type="dxa"/>
            <w:vAlign w:val="bottom"/>
          </w:tcPr>
          <w:p>
            <w:pPr>
              <w:spacing w:after="0"/>
              <w:rPr>
                <w:sz w:val="1"/>
                <w:szCs w:val="1"/>
                <w:color w:val="auto"/>
              </w:rPr>
            </w:pPr>
          </w:p>
        </w:tc>
      </w:tr>
      <w:tr>
        <w:trPr>
          <w:trHeight w:val="161"/>
        </w:trPr>
        <w:tc>
          <w:tcPr>
            <w:tcW w:w="4540" w:type="dxa"/>
            <w:vAlign w:val="bottom"/>
          </w:tcPr>
          <w:p>
            <w:pPr>
              <w:ind w:left="640"/>
              <w:spacing w:after="0"/>
              <w:rPr>
                <w:sz w:val="20"/>
                <w:szCs w:val="20"/>
                <w:color w:val="auto"/>
              </w:rPr>
            </w:pPr>
            <w:r>
              <w:rPr>
                <w:rFonts w:ascii="Arial" w:cs="Arial" w:eastAsia="Arial" w:hAnsi="Arial"/>
                <w:sz w:val="12"/>
                <w:szCs w:val="12"/>
                <w:color w:val="auto"/>
              </w:rPr>
              <w:t>Customer relationships</w:t>
            </w:r>
          </w:p>
        </w:tc>
        <w:tc>
          <w:tcPr>
            <w:tcW w:w="1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538,264</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(108,953)</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429,311</w:t>
            </w:r>
          </w:p>
        </w:tc>
        <w:tc>
          <w:tcPr>
            <w:tcW w:w="0" w:type="dxa"/>
            <w:vAlign w:val="bottom"/>
          </w:tcPr>
          <w:p>
            <w:pPr>
              <w:spacing w:after="0"/>
              <w:rPr>
                <w:sz w:val="1"/>
                <w:szCs w:val="1"/>
                <w:color w:val="auto"/>
              </w:rPr>
            </w:pPr>
          </w:p>
        </w:tc>
      </w:tr>
      <w:tr>
        <w:trPr>
          <w:trHeight w:val="166"/>
        </w:trPr>
        <w:tc>
          <w:tcPr>
            <w:tcW w:w="4540" w:type="dxa"/>
            <w:vAlign w:val="bottom"/>
            <w:shd w:val="clear" w:color="auto" w:fill="CCEEFF"/>
          </w:tcPr>
          <w:p>
            <w:pPr>
              <w:ind w:left="640"/>
              <w:spacing w:after="0"/>
              <w:rPr>
                <w:sz w:val="20"/>
                <w:szCs w:val="20"/>
                <w:color w:val="auto"/>
              </w:rPr>
            </w:pPr>
            <w:r>
              <w:rPr>
                <w:rFonts w:ascii="Arial" w:cs="Arial" w:eastAsia="Arial" w:hAnsi="Arial"/>
                <w:sz w:val="12"/>
                <w:szCs w:val="12"/>
                <w:color w:val="auto"/>
              </w:rPr>
              <w:t>Supplier relationships</w:t>
            </w:r>
          </w:p>
        </w:tc>
        <w:tc>
          <w:tcPr>
            <w:tcW w:w="1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51,671</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(6,916)</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44,755</w:t>
            </w:r>
          </w:p>
        </w:tc>
        <w:tc>
          <w:tcPr>
            <w:tcW w:w="0" w:type="dxa"/>
            <w:vAlign w:val="bottom"/>
          </w:tcPr>
          <w:p>
            <w:pPr>
              <w:spacing w:after="0"/>
              <w:rPr>
                <w:sz w:val="1"/>
                <w:szCs w:val="1"/>
                <w:color w:val="auto"/>
              </w:rPr>
            </w:pPr>
          </w:p>
        </w:tc>
      </w:tr>
      <w:tr>
        <w:trPr>
          <w:trHeight w:val="161"/>
        </w:trPr>
        <w:tc>
          <w:tcPr>
            <w:tcW w:w="4540" w:type="dxa"/>
            <w:vAlign w:val="bottom"/>
          </w:tcPr>
          <w:p>
            <w:pPr>
              <w:ind w:left="640"/>
              <w:spacing w:after="0"/>
              <w:rPr>
                <w:sz w:val="20"/>
                <w:szCs w:val="20"/>
                <w:color w:val="auto"/>
              </w:rPr>
            </w:pPr>
            <w:r>
              <w:rPr>
                <w:rFonts w:ascii="Arial" w:cs="Arial" w:eastAsia="Arial" w:hAnsi="Arial"/>
                <w:sz w:val="12"/>
                <w:szCs w:val="12"/>
                <w:color w:val="auto"/>
              </w:rPr>
              <w:t>Trade names</w:t>
            </w:r>
          </w:p>
        </w:tc>
        <w:tc>
          <w:tcPr>
            <w:tcW w:w="1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30,669</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(12,327)</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18,342</w:t>
            </w:r>
          </w:p>
        </w:tc>
        <w:tc>
          <w:tcPr>
            <w:tcW w:w="0" w:type="dxa"/>
            <w:vAlign w:val="bottom"/>
          </w:tcPr>
          <w:p>
            <w:pPr>
              <w:spacing w:after="0"/>
              <w:rPr>
                <w:sz w:val="1"/>
                <w:szCs w:val="1"/>
                <w:color w:val="auto"/>
              </w:rPr>
            </w:pPr>
          </w:p>
        </w:tc>
      </w:tr>
      <w:tr>
        <w:trPr>
          <w:trHeight w:val="166"/>
        </w:trPr>
        <w:tc>
          <w:tcPr>
            <w:tcW w:w="4540" w:type="dxa"/>
            <w:vAlign w:val="bottom"/>
            <w:shd w:val="clear" w:color="auto" w:fill="CCEEFF"/>
          </w:tcPr>
          <w:p>
            <w:pPr>
              <w:ind w:left="640"/>
              <w:spacing w:after="0"/>
              <w:rPr>
                <w:sz w:val="20"/>
                <w:szCs w:val="20"/>
                <w:color w:val="auto"/>
              </w:rPr>
            </w:pPr>
            <w:r>
              <w:rPr>
                <w:rFonts w:ascii="Arial" w:cs="Arial" w:eastAsia="Arial" w:hAnsi="Arial"/>
                <w:sz w:val="12"/>
                <w:szCs w:val="12"/>
                <w:color w:val="auto"/>
              </w:rPr>
              <w:t>Order backlog</w:t>
            </w:r>
          </w:p>
        </w:tc>
        <w:tc>
          <w:tcPr>
            <w:tcW w:w="1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(9,167)</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833</w:t>
            </w:r>
          </w:p>
        </w:tc>
        <w:tc>
          <w:tcPr>
            <w:tcW w:w="0" w:type="dxa"/>
            <w:vAlign w:val="bottom"/>
          </w:tcPr>
          <w:p>
            <w:pPr>
              <w:spacing w:after="0"/>
              <w:rPr>
                <w:sz w:val="1"/>
                <w:szCs w:val="1"/>
                <w:color w:val="auto"/>
              </w:rPr>
            </w:pPr>
          </w:p>
        </w:tc>
      </w:tr>
      <w:tr>
        <w:trPr>
          <w:trHeight w:val="161"/>
        </w:trPr>
        <w:tc>
          <w:tcPr>
            <w:tcW w:w="4540" w:type="dxa"/>
            <w:vAlign w:val="bottom"/>
            <w:tcBorders>
              <w:bottom w:val="single" w:sz="8" w:color="CCEEFF"/>
            </w:tcBorders>
          </w:tcPr>
          <w:p>
            <w:pPr>
              <w:ind w:left="640"/>
              <w:spacing w:after="0"/>
              <w:rPr>
                <w:sz w:val="20"/>
                <w:szCs w:val="20"/>
                <w:color w:val="auto"/>
              </w:rPr>
            </w:pPr>
            <w:r>
              <w:rPr>
                <w:rFonts w:ascii="Arial" w:cs="Arial" w:eastAsia="Arial" w:hAnsi="Arial"/>
                <w:sz w:val="12"/>
                <w:szCs w:val="12"/>
                <w:color w:val="auto"/>
              </w:rPr>
              <w:t>Patent</w:t>
            </w:r>
          </w:p>
        </w:tc>
        <w:tc>
          <w:tcPr>
            <w:tcW w:w="1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4,071</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(474)</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3,597</w:t>
            </w:r>
          </w:p>
        </w:tc>
        <w:tc>
          <w:tcPr>
            <w:tcW w:w="0" w:type="dxa"/>
            <w:vAlign w:val="bottom"/>
          </w:tcPr>
          <w:p>
            <w:pPr>
              <w:spacing w:after="0"/>
              <w:rPr>
                <w:sz w:val="1"/>
                <w:szCs w:val="1"/>
                <w:color w:val="auto"/>
              </w:rPr>
            </w:pPr>
          </w:p>
        </w:tc>
      </w:tr>
      <w:tr>
        <w:trPr>
          <w:trHeight w:val="156"/>
        </w:trPr>
        <w:tc>
          <w:tcPr>
            <w:tcW w:w="4540" w:type="dxa"/>
            <w:vAlign w:val="bottom"/>
            <w:shd w:val="clear" w:color="auto" w:fill="CCEEFF"/>
          </w:tcPr>
          <w:p>
            <w:pPr>
              <w:ind w:left="820"/>
              <w:spacing w:after="0"/>
              <w:rPr>
                <w:sz w:val="20"/>
                <w:szCs w:val="20"/>
                <w:color w:val="auto"/>
              </w:rPr>
            </w:pPr>
            <w:r>
              <w:rPr>
                <w:rFonts w:ascii="Arial" w:cs="Arial" w:eastAsia="Arial" w:hAnsi="Arial"/>
                <w:sz w:val="12"/>
                <w:szCs w:val="12"/>
                <w:color w:val="auto"/>
              </w:rPr>
              <w:t>Total amortizable intangible assets</w:t>
            </w:r>
          </w:p>
        </w:tc>
        <w:tc>
          <w:tcPr>
            <w:tcW w:w="14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1,429,506</w:t>
            </w:r>
          </w:p>
        </w:tc>
        <w:tc>
          <w:tcPr>
            <w:tcW w:w="10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(332,122)</w:t>
            </w:r>
          </w:p>
        </w:tc>
        <w:tc>
          <w:tcPr>
            <w:tcW w:w="8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1,097,384</w:t>
            </w:r>
          </w:p>
        </w:tc>
        <w:tc>
          <w:tcPr>
            <w:tcW w:w="0" w:type="dxa"/>
            <w:vAlign w:val="bottom"/>
          </w:tcPr>
          <w:p>
            <w:pPr>
              <w:spacing w:after="0"/>
              <w:rPr>
                <w:sz w:val="1"/>
                <w:szCs w:val="1"/>
                <w:color w:val="auto"/>
              </w:rPr>
            </w:pPr>
          </w:p>
        </w:tc>
      </w:tr>
      <w:tr>
        <w:trPr>
          <w:trHeight w:val="141"/>
        </w:trPr>
        <w:tc>
          <w:tcPr>
            <w:tcW w:w="4540" w:type="dxa"/>
            <w:vAlign w:val="bottom"/>
          </w:tcPr>
          <w:p>
            <w:pPr>
              <w:ind w:left="500"/>
              <w:spacing w:after="0"/>
              <w:rPr>
                <w:sz w:val="20"/>
                <w:szCs w:val="20"/>
                <w:color w:val="auto"/>
              </w:rPr>
            </w:pPr>
            <w:r>
              <w:rPr>
                <w:rFonts w:ascii="Arial" w:cs="Arial" w:eastAsia="Arial" w:hAnsi="Arial"/>
                <w:sz w:val="12"/>
                <w:szCs w:val="12"/>
                <w:color w:val="auto"/>
              </w:rPr>
              <w:t>Non-amortizable intangible assets:</w:t>
            </w:r>
          </w:p>
        </w:tc>
        <w:tc>
          <w:tcPr>
            <w:tcW w:w="1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540" w:type="dxa"/>
            <w:vAlign w:val="bottom"/>
            <w:shd w:val="clear" w:color="auto" w:fill="CCEEFF"/>
          </w:tcPr>
          <w:p>
            <w:pPr>
              <w:ind w:left="640"/>
              <w:spacing w:after="0"/>
              <w:rPr>
                <w:sz w:val="20"/>
                <w:szCs w:val="20"/>
                <w:color w:val="auto"/>
              </w:rPr>
            </w:pPr>
            <w:r>
              <w:rPr>
                <w:rFonts w:ascii="Arial" w:cs="Arial" w:eastAsia="Arial" w:hAnsi="Arial"/>
                <w:sz w:val="12"/>
                <w:szCs w:val="12"/>
                <w:color w:val="auto"/>
              </w:rPr>
              <w:t>Telecommunication licenses</w:t>
            </w:r>
          </w:p>
        </w:tc>
        <w:tc>
          <w:tcPr>
            <w:tcW w:w="1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4,920</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4,920</w:t>
            </w:r>
          </w:p>
        </w:tc>
        <w:tc>
          <w:tcPr>
            <w:tcW w:w="0" w:type="dxa"/>
            <w:vAlign w:val="bottom"/>
          </w:tcPr>
          <w:p>
            <w:pPr>
              <w:spacing w:after="0"/>
              <w:rPr>
                <w:sz w:val="1"/>
                <w:szCs w:val="1"/>
                <w:color w:val="auto"/>
              </w:rPr>
            </w:pPr>
          </w:p>
        </w:tc>
      </w:tr>
      <w:tr>
        <w:trPr>
          <w:trHeight w:val="161"/>
        </w:trPr>
        <w:tc>
          <w:tcPr>
            <w:tcW w:w="4540" w:type="dxa"/>
            <w:vAlign w:val="bottom"/>
          </w:tcPr>
          <w:p>
            <w:pPr>
              <w:ind w:left="640"/>
              <w:spacing w:after="0"/>
              <w:rPr>
                <w:sz w:val="20"/>
                <w:szCs w:val="20"/>
                <w:color w:val="auto"/>
              </w:rPr>
            </w:pPr>
            <w:r>
              <w:rPr>
                <w:rFonts w:ascii="Arial" w:cs="Arial" w:eastAsia="Arial" w:hAnsi="Arial"/>
                <w:sz w:val="12"/>
                <w:szCs w:val="12"/>
                <w:color w:val="auto"/>
              </w:rPr>
              <w:t>Trademarks and other</w:t>
            </w:r>
          </w:p>
        </w:tc>
        <w:tc>
          <w:tcPr>
            <w:tcW w:w="1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295</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60" w:type="dxa"/>
            <w:vAlign w:val="bottom"/>
            <w:gridSpan w:val="2"/>
          </w:tcPr>
          <w:p>
            <w:pPr>
              <w:ind w:left="120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295</w:t>
            </w:r>
          </w:p>
        </w:tc>
        <w:tc>
          <w:tcPr>
            <w:tcW w:w="0" w:type="dxa"/>
            <w:vAlign w:val="bottom"/>
          </w:tcPr>
          <w:p>
            <w:pPr>
              <w:spacing w:after="0"/>
              <w:rPr>
                <w:sz w:val="1"/>
                <w:szCs w:val="1"/>
                <w:color w:val="auto"/>
              </w:rPr>
            </w:pPr>
          </w:p>
        </w:tc>
      </w:tr>
      <w:tr>
        <w:trPr>
          <w:trHeight w:val="181"/>
        </w:trPr>
        <w:tc>
          <w:tcPr>
            <w:tcW w:w="4540" w:type="dxa"/>
            <w:vAlign w:val="bottom"/>
            <w:tcBorders>
              <w:top w:val="single" w:sz="8" w:color="CCEEFF"/>
              <w:bottom w:val="single" w:sz="8" w:color="CCEEFF"/>
            </w:tcBorders>
            <w:shd w:val="clear" w:color="auto" w:fill="CCEEFF"/>
          </w:tcPr>
          <w:p>
            <w:pPr>
              <w:ind w:left="820"/>
              <w:spacing w:after="0"/>
              <w:rPr>
                <w:sz w:val="20"/>
                <w:szCs w:val="20"/>
                <w:color w:val="auto"/>
              </w:rPr>
            </w:pPr>
            <w:r>
              <w:rPr>
                <w:rFonts w:ascii="Arial" w:cs="Arial" w:eastAsia="Arial" w:hAnsi="Arial"/>
                <w:sz w:val="12"/>
                <w:szCs w:val="12"/>
                <w:color w:val="auto"/>
              </w:rPr>
              <w:t>Total</w:t>
            </w:r>
          </w:p>
        </w:tc>
        <w:tc>
          <w:tcPr>
            <w:tcW w:w="140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1,434,721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(332,122)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1,102,599</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5500"/>
        <w:spacing w:after="0"/>
        <w:rPr>
          <w:sz w:val="20"/>
          <w:szCs w:val="20"/>
          <w:color w:val="auto"/>
        </w:rPr>
      </w:pPr>
      <w:r>
        <w:rPr>
          <w:rFonts w:ascii="Arial" w:cs="Arial" w:eastAsia="Arial" w:hAnsi="Arial"/>
          <w:sz w:val="12"/>
          <w:szCs w:val="12"/>
          <w:b w:val="1"/>
          <w:bCs w:val="1"/>
          <w:color w:val="auto"/>
        </w:rPr>
        <w:t>As of</w:t>
      </w:r>
    </w:p>
    <w:p>
      <w:pPr>
        <w:spacing w:after="0" w:line="19" w:lineRule="exact"/>
        <w:rPr>
          <w:sz w:val="20"/>
          <w:szCs w:val="20"/>
          <w:color w:val="auto"/>
        </w:rPr>
      </w:pPr>
    </w:p>
    <w:p>
      <w:pPr>
        <w:jc w:val="center"/>
        <w:ind w:left="5540"/>
        <w:spacing w:after="0"/>
        <w:rPr>
          <w:sz w:val="20"/>
          <w:szCs w:val="20"/>
          <w:color w:val="auto"/>
        </w:rPr>
      </w:pPr>
      <w:r>
        <w:rPr>
          <w:rFonts w:ascii="Arial" w:cs="Arial" w:eastAsia="Arial" w:hAnsi="Arial"/>
          <w:sz w:val="12"/>
          <w:szCs w:val="12"/>
          <w:b w:val="1"/>
          <w:bCs w:val="1"/>
          <w:color w:val="auto"/>
        </w:rPr>
        <w:t>December 31, 2020</w:t>
      </w:r>
    </w:p>
    <w:p>
      <w:pPr>
        <w:spacing w:after="0" w:line="7" w:lineRule="exact"/>
        <w:rPr>
          <w:sz w:val="20"/>
          <w:szCs w:val="20"/>
          <w:color w:val="auto"/>
        </w:rPr>
      </w:pPr>
    </w:p>
    <w:tbl>
      <w:tblPr>
        <w:tblLayout w:type="fixed"/>
        <w:tblInd w:w="300" w:type="dxa"/>
        <w:tblCellMar>
          <w:top w:w="0" w:type="dxa"/>
          <w:left w:w="0" w:type="dxa"/>
          <w:bottom w:w="0" w:type="dxa"/>
          <w:right w:w="0" w:type="dxa"/>
        </w:tblCellMar>
      </w:tblPr>
      <w:tr>
        <w:trPr>
          <w:trHeight w:val="128"/>
        </w:trPr>
        <w:tc>
          <w:tcPr>
            <w:tcW w:w="5540" w:type="dxa"/>
            <w:vAlign w:val="bottom"/>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Gross</w:t>
            </w: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ind w:left="200"/>
              <w:spacing w:after="0" w:line="128" w:lineRule="exact"/>
              <w:rPr>
                <w:sz w:val="20"/>
                <w:szCs w:val="20"/>
                <w:color w:val="auto"/>
              </w:rPr>
            </w:pPr>
            <w:r>
              <w:rPr>
                <w:rFonts w:ascii="Arial" w:cs="Arial" w:eastAsia="Arial" w:hAnsi="Arial"/>
                <w:sz w:val="12"/>
                <w:szCs w:val="12"/>
                <w:b w:val="1"/>
                <w:bCs w:val="1"/>
                <w:color w:val="auto"/>
              </w:rPr>
              <w:t>Accumulated</w:t>
            </w:r>
          </w:p>
        </w:tc>
        <w:tc>
          <w:tcPr>
            <w:tcW w:w="4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vMerge w:val="restart"/>
          </w:tcPr>
          <w:p>
            <w:pPr>
              <w:jc w:val="right"/>
              <w:ind w:right="679"/>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59"/>
        </w:trPr>
        <w:tc>
          <w:tcPr>
            <w:tcW w:w="5540" w:type="dxa"/>
            <w:vAlign w:val="bottom"/>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Amortization</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40" w:type="dxa"/>
            <w:vAlign w:val="bottom"/>
          </w:tcPr>
          <w:p>
            <w:pPr>
              <w:ind w:left="20"/>
              <w:spacing w:after="0"/>
              <w:rPr>
                <w:sz w:val="20"/>
                <w:szCs w:val="20"/>
                <w:color w:val="auto"/>
              </w:rPr>
            </w:pPr>
            <w:r>
              <w:rPr>
                <w:rFonts w:ascii="Arial" w:cs="Arial" w:eastAsia="Arial" w:hAnsi="Arial"/>
                <w:sz w:val="12"/>
                <w:szCs w:val="12"/>
                <w:color w:val="auto"/>
              </w:rPr>
              <w:t>Amortizable intangible assets:</w:t>
            </w: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ind w:left="200"/>
              <w:spacing w:after="0"/>
              <w:rPr>
                <w:sz w:val="20"/>
                <w:szCs w:val="20"/>
                <w:color w:val="auto"/>
              </w:rPr>
            </w:pPr>
            <w:r>
              <w:rPr>
                <w:rFonts w:ascii="Arial" w:cs="Arial" w:eastAsia="Arial" w:hAnsi="Arial"/>
                <w:sz w:val="12"/>
                <w:szCs w:val="12"/>
                <w:color w:val="auto"/>
              </w:rPr>
              <w:t>(In thousands)</w:t>
            </w: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Developed technology</w:t>
            </w:r>
          </w:p>
        </w:tc>
        <w:tc>
          <w:tcPr>
            <w:tcW w:w="1040" w:type="dxa"/>
            <w:vAlign w:val="bottom"/>
            <w:shd w:val="clear" w:color="auto" w:fill="CCEEFF"/>
          </w:tcPr>
          <w:p>
            <w:pPr>
              <w:jc w:val="right"/>
              <w:ind w:right="899"/>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724,599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(113,282)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611,317</w:t>
            </w:r>
          </w:p>
        </w:tc>
        <w:tc>
          <w:tcPr>
            <w:tcW w:w="0" w:type="dxa"/>
            <w:vAlign w:val="bottom"/>
          </w:tcPr>
          <w:p>
            <w:pPr>
              <w:spacing w:after="0"/>
              <w:rPr>
                <w:sz w:val="1"/>
                <w:szCs w:val="1"/>
                <w:color w:val="auto"/>
              </w:rPr>
            </w:pPr>
          </w:p>
        </w:tc>
      </w:tr>
      <w:tr>
        <w:trPr>
          <w:trHeight w:val="161"/>
        </w:trPr>
        <w:tc>
          <w:tcPr>
            <w:tcW w:w="5540" w:type="dxa"/>
            <w:vAlign w:val="bottom"/>
          </w:tcPr>
          <w:p>
            <w:pPr>
              <w:ind w:left="160"/>
              <w:spacing w:after="0"/>
              <w:rPr>
                <w:sz w:val="20"/>
                <w:szCs w:val="20"/>
                <w:color w:val="auto"/>
              </w:rPr>
            </w:pPr>
            <w:r>
              <w:rPr>
                <w:rFonts w:ascii="Arial" w:cs="Arial" w:eastAsia="Arial" w:hAnsi="Arial"/>
                <w:sz w:val="12"/>
                <w:szCs w:val="12"/>
                <w:color w:val="auto"/>
              </w:rPr>
              <w:t>Customer relationships</w:t>
            </w:r>
          </w:p>
        </w:tc>
        <w:tc>
          <w:tcPr>
            <w:tcW w:w="10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379,344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(59,574)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319,770</w:t>
            </w:r>
          </w:p>
        </w:tc>
        <w:tc>
          <w:tcPr>
            <w:tcW w:w="0" w:type="dxa"/>
            <w:vAlign w:val="bottom"/>
          </w:tcPr>
          <w:p>
            <w:pPr>
              <w:spacing w:after="0"/>
              <w:rPr>
                <w:sz w:val="1"/>
                <w:szCs w:val="1"/>
                <w:color w:val="auto"/>
              </w:rPr>
            </w:pPr>
          </w:p>
        </w:tc>
      </w:tr>
      <w:tr>
        <w:trPr>
          <w:trHeight w:val="166"/>
        </w:trPr>
        <w:tc>
          <w:tcPr>
            <w:tcW w:w="55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Supplier relationships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1,312</w:t>
            </w:r>
          </w:p>
        </w:tc>
        <w:tc>
          <w:tcPr>
            <w:tcW w:w="0" w:type="dxa"/>
            <w:vAlign w:val="bottom"/>
          </w:tcPr>
          <w:p>
            <w:pPr>
              <w:spacing w:after="0"/>
              <w:rPr>
                <w:sz w:val="1"/>
                <w:szCs w:val="1"/>
                <w:color w:val="auto"/>
              </w:rPr>
            </w:pPr>
          </w:p>
        </w:tc>
      </w:tr>
      <w:tr>
        <w:trPr>
          <w:trHeight w:val="161"/>
        </w:trPr>
        <w:tc>
          <w:tcPr>
            <w:tcW w:w="5540" w:type="dxa"/>
            <w:vAlign w:val="bottom"/>
          </w:tcPr>
          <w:p>
            <w:pPr>
              <w:ind w:left="160"/>
              <w:spacing w:after="0"/>
              <w:rPr>
                <w:sz w:val="20"/>
                <w:szCs w:val="20"/>
                <w:color w:val="auto"/>
              </w:rPr>
            </w:pPr>
            <w:r>
              <w:rPr>
                <w:rFonts w:ascii="Arial" w:cs="Arial" w:eastAsia="Arial" w:hAnsi="Arial"/>
                <w:sz w:val="12"/>
                <w:szCs w:val="12"/>
                <w:color w:val="auto"/>
              </w:rPr>
              <w:t>Trade name</w:t>
            </w:r>
          </w:p>
        </w:tc>
        <w:tc>
          <w:tcPr>
            <w:tcW w:w="10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25,560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(7,921)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17,639</w:t>
            </w:r>
          </w:p>
        </w:tc>
        <w:tc>
          <w:tcPr>
            <w:tcW w:w="0" w:type="dxa"/>
            <w:vAlign w:val="bottom"/>
          </w:tcPr>
          <w:p>
            <w:pPr>
              <w:spacing w:after="0"/>
              <w:rPr>
                <w:sz w:val="1"/>
                <w:szCs w:val="1"/>
                <w:color w:val="auto"/>
              </w:rPr>
            </w:pPr>
          </w:p>
        </w:tc>
      </w:tr>
      <w:tr>
        <w:trPr>
          <w:trHeight w:val="166"/>
        </w:trPr>
        <w:tc>
          <w:tcPr>
            <w:tcW w:w="55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Order backlog</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8,333</w:t>
            </w:r>
          </w:p>
        </w:tc>
        <w:tc>
          <w:tcPr>
            <w:tcW w:w="0" w:type="dxa"/>
            <w:vAlign w:val="bottom"/>
          </w:tcPr>
          <w:p>
            <w:pPr>
              <w:spacing w:after="0"/>
              <w:rPr>
                <w:sz w:val="1"/>
                <w:szCs w:val="1"/>
                <w:color w:val="auto"/>
              </w:rPr>
            </w:pPr>
          </w:p>
        </w:tc>
      </w:tr>
      <w:tr>
        <w:trPr>
          <w:trHeight w:val="161"/>
        </w:trPr>
        <w:tc>
          <w:tcPr>
            <w:tcW w:w="554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Patent</w:t>
            </w:r>
          </w:p>
        </w:tc>
        <w:tc>
          <w:tcPr>
            <w:tcW w:w="10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3,360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(373)</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2,987</w:t>
            </w:r>
          </w:p>
        </w:tc>
        <w:tc>
          <w:tcPr>
            <w:tcW w:w="0" w:type="dxa"/>
            <w:vAlign w:val="bottom"/>
          </w:tcPr>
          <w:p>
            <w:pPr>
              <w:spacing w:after="0"/>
              <w:rPr>
                <w:sz w:val="1"/>
                <w:szCs w:val="1"/>
                <w:color w:val="auto"/>
              </w:rPr>
            </w:pPr>
          </w:p>
        </w:tc>
      </w:tr>
      <w:tr>
        <w:trPr>
          <w:trHeight w:val="156"/>
        </w:trPr>
        <w:tc>
          <w:tcPr>
            <w:tcW w:w="55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amortizable intangible assets</w:t>
            </w:r>
          </w:p>
        </w:tc>
        <w:tc>
          <w:tcPr>
            <w:tcW w:w="10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1,147,219</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(185,861)</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961,358</w:t>
            </w:r>
          </w:p>
        </w:tc>
        <w:tc>
          <w:tcPr>
            <w:tcW w:w="0" w:type="dxa"/>
            <w:vAlign w:val="bottom"/>
          </w:tcPr>
          <w:p>
            <w:pPr>
              <w:spacing w:after="0"/>
              <w:rPr>
                <w:sz w:val="1"/>
                <w:szCs w:val="1"/>
                <w:color w:val="auto"/>
              </w:rPr>
            </w:pPr>
          </w:p>
        </w:tc>
      </w:tr>
      <w:tr>
        <w:trPr>
          <w:trHeight w:val="141"/>
        </w:trPr>
        <w:tc>
          <w:tcPr>
            <w:tcW w:w="5540" w:type="dxa"/>
            <w:vAlign w:val="bottom"/>
          </w:tcPr>
          <w:p>
            <w:pPr>
              <w:ind w:left="20"/>
              <w:spacing w:after="0"/>
              <w:rPr>
                <w:sz w:val="20"/>
                <w:szCs w:val="20"/>
                <w:color w:val="auto"/>
              </w:rPr>
            </w:pPr>
            <w:r>
              <w:rPr>
                <w:rFonts w:ascii="Arial" w:cs="Arial" w:eastAsia="Arial" w:hAnsi="Arial"/>
                <w:sz w:val="12"/>
                <w:szCs w:val="12"/>
                <w:color w:val="auto"/>
              </w:rPr>
              <w:t>Non-amortizable intangible assets:</w:t>
            </w: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5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Telecommunication licenses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4,920</w:t>
            </w:r>
          </w:p>
        </w:tc>
        <w:tc>
          <w:tcPr>
            <w:tcW w:w="0" w:type="dxa"/>
            <w:vAlign w:val="bottom"/>
          </w:tcPr>
          <w:p>
            <w:pPr>
              <w:spacing w:after="0"/>
              <w:rPr>
                <w:sz w:val="1"/>
                <w:szCs w:val="1"/>
                <w:color w:val="auto"/>
              </w:rPr>
            </w:pPr>
          </w:p>
        </w:tc>
      </w:tr>
      <w:tr>
        <w:trPr>
          <w:trHeight w:val="161"/>
        </w:trPr>
        <w:tc>
          <w:tcPr>
            <w:tcW w:w="5540" w:type="dxa"/>
            <w:vAlign w:val="bottom"/>
          </w:tcPr>
          <w:p>
            <w:pPr>
              <w:ind w:left="160"/>
              <w:spacing w:after="0"/>
              <w:rPr>
                <w:sz w:val="20"/>
                <w:szCs w:val="20"/>
                <w:color w:val="auto"/>
              </w:rPr>
            </w:pPr>
            <w:r>
              <w:rPr>
                <w:rFonts w:ascii="Arial" w:cs="Arial" w:eastAsia="Arial" w:hAnsi="Arial"/>
                <w:sz w:val="12"/>
                <w:szCs w:val="12"/>
                <w:color w:val="auto"/>
              </w:rPr>
              <w:t>Trademarks and other</w:t>
            </w:r>
          </w:p>
        </w:tc>
        <w:tc>
          <w:tcPr>
            <w:tcW w:w="10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295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ind w:left="12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295</w:t>
            </w:r>
          </w:p>
        </w:tc>
        <w:tc>
          <w:tcPr>
            <w:tcW w:w="0" w:type="dxa"/>
            <w:vAlign w:val="bottom"/>
          </w:tcPr>
          <w:p>
            <w:pPr>
              <w:spacing w:after="0"/>
              <w:rPr>
                <w:sz w:val="1"/>
                <w:szCs w:val="1"/>
                <w:color w:val="auto"/>
              </w:rPr>
            </w:pPr>
          </w:p>
        </w:tc>
      </w:tr>
      <w:tr>
        <w:trPr>
          <w:trHeight w:val="181"/>
        </w:trPr>
        <w:tc>
          <w:tcPr>
            <w:tcW w:w="5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2"/>
                <w:szCs w:val="12"/>
                <w:color w:val="auto"/>
              </w:rPr>
              <w:t>Total</w:t>
            </w:r>
          </w:p>
        </w:tc>
        <w:tc>
          <w:tcPr>
            <w:tcW w:w="104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1,152,434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(185,861)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966,573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color w:val="auto"/>
        </w:rPr>
        <w:t>Amortization expense was $55.7 million and $146.3 million for the three and nine months ended September 30, 2021, respectively, and $20.4 million and $61.3 million for the three and nine months ended September 30, 2020, respectively.</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estimated future amortization expense is as follows:</w:t>
      </w:r>
    </w:p>
    <w:p>
      <w:pPr>
        <w:spacing w:after="0" w:line="206" w:lineRule="exact"/>
        <w:rPr>
          <w:sz w:val="20"/>
          <w:szCs w:val="20"/>
          <w:color w:val="auto"/>
        </w:rPr>
      </w:pPr>
    </w:p>
    <w:tbl>
      <w:tblPr>
        <w:tblLayout w:type="fixed"/>
        <w:tblInd w:w="2120" w:type="dxa"/>
        <w:tblCellMar>
          <w:top w:w="0" w:type="dxa"/>
          <w:left w:w="0" w:type="dxa"/>
          <w:bottom w:w="0" w:type="dxa"/>
          <w:right w:w="0" w:type="dxa"/>
        </w:tblCellMar>
      </w:tblPr>
      <w:tr>
        <w:trPr>
          <w:trHeight w:val="143"/>
        </w:trPr>
        <w:tc>
          <w:tcPr>
            <w:tcW w:w="13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center"/>
              <w:ind w:right="239"/>
              <w:spacing w:after="0"/>
              <w:rPr>
                <w:sz w:val="20"/>
                <w:szCs w:val="20"/>
                <w:color w:val="auto"/>
              </w:rPr>
            </w:pPr>
            <w:r>
              <w:rPr>
                <w:rFonts w:ascii="Arial" w:cs="Arial" w:eastAsia="Arial" w:hAnsi="Arial"/>
                <w:sz w:val="12"/>
                <w:szCs w:val="12"/>
                <w:b w:val="1"/>
                <w:bCs w:val="1"/>
                <w:color w:val="auto"/>
                <w:w w:val="93"/>
              </w:rPr>
              <w:t>As of</w:t>
            </w:r>
          </w:p>
        </w:tc>
      </w:tr>
      <w:tr>
        <w:trPr>
          <w:trHeight w:val="143"/>
        </w:trPr>
        <w:tc>
          <w:tcPr>
            <w:tcW w:w="13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center"/>
              <w:ind w:right="199"/>
              <w:spacing w:after="0"/>
              <w:rPr>
                <w:sz w:val="20"/>
                <w:szCs w:val="20"/>
                <w:color w:val="auto"/>
              </w:rPr>
            </w:pPr>
            <w:r>
              <w:rPr>
                <w:rFonts w:ascii="Arial" w:cs="Arial" w:eastAsia="Arial" w:hAnsi="Arial"/>
                <w:sz w:val="12"/>
                <w:szCs w:val="12"/>
                <w:b w:val="1"/>
                <w:bCs w:val="1"/>
                <w:color w:val="auto"/>
                <w:w w:val="92"/>
              </w:rPr>
              <w:t>September 30,</w:t>
            </w:r>
          </w:p>
        </w:tc>
      </w:tr>
      <w:tr>
        <w:trPr>
          <w:trHeight w:val="164"/>
        </w:trPr>
        <w:tc>
          <w:tcPr>
            <w:tcW w:w="13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99"/>
              <w:spacing w:after="0"/>
              <w:rPr>
                <w:sz w:val="20"/>
                <w:szCs w:val="20"/>
                <w:color w:val="auto"/>
              </w:rPr>
            </w:pPr>
            <w:r>
              <w:rPr>
                <w:rFonts w:ascii="Arial" w:cs="Arial" w:eastAsia="Arial" w:hAnsi="Arial"/>
                <w:sz w:val="12"/>
                <w:szCs w:val="12"/>
                <w:b w:val="1"/>
                <w:bCs w:val="1"/>
                <w:color w:val="auto"/>
                <w:w w:val="89"/>
              </w:rPr>
              <w:t>2021</w:t>
            </w:r>
          </w:p>
        </w:tc>
      </w:tr>
      <w:tr>
        <w:trPr>
          <w:trHeight w:val="138"/>
        </w:trPr>
        <w:tc>
          <w:tcPr>
            <w:tcW w:w="130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w w:val="90"/>
              </w:rPr>
              <w:t>Year Ended December 31,</w:t>
            </w:r>
          </w:p>
        </w:tc>
        <w:tc>
          <w:tcPr>
            <w:tcW w:w="4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199"/>
              <w:spacing w:after="0" w:line="133" w:lineRule="exact"/>
              <w:rPr>
                <w:sz w:val="20"/>
                <w:szCs w:val="20"/>
                <w:color w:val="auto"/>
              </w:rPr>
            </w:pPr>
            <w:r>
              <w:rPr>
                <w:rFonts w:ascii="Arial" w:cs="Arial" w:eastAsia="Arial" w:hAnsi="Arial"/>
                <w:sz w:val="12"/>
                <w:szCs w:val="12"/>
                <w:color w:val="auto"/>
                <w:w w:val="93"/>
              </w:rPr>
              <w:t>(In thousands)</w:t>
            </w:r>
          </w:p>
        </w:tc>
      </w:tr>
      <w:tr>
        <w:trPr>
          <w:trHeight w:val="169"/>
        </w:trPr>
        <w:tc>
          <w:tcPr>
            <w:tcW w:w="5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2021 (remaining three months)</w:t>
            </w:r>
          </w:p>
        </w:tc>
        <w:tc>
          <w:tcPr>
            <w:tcW w:w="2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52,554</w:t>
            </w:r>
          </w:p>
        </w:tc>
      </w:tr>
      <w:tr>
        <w:trPr>
          <w:trHeight w:val="161"/>
        </w:trPr>
        <w:tc>
          <w:tcPr>
            <w:tcW w:w="1300" w:type="dxa"/>
            <w:vAlign w:val="bottom"/>
          </w:tcPr>
          <w:p>
            <w:pPr>
              <w:spacing w:after="0"/>
              <w:rPr>
                <w:sz w:val="20"/>
                <w:szCs w:val="20"/>
                <w:color w:val="auto"/>
              </w:rPr>
            </w:pPr>
            <w:r>
              <w:rPr>
                <w:rFonts w:ascii="Arial" w:cs="Arial" w:eastAsia="Arial" w:hAnsi="Arial"/>
                <w:sz w:val="12"/>
                <w:szCs w:val="12"/>
                <w:color w:val="auto"/>
              </w:rPr>
              <w:t>2022</w:t>
            </w:r>
          </w:p>
        </w:tc>
        <w:tc>
          <w:tcPr>
            <w:tcW w:w="4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204,832</w:t>
            </w:r>
          </w:p>
        </w:tc>
      </w:tr>
      <w:tr>
        <w:trPr>
          <w:trHeight w:val="166"/>
        </w:trPr>
        <w:tc>
          <w:tcPr>
            <w:tcW w:w="130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4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201,522</w:t>
            </w:r>
          </w:p>
        </w:tc>
      </w:tr>
      <w:tr>
        <w:trPr>
          <w:trHeight w:val="161"/>
        </w:trPr>
        <w:tc>
          <w:tcPr>
            <w:tcW w:w="1300" w:type="dxa"/>
            <w:vAlign w:val="bottom"/>
          </w:tcPr>
          <w:p>
            <w:pPr>
              <w:spacing w:after="0"/>
              <w:rPr>
                <w:sz w:val="20"/>
                <w:szCs w:val="20"/>
                <w:color w:val="auto"/>
              </w:rPr>
            </w:pPr>
            <w:r>
              <w:rPr>
                <w:rFonts w:ascii="Arial" w:cs="Arial" w:eastAsia="Arial" w:hAnsi="Arial"/>
                <w:sz w:val="12"/>
                <w:szCs w:val="12"/>
                <w:color w:val="auto"/>
              </w:rPr>
              <w:t>2024</w:t>
            </w:r>
          </w:p>
        </w:tc>
        <w:tc>
          <w:tcPr>
            <w:tcW w:w="4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195,948</w:t>
            </w:r>
          </w:p>
        </w:tc>
      </w:tr>
      <w:tr>
        <w:trPr>
          <w:trHeight w:val="166"/>
        </w:trPr>
        <w:tc>
          <w:tcPr>
            <w:tcW w:w="130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4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192,374</w:t>
            </w:r>
          </w:p>
        </w:tc>
      </w:tr>
      <w:tr>
        <w:trPr>
          <w:trHeight w:val="161"/>
        </w:trPr>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250,154</w:t>
            </w:r>
          </w:p>
        </w:tc>
      </w:tr>
      <w:tr>
        <w:trPr>
          <w:trHeight w:val="181"/>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Total</w:t>
            </w:r>
          </w:p>
        </w:tc>
        <w:tc>
          <w:tcPr>
            <w:tcW w:w="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1,097,384</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Accrued Expenses and Other Liabilities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Accrued expenses and other current liabilities consisted of the following:</w:t>
      </w:r>
    </w:p>
    <w:p>
      <w:pPr>
        <w:spacing w:after="0" w:line="196" w:lineRule="exact"/>
        <w:rPr>
          <w:sz w:val="20"/>
          <w:szCs w:val="20"/>
          <w:color w:val="auto"/>
        </w:rPr>
      </w:pPr>
    </w:p>
    <w:tbl>
      <w:tblPr>
        <w:tblLayout w:type="fixed"/>
        <w:tblInd w:w="1640" w:type="dxa"/>
        <w:tblCellMar>
          <w:top w:w="0" w:type="dxa"/>
          <w:left w:w="0" w:type="dxa"/>
          <w:bottom w:w="0" w:type="dxa"/>
          <w:right w:w="0" w:type="dxa"/>
        </w:tblCellMar>
      </w:tblPr>
      <w:tr>
        <w:trPr>
          <w:trHeight w:val="159"/>
        </w:trPr>
        <w:tc>
          <w:tcPr>
            <w:tcW w:w="4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6"/>
              </w:rPr>
              <w:t>As of</w:t>
            </w:r>
          </w:p>
        </w:tc>
        <w:tc>
          <w:tcPr>
            <w:tcW w:w="740" w:type="dxa"/>
            <w:vAlign w:val="bottom"/>
          </w:tcPr>
          <w:p>
            <w:pPr>
              <w:spacing w:after="0"/>
              <w:rPr>
                <w:sz w:val="13"/>
                <w:szCs w:val="13"/>
                <w:color w:val="auto"/>
              </w:rPr>
            </w:pPr>
          </w:p>
        </w:tc>
        <w:tc>
          <w:tcPr>
            <w:tcW w:w="1300" w:type="dxa"/>
            <w:vAlign w:val="bottom"/>
          </w:tcPr>
          <w:p>
            <w:pPr>
              <w:jc w:val="center"/>
              <w:ind w:right="199"/>
              <w:spacing w:after="0"/>
              <w:rPr>
                <w:sz w:val="20"/>
                <w:szCs w:val="20"/>
                <w:color w:val="auto"/>
              </w:rPr>
            </w:pPr>
            <w:r>
              <w:rPr>
                <w:rFonts w:ascii="Arial" w:cs="Arial" w:eastAsia="Arial" w:hAnsi="Arial"/>
                <w:sz w:val="12"/>
                <w:szCs w:val="12"/>
                <w:b w:val="1"/>
                <w:bCs w:val="1"/>
                <w:color w:val="auto"/>
                <w:w w:val="93"/>
              </w:rPr>
              <w:t>As of</w:t>
            </w:r>
          </w:p>
        </w:tc>
      </w:tr>
      <w:tr>
        <w:trPr>
          <w:trHeight w:val="184"/>
        </w:trPr>
        <w:tc>
          <w:tcPr>
            <w:tcW w:w="4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September 30,</w:t>
            </w:r>
          </w:p>
        </w:tc>
        <w:tc>
          <w:tcPr>
            <w:tcW w:w="740" w:type="dxa"/>
            <w:vAlign w:val="bottom"/>
          </w:tcPr>
          <w:p>
            <w:pPr>
              <w:spacing w:after="0"/>
              <w:rPr>
                <w:sz w:val="15"/>
                <w:szCs w:val="15"/>
                <w:color w:val="auto"/>
              </w:rPr>
            </w:pPr>
          </w:p>
        </w:tc>
        <w:tc>
          <w:tcPr>
            <w:tcW w:w="1300" w:type="dxa"/>
            <w:vAlign w:val="bottom"/>
          </w:tcPr>
          <w:p>
            <w:pPr>
              <w:jc w:val="center"/>
              <w:ind w:right="199"/>
              <w:spacing w:after="0"/>
              <w:rPr>
                <w:sz w:val="20"/>
                <w:szCs w:val="20"/>
                <w:color w:val="auto"/>
              </w:rPr>
            </w:pPr>
            <w:r>
              <w:rPr>
                <w:rFonts w:ascii="Arial" w:cs="Arial" w:eastAsia="Arial" w:hAnsi="Arial"/>
                <w:sz w:val="12"/>
                <w:szCs w:val="12"/>
                <w:b w:val="1"/>
                <w:bCs w:val="1"/>
                <w:color w:val="auto"/>
                <w:w w:val="92"/>
              </w:rPr>
              <w:t>December 31,</w:t>
            </w:r>
          </w:p>
        </w:tc>
      </w:tr>
      <w:tr>
        <w:trPr>
          <w:trHeight w:val="166"/>
        </w:trPr>
        <w:tc>
          <w:tcPr>
            <w:tcW w:w="43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99"/>
              <w:spacing w:after="0"/>
              <w:rPr>
                <w:sz w:val="20"/>
                <w:szCs w:val="20"/>
                <w:color w:val="auto"/>
              </w:rPr>
            </w:pPr>
            <w:r>
              <w:rPr>
                <w:rFonts w:ascii="Arial" w:cs="Arial" w:eastAsia="Arial" w:hAnsi="Arial"/>
                <w:sz w:val="12"/>
                <w:szCs w:val="12"/>
                <w:b w:val="1"/>
                <w:bCs w:val="1"/>
                <w:color w:val="auto"/>
                <w:w w:val="89"/>
              </w:rPr>
              <w:t>2021</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99"/>
              <w:spacing w:after="0"/>
              <w:rPr>
                <w:sz w:val="20"/>
                <w:szCs w:val="20"/>
                <w:color w:val="auto"/>
              </w:rPr>
            </w:pPr>
            <w:r>
              <w:rPr>
                <w:rFonts w:ascii="Arial" w:cs="Arial" w:eastAsia="Arial" w:hAnsi="Arial"/>
                <w:sz w:val="12"/>
                <w:szCs w:val="12"/>
                <w:b w:val="1"/>
                <w:bCs w:val="1"/>
                <w:color w:val="auto"/>
                <w:w w:val="89"/>
              </w:rPr>
              <w:t>2020</w:t>
            </w:r>
          </w:p>
        </w:tc>
      </w:tr>
      <w:tr>
        <w:trPr>
          <w:trHeight w:val="153"/>
        </w:trPr>
        <w:tc>
          <w:tcPr>
            <w:tcW w:w="4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40" w:type="dxa"/>
            <w:vAlign w:val="bottom"/>
            <w:gridSpan w:val="3"/>
          </w:tcPr>
          <w:p>
            <w:pPr>
              <w:jc w:val="right"/>
              <w:ind w:right="139"/>
              <w:spacing w:after="0"/>
              <w:rPr>
                <w:sz w:val="20"/>
                <w:szCs w:val="20"/>
                <w:color w:val="auto"/>
              </w:rPr>
            </w:pPr>
            <w:r>
              <w:rPr>
                <w:rFonts w:ascii="Arial" w:cs="Arial" w:eastAsia="Arial" w:hAnsi="Arial"/>
                <w:sz w:val="12"/>
                <w:szCs w:val="12"/>
                <w:color w:val="auto"/>
              </w:rPr>
              <w:t>(In thousands)</w:t>
            </w:r>
          </w:p>
        </w:tc>
        <w:tc>
          <w:tcPr>
            <w:tcW w:w="1300" w:type="dxa"/>
            <w:vAlign w:val="bottom"/>
          </w:tcPr>
          <w:p>
            <w:pPr>
              <w:spacing w:after="0"/>
              <w:rPr>
                <w:sz w:val="13"/>
                <w:szCs w:val="13"/>
                <w:color w:val="auto"/>
              </w:rPr>
            </w:pPr>
          </w:p>
        </w:tc>
      </w:tr>
      <w:tr>
        <w:trPr>
          <w:trHeight w:val="166"/>
        </w:trPr>
        <w:tc>
          <w:tcPr>
            <w:tcW w:w="4360" w:type="dxa"/>
            <w:vAlign w:val="bottom"/>
            <w:shd w:val="clear" w:color="auto" w:fill="CCEEFF"/>
          </w:tcPr>
          <w:p>
            <w:pPr>
              <w:ind w:left="500"/>
              <w:spacing w:after="0"/>
              <w:rPr>
                <w:sz w:val="20"/>
                <w:szCs w:val="20"/>
                <w:color w:val="auto"/>
              </w:rPr>
            </w:pPr>
            <w:r>
              <w:rPr>
                <w:rFonts w:ascii="Arial" w:cs="Arial" w:eastAsia="Arial" w:hAnsi="Arial"/>
                <w:sz w:val="12"/>
                <w:szCs w:val="12"/>
                <w:color w:val="auto"/>
              </w:rPr>
              <w:t>Accrued payroll and related</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66,094</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54,683</w:t>
            </w:r>
          </w:p>
        </w:tc>
      </w:tr>
      <w:tr>
        <w:trPr>
          <w:trHeight w:val="161"/>
        </w:trPr>
        <w:tc>
          <w:tcPr>
            <w:tcW w:w="4360" w:type="dxa"/>
            <w:vAlign w:val="bottom"/>
          </w:tcPr>
          <w:p>
            <w:pPr>
              <w:ind w:left="500"/>
              <w:spacing w:after="0"/>
              <w:rPr>
                <w:sz w:val="20"/>
                <w:szCs w:val="20"/>
                <w:color w:val="auto"/>
              </w:rPr>
            </w:pPr>
            <w:r>
              <w:rPr>
                <w:rFonts w:ascii="Arial" w:cs="Arial" w:eastAsia="Arial" w:hAnsi="Arial"/>
                <w:sz w:val="12"/>
                <w:szCs w:val="12"/>
                <w:color w:val="auto"/>
              </w:rPr>
              <w:t>Accrued bonus and commission</w:t>
            </w:r>
          </w:p>
        </w:tc>
        <w:tc>
          <w:tcPr>
            <w:tcW w:w="7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36,155</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25,341</w:t>
            </w:r>
          </w:p>
        </w:tc>
      </w:tr>
      <w:tr>
        <w:trPr>
          <w:trHeight w:val="166"/>
        </w:trPr>
        <w:tc>
          <w:tcPr>
            <w:tcW w:w="4360" w:type="dxa"/>
            <w:vAlign w:val="bottom"/>
            <w:shd w:val="clear" w:color="auto" w:fill="CCEEFF"/>
          </w:tcPr>
          <w:p>
            <w:pPr>
              <w:ind w:left="500"/>
              <w:spacing w:after="0"/>
              <w:rPr>
                <w:sz w:val="20"/>
                <w:szCs w:val="20"/>
                <w:color w:val="auto"/>
              </w:rPr>
            </w:pPr>
            <w:r>
              <w:rPr>
                <w:rFonts w:ascii="Arial" w:cs="Arial" w:eastAsia="Arial" w:hAnsi="Arial"/>
                <w:sz w:val="12"/>
                <w:szCs w:val="12"/>
                <w:color w:val="auto"/>
              </w:rPr>
              <w:t>Accrued cost of revenue</w:t>
            </w:r>
          </w:p>
        </w:tc>
        <w:tc>
          <w:tcPr>
            <w:tcW w:w="7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115,996</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80,620</w:t>
            </w:r>
          </w:p>
        </w:tc>
      </w:tr>
      <w:tr>
        <w:trPr>
          <w:trHeight w:val="161"/>
        </w:trPr>
        <w:tc>
          <w:tcPr>
            <w:tcW w:w="4360" w:type="dxa"/>
            <w:vAlign w:val="bottom"/>
          </w:tcPr>
          <w:p>
            <w:pPr>
              <w:ind w:left="500"/>
              <w:spacing w:after="0"/>
              <w:rPr>
                <w:sz w:val="20"/>
                <w:szCs w:val="20"/>
                <w:color w:val="auto"/>
              </w:rPr>
            </w:pPr>
            <w:r>
              <w:rPr>
                <w:rFonts w:ascii="Arial" w:cs="Arial" w:eastAsia="Arial" w:hAnsi="Arial"/>
                <w:sz w:val="12"/>
                <w:szCs w:val="12"/>
                <w:color w:val="auto"/>
              </w:rPr>
              <w:t>Sales and other taxes payable</w:t>
            </w:r>
          </w:p>
        </w:tc>
        <w:tc>
          <w:tcPr>
            <w:tcW w:w="7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63,660</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48,390</w:t>
            </w:r>
          </w:p>
        </w:tc>
      </w:tr>
      <w:tr>
        <w:trPr>
          <w:trHeight w:val="166"/>
        </w:trPr>
        <w:tc>
          <w:tcPr>
            <w:tcW w:w="4360" w:type="dxa"/>
            <w:vAlign w:val="bottom"/>
            <w:shd w:val="clear" w:color="auto" w:fill="CCEEFF"/>
          </w:tcPr>
          <w:p>
            <w:pPr>
              <w:ind w:left="500"/>
              <w:spacing w:after="0"/>
              <w:rPr>
                <w:sz w:val="20"/>
                <w:szCs w:val="20"/>
                <w:color w:val="auto"/>
              </w:rPr>
            </w:pPr>
            <w:r>
              <w:rPr>
                <w:rFonts w:ascii="Arial" w:cs="Arial" w:eastAsia="Arial" w:hAnsi="Arial"/>
                <w:sz w:val="12"/>
                <w:szCs w:val="12"/>
                <w:color w:val="auto"/>
              </w:rPr>
              <w:t>ESPP contributions</w:t>
            </w:r>
          </w:p>
        </w:tc>
        <w:tc>
          <w:tcPr>
            <w:tcW w:w="7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19,354</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6,272</w:t>
            </w:r>
          </w:p>
        </w:tc>
      </w:tr>
      <w:tr>
        <w:trPr>
          <w:trHeight w:val="161"/>
        </w:trPr>
        <w:tc>
          <w:tcPr>
            <w:tcW w:w="4360" w:type="dxa"/>
            <w:vAlign w:val="bottom"/>
          </w:tcPr>
          <w:p>
            <w:pPr>
              <w:ind w:left="500"/>
              <w:spacing w:after="0"/>
              <w:rPr>
                <w:sz w:val="20"/>
                <w:szCs w:val="20"/>
                <w:color w:val="auto"/>
              </w:rPr>
            </w:pPr>
            <w:r>
              <w:rPr>
                <w:rFonts w:ascii="Arial" w:cs="Arial" w:eastAsia="Arial" w:hAnsi="Arial"/>
                <w:sz w:val="12"/>
                <w:szCs w:val="12"/>
                <w:color w:val="auto"/>
              </w:rPr>
              <w:t>Finance lease liability, current</w:t>
            </w:r>
          </w:p>
        </w:tc>
        <w:tc>
          <w:tcPr>
            <w:tcW w:w="7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10,150</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9,062</w:t>
            </w:r>
          </w:p>
        </w:tc>
      </w:tr>
      <w:tr>
        <w:trPr>
          <w:trHeight w:val="163"/>
        </w:trPr>
        <w:tc>
          <w:tcPr>
            <w:tcW w:w="4360" w:type="dxa"/>
            <w:vAlign w:val="bottom"/>
            <w:shd w:val="clear" w:color="auto" w:fill="CCEEFF"/>
          </w:tcPr>
          <w:p>
            <w:pPr>
              <w:ind w:left="500"/>
              <w:spacing w:after="0"/>
              <w:rPr>
                <w:sz w:val="20"/>
                <w:szCs w:val="20"/>
                <w:color w:val="auto"/>
              </w:rPr>
            </w:pPr>
            <w:r>
              <w:rPr>
                <w:rFonts w:ascii="Arial" w:cs="Arial" w:eastAsia="Arial" w:hAnsi="Arial"/>
                <w:sz w:val="12"/>
                <w:szCs w:val="12"/>
                <w:color w:val="auto"/>
              </w:rPr>
              <w:t>Accrued other expense</w:t>
            </w:r>
          </w:p>
        </w:tc>
        <w:tc>
          <w:tcPr>
            <w:tcW w:w="7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57,274</w:t>
            </w:r>
          </w:p>
        </w:tc>
        <w:tc>
          <w:tcPr>
            <w:tcW w:w="10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28,527</w:t>
            </w:r>
          </w:p>
        </w:tc>
      </w:tr>
      <w:tr>
        <w:trPr>
          <w:trHeight w:val="156"/>
        </w:trPr>
        <w:tc>
          <w:tcPr>
            <w:tcW w:w="4360" w:type="dxa"/>
            <w:vAlign w:val="bottom"/>
          </w:tcPr>
          <w:p>
            <w:pPr>
              <w:ind w:left="640"/>
              <w:spacing w:after="0"/>
              <w:rPr>
                <w:sz w:val="20"/>
                <w:szCs w:val="20"/>
                <w:color w:val="auto"/>
              </w:rPr>
            </w:pPr>
            <w:r>
              <w:rPr>
                <w:rFonts w:ascii="Arial" w:cs="Arial" w:eastAsia="Arial" w:hAnsi="Arial"/>
                <w:sz w:val="12"/>
                <w:szCs w:val="12"/>
                <w:color w:val="auto"/>
              </w:rPr>
              <w:t>Total accrued expenses and other current liabilities</w:t>
            </w: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368,683</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252,895</w:t>
            </w:r>
          </w:p>
        </w:tc>
      </w:tr>
      <w:tr>
        <w:trPr>
          <w:trHeight w:val="20"/>
        </w:trPr>
        <w:tc>
          <w:tcPr>
            <w:tcW w:w="4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140"/>
          </w:cols>
          <w:pgMar w:left="300" w:top="129" w:right="4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 long-term liabilities consisted of the following:</w:t>
      </w:r>
    </w:p>
    <w:p>
      <w:pPr>
        <w:spacing w:after="0" w:line="196" w:lineRule="exact"/>
        <w:rPr>
          <w:sz w:val="20"/>
          <w:szCs w:val="20"/>
          <w:color w:val="auto"/>
        </w:rPr>
      </w:pPr>
    </w:p>
    <w:tbl>
      <w:tblPr>
        <w:tblLayout w:type="fixed"/>
        <w:tblInd w:w="1640" w:type="dxa"/>
        <w:tblCellMar>
          <w:top w:w="0" w:type="dxa"/>
          <w:left w:w="0" w:type="dxa"/>
          <w:bottom w:w="0" w:type="dxa"/>
          <w:right w:w="0" w:type="dxa"/>
        </w:tblCellMar>
      </w:tblPr>
      <w:tr>
        <w:trPr>
          <w:trHeight w:val="159"/>
        </w:trPr>
        <w:tc>
          <w:tcPr>
            <w:tcW w:w="4380" w:type="dxa"/>
            <w:vAlign w:val="bottom"/>
          </w:tcPr>
          <w:p>
            <w:pPr>
              <w:spacing w:after="0"/>
              <w:rPr>
                <w:sz w:val="13"/>
                <w:szCs w:val="13"/>
                <w:color w:val="auto"/>
              </w:rPr>
            </w:pPr>
          </w:p>
        </w:tc>
        <w:tc>
          <w:tcPr>
            <w:tcW w:w="1620" w:type="dxa"/>
            <w:vAlign w:val="bottom"/>
          </w:tcPr>
          <w:p>
            <w:pPr>
              <w:jc w:val="center"/>
              <w:ind w:left="819"/>
              <w:spacing w:after="0"/>
              <w:rPr>
                <w:sz w:val="20"/>
                <w:szCs w:val="20"/>
                <w:color w:val="auto"/>
              </w:rPr>
            </w:pPr>
            <w:r>
              <w:rPr>
                <w:rFonts w:ascii="Arial" w:cs="Arial" w:eastAsia="Arial" w:hAnsi="Arial"/>
                <w:sz w:val="12"/>
                <w:szCs w:val="12"/>
                <w:b w:val="1"/>
                <w:bCs w:val="1"/>
                <w:color w:val="auto"/>
                <w:w w:val="86"/>
              </w:rPr>
              <w:t>As of</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jc w:val="center"/>
              <w:ind w:right="199"/>
              <w:spacing w:after="0"/>
              <w:rPr>
                <w:sz w:val="20"/>
                <w:szCs w:val="20"/>
                <w:color w:val="auto"/>
              </w:rPr>
            </w:pPr>
            <w:r>
              <w:rPr>
                <w:rFonts w:ascii="Arial" w:cs="Arial" w:eastAsia="Arial" w:hAnsi="Arial"/>
                <w:sz w:val="12"/>
                <w:szCs w:val="12"/>
                <w:b w:val="1"/>
                <w:bCs w:val="1"/>
                <w:color w:val="auto"/>
                <w:w w:val="93"/>
              </w:rPr>
              <w:t>As of</w:t>
            </w:r>
          </w:p>
        </w:tc>
      </w:tr>
      <w:tr>
        <w:trPr>
          <w:trHeight w:val="184"/>
        </w:trPr>
        <w:tc>
          <w:tcPr>
            <w:tcW w:w="4380" w:type="dxa"/>
            <w:vAlign w:val="bottom"/>
          </w:tcPr>
          <w:p>
            <w:pPr>
              <w:spacing w:after="0"/>
              <w:rPr>
                <w:sz w:val="15"/>
                <w:szCs w:val="15"/>
                <w:color w:val="auto"/>
              </w:rPr>
            </w:pPr>
          </w:p>
        </w:tc>
        <w:tc>
          <w:tcPr>
            <w:tcW w:w="1620" w:type="dxa"/>
            <w:vAlign w:val="bottom"/>
          </w:tcPr>
          <w:p>
            <w:pPr>
              <w:jc w:val="center"/>
              <w:ind w:left="819"/>
              <w:spacing w:after="0"/>
              <w:rPr>
                <w:sz w:val="20"/>
                <w:szCs w:val="20"/>
                <w:color w:val="auto"/>
              </w:rPr>
            </w:pPr>
            <w:r>
              <w:rPr>
                <w:rFonts w:ascii="Arial" w:cs="Arial" w:eastAsia="Arial" w:hAnsi="Arial"/>
                <w:sz w:val="12"/>
                <w:szCs w:val="12"/>
                <w:b w:val="1"/>
                <w:bCs w:val="1"/>
                <w:color w:val="auto"/>
                <w:w w:val="90"/>
              </w:rPr>
              <w:t>September 30,</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tcPr>
          <w:p>
            <w:pPr>
              <w:jc w:val="center"/>
              <w:ind w:right="199"/>
              <w:spacing w:after="0"/>
              <w:rPr>
                <w:sz w:val="20"/>
                <w:szCs w:val="20"/>
                <w:color w:val="auto"/>
              </w:rPr>
            </w:pPr>
            <w:r>
              <w:rPr>
                <w:rFonts w:ascii="Arial" w:cs="Arial" w:eastAsia="Arial" w:hAnsi="Arial"/>
                <w:sz w:val="12"/>
                <w:szCs w:val="12"/>
                <w:b w:val="1"/>
                <w:bCs w:val="1"/>
                <w:color w:val="auto"/>
                <w:w w:val="92"/>
              </w:rPr>
              <w:t>December 31,</w:t>
            </w:r>
          </w:p>
        </w:tc>
      </w:tr>
      <w:tr>
        <w:trPr>
          <w:trHeight w:val="166"/>
        </w:trPr>
        <w:tc>
          <w:tcPr>
            <w:tcW w:w="4380" w:type="dxa"/>
            <w:vAlign w:val="bottom"/>
          </w:tcPr>
          <w:p>
            <w:pPr>
              <w:spacing w:after="0"/>
              <w:rPr>
                <w:sz w:val="14"/>
                <w:szCs w:val="14"/>
                <w:color w:val="auto"/>
              </w:rPr>
            </w:pPr>
          </w:p>
        </w:tc>
        <w:tc>
          <w:tcPr>
            <w:tcW w:w="1620" w:type="dxa"/>
            <w:vAlign w:val="bottom"/>
            <w:tcBorders>
              <w:bottom w:val="single" w:sz="8" w:color="auto"/>
            </w:tcBorders>
          </w:tcPr>
          <w:p>
            <w:pPr>
              <w:jc w:val="center"/>
              <w:ind w:left="799"/>
              <w:spacing w:after="0"/>
              <w:rPr>
                <w:sz w:val="20"/>
                <w:szCs w:val="20"/>
                <w:color w:val="auto"/>
              </w:rPr>
            </w:pPr>
            <w:r>
              <w:rPr>
                <w:rFonts w:ascii="Arial" w:cs="Arial" w:eastAsia="Arial" w:hAnsi="Arial"/>
                <w:sz w:val="12"/>
                <w:szCs w:val="12"/>
                <w:b w:val="1"/>
                <w:bCs w:val="1"/>
                <w:color w:val="auto"/>
                <w:w w:val="89"/>
              </w:rPr>
              <w:t>2021</w:t>
            </w: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99"/>
              <w:spacing w:after="0"/>
              <w:rPr>
                <w:sz w:val="20"/>
                <w:szCs w:val="20"/>
                <w:color w:val="auto"/>
              </w:rPr>
            </w:pPr>
            <w:r>
              <w:rPr>
                <w:rFonts w:ascii="Arial" w:cs="Arial" w:eastAsia="Arial" w:hAnsi="Arial"/>
                <w:sz w:val="12"/>
                <w:szCs w:val="12"/>
                <w:b w:val="1"/>
                <w:bCs w:val="1"/>
                <w:color w:val="auto"/>
                <w:w w:val="89"/>
              </w:rPr>
              <w:t>2020</w:t>
            </w:r>
          </w:p>
        </w:tc>
      </w:tr>
      <w:tr>
        <w:trPr>
          <w:trHeight w:val="153"/>
        </w:trPr>
        <w:tc>
          <w:tcPr>
            <w:tcW w:w="43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2"/>
                <w:szCs w:val="12"/>
                <w:color w:val="auto"/>
                <w:w w:val="88"/>
              </w:rPr>
              <w:t>(In thousands)</w:t>
            </w:r>
          </w:p>
        </w:tc>
        <w:tc>
          <w:tcPr>
            <w:tcW w:w="1300" w:type="dxa"/>
            <w:vAlign w:val="bottom"/>
          </w:tcPr>
          <w:p>
            <w:pPr>
              <w:spacing w:after="0"/>
              <w:rPr>
                <w:sz w:val="13"/>
                <w:szCs w:val="13"/>
                <w:color w:val="auto"/>
              </w:rPr>
            </w:pPr>
          </w:p>
        </w:tc>
      </w:tr>
      <w:tr>
        <w:trPr>
          <w:trHeight w:val="166"/>
        </w:trPr>
        <w:tc>
          <w:tcPr>
            <w:tcW w:w="43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Deferred tax liability</w:t>
            </w:r>
          </w:p>
        </w:tc>
        <w:tc>
          <w:tcPr>
            <w:tcW w:w="1620" w:type="dxa"/>
            <w:vAlign w:val="bottom"/>
            <w:shd w:val="clear" w:color="auto" w:fill="CCEEFF"/>
          </w:tcPr>
          <w:p>
            <w:pPr>
              <w:jc w:val="right"/>
              <w:ind w:right="999"/>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20,446</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13,684</w:t>
            </w:r>
          </w:p>
        </w:tc>
      </w:tr>
      <w:tr>
        <w:trPr>
          <w:trHeight w:val="161"/>
        </w:trPr>
        <w:tc>
          <w:tcPr>
            <w:tcW w:w="4380" w:type="dxa"/>
            <w:vAlign w:val="bottom"/>
          </w:tcPr>
          <w:p>
            <w:pPr>
              <w:ind w:left="500"/>
              <w:spacing w:after="0"/>
              <w:rPr>
                <w:sz w:val="20"/>
                <w:szCs w:val="20"/>
                <w:color w:val="auto"/>
              </w:rPr>
            </w:pPr>
            <w:r>
              <w:rPr>
                <w:rFonts w:ascii="Arial" w:cs="Arial" w:eastAsia="Arial" w:hAnsi="Arial"/>
                <w:sz w:val="12"/>
                <w:szCs w:val="12"/>
                <w:color w:val="auto"/>
              </w:rPr>
              <w:t>Acquisition holdback</w:t>
            </w:r>
          </w:p>
        </w:tc>
        <w:tc>
          <w:tcPr>
            <w:tcW w:w="16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8,502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8,800</w:t>
            </w:r>
          </w:p>
        </w:tc>
      </w:tr>
      <w:tr>
        <w:trPr>
          <w:trHeight w:val="163"/>
        </w:trPr>
        <w:tc>
          <w:tcPr>
            <w:tcW w:w="43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Accrued other expenses</w:t>
            </w:r>
          </w:p>
        </w:tc>
        <w:tc>
          <w:tcPr>
            <w:tcW w:w="16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20,243</w:t>
            </w: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14,149</w:t>
            </w:r>
          </w:p>
        </w:tc>
      </w:tr>
      <w:tr>
        <w:trPr>
          <w:trHeight w:val="156"/>
        </w:trPr>
        <w:tc>
          <w:tcPr>
            <w:tcW w:w="4380" w:type="dxa"/>
            <w:vAlign w:val="bottom"/>
          </w:tcPr>
          <w:p>
            <w:pPr>
              <w:ind w:left="640"/>
              <w:spacing w:after="0"/>
              <w:rPr>
                <w:sz w:val="20"/>
                <w:szCs w:val="20"/>
                <w:color w:val="auto"/>
              </w:rPr>
            </w:pPr>
            <w:r>
              <w:rPr>
                <w:rFonts w:ascii="Arial" w:cs="Arial" w:eastAsia="Arial" w:hAnsi="Arial"/>
                <w:sz w:val="12"/>
                <w:szCs w:val="12"/>
                <w:color w:val="auto"/>
              </w:rPr>
              <w:t>Total other long-term liabilities</w:t>
            </w:r>
          </w:p>
        </w:tc>
        <w:tc>
          <w:tcPr>
            <w:tcW w:w="1620" w:type="dxa"/>
            <w:vAlign w:val="bottom"/>
          </w:tcPr>
          <w:p>
            <w:pPr>
              <w:jc w:val="right"/>
              <w:ind w:right="999"/>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87"/>
              </w:rPr>
              <w:t>49,191</w:t>
            </w:r>
          </w:p>
        </w:tc>
        <w:tc>
          <w:tcPr>
            <w:tcW w:w="8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36,633</w:t>
            </w:r>
          </w:p>
        </w:tc>
      </w:tr>
      <w:tr>
        <w:trPr>
          <w:trHeight w:val="20"/>
        </w:trPr>
        <w:tc>
          <w:tcPr>
            <w:tcW w:w="43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Notes Payable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Long-term debt consisted of the following:</w:t>
      </w:r>
    </w:p>
    <w:p>
      <w:pPr>
        <w:spacing w:after="0" w:line="206" w:lineRule="exact"/>
        <w:rPr>
          <w:sz w:val="20"/>
          <w:szCs w:val="20"/>
          <w:color w:val="auto"/>
        </w:rPr>
      </w:pPr>
    </w:p>
    <w:tbl>
      <w:tblPr>
        <w:tblLayout w:type="fixed"/>
        <w:tblInd w:w="1640" w:type="dxa"/>
        <w:tblCellMar>
          <w:top w:w="0" w:type="dxa"/>
          <w:left w:w="0" w:type="dxa"/>
          <w:bottom w:w="0" w:type="dxa"/>
          <w:right w:w="0" w:type="dxa"/>
        </w:tblCellMar>
      </w:tblPr>
      <w:tr>
        <w:trPr>
          <w:trHeight w:val="169"/>
        </w:trPr>
        <w:tc>
          <w:tcPr>
            <w:tcW w:w="4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6"/>
              </w:rPr>
              <w:t>As of</w:t>
            </w:r>
          </w:p>
        </w:tc>
        <w:tc>
          <w:tcPr>
            <w:tcW w:w="720" w:type="dxa"/>
            <w:vAlign w:val="bottom"/>
          </w:tcPr>
          <w:p>
            <w:pPr>
              <w:spacing w:after="0"/>
              <w:rPr>
                <w:sz w:val="14"/>
                <w:szCs w:val="14"/>
                <w:color w:val="auto"/>
              </w:rPr>
            </w:pPr>
          </w:p>
        </w:tc>
        <w:tc>
          <w:tcPr>
            <w:tcW w:w="1300" w:type="dxa"/>
            <w:vAlign w:val="bottom"/>
          </w:tcPr>
          <w:p>
            <w:pPr>
              <w:jc w:val="center"/>
              <w:ind w:right="199"/>
              <w:spacing w:after="0"/>
              <w:rPr>
                <w:sz w:val="20"/>
                <w:szCs w:val="20"/>
                <w:color w:val="auto"/>
              </w:rPr>
            </w:pPr>
            <w:r>
              <w:rPr>
                <w:rFonts w:ascii="Arial" w:cs="Arial" w:eastAsia="Arial" w:hAnsi="Arial"/>
                <w:sz w:val="12"/>
                <w:szCs w:val="12"/>
                <w:b w:val="1"/>
                <w:bCs w:val="1"/>
                <w:color w:val="auto"/>
                <w:w w:val="93"/>
              </w:rPr>
              <w:t>As of</w:t>
            </w:r>
          </w:p>
        </w:tc>
      </w:tr>
      <w:tr>
        <w:trPr>
          <w:trHeight w:val="184"/>
        </w:trPr>
        <w:tc>
          <w:tcPr>
            <w:tcW w:w="4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September 30,</w:t>
            </w:r>
          </w:p>
        </w:tc>
        <w:tc>
          <w:tcPr>
            <w:tcW w:w="720" w:type="dxa"/>
            <w:vAlign w:val="bottom"/>
          </w:tcPr>
          <w:p>
            <w:pPr>
              <w:spacing w:after="0"/>
              <w:rPr>
                <w:sz w:val="15"/>
                <w:szCs w:val="15"/>
                <w:color w:val="auto"/>
              </w:rPr>
            </w:pPr>
          </w:p>
        </w:tc>
        <w:tc>
          <w:tcPr>
            <w:tcW w:w="1300" w:type="dxa"/>
            <w:vAlign w:val="bottom"/>
          </w:tcPr>
          <w:p>
            <w:pPr>
              <w:jc w:val="center"/>
              <w:ind w:right="199"/>
              <w:spacing w:after="0"/>
              <w:rPr>
                <w:sz w:val="20"/>
                <w:szCs w:val="20"/>
                <w:color w:val="auto"/>
              </w:rPr>
            </w:pPr>
            <w:r>
              <w:rPr>
                <w:rFonts w:ascii="Arial" w:cs="Arial" w:eastAsia="Arial" w:hAnsi="Arial"/>
                <w:sz w:val="12"/>
                <w:szCs w:val="12"/>
                <w:b w:val="1"/>
                <w:bCs w:val="1"/>
                <w:color w:val="auto"/>
                <w:w w:val="92"/>
              </w:rPr>
              <w:t>December 31,</w:t>
            </w:r>
          </w:p>
        </w:tc>
      </w:tr>
      <w:tr>
        <w:trPr>
          <w:trHeight w:val="166"/>
        </w:trPr>
        <w:tc>
          <w:tcPr>
            <w:tcW w:w="43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99"/>
              <w:spacing w:after="0"/>
              <w:rPr>
                <w:sz w:val="20"/>
                <w:szCs w:val="20"/>
                <w:color w:val="auto"/>
              </w:rPr>
            </w:pPr>
            <w:r>
              <w:rPr>
                <w:rFonts w:ascii="Arial" w:cs="Arial" w:eastAsia="Arial" w:hAnsi="Arial"/>
                <w:sz w:val="12"/>
                <w:szCs w:val="12"/>
                <w:b w:val="1"/>
                <w:bCs w:val="1"/>
                <w:color w:val="auto"/>
                <w:w w:val="89"/>
              </w:rPr>
              <w:t>2021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99"/>
              <w:spacing w:after="0"/>
              <w:rPr>
                <w:sz w:val="20"/>
                <w:szCs w:val="20"/>
                <w:color w:val="auto"/>
              </w:rPr>
            </w:pPr>
            <w:r>
              <w:rPr>
                <w:rFonts w:ascii="Arial" w:cs="Arial" w:eastAsia="Arial" w:hAnsi="Arial"/>
                <w:sz w:val="12"/>
                <w:szCs w:val="12"/>
                <w:b w:val="1"/>
                <w:bCs w:val="1"/>
                <w:color w:val="auto"/>
                <w:w w:val="89"/>
              </w:rPr>
              <w:t>2020</w:t>
            </w:r>
          </w:p>
        </w:tc>
      </w:tr>
      <w:tr>
        <w:trPr>
          <w:trHeight w:val="153"/>
        </w:trPr>
        <w:tc>
          <w:tcPr>
            <w:tcW w:w="4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20" w:type="dxa"/>
            <w:vAlign w:val="bottom"/>
            <w:gridSpan w:val="3"/>
          </w:tcPr>
          <w:p>
            <w:pPr>
              <w:jc w:val="right"/>
              <w:ind w:right="119"/>
              <w:spacing w:after="0"/>
              <w:rPr>
                <w:sz w:val="20"/>
                <w:szCs w:val="20"/>
                <w:color w:val="auto"/>
              </w:rPr>
            </w:pPr>
            <w:r>
              <w:rPr>
                <w:rFonts w:ascii="Arial" w:cs="Arial" w:eastAsia="Arial" w:hAnsi="Arial"/>
                <w:sz w:val="12"/>
                <w:szCs w:val="12"/>
                <w:color w:val="auto"/>
              </w:rPr>
              <w:t>(In thousands)</w:t>
            </w:r>
          </w:p>
        </w:tc>
        <w:tc>
          <w:tcPr>
            <w:tcW w:w="1300" w:type="dxa"/>
            <w:vAlign w:val="bottom"/>
          </w:tcPr>
          <w:p>
            <w:pPr>
              <w:spacing w:after="0"/>
              <w:rPr>
                <w:sz w:val="13"/>
                <w:szCs w:val="13"/>
                <w:color w:val="auto"/>
              </w:rPr>
            </w:pPr>
          </w:p>
        </w:tc>
      </w:tr>
      <w:tr>
        <w:trPr>
          <w:trHeight w:val="166"/>
        </w:trPr>
        <w:tc>
          <w:tcPr>
            <w:tcW w:w="4380" w:type="dxa"/>
            <w:vAlign w:val="bottom"/>
            <w:shd w:val="clear" w:color="auto" w:fill="CCEEFF"/>
          </w:tcPr>
          <w:p>
            <w:pPr>
              <w:ind w:left="500"/>
              <w:spacing w:after="0"/>
              <w:rPr>
                <w:sz w:val="20"/>
                <w:szCs w:val="20"/>
                <w:color w:val="auto"/>
              </w:rPr>
            </w:pPr>
            <w:r>
              <w:rPr>
                <w:rFonts w:ascii="Arial" w:cs="Arial" w:eastAsia="Arial" w:hAnsi="Arial"/>
                <w:sz w:val="12"/>
                <w:szCs w:val="12"/>
                <w:b w:val="1"/>
                <w:bCs w:val="1"/>
                <w:color w:val="auto"/>
              </w:rPr>
              <w:t>2029 and 2031 Senior Notes</w:t>
            </w:r>
          </w:p>
        </w:tc>
        <w:tc>
          <w:tcPr>
            <w:tcW w:w="7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1"/>
        </w:trPr>
        <w:tc>
          <w:tcPr>
            <w:tcW w:w="4380" w:type="dxa"/>
            <w:vAlign w:val="bottom"/>
          </w:tcPr>
          <w:p>
            <w:pPr>
              <w:ind w:left="660"/>
              <w:spacing w:after="0"/>
              <w:rPr>
                <w:sz w:val="20"/>
                <w:szCs w:val="20"/>
                <w:color w:val="auto"/>
              </w:rPr>
            </w:pPr>
            <w:r>
              <w:rPr>
                <w:rFonts w:ascii="Arial" w:cs="Arial" w:eastAsia="Arial" w:hAnsi="Arial"/>
                <w:sz w:val="12"/>
                <w:szCs w:val="12"/>
                <w:b w:val="1"/>
                <w:bCs w:val="1"/>
                <w:color w:val="auto"/>
              </w:rPr>
              <w:t>2029 Senior Notes</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5"/>
        </w:trPr>
        <w:tc>
          <w:tcPr>
            <w:tcW w:w="4380" w:type="dxa"/>
            <w:vAlign w:val="bottom"/>
            <w:shd w:val="clear" w:color="auto" w:fill="CCEEFF"/>
          </w:tcPr>
          <w:p>
            <w:pPr>
              <w:ind w:left="740"/>
              <w:spacing w:after="0"/>
              <w:rPr>
                <w:sz w:val="20"/>
                <w:szCs w:val="20"/>
                <w:color w:val="auto"/>
              </w:rPr>
            </w:pPr>
            <w:r>
              <w:rPr>
                <w:rFonts w:ascii="Arial" w:cs="Arial" w:eastAsia="Arial" w:hAnsi="Arial"/>
                <w:sz w:val="12"/>
                <w:szCs w:val="12"/>
                <w:color w:val="auto"/>
              </w:rPr>
              <w:t>Principal</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4380" w:type="dxa"/>
            <w:vAlign w:val="bottom"/>
          </w:tcPr>
          <w:p>
            <w:pPr>
              <w:ind w:left="740"/>
              <w:spacing w:after="0"/>
              <w:rPr>
                <w:sz w:val="20"/>
                <w:szCs w:val="20"/>
                <w:color w:val="auto"/>
              </w:rPr>
            </w:pPr>
            <w:r>
              <w:rPr>
                <w:rFonts w:ascii="Arial" w:cs="Arial" w:eastAsia="Arial" w:hAnsi="Arial"/>
                <w:sz w:val="12"/>
                <w:szCs w:val="12"/>
                <w:color w:val="auto"/>
              </w:rPr>
              <w:t>Unamortized discount</w:t>
            </w:r>
          </w:p>
        </w:tc>
        <w:tc>
          <w:tcPr>
            <w:tcW w:w="7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(5,872)</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4380" w:type="dxa"/>
            <w:vAlign w:val="bottom"/>
            <w:shd w:val="clear" w:color="auto" w:fill="CCEEFF"/>
          </w:tcPr>
          <w:p>
            <w:pPr>
              <w:ind w:left="740"/>
              <w:spacing w:after="0"/>
              <w:rPr>
                <w:sz w:val="20"/>
                <w:szCs w:val="20"/>
                <w:color w:val="auto"/>
              </w:rPr>
            </w:pPr>
            <w:r>
              <w:rPr>
                <w:rFonts w:ascii="Arial" w:cs="Arial" w:eastAsia="Arial" w:hAnsi="Arial"/>
                <w:sz w:val="12"/>
                <w:szCs w:val="12"/>
                <w:color w:val="auto"/>
              </w:rPr>
              <w:t>Unamortized issuance costs</w:t>
            </w:r>
          </w:p>
        </w:tc>
        <w:tc>
          <w:tcPr>
            <w:tcW w:w="7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(1,316)</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1"/>
        </w:trPr>
        <w:tc>
          <w:tcPr>
            <w:tcW w:w="4380" w:type="dxa"/>
            <w:vAlign w:val="bottom"/>
            <w:tcBorders>
              <w:bottom w:val="single" w:sz="8" w:color="CCEEFF"/>
            </w:tcBorders>
          </w:tcPr>
          <w:p>
            <w:pPr>
              <w:jc w:val="center"/>
              <w:ind w:right="1659"/>
              <w:spacing w:after="0"/>
              <w:rPr>
                <w:sz w:val="20"/>
                <w:szCs w:val="20"/>
                <w:color w:val="auto"/>
              </w:rPr>
            </w:pPr>
            <w:r>
              <w:rPr>
                <w:rFonts w:ascii="Arial" w:cs="Arial" w:eastAsia="Arial" w:hAnsi="Arial"/>
                <w:sz w:val="12"/>
                <w:szCs w:val="12"/>
                <w:color w:val="auto"/>
                <w:w w:val="94"/>
              </w:rPr>
              <w:t>Net carrying amount</w:t>
            </w:r>
          </w:p>
        </w:tc>
        <w:tc>
          <w:tcPr>
            <w:tcW w:w="7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492,812</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6"/>
        </w:trPr>
        <w:tc>
          <w:tcPr>
            <w:tcW w:w="4380" w:type="dxa"/>
            <w:vAlign w:val="bottom"/>
            <w:shd w:val="clear" w:color="auto" w:fill="CCEEFF"/>
          </w:tcPr>
          <w:p>
            <w:pPr>
              <w:ind w:left="660"/>
              <w:spacing w:after="0"/>
              <w:rPr>
                <w:sz w:val="20"/>
                <w:szCs w:val="20"/>
                <w:color w:val="auto"/>
              </w:rPr>
            </w:pPr>
            <w:r>
              <w:rPr>
                <w:rFonts w:ascii="Arial" w:cs="Arial" w:eastAsia="Arial" w:hAnsi="Arial"/>
                <w:sz w:val="12"/>
                <w:szCs w:val="12"/>
                <w:b w:val="1"/>
                <w:bCs w:val="1"/>
                <w:color w:val="auto"/>
              </w:rPr>
              <w:t>2031 Senior Notes</w:t>
            </w:r>
          </w:p>
        </w:tc>
        <w:tc>
          <w:tcPr>
            <w:tcW w:w="7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61"/>
        </w:trPr>
        <w:tc>
          <w:tcPr>
            <w:tcW w:w="4380" w:type="dxa"/>
            <w:vAlign w:val="bottom"/>
          </w:tcPr>
          <w:p>
            <w:pPr>
              <w:ind w:left="740"/>
              <w:spacing w:after="0"/>
              <w:rPr>
                <w:sz w:val="20"/>
                <w:szCs w:val="20"/>
                <w:color w:val="auto"/>
              </w:rPr>
            </w:pPr>
            <w:r>
              <w:rPr>
                <w:rFonts w:ascii="Arial" w:cs="Arial" w:eastAsia="Arial" w:hAnsi="Arial"/>
                <w:sz w:val="12"/>
                <w:szCs w:val="12"/>
                <w:color w:val="auto"/>
              </w:rPr>
              <w:t>Principal</w:t>
            </w:r>
          </w:p>
        </w:tc>
        <w:tc>
          <w:tcPr>
            <w:tcW w:w="7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500,000</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4380" w:type="dxa"/>
            <w:vAlign w:val="bottom"/>
            <w:shd w:val="clear" w:color="auto" w:fill="CCEEFF"/>
          </w:tcPr>
          <w:p>
            <w:pPr>
              <w:ind w:left="740"/>
              <w:spacing w:after="0"/>
              <w:rPr>
                <w:sz w:val="20"/>
                <w:szCs w:val="20"/>
                <w:color w:val="auto"/>
              </w:rPr>
            </w:pPr>
            <w:r>
              <w:rPr>
                <w:rFonts w:ascii="Arial" w:cs="Arial" w:eastAsia="Arial" w:hAnsi="Arial"/>
                <w:sz w:val="12"/>
                <w:szCs w:val="12"/>
                <w:color w:val="auto"/>
              </w:rPr>
              <w:t>Unamortized discount</w:t>
            </w:r>
          </w:p>
        </w:tc>
        <w:tc>
          <w:tcPr>
            <w:tcW w:w="7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(5,962)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4380" w:type="dxa"/>
            <w:vAlign w:val="bottom"/>
            <w:tcBorders>
              <w:bottom w:val="single" w:sz="8" w:color="CCEEFF"/>
            </w:tcBorders>
          </w:tcPr>
          <w:p>
            <w:pPr>
              <w:ind w:left="740"/>
              <w:spacing w:after="0"/>
              <w:rPr>
                <w:sz w:val="20"/>
                <w:szCs w:val="20"/>
                <w:color w:val="auto"/>
              </w:rPr>
            </w:pPr>
            <w:r>
              <w:rPr>
                <w:rFonts w:ascii="Arial" w:cs="Arial" w:eastAsia="Arial" w:hAnsi="Arial"/>
                <w:sz w:val="12"/>
                <w:szCs w:val="12"/>
                <w:color w:val="auto"/>
              </w:rPr>
              <w:t>Unamortized issuance costs</w:t>
            </w:r>
          </w:p>
        </w:tc>
        <w:tc>
          <w:tcPr>
            <w:tcW w:w="7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(1,303)</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4380" w:type="dxa"/>
            <w:vAlign w:val="bottom"/>
            <w:shd w:val="clear" w:color="auto" w:fill="CCEEFF"/>
          </w:tcPr>
          <w:p>
            <w:pPr>
              <w:jc w:val="center"/>
              <w:ind w:right="1659"/>
              <w:spacing w:after="0"/>
              <w:rPr>
                <w:sz w:val="20"/>
                <w:szCs w:val="20"/>
                <w:color w:val="auto"/>
              </w:rPr>
            </w:pPr>
            <w:r>
              <w:rPr>
                <w:rFonts w:ascii="Arial" w:cs="Arial" w:eastAsia="Arial" w:hAnsi="Arial"/>
                <w:sz w:val="12"/>
                <w:szCs w:val="12"/>
                <w:color w:val="auto"/>
                <w:w w:val="94"/>
              </w:rPr>
              <w:t>Net carrying amount</w:t>
            </w:r>
          </w:p>
        </w:tc>
        <w:tc>
          <w:tcPr>
            <w:tcW w:w="7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492,735</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1"/>
        </w:trPr>
        <w:tc>
          <w:tcPr>
            <w:tcW w:w="4380" w:type="dxa"/>
            <w:vAlign w:val="bottom"/>
          </w:tcPr>
          <w:p>
            <w:pPr>
              <w:ind w:left="500"/>
              <w:spacing w:after="0"/>
              <w:rPr>
                <w:sz w:val="20"/>
                <w:szCs w:val="20"/>
                <w:color w:val="auto"/>
              </w:rPr>
            </w:pPr>
            <w:r>
              <w:rPr>
                <w:rFonts w:ascii="Arial" w:cs="Arial" w:eastAsia="Arial" w:hAnsi="Arial"/>
                <w:sz w:val="12"/>
                <w:szCs w:val="12"/>
                <w:b w:val="1"/>
                <w:bCs w:val="1"/>
                <w:color w:val="auto"/>
              </w:rPr>
              <w:t>Convertible Senior Notes and Capped Call Transactions</w:t>
            </w:r>
          </w:p>
        </w:tc>
        <w:tc>
          <w:tcPr>
            <w:tcW w:w="7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65"/>
        </w:trPr>
        <w:tc>
          <w:tcPr>
            <w:tcW w:w="4380" w:type="dxa"/>
            <w:vAlign w:val="bottom"/>
            <w:shd w:val="clear" w:color="auto" w:fill="CCEEFF"/>
          </w:tcPr>
          <w:p>
            <w:pPr>
              <w:jc w:val="center"/>
              <w:ind w:right="1699"/>
              <w:spacing w:after="0"/>
              <w:rPr>
                <w:sz w:val="20"/>
                <w:szCs w:val="20"/>
                <w:color w:val="auto"/>
              </w:rPr>
            </w:pPr>
            <w:r>
              <w:rPr>
                <w:rFonts w:ascii="Arial" w:cs="Arial" w:eastAsia="Arial" w:hAnsi="Arial"/>
                <w:sz w:val="12"/>
                <w:szCs w:val="12"/>
                <w:b w:val="1"/>
                <w:bCs w:val="1"/>
                <w:color w:val="auto"/>
                <w:w w:val="90"/>
              </w:rPr>
              <w:t>Convertible Senior Notes</w:t>
            </w:r>
          </w:p>
        </w:tc>
        <w:tc>
          <w:tcPr>
            <w:tcW w:w="7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1"/>
        </w:trPr>
        <w:tc>
          <w:tcPr>
            <w:tcW w:w="4380" w:type="dxa"/>
            <w:vAlign w:val="bottom"/>
          </w:tcPr>
          <w:p>
            <w:pPr>
              <w:ind w:left="740"/>
              <w:spacing w:after="0"/>
              <w:rPr>
                <w:sz w:val="20"/>
                <w:szCs w:val="20"/>
                <w:color w:val="auto"/>
              </w:rPr>
            </w:pPr>
            <w:r>
              <w:rPr>
                <w:rFonts w:ascii="Arial" w:cs="Arial" w:eastAsia="Arial" w:hAnsi="Arial"/>
                <w:sz w:val="12"/>
                <w:szCs w:val="12"/>
                <w:color w:val="auto"/>
              </w:rPr>
              <w:t>Principal</w:t>
            </w:r>
          </w:p>
        </w:tc>
        <w:tc>
          <w:tcPr>
            <w:tcW w:w="72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343,702</w:t>
            </w:r>
          </w:p>
        </w:tc>
      </w:tr>
      <w:tr>
        <w:trPr>
          <w:trHeight w:val="166"/>
        </w:trPr>
        <w:tc>
          <w:tcPr>
            <w:tcW w:w="4380" w:type="dxa"/>
            <w:vAlign w:val="bottom"/>
            <w:shd w:val="clear" w:color="auto" w:fill="CCEEFF"/>
          </w:tcPr>
          <w:p>
            <w:pPr>
              <w:ind w:left="740"/>
              <w:spacing w:after="0"/>
              <w:rPr>
                <w:sz w:val="20"/>
                <w:szCs w:val="20"/>
                <w:color w:val="auto"/>
              </w:rPr>
            </w:pPr>
            <w:r>
              <w:rPr>
                <w:rFonts w:ascii="Arial" w:cs="Arial" w:eastAsia="Arial" w:hAnsi="Arial"/>
                <w:sz w:val="12"/>
                <w:szCs w:val="12"/>
                <w:color w:val="auto"/>
              </w:rPr>
              <w:t>Unamortized discount</w:t>
            </w:r>
          </w:p>
        </w:tc>
        <w:tc>
          <w:tcPr>
            <w:tcW w:w="7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(38,406)</w:t>
            </w:r>
          </w:p>
        </w:tc>
      </w:tr>
      <w:tr>
        <w:trPr>
          <w:trHeight w:val="161"/>
        </w:trPr>
        <w:tc>
          <w:tcPr>
            <w:tcW w:w="4380" w:type="dxa"/>
            <w:vAlign w:val="bottom"/>
            <w:tcBorders>
              <w:bottom w:val="single" w:sz="8" w:color="CCEEFF"/>
            </w:tcBorders>
          </w:tcPr>
          <w:p>
            <w:pPr>
              <w:ind w:left="740"/>
              <w:spacing w:after="0"/>
              <w:rPr>
                <w:sz w:val="20"/>
                <w:szCs w:val="20"/>
                <w:color w:val="auto"/>
              </w:rPr>
            </w:pPr>
            <w:r>
              <w:rPr>
                <w:rFonts w:ascii="Arial" w:cs="Arial" w:eastAsia="Arial" w:hAnsi="Arial"/>
                <w:sz w:val="12"/>
                <w:szCs w:val="12"/>
                <w:color w:val="auto"/>
              </w:rPr>
              <w:t>Unamortized issuance costs</w:t>
            </w:r>
          </w:p>
        </w:tc>
        <w:tc>
          <w:tcPr>
            <w:tcW w:w="7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(3,228)</w:t>
            </w:r>
          </w:p>
        </w:tc>
      </w:tr>
      <w:tr>
        <w:trPr>
          <w:trHeight w:val="153"/>
        </w:trPr>
        <w:tc>
          <w:tcPr>
            <w:tcW w:w="4380" w:type="dxa"/>
            <w:vAlign w:val="bottom"/>
            <w:shd w:val="clear" w:color="auto" w:fill="CCEEFF"/>
          </w:tcPr>
          <w:p>
            <w:pPr>
              <w:jc w:val="center"/>
              <w:ind w:right="1659"/>
              <w:spacing w:after="0"/>
              <w:rPr>
                <w:sz w:val="20"/>
                <w:szCs w:val="20"/>
                <w:color w:val="auto"/>
              </w:rPr>
            </w:pPr>
            <w:r>
              <w:rPr>
                <w:rFonts w:ascii="Arial" w:cs="Arial" w:eastAsia="Arial" w:hAnsi="Arial"/>
                <w:sz w:val="12"/>
                <w:szCs w:val="12"/>
                <w:color w:val="auto"/>
                <w:w w:val="94"/>
              </w:rPr>
              <w:t>Net carrying amount</w:t>
            </w:r>
          </w:p>
        </w:tc>
        <w:tc>
          <w:tcPr>
            <w:tcW w:w="7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302,068</w:t>
            </w:r>
          </w:p>
        </w:tc>
      </w:tr>
      <w:tr>
        <w:trPr>
          <w:trHeight w:val="156"/>
        </w:trPr>
        <w:tc>
          <w:tcPr>
            <w:tcW w:w="4380" w:type="dxa"/>
            <w:vAlign w:val="bottom"/>
          </w:tcPr>
          <w:p>
            <w:pPr>
              <w:ind w:left="900"/>
              <w:spacing w:after="0"/>
              <w:rPr>
                <w:sz w:val="20"/>
                <w:szCs w:val="20"/>
                <w:color w:val="auto"/>
              </w:rPr>
            </w:pPr>
            <w:r>
              <w:rPr>
                <w:rFonts w:ascii="Arial" w:cs="Arial" w:eastAsia="Arial" w:hAnsi="Arial"/>
                <w:sz w:val="12"/>
                <w:szCs w:val="12"/>
                <w:color w:val="auto"/>
              </w:rPr>
              <w:t>Total long-term debt</w:t>
            </w:r>
          </w:p>
        </w:tc>
        <w:tc>
          <w:tcPr>
            <w:tcW w:w="7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985,547</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302,068</w:t>
            </w:r>
          </w:p>
        </w:tc>
      </w:tr>
      <w:tr>
        <w:trPr>
          <w:trHeight w:val="20"/>
        </w:trPr>
        <w:tc>
          <w:tcPr>
            <w:tcW w:w="4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2029 and 2031 Senior Notes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In March 2021, the Company issued $1.0 billion aggregate principal amount of senior notes, consisting of $500.0 million principal amount of 3.625% notes due 2029 (the “2029 Notes”) and</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$500.0 million principal amount of 3.875% notes due 2031 (the “2031 Notes,” and together with the 2029 Notes, the “Notes”). Initially, none of the Company’s subsidiaries guaranteed the Notes. However,</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under certain circumstances in the future the Notes may be guaranteed by each of the Company’s material domestic subsidiaries. The 2029 Notes and 2031 Notes will mature on March 15, 2029 and March</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15, 2031, respectively. Interest payments are payable semi-annually in arrears on March 15 and September 15 of each year, commencing on September 15, 2021.</w:t>
      </w:r>
    </w:p>
    <w:p>
      <w:pPr>
        <w:spacing w:after="0" w:line="156"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color w:val="auto"/>
        </w:rPr>
        <w:t>The aggregate net proceeds from offering of the Notes were approximately $985.1 million, after deducting underwriting discounts and issuance costs, paid and payable by the Company. The issuance costs of $2.4 million will be amortized into interest expense using the effective interest method over the term of the Notes.</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160"/>
          </w:cols>
          <w:pgMar w:left="300" w:top="129" w:right="4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Company may voluntarily redeem the 2029 Notes, in whole or in part, under the following circumstances:</w:t>
      </w:r>
    </w:p>
    <w:p>
      <w:pPr>
        <w:spacing w:after="0" w:line="166" w:lineRule="exact"/>
        <w:rPr>
          <w:sz w:val="20"/>
          <w:szCs w:val="20"/>
          <w:color w:val="auto"/>
        </w:rPr>
      </w:pPr>
    </w:p>
    <w:p>
      <w:pPr>
        <w:ind w:left="980" w:right="20" w:hanging="366"/>
        <w:spacing w:after="0" w:line="249" w:lineRule="auto"/>
        <w:tabs>
          <w:tab w:leader="none" w:pos="975" w:val="left"/>
        </w:tabs>
        <w:numPr>
          <w:ilvl w:val="0"/>
          <w:numId w:val="12"/>
        </w:numPr>
        <w:rPr>
          <w:rFonts w:ascii="Arial" w:cs="Arial" w:eastAsia="Arial" w:hAnsi="Arial"/>
          <w:sz w:val="14"/>
          <w:szCs w:val="14"/>
          <w:color w:val="auto"/>
        </w:rPr>
      </w:pPr>
      <w:r>
        <w:rPr>
          <w:rFonts w:ascii="Arial" w:cs="Arial" w:eastAsia="Arial" w:hAnsi="Arial"/>
          <w:sz w:val="14"/>
          <w:szCs w:val="14"/>
          <w:color w:val="auto"/>
        </w:rPr>
        <w:t>at any time prior to March 15, 2024 with the net cash proceeds received by the Company from an equity offering at a redemption price equal to 103.625% of the principal amount, provided the aggregate principal amount of all such redemptions does not exceed 40% of the original aggregate principal amount of the 2029 Notes. Such redemption shall occur within 180 days after the closing of an equity offering and at least 50% of the then-outstanding aggregate principal amount of the 2029 Notes shall remain outstanding, unless all 2029 Notes are redeemed concurrently;</w:t>
      </w:r>
    </w:p>
    <w:p>
      <w:pPr>
        <w:spacing w:after="0" w:line="148" w:lineRule="exact"/>
        <w:rPr>
          <w:rFonts w:ascii="Arial" w:cs="Arial" w:eastAsia="Arial" w:hAnsi="Arial"/>
          <w:sz w:val="14"/>
          <w:szCs w:val="14"/>
          <w:color w:val="auto"/>
        </w:rPr>
      </w:pPr>
    </w:p>
    <w:p>
      <w:pPr>
        <w:ind w:left="980" w:hanging="366"/>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at any time prior to March 15, 2024 at 100% of the principal amount, plus a “make-whole” premium;</w:t>
      </w:r>
    </w:p>
    <w:p>
      <w:pPr>
        <w:spacing w:after="0" w:line="165" w:lineRule="exact"/>
        <w:rPr>
          <w:rFonts w:ascii="Arial" w:cs="Arial" w:eastAsia="Arial" w:hAnsi="Arial"/>
          <w:sz w:val="14"/>
          <w:szCs w:val="14"/>
          <w:color w:val="auto"/>
        </w:rPr>
      </w:pPr>
    </w:p>
    <w:p>
      <w:pPr>
        <w:ind w:left="980" w:hanging="366"/>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at any time on or after March 15, 2024 at a prepayment price equal to 101.813% of the principal amount;</w:t>
      </w:r>
    </w:p>
    <w:p>
      <w:pPr>
        <w:spacing w:after="0" w:line="165" w:lineRule="exact"/>
        <w:rPr>
          <w:rFonts w:ascii="Arial" w:cs="Arial" w:eastAsia="Arial" w:hAnsi="Arial"/>
          <w:sz w:val="14"/>
          <w:szCs w:val="14"/>
          <w:color w:val="auto"/>
        </w:rPr>
      </w:pPr>
    </w:p>
    <w:p>
      <w:pPr>
        <w:ind w:left="980" w:hanging="366"/>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at any time on or after March 15, 2025 at a prepayment price equal to 100.906% of the principal amount; and</w:t>
      </w:r>
    </w:p>
    <w:p>
      <w:pPr>
        <w:spacing w:after="0" w:line="165" w:lineRule="exact"/>
        <w:rPr>
          <w:rFonts w:ascii="Arial" w:cs="Arial" w:eastAsia="Arial" w:hAnsi="Arial"/>
          <w:sz w:val="14"/>
          <w:szCs w:val="14"/>
          <w:color w:val="auto"/>
        </w:rPr>
      </w:pPr>
    </w:p>
    <w:p>
      <w:pPr>
        <w:ind w:left="980" w:right="4560" w:hanging="366"/>
        <w:spacing w:after="0" w:line="567" w:lineRule="auto"/>
        <w:tabs>
          <w:tab w:leader="none" w:pos="975" w:val="left"/>
        </w:tabs>
        <w:numPr>
          <w:ilvl w:val="0"/>
          <w:numId w:val="12"/>
        </w:numPr>
        <w:rPr>
          <w:rFonts w:ascii="Arial" w:cs="Arial" w:eastAsia="Arial" w:hAnsi="Arial"/>
          <w:sz w:val="12"/>
          <w:szCs w:val="12"/>
          <w:color w:val="auto"/>
        </w:rPr>
      </w:pPr>
      <w:r>
        <w:rPr>
          <w:rFonts w:ascii="Arial" w:cs="Arial" w:eastAsia="Arial" w:hAnsi="Arial"/>
          <w:sz w:val="12"/>
          <w:szCs w:val="12"/>
          <w:color w:val="auto"/>
        </w:rPr>
        <w:t>at any time on or after March 15, 2026 at a prepayment price equal to 100.000% of the principal amount; in each case, the redemption will include the accrued and unpaid interest, as applicable.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Company may voluntarily redeem the 2031 Notes, in whole or in part, under the following circumstances:</w:t>
      </w:r>
    </w:p>
    <w:p>
      <w:pPr>
        <w:spacing w:after="0" w:line="166" w:lineRule="exact"/>
        <w:rPr>
          <w:sz w:val="20"/>
          <w:szCs w:val="20"/>
          <w:color w:val="auto"/>
        </w:rPr>
      </w:pPr>
    </w:p>
    <w:p>
      <w:pPr>
        <w:ind w:left="980" w:right="20" w:hanging="366"/>
        <w:spacing w:after="0" w:line="249" w:lineRule="auto"/>
        <w:tabs>
          <w:tab w:leader="none" w:pos="975" w:val="left"/>
        </w:tabs>
        <w:numPr>
          <w:ilvl w:val="0"/>
          <w:numId w:val="13"/>
        </w:numPr>
        <w:rPr>
          <w:rFonts w:ascii="Arial" w:cs="Arial" w:eastAsia="Arial" w:hAnsi="Arial"/>
          <w:sz w:val="14"/>
          <w:szCs w:val="14"/>
          <w:color w:val="auto"/>
        </w:rPr>
      </w:pPr>
      <w:r>
        <w:rPr>
          <w:rFonts w:ascii="Arial" w:cs="Arial" w:eastAsia="Arial" w:hAnsi="Arial"/>
          <w:sz w:val="14"/>
          <w:szCs w:val="14"/>
          <w:color w:val="auto"/>
        </w:rPr>
        <w:t>at any time prior to March 15, 2024 with the net cash proceeds received by the Company from an equity offering at a redemption price equal to 103.875% of the principal amount, provided the aggregate principal amount of all such redemptions does not to exceed 40% of the original aggregate principal amount of the 2031 Notes. Such redemption shall occur within 180 days after the closing of an equity offering and at least 50% of the then-outstanding aggregate principal amount of the 2031 Notes shall remain outstanding, unless all 2031 Notes are redeemed concurrently;</w:t>
      </w:r>
    </w:p>
    <w:p>
      <w:pPr>
        <w:spacing w:after="0" w:line="148" w:lineRule="exact"/>
        <w:rPr>
          <w:rFonts w:ascii="Arial" w:cs="Arial" w:eastAsia="Arial" w:hAnsi="Arial"/>
          <w:sz w:val="14"/>
          <w:szCs w:val="14"/>
          <w:color w:val="auto"/>
        </w:rPr>
      </w:pPr>
    </w:p>
    <w:p>
      <w:pPr>
        <w:ind w:left="980" w:hanging="366"/>
        <w:spacing w:after="0"/>
        <w:tabs>
          <w:tab w:leader="none" w:pos="9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at any time prior to March 15, 2026 at 100% of the principal amount, plus a “make-whole” premium;</w:t>
      </w:r>
    </w:p>
    <w:p>
      <w:pPr>
        <w:spacing w:after="0" w:line="165" w:lineRule="exact"/>
        <w:rPr>
          <w:rFonts w:ascii="Arial" w:cs="Arial" w:eastAsia="Arial" w:hAnsi="Arial"/>
          <w:sz w:val="14"/>
          <w:szCs w:val="14"/>
          <w:color w:val="auto"/>
        </w:rPr>
      </w:pPr>
    </w:p>
    <w:p>
      <w:pPr>
        <w:ind w:left="980" w:hanging="366"/>
        <w:spacing w:after="0"/>
        <w:tabs>
          <w:tab w:leader="none" w:pos="9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at any time on or after March 15, 2026 at a prepayment price equal to 101.938% of the principal amount;</w:t>
      </w:r>
    </w:p>
    <w:p>
      <w:pPr>
        <w:spacing w:after="0" w:line="165" w:lineRule="exact"/>
        <w:rPr>
          <w:rFonts w:ascii="Arial" w:cs="Arial" w:eastAsia="Arial" w:hAnsi="Arial"/>
          <w:sz w:val="14"/>
          <w:szCs w:val="14"/>
          <w:color w:val="auto"/>
        </w:rPr>
      </w:pPr>
    </w:p>
    <w:p>
      <w:pPr>
        <w:ind w:left="980" w:hanging="366"/>
        <w:spacing w:after="0"/>
        <w:tabs>
          <w:tab w:leader="none" w:pos="9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at any time on or after March 15, 2027 at a prepayment price equal to 101.292% of the principal amount;</w:t>
      </w:r>
    </w:p>
    <w:p>
      <w:pPr>
        <w:spacing w:after="0" w:line="165" w:lineRule="exact"/>
        <w:rPr>
          <w:rFonts w:ascii="Arial" w:cs="Arial" w:eastAsia="Arial" w:hAnsi="Arial"/>
          <w:sz w:val="14"/>
          <w:szCs w:val="14"/>
          <w:color w:val="auto"/>
        </w:rPr>
      </w:pPr>
    </w:p>
    <w:p>
      <w:pPr>
        <w:ind w:left="980" w:hanging="366"/>
        <w:spacing w:after="0"/>
        <w:tabs>
          <w:tab w:leader="none" w:pos="9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at any time on or after March 15, 2028 at a prepayment price equal to 100.646% of the principal amount; and</w:t>
      </w:r>
    </w:p>
    <w:p>
      <w:pPr>
        <w:spacing w:after="0" w:line="165" w:lineRule="exact"/>
        <w:rPr>
          <w:rFonts w:ascii="Arial" w:cs="Arial" w:eastAsia="Arial" w:hAnsi="Arial"/>
          <w:sz w:val="14"/>
          <w:szCs w:val="14"/>
          <w:color w:val="auto"/>
        </w:rPr>
      </w:pPr>
    </w:p>
    <w:p>
      <w:pPr>
        <w:ind w:left="980" w:right="4560" w:hanging="366"/>
        <w:spacing w:after="0" w:line="567" w:lineRule="auto"/>
        <w:tabs>
          <w:tab w:leader="none" w:pos="975" w:val="left"/>
        </w:tabs>
        <w:numPr>
          <w:ilvl w:val="0"/>
          <w:numId w:val="13"/>
        </w:numPr>
        <w:rPr>
          <w:rFonts w:ascii="Arial" w:cs="Arial" w:eastAsia="Arial" w:hAnsi="Arial"/>
          <w:sz w:val="12"/>
          <w:szCs w:val="12"/>
          <w:color w:val="auto"/>
        </w:rPr>
      </w:pPr>
      <w:r>
        <w:rPr>
          <w:rFonts w:ascii="Arial" w:cs="Arial" w:eastAsia="Arial" w:hAnsi="Arial"/>
          <w:sz w:val="12"/>
          <w:szCs w:val="12"/>
          <w:color w:val="auto"/>
        </w:rPr>
        <w:t>at any time on or after March 15, 2029 at a prepayment price equal to 100.000% of the principal amount; in each case, the redemption will include accrued and unpaid interest, as applicable.</w:t>
      </w:r>
    </w:p>
    <w:p>
      <w:pPr>
        <w:spacing w:after="0" w:line="1" w:lineRule="exact"/>
        <w:rPr>
          <w:sz w:val="20"/>
          <w:szCs w:val="20"/>
          <w:color w:val="auto"/>
        </w:rPr>
      </w:pPr>
    </w:p>
    <w:p>
      <w:pPr>
        <w:ind w:right="160" w:firstLine="367"/>
        <w:spacing w:after="0" w:line="261" w:lineRule="auto"/>
        <w:rPr>
          <w:sz w:val="20"/>
          <w:szCs w:val="20"/>
          <w:color w:val="auto"/>
        </w:rPr>
      </w:pPr>
      <w:r>
        <w:rPr>
          <w:rFonts w:ascii="Arial" w:cs="Arial" w:eastAsia="Arial" w:hAnsi="Arial"/>
          <w:sz w:val="14"/>
          <w:szCs w:val="14"/>
          <w:color w:val="auto"/>
        </w:rPr>
        <w:t>The Notes are unsecured obligations and will rank senior in right of payment to any of the Company’s indebtedness that is expressly subordinated in right of payment to the Notes that the Company may incur in the future and equal in right of payment with the Company’s existing and future liabilities that are not subordinated.</w:t>
      </w:r>
    </w:p>
    <w:p>
      <w:pPr>
        <w:spacing w:after="0" w:line="140"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color w:val="auto"/>
        </w:rPr>
        <w:t>In certain circumstances involving a change of control event, the Company will be required to make an offer to repurchase all, or, at the holder’s option, any part, of each holder’s notes of that series at 101% of the aggregate principal amount, plus accrued and unpaid interest, as applicable.</w:t>
      </w:r>
    </w:p>
    <w:p>
      <w:pPr>
        <w:spacing w:after="0" w:line="140" w:lineRule="exact"/>
        <w:rPr>
          <w:sz w:val="20"/>
          <w:szCs w:val="20"/>
          <w:color w:val="auto"/>
        </w:rPr>
      </w:pPr>
    </w:p>
    <w:p>
      <w:pPr>
        <w:ind w:right="100" w:firstLine="367"/>
        <w:spacing w:after="0" w:line="249" w:lineRule="auto"/>
        <w:rPr>
          <w:sz w:val="20"/>
          <w:szCs w:val="20"/>
          <w:color w:val="auto"/>
        </w:rPr>
      </w:pPr>
      <w:r>
        <w:rPr>
          <w:rFonts w:ascii="Arial" w:cs="Arial" w:eastAsia="Arial" w:hAnsi="Arial"/>
          <w:sz w:val="14"/>
          <w:szCs w:val="14"/>
          <w:color w:val="auto"/>
        </w:rPr>
        <w:t>The indenture governing the Notes (the “Indenture”) contains covenants limiting the Company’s ability and the ability of its subsidiaries to: (i) create liens on certain assets to secure debt; (ii) grant a subsidiary guarantee of certain debt without also providing a guarantee of the Notes; and (iii)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either Moody’s Investors Service, Inc. or Standard &amp; Poor’s Ratings Services.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 the three and nine months ended September 30, 2021, the interest expense recognized related to the 2029 Notes and 2031 Notes was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38"/>
        </w:trPr>
        <w:tc>
          <w:tcPr>
            <w:tcW w:w="4420" w:type="dxa"/>
            <w:vAlign w:val="bottom"/>
          </w:tcPr>
          <w:p>
            <w:pPr>
              <w:spacing w:after="0"/>
              <w:rPr>
                <w:sz w:val="12"/>
                <w:szCs w:val="12"/>
                <w:color w:val="auto"/>
              </w:rPr>
            </w:pPr>
          </w:p>
        </w:tc>
        <w:tc>
          <w:tcPr>
            <w:tcW w:w="1900" w:type="dxa"/>
            <w:vAlign w:val="bottom"/>
          </w:tcPr>
          <w:p>
            <w:pPr>
              <w:ind w:left="760"/>
              <w:spacing w:after="0"/>
              <w:rPr>
                <w:sz w:val="20"/>
                <w:szCs w:val="20"/>
                <w:color w:val="auto"/>
              </w:rPr>
            </w:pPr>
            <w:r>
              <w:rPr>
                <w:rFonts w:ascii="Arial" w:cs="Arial" w:eastAsia="Arial" w:hAnsi="Arial"/>
                <w:sz w:val="12"/>
                <w:szCs w:val="12"/>
                <w:b w:val="1"/>
                <w:bCs w:val="1"/>
                <w:color w:val="auto"/>
                <w:w w:val="94"/>
              </w:rPr>
              <w:t>Three Months 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60" w:type="dxa"/>
            <w:vAlign w:val="bottom"/>
          </w:tcPr>
          <w:p>
            <w:pPr>
              <w:jc w:val="right"/>
              <w:ind w:right="299"/>
              <w:spacing w:after="0"/>
              <w:rPr>
                <w:sz w:val="20"/>
                <w:szCs w:val="20"/>
                <w:color w:val="auto"/>
              </w:rPr>
            </w:pPr>
            <w:r>
              <w:rPr>
                <w:rFonts w:ascii="Arial" w:cs="Arial" w:eastAsia="Arial" w:hAnsi="Arial"/>
                <w:sz w:val="12"/>
                <w:szCs w:val="12"/>
                <w:b w:val="1"/>
                <w:bCs w:val="1"/>
                <w:color w:val="auto"/>
              </w:rPr>
              <w:t>Nine Months Ended</w:t>
            </w:r>
          </w:p>
        </w:tc>
      </w:tr>
      <w:tr>
        <w:trPr>
          <w:trHeight w:val="161"/>
        </w:trPr>
        <w:tc>
          <w:tcPr>
            <w:tcW w:w="4420" w:type="dxa"/>
            <w:vAlign w:val="bottom"/>
          </w:tcPr>
          <w:p>
            <w:pPr>
              <w:spacing w:after="0"/>
              <w:rPr>
                <w:sz w:val="14"/>
                <w:szCs w:val="14"/>
                <w:color w:val="auto"/>
              </w:rPr>
            </w:pPr>
          </w:p>
        </w:tc>
        <w:tc>
          <w:tcPr>
            <w:tcW w:w="1900" w:type="dxa"/>
            <w:vAlign w:val="bottom"/>
            <w:tcBorders>
              <w:bottom w:val="single" w:sz="8" w:color="auto"/>
            </w:tcBorders>
          </w:tcPr>
          <w:p>
            <w:pPr>
              <w:ind w:left="760"/>
              <w:spacing w:after="0"/>
              <w:rPr>
                <w:sz w:val="20"/>
                <w:szCs w:val="20"/>
                <w:color w:val="auto"/>
              </w:rPr>
            </w:pPr>
            <w:r>
              <w:rPr>
                <w:rFonts w:ascii="Arial" w:cs="Arial" w:eastAsia="Arial" w:hAnsi="Arial"/>
                <w:sz w:val="12"/>
                <w:szCs w:val="12"/>
                <w:b w:val="1"/>
                <w:bCs w:val="1"/>
                <w:color w:val="auto"/>
              </w:rPr>
              <w:t>September 30,</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September 30,</w:t>
            </w:r>
          </w:p>
        </w:tc>
      </w:tr>
      <w:tr>
        <w:trPr>
          <w:trHeight w:val="153"/>
        </w:trPr>
        <w:tc>
          <w:tcPr>
            <w:tcW w:w="4420" w:type="dxa"/>
            <w:vAlign w:val="bottom"/>
          </w:tcPr>
          <w:p>
            <w:pPr>
              <w:spacing w:after="0"/>
              <w:rPr>
                <w:sz w:val="13"/>
                <w:szCs w:val="13"/>
                <w:color w:val="auto"/>
              </w:rPr>
            </w:pPr>
          </w:p>
        </w:tc>
        <w:tc>
          <w:tcPr>
            <w:tcW w:w="190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699"/>
              <w:spacing w:after="0"/>
              <w:rPr>
                <w:sz w:val="20"/>
                <w:szCs w:val="20"/>
                <w:color w:val="auto"/>
              </w:rPr>
            </w:pPr>
            <w:r>
              <w:rPr>
                <w:rFonts w:ascii="Arial" w:cs="Arial" w:eastAsia="Arial" w:hAnsi="Arial"/>
                <w:sz w:val="12"/>
                <w:szCs w:val="12"/>
                <w:b w:val="1"/>
                <w:bCs w:val="1"/>
                <w:color w:val="auto"/>
              </w:rPr>
              <w:t>2021</w:t>
            </w:r>
          </w:p>
        </w:tc>
      </w:tr>
      <w:tr>
        <w:trPr>
          <w:trHeight w:val="153"/>
        </w:trPr>
        <w:tc>
          <w:tcPr>
            <w:tcW w:w="44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20" w:type="dxa"/>
            <w:vAlign w:val="bottom"/>
            <w:gridSpan w:val="3"/>
          </w:tcPr>
          <w:p>
            <w:pPr>
              <w:jc w:val="right"/>
              <w:ind w:right="79"/>
              <w:spacing w:after="0"/>
              <w:rPr>
                <w:sz w:val="20"/>
                <w:szCs w:val="20"/>
                <w:color w:val="auto"/>
              </w:rPr>
            </w:pPr>
            <w:r>
              <w:rPr>
                <w:rFonts w:ascii="Arial" w:cs="Arial" w:eastAsia="Arial" w:hAnsi="Arial"/>
                <w:sz w:val="12"/>
                <w:szCs w:val="12"/>
                <w:color w:val="auto"/>
              </w:rPr>
              <w:t>(In thousands)</w:t>
            </w:r>
          </w:p>
        </w:tc>
        <w:tc>
          <w:tcPr>
            <w:tcW w:w="1560" w:type="dxa"/>
            <w:vAlign w:val="bottom"/>
          </w:tcPr>
          <w:p>
            <w:pPr>
              <w:spacing w:after="0"/>
              <w:rPr>
                <w:sz w:val="13"/>
                <w:szCs w:val="13"/>
                <w:color w:val="auto"/>
              </w:rPr>
            </w:pPr>
          </w:p>
        </w:tc>
      </w:tr>
      <w:tr>
        <w:trPr>
          <w:trHeight w:val="166"/>
        </w:trPr>
        <w:tc>
          <w:tcPr>
            <w:tcW w:w="4420" w:type="dxa"/>
            <w:vAlign w:val="bottom"/>
            <w:shd w:val="clear" w:color="auto" w:fill="CCEEFF"/>
          </w:tcPr>
          <w:p>
            <w:pPr>
              <w:ind w:left="380"/>
              <w:spacing w:after="0"/>
              <w:rPr>
                <w:sz w:val="20"/>
                <w:szCs w:val="20"/>
                <w:color w:val="auto"/>
              </w:rPr>
            </w:pPr>
            <w:r>
              <w:rPr>
                <w:rFonts w:ascii="Arial" w:cs="Arial" w:eastAsia="Arial" w:hAnsi="Arial"/>
                <w:sz w:val="12"/>
                <w:szCs w:val="12"/>
                <w:b w:val="1"/>
                <w:bCs w:val="1"/>
                <w:color w:val="auto"/>
              </w:rPr>
              <w:t>2029 Notes</w:t>
            </w:r>
          </w:p>
        </w:tc>
        <w:tc>
          <w:tcPr>
            <w:tcW w:w="1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61"/>
        </w:trPr>
        <w:tc>
          <w:tcPr>
            <w:tcW w:w="4420" w:type="dxa"/>
            <w:vAlign w:val="bottom"/>
          </w:tcPr>
          <w:p>
            <w:pPr>
              <w:ind w:left="460"/>
              <w:spacing w:after="0"/>
              <w:rPr>
                <w:sz w:val="20"/>
                <w:szCs w:val="20"/>
                <w:color w:val="auto"/>
              </w:rPr>
            </w:pPr>
            <w:r>
              <w:rPr>
                <w:rFonts w:ascii="Arial" w:cs="Arial" w:eastAsia="Arial" w:hAnsi="Arial"/>
                <w:sz w:val="12"/>
                <w:szCs w:val="12"/>
                <w:color w:val="auto"/>
              </w:rPr>
              <w:t>Contractual interest expense</w:t>
            </w:r>
          </w:p>
        </w:tc>
        <w:tc>
          <w:tcPr>
            <w:tcW w:w="1900" w:type="dxa"/>
            <w:vAlign w:val="bottom"/>
          </w:tcPr>
          <w:p>
            <w:pPr>
              <w:jc w:val="right"/>
              <w:ind w:right="1399"/>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93"/>
              </w:rPr>
              <w:t>4,531</w:t>
            </w:r>
          </w:p>
        </w:tc>
        <w:tc>
          <w:tcPr>
            <w:tcW w:w="100" w:type="dxa"/>
            <w:vAlign w:val="bottom"/>
          </w:tcPr>
          <w:p>
            <w:pPr>
              <w:spacing w:after="0"/>
              <w:rPr>
                <w:sz w:val="13"/>
                <w:szCs w:val="13"/>
                <w:color w:val="auto"/>
              </w:rPr>
            </w:pPr>
          </w:p>
        </w:tc>
        <w:tc>
          <w:tcPr>
            <w:tcW w:w="56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10,182</w:t>
            </w:r>
          </w:p>
        </w:tc>
      </w:tr>
      <w:tr>
        <w:trPr>
          <w:trHeight w:val="166"/>
        </w:trPr>
        <w:tc>
          <w:tcPr>
            <w:tcW w:w="44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Amortization of debt discount and issuance costs</w:t>
            </w:r>
          </w:p>
        </w:tc>
        <w:tc>
          <w:tcPr>
            <w:tcW w:w="19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246</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463</w:t>
            </w:r>
          </w:p>
        </w:tc>
      </w:tr>
      <w:tr>
        <w:trPr>
          <w:trHeight w:val="151"/>
        </w:trPr>
        <w:tc>
          <w:tcPr>
            <w:tcW w:w="442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Total interest expense - 2029 Notes</w:t>
            </w:r>
          </w:p>
        </w:tc>
        <w:tc>
          <w:tcPr>
            <w:tcW w:w="19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4,777</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10,645</w:t>
            </w:r>
          </w:p>
        </w:tc>
      </w:tr>
      <w:tr>
        <w:trPr>
          <w:trHeight w:val="146"/>
        </w:trPr>
        <w:tc>
          <w:tcPr>
            <w:tcW w:w="4420" w:type="dxa"/>
            <w:vAlign w:val="bottom"/>
            <w:shd w:val="clear" w:color="auto" w:fill="CCEEFF"/>
          </w:tcPr>
          <w:p>
            <w:pPr>
              <w:ind w:left="380"/>
              <w:spacing w:after="0"/>
              <w:rPr>
                <w:sz w:val="20"/>
                <w:szCs w:val="20"/>
                <w:color w:val="auto"/>
              </w:rPr>
            </w:pPr>
            <w:r>
              <w:rPr>
                <w:rFonts w:ascii="Arial" w:cs="Arial" w:eastAsia="Arial" w:hAnsi="Arial"/>
                <w:sz w:val="12"/>
                <w:szCs w:val="12"/>
                <w:b w:val="1"/>
                <w:bCs w:val="1"/>
                <w:color w:val="auto"/>
              </w:rPr>
              <w:t>2031 Notes</w:t>
            </w:r>
          </w:p>
        </w:tc>
        <w:tc>
          <w:tcPr>
            <w:tcW w:w="1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r>
      <w:tr>
        <w:trPr>
          <w:trHeight w:val="161"/>
        </w:trPr>
        <w:tc>
          <w:tcPr>
            <w:tcW w:w="4420" w:type="dxa"/>
            <w:vAlign w:val="bottom"/>
          </w:tcPr>
          <w:p>
            <w:pPr>
              <w:ind w:left="460"/>
              <w:spacing w:after="0"/>
              <w:rPr>
                <w:sz w:val="20"/>
                <w:szCs w:val="20"/>
                <w:color w:val="auto"/>
              </w:rPr>
            </w:pPr>
            <w:r>
              <w:rPr>
                <w:rFonts w:ascii="Arial" w:cs="Arial" w:eastAsia="Arial" w:hAnsi="Arial"/>
                <w:sz w:val="12"/>
                <w:szCs w:val="12"/>
                <w:color w:val="auto"/>
              </w:rPr>
              <w:t>Contractual interest expense</w:t>
            </w:r>
          </w:p>
        </w:tc>
        <w:tc>
          <w:tcPr>
            <w:tcW w:w="19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3"/>
              </w:rPr>
              <w:t>4,844</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10,885</w:t>
            </w:r>
          </w:p>
        </w:tc>
      </w:tr>
      <w:tr>
        <w:trPr>
          <w:trHeight w:val="166"/>
        </w:trPr>
        <w:tc>
          <w:tcPr>
            <w:tcW w:w="44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Amortization of debt discount and issuance costs</w:t>
            </w:r>
          </w:p>
        </w:tc>
        <w:tc>
          <w:tcPr>
            <w:tcW w:w="19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352</w:t>
            </w:r>
          </w:p>
        </w:tc>
      </w:tr>
      <w:tr>
        <w:trPr>
          <w:trHeight w:val="151"/>
        </w:trPr>
        <w:tc>
          <w:tcPr>
            <w:tcW w:w="442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Total interest expense - 2031 Notes</w:t>
            </w:r>
          </w:p>
        </w:tc>
        <w:tc>
          <w:tcPr>
            <w:tcW w:w="19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5,032</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11,237</w:t>
            </w:r>
          </w:p>
        </w:tc>
      </w:tr>
      <w:tr>
        <w:trPr>
          <w:trHeight w:val="178"/>
        </w:trPr>
        <w:tc>
          <w:tcPr>
            <w:tcW w:w="44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2"/>
                <w:szCs w:val="12"/>
                <w:color w:val="auto"/>
              </w:rPr>
              <w:t>Total interest expense</w:t>
            </w:r>
          </w:p>
        </w:tc>
        <w:tc>
          <w:tcPr>
            <w:tcW w:w="1900" w:type="dxa"/>
            <w:vAlign w:val="bottom"/>
            <w:tcBorders>
              <w:bottom w:val="single" w:sz="8" w:color="auto"/>
            </w:tcBorders>
            <w:shd w:val="clear" w:color="auto" w:fill="CCEEFF"/>
          </w:tcPr>
          <w:p>
            <w:pPr>
              <w:jc w:val="right"/>
              <w:ind w:right="1399"/>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9,809</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21,882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September 30, 2021, the Company was in compliance with all of its financial covenants under the Indenture.</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Convertible Senior Notes and Capped Call Transactions</w:t>
      </w:r>
    </w:p>
    <w:p>
      <w:pPr>
        <w:spacing w:after="0" w:line="168" w:lineRule="exact"/>
        <w:rPr>
          <w:sz w:val="20"/>
          <w:szCs w:val="20"/>
          <w:color w:val="auto"/>
        </w:rPr>
      </w:pPr>
    </w:p>
    <w:p>
      <w:pPr>
        <w:ind w:right="220" w:firstLine="367"/>
        <w:spacing w:after="0" w:line="261" w:lineRule="auto"/>
        <w:rPr>
          <w:sz w:val="20"/>
          <w:szCs w:val="20"/>
          <w:color w:val="auto"/>
        </w:rPr>
      </w:pPr>
      <w:r>
        <w:rPr>
          <w:rFonts w:ascii="Arial" w:cs="Arial" w:eastAsia="Arial" w:hAnsi="Arial"/>
          <w:sz w:val="14"/>
          <w:szCs w:val="14"/>
          <w:color w:val="auto"/>
        </w:rPr>
        <w:t>During the second quarter of 2021, the Company redeemed its Convertible Notes in their entirety and settled the related capped call transactions. As of June 30, 2021, the Convertible Notes were no longer outstanding.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Supplemental Balance Sheet Information</w:t>
      </w:r>
    </w:p>
    <w:p>
      <w:pPr>
        <w:spacing w:after="0" w:line="168" w:lineRule="exact"/>
        <w:rPr>
          <w:sz w:val="20"/>
          <w:szCs w:val="20"/>
          <w:color w:val="auto"/>
        </w:rPr>
      </w:pPr>
    </w:p>
    <w:p>
      <w:pPr>
        <w:ind w:left="360"/>
        <w:spacing w:after="0" w:line="161" w:lineRule="exact"/>
        <w:rPr>
          <w:sz w:val="20"/>
          <w:szCs w:val="20"/>
          <w:color w:val="auto"/>
        </w:rPr>
      </w:pPr>
      <w:r>
        <w:rPr>
          <w:rFonts w:ascii="Arial" w:cs="Arial" w:eastAsia="Arial" w:hAnsi="Arial"/>
          <w:sz w:val="14"/>
          <w:szCs w:val="14"/>
          <w:color w:val="auto"/>
        </w:rPr>
        <w:t>A roll</w:t>
      </w:r>
      <w:r>
        <w:rPr>
          <w:rFonts w:ascii="MS PGothic" w:cs="MS PGothic" w:eastAsia="MS PGothic" w:hAnsi="MS PGothic"/>
          <w:sz w:val="14"/>
          <w:szCs w:val="14"/>
          <w:color w:val="auto"/>
        </w:rPr>
        <w:t>‑</w:t>
      </w:r>
      <w:r>
        <w:rPr>
          <w:rFonts w:ascii="Arial" w:cs="Arial" w:eastAsia="Arial" w:hAnsi="Arial"/>
          <w:sz w:val="14"/>
          <w:szCs w:val="14"/>
          <w:color w:val="auto"/>
        </w:rPr>
        <w:t>forward of the Company’s reserves is as follows:</w:t>
      </w:r>
    </w:p>
    <w:p>
      <w:pPr>
        <w:spacing w:after="0" w:line="166" w:lineRule="exact"/>
        <w:rPr>
          <w:sz w:val="20"/>
          <w:szCs w:val="20"/>
          <w:color w:val="auto"/>
        </w:rPr>
      </w:pPr>
    </w:p>
    <w:p>
      <w:pPr>
        <w:ind w:left="980" w:hanging="611"/>
        <w:spacing w:after="0"/>
        <w:tabs>
          <w:tab w:leader="none" w:pos="980" w:val="left"/>
        </w:tabs>
        <w:numPr>
          <w:ilvl w:val="0"/>
          <w:numId w:val="1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Allowance for doubtful accounts: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3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60" w:type="dxa"/>
            <w:vAlign w:val="bottom"/>
            <w:gridSpan w:val="4"/>
          </w:tcPr>
          <w:p>
            <w:pPr>
              <w:jc w:val="right"/>
              <w:ind w:right="79"/>
              <w:spacing w:after="0"/>
              <w:rPr>
                <w:sz w:val="20"/>
                <w:szCs w:val="20"/>
                <w:color w:val="auto"/>
              </w:rPr>
            </w:pPr>
            <w:r>
              <w:rPr>
                <w:rFonts w:ascii="Arial" w:cs="Arial" w:eastAsia="Arial" w:hAnsi="Arial"/>
                <w:sz w:val="12"/>
                <w:szCs w:val="12"/>
                <w:b w:val="1"/>
                <w:bCs w:val="1"/>
                <w:color w:val="auto"/>
              </w:rPr>
              <w:t>Three Months Ended</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gridSpan w:val="4"/>
          </w:tcPr>
          <w:p>
            <w:pPr>
              <w:ind w:left="780"/>
              <w:spacing w:after="0"/>
              <w:rPr>
                <w:sz w:val="20"/>
                <w:szCs w:val="20"/>
                <w:color w:val="auto"/>
              </w:rPr>
            </w:pPr>
            <w:r>
              <w:rPr>
                <w:rFonts w:ascii="Arial" w:cs="Arial" w:eastAsia="Arial" w:hAnsi="Arial"/>
                <w:sz w:val="12"/>
                <w:szCs w:val="12"/>
                <w:b w:val="1"/>
                <w:bCs w:val="1"/>
                <w:color w:val="auto"/>
              </w:rPr>
              <w:t>Nine Months Ended</w:t>
            </w:r>
          </w:p>
        </w:tc>
        <w:tc>
          <w:tcPr>
            <w:tcW w:w="940" w:type="dxa"/>
            <w:vAlign w:val="bottom"/>
          </w:tcPr>
          <w:p>
            <w:pPr>
              <w:spacing w:after="0"/>
              <w:rPr>
                <w:sz w:val="12"/>
                <w:szCs w:val="12"/>
                <w:color w:val="auto"/>
              </w:rPr>
            </w:pPr>
          </w:p>
        </w:tc>
      </w:tr>
      <w:tr>
        <w:trPr>
          <w:trHeight w:val="161"/>
        </w:trPr>
        <w:tc>
          <w:tcPr>
            <w:tcW w:w="330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w w:val="99"/>
              </w:rPr>
              <w:t>September 30,</w:t>
            </w: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680"/>
              <w:spacing w:after="0"/>
              <w:rPr>
                <w:sz w:val="20"/>
                <w:szCs w:val="20"/>
                <w:color w:val="auto"/>
              </w:rPr>
            </w:pPr>
            <w:r>
              <w:rPr>
                <w:rFonts w:ascii="Arial" w:cs="Arial" w:eastAsia="Arial" w:hAnsi="Arial"/>
                <w:sz w:val="12"/>
                <w:szCs w:val="12"/>
                <w:b w:val="1"/>
                <w:bCs w:val="1"/>
                <w:color w:val="auto"/>
                <w:w w:val="97"/>
              </w:rPr>
              <w:t>September 30,</w:t>
            </w: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53"/>
        </w:trPr>
        <w:tc>
          <w:tcPr>
            <w:tcW w:w="3300" w:type="dxa"/>
            <w:vAlign w:val="bottom"/>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2020</w:t>
            </w:r>
          </w:p>
        </w:tc>
      </w:tr>
      <w:tr>
        <w:trPr>
          <w:trHeight w:val="153"/>
        </w:trPr>
        <w:tc>
          <w:tcPr>
            <w:tcW w:w="3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0" w:type="dxa"/>
            <w:vAlign w:val="bottom"/>
            <w:gridSpan w:val="3"/>
          </w:tcPr>
          <w:p>
            <w:pPr>
              <w:jc w:val="right"/>
              <w:ind w:right="199"/>
              <w:spacing w:after="0"/>
              <w:rPr>
                <w:sz w:val="20"/>
                <w:szCs w:val="20"/>
                <w:color w:val="auto"/>
              </w:rPr>
            </w:pPr>
            <w:r>
              <w:rPr>
                <w:rFonts w:ascii="Arial" w:cs="Arial" w:eastAsia="Arial" w:hAnsi="Arial"/>
                <w:sz w:val="12"/>
                <w:szCs w:val="12"/>
                <w:color w:val="auto"/>
              </w:rPr>
              <w:t>(In thousands)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6"/>
        </w:trPr>
        <w:tc>
          <w:tcPr>
            <w:tcW w:w="33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Balance, beginning of period</w:t>
            </w:r>
          </w:p>
        </w:tc>
        <w:tc>
          <w:tcPr>
            <w:tcW w:w="1340" w:type="dxa"/>
            <w:vAlign w:val="bottom"/>
            <w:shd w:val="clear" w:color="auto" w:fill="CCEEFF"/>
          </w:tcPr>
          <w:p>
            <w:pPr>
              <w:jc w:val="right"/>
              <w:ind w:right="719"/>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15,413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10,248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7"/>
              </w:rPr>
              <w:t>12,046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6,287</w:t>
            </w:r>
          </w:p>
        </w:tc>
      </w:tr>
      <w:tr>
        <w:trPr>
          <w:trHeight w:val="161"/>
        </w:trPr>
        <w:tc>
          <w:tcPr>
            <w:tcW w:w="3300" w:type="dxa"/>
            <w:vAlign w:val="bottom"/>
          </w:tcPr>
          <w:p>
            <w:pPr>
              <w:ind w:left="500"/>
              <w:spacing w:after="0"/>
              <w:rPr>
                <w:sz w:val="20"/>
                <w:szCs w:val="20"/>
                <w:color w:val="auto"/>
              </w:rPr>
            </w:pPr>
            <w:r>
              <w:rPr>
                <w:rFonts w:ascii="Arial" w:cs="Arial" w:eastAsia="Arial" w:hAnsi="Arial"/>
                <w:sz w:val="12"/>
                <w:szCs w:val="12"/>
                <w:color w:val="auto"/>
              </w:rPr>
              <w:t>Additions</w:t>
            </w:r>
          </w:p>
        </w:tc>
        <w:tc>
          <w:tcPr>
            <w:tcW w:w="13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4,122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1,312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ind w:left="620"/>
              <w:spacing w:after="0"/>
              <w:rPr>
                <w:sz w:val="20"/>
                <w:szCs w:val="20"/>
                <w:color w:val="auto"/>
              </w:rPr>
            </w:pPr>
            <w:r>
              <w:rPr>
                <w:rFonts w:ascii="Arial" w:cs="Arial" w:eastAsia="Arial" w:hAnsi="Arial"/>
                <w:sz w:val="12"/>
                <w:szCs w:val="12"/>
                <w:color w:val="auto"/>
                <w:w w:val="97"/>
              </w:rPr>
              <w:t>13,490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8,472</w:t>
            </w:r>
          </w:p>
        </w:tc>
      </w:tr>
      <w:tr>
        <w:trPr>
          <w:trHeight w:val="163"/>
        </w:trPr>
        <w:tc>
          <w:tcPr>
            <w:tcW w:w="33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Write-offs</w:t>
            </w:r>
          </w:p>
        </w:tc>
        <w:tc>
          <w:tcPr>
            <w:tcW w:w="13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(2,703)</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(832)</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2"/>
                <w:szCs w:val="12"/>
                <w:color w:val="auto"/>
                <w:w w:val="89"/>
              </w:rPr>
              <w:t>(8,704)</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(4,031)</w:t>
            </w:r>
          </w:p>
        </w:tc>
      </w:tr>
      <w:tr>
        <w:trPr>
          <w:trHeight w:val="156"/>
        </w:trPr>
        <w:tc>
          <w:tcPr>
            <w:tcW w:w="3300" w:type="dxa"/>
            <w:vAlign w:val="bottom"/>
          </w:tcPr>
          <w:p>
            <w:pPr>
              <w:ind w:left="500"/>
              <w:spacing w:after="0"/>
              <w:rPr>
                <w:sz w:val="20"/>
                <w:szCs w:val="20"/>
                <w:color w:val="auto"/>
              </w:rPr>
            </w:pPr>
            <w:r>
              <w:rPr>
                <w:rFonts w:ascii="Arial" w:cs="Arial" w:eastAsia="Arial" w:hAnsi="Arial"/>
                <w:sz w:val="12"/>
                <w:szCs w:val="12"/>
                <w:color w:val="auto"/>
              </w:rPr>
              <w:t>Balance, end of period</w:t>
            </w:r>
          </w:p>
        </w:tc>
        <w:tc>
          <w:tcPr>
            <w:tcW w:w="1340" w:type="dxa"/>
            <w:vAlign w:val="bottom"/>
            <w:tcBorders>
              <w:bottom w:val="single" w:sz="8" w:color="auto"/>
            </w:tcBorders>
          </w:tcPr>
          <w:p>
            <w:pPr>
              <w:jc w:val="right"/>
              <w:ind w:right="719"/>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16,832</w:t>
            </w: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10,728</w:t>
            </w:r>
          </w:p>
        </w:tc>
        <w:tc>
          <w:tcPr>
            <w:tcW w:w="80" w:type="dxa"/>
            <w:vAlign w:val="bottom"/>
          </w:tcPr>
          <w:p>
            <w:pPr>
              <w:spacing w:after="0"/>
              <w:rPr>
                <w:sz w:val="13"/>
                <w:szCs w:val="13"/>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w w:val="97"/>
              </w:rPr>
              <w:t>16,832</w:t>
            </w: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10,728</w:t>
            </w:r>
          </w:p>
        </w:tc>
      </w:tr>
      <w:tr>
        <w:trPr>
          <w:trHeight w:val="20"/>
        </w:trPr>
        <w:tc>
          <w:tcPr>
            <w:tcW w:w="3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tbl>
      <w:tblPr>
        <w:tblLayout w:type="fixed"/>
        <w:tblInd w:w="360" w:type="dxa"/>
        <w:tblCellMar>
          <w:top w:w="0" w:type="dxa"/>
          <w:left w:w="0" w:type="dxa"/>
          <w:bottom w:w="0" w:type="dxa"/>
          <w:right w:w="0" w:type="dxa"/>
        </w:tblCellMar>
      </w:tblPr>
      <w:tr>
        <w:trPr>
          <w:trHeight w:val="173"/>
        </w:trPr>
        <w:tc>
          <w:tcPr>
            <w:tcW w:w="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(b)</w:t>
            </w:r>
          </w:p>
        </w:tc>
        <w:tc>
          <w:tcPr>
            <w:tcW w:w="3060" w:type="dxa"/>
            <w:vAlign w:val="bottom"/>
          </w:tcPr>
          <w:p>
            <w:pPr>
              <w:ind w:left="220"/>
              <w:spacing w:after="0"/>
              <w:rPr>
                <w:sz w:val="20"/>
                <w:szCs w:val="20"/>
                <w:color w:val="auto"/>
              </w:rPr>
            </w:pPr>
            <w:r>
              <w:rPr>
                <w:rFonts w:ascii="Arial" w:cs="Arial" w:eastAsia="Arial" w:hAnsi="Arial"/>
                <w:sz w:val="14"/>
                <w:szCs w:val="14"/>
                <w:b w:val="1"/>
                <w:bCs w:val="1"/>
                <w:i w:val="1"/>
                <w:iCs w:val="1"/>
                <w:color w:val="auto"/>
              </w:rPr>
              <w:t>Customer credit reserve:</w:t>
            </w: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07"/>
        </w:trPr>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gridSpan w:val="4"/>
          </w:tcPr>
          <w:p>
            <w:pPr>
              <w:jc w:val="right"/>
              <w:ind w:right="79"/>
              <w:spacing w:after="0"/>
              <w:rPr>
                <w:sz w:val="20"/>
                <w:szCs w:val="20"/>
                <w:color w:val="auto"/>
              </w:rPr>
            </w:pPr>
            <w:r>
              <w:rPr>
                <w:rFonts w:ascii="Arial" w:cs="Arial" w:eastAsia="Arial" w:hAnsi="Arial"/>
                <w:sz w:val="12"/>
                <w:szCs w:val="12"/>
                <w:b w:val="1"/>
                <w:bCs w:val="1"/>
                <w:color w:val="auto"/>
              </w:rPr>
              <w:t>Three Months Ended</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80" w:type="dxa"/>
            <w:vAlign w:val="bottom"/>
            <w:gridSpan w:val="4"/>
          </w:tcPr>
          <w:p>
            <w:pPr>
              <w:jc w:val="right"/>
              <w:ind w:right="99"/>
              <w:spacing w:after="0"/>
              <w:rPr>
                <w:sz w:val="20"/>
                <w:szCs w:val="20"/>
                <w:color w:val="auto"/>
              </w:rPr>
            </w:pPr>
            <w:r>
              <w:rPr>
                <w:rFonts w:ascii="Arial" w:cs="Arial" w:eastAsia="Arial" w:hAnsi="Arial"/>
                <w:sz w:val="12"/>
                <w:szCs w:val="12"/>
                <w:b w:val="1"/>
                <w:bCs w:val="1"/>
                <w:color w:val="auto"/>
              </w:rPr>
              <w:t>Nine Months Ended</w:t>
            </w:r>
          </w:p>
        </w:tc>
        <w:tc>
          <w:tcPr>
            <w:tcW w:w="920" w:type="dxa"/>
            <w:vAlign w:val="bottom"/>
          </w:tcPr>
          <w:p>
            <w:pPr>
              <w:spacing w:after="0"/>
              <w:rPr>
                <w:sz w:val="24"/>
                <w:szCs w:val="24"/>
                <w:color w:val="auto"/>
              </w:rPr>
            </w:pPr>
          </w:p>
        </w:tc>
      </w:tr>
      <w:tr>
        <w:trPr>
          <w:trHeight w:val="161"/>
        </w:trPr>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w w:val="99"/>
              </w:rPr>
              <w:t>September 30,</w:t>
            </w: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680"/>
              <w:spacing w:after="0"/>
              <w:rPr>
                <w:sz w:val="20"/>
                <w:szCs w:val="20"/>
                <w:color w:val="auto"/>
              </w:rPr>
            </w:pPr>
            <w:r>
              <w:rPr>
                <w:rFonts w:ascii="Arial" w:cs="Arial" w:eastAsia="Arial" w:hAnsi="Arial"/>
                <w:sz w:val="12"/>
                <w:szCs w:val="12"/>
                <w:b w:val="1"/>
                <w:bCs w:val="1"/>
                <w:color w:val="auto"/>
                <w:w w:val="97"/>
              </w:rPr>
              <w:t>September 30,</w:t>
            </w: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53"/>
        </w:trPr>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2020</w:t>
            </w:r>
          </w:p>
        </w:tc>
      </w:tr>
      <w:tr>
        <w:trPr>
          <w:trHeight w:val="153"/>
        </w:trPr>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0" w:type="dxa"/>
            <w:vAlign w:val="bottom"/>
            <w:gridSpan w:val="3"/>
          </w:tcPr>
          <w:p>
            <w:pPr>
              <w:jc w:val="right"/>
              <w:ind w:right="199"/>
              <w:spacing w:after="0"/>
              <w:rPr>
                <w:sz w:val="20"/>
                <w:szCs w:val="20"/>
                <w:color w:val="auto"/>
              </w:rPr>
            </w:pPr>
            <w:r>
              <w:rPr>
                <w:rFonts w:ascii="Arial" w:cs="Arial" w:eastAsia="Arial" w:hAnsi="Arial"/>
                <w:sz w:val="12"/>
                <w:szCs w:val="12"/>
                <w:color w:val="auto"/>
              </w:rPr>
              <w:t>(In thousands)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6"/>
        </w:trPr>
        <w:tc>
          <w:tcPr>
            <w:tcW w:w="14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Balance, beginning of period</w:t>
            </w:r>
          </w:p>
        </w:tc>
        <w:tc>
          <w:tcPr>
            <w:tcW w:w="1320" w:type="dxa"/>
            <w:vAlign w:val="bottom"/>
            <w:shd w:val="clear" w:color="auto" w:fill="CCEEFF"/>
          </w:tcPr>
          <w:p>
            <w:pPr>
              <w:jc w:val="right"/>
              <w:ind w:right="699"/>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16,167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center"/>
              <w:ind w:left="399"/>
              <w:spacing w:after="0"/>
              <w:rPr>
                <w:sz w:val="20"/>
                <w:szCs w:val="20"/>
                <w:color w:val="auto"/>
              </w:rPr>
            </w:pPr>
            <w:r>
              <w:rPr>
                <w:rFonts w:ascii="Arial" w:cs="Arial" w:eastAsia="Arial" w:hAnsi="Arial"/>
                <w:sz w:val="12"/>
                <w:szCs w:val="12"/>
                <w:color w:val="auto"/>
                <w:w w:val="92"/>
              </w:rPr>
              <w:t>11,531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center"/>
              <w:ind w:left="519"/>
              <w:spacing w:after="0"/>
              <w:rPr>
                <w:sz w:val="20"/>
                <w:szCs w:val="20"/>
                <w:color w:val="auto"/>
              </w:rPr>
            </w:pPr>
            <w:r>
              <w:rPr>
                <w:rFonts w:ascii="Arial" w:cs="Arial" w:eastAsia="Arial" w:hAnsi="Arial"/>
                <w:sz w:val="12"/>
                <w:szCs w:val="12"/>
                <w:color w:val="auto"/>
                <w:w w:val="92"/>
              </w:rPr>
              <w:t>16,783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6,784</w:t>
            </w:r>
          </w:p>
        </w:tc>
      </w:tr>
      <w:tr>
        <w:trPr>
          <w:trHeight w:val="161"/>
        </w:trPr>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60" w:type="dxa"/>
            <w:vAlign w:val="bottom"/>
          </w:tcPr>
          <w:p>
            <w:pPr>
              <w:ind w:left="240"/>
              <w:spacing w:after="0"/>
              <w:rPr>
                <w:sz w:val="20"/>
                <w:szCs w:val="20"/>
                <w:color w:val="auto"/>
              </w:rPr>
            </w:pPr>
            <w:r>
              <w:rPr>
                <w:rFonts w:ascii="Arial" w:cs="Arial" w:eastAsia="Arial" w:hAnsi="Arial"/>
                <w:sz w:val="12"/>
                <w:szCs w:val="12"/>
                <w:color w:val="auto"/>
              </w:rPr>
              <w:t>Additions</w:t>
            </w:r>
          </w:p>
        </w:tc>
        <w:tc>
          <w:tcPr>
            <w:tcW w:w="132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auto"/>
                <w:w w:val="87"/>
              </w:rPr>
              <w:t>14,211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jc w:val="center"/>
              <w:ind w:left="399"/>
              <w:spacing w:after="0"/>
              <w:rPr>
                <w:sz w:val="20"/>
                <w:szCs w:val="20"/>
                <w:color w:val="auto"/>
              </w:rPr>
            </w:pPr>
            <w:r>
              <w:rPr>
                <w:rFonts w:ascii="Arial" w:cs="Arial" w:eastAsia="Arial" w:hAnsi="Arial"/>
                <w:sz w:val="12"/>
                <w:szCs w:val="12"/>
                <w:color w:val="auto"/>
                <w:w w:val="92"/>
              </w:rPr>
              <w:t>12,164</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jc w:val="center"/>
              <w:ind w:left="519"/>
              <w:spacing w:after="0"/>
              <w:rPr>
                <w:sz w:val="20"/>
                <w:szCs w:val="20"/>
                <w:color w:val="auto"/>
              </w:rPr>
            </w:pPr>
            <w:r>
              <w:rPr>
                <w:rFonts w:ascii="Arial" w:cs="Arial" w:eastAsia="Arial" w:hAnsi="Arial"/>
                <w:sz w:val="12"/>
                <w:szCs w:val="12"/>
                <w:color w:val="auto"/>
                <w:w w:val="92"/>
              </w:rPr>
              <w:t>41,596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33,714</w:t>
            </w:r>
          </w:p>
        </w:tc>
      </w:tr>
      <w:tr>
        <w:trPr>
          <w:trHeight w:val="163"/>
        </w:trPr>
        <w:tc>
          <w:tcPr>
            <w:tcW w:w="14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Deductions against reserve</w:t>
            </w:r>
          </w:p>
        </w:tc>
        <w:tc>
          <w:tcPr>
            <w:tcW w:w="13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3"/>
              </w:rPr>
              <w:t>(12,716)</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center"/>
              <w:ind w:left="399"/>
              <w:spacing w:after="0"/>
              <w:rPr>
                <w:sz w:val="20"/>
                <w:szCs w:val="20"/>
                <w:color w:val="auto"/>
              </w:rPr>
            </w:pPr>
            <w:r>
              <w:rPr>
                <w:rFonts w:ascii="Arial" w:cs="Arial" w:eastAsia="Arial" w:hAnsi="Arial"/>
                <w:sz w:val="12"/>
                <w:szCs w:val="12"/>
                <w:color w:val="auto"/>
                <w:w w:val="93"/>
              </w:rPr>
              <w:t>(12,915)</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center"/>
              <w:ind w:left="499"/>
              <w:spacing w:after="0"/>
              <w:rPr>
                <w:sz w:val="20"/>
                <w:szCs w:val="20"/>
                <w:color w:val="auto"/>
              </w:rPr>
            </w:pPr>
            <w:r>
              <w:rPr>
                <w:rFonts w:ascii="Arial" w:cs="Arial" w:eastAsia="Arial" w:hAnsi="Arial"/>
                <w:sz w:val="12"/>
                <w:szCs w:val="12"/>
                <w:color w:val="auto"/>
                <w:w w:val="89"/>
              </w:rPr>
              <w:t>(40,717)</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(29,718)</w:t>
            </w:r>
          </w:p>
        </w:tc>
      </w:tr>
      <w:tr>
        <w:trPr>
          <w:trHeight w:val="156"/>
        </w:trPr>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60" w:type="dxa"/>
            <w:vAlign w:val="bottom"/>
          </w:tcPr>
          <w:p>
            <w:pPr>
              <w:ind w:left="380"/>
              <w:spacing w:after="0"/>
              <w:rPr>
                <w:sz w:val="20"/>
                <w:szCs w:val="20"/>
                <w:color w:val="auto"/>
              </w:rPr>
            </w:pPr>
            <w:r>
              <w:rPr>
                <w:rFonts w:ascii="Arial" w:cs="Arial" w:eastAsia="Arial" w:hAnsi="Arial"/>
                <w:sz w:val="12"/>
                <w:szCs w:val="12"/>
                <w:color w:val="auto"/>
              </w:rPr>
              <w:t>Balance, end of period</w:t>
            </w:r>
          </w:p>
        </w:tc>
        <w:tc>
          <w:tcPr>
            <w:tcW w:w="1320" w:type="dxa"/>
            <w:vAlign w:val="bottom"/>
            <w:tcBorders>
              <w:bottom w:val="single" w:sz="8" w:color="auto"/>
            </w:tcBorders>
          </w:tcPr>
          <w:p>
            <w:pPr>
              <w:jc w:val="right"/>
              <w:ind w:right="699"/>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17,662</w:t>
            </w: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center"/>
              <w:ind w:left="399"/>
              <w:spacing w:after="0"/>
              <w:rPr>
                <w:sz w:val="20"/>
                <w:szCs w:val="20"/>
                <w:color w:val="auto"/>
              </w:rPr>
            </w:pPr>
            <w:r>
              <w:rPr>
                <w:rFonts w:ascii="Arial" w:cs="Arial" w:eastAsia="Arial" w:hAnsi="Arial"/>
                <w:sz w:val="12"/>
                <w:szCs w:val="12"/>
                <w:color w:val="auto"/>
                <w:w w:val="92"/>
              </w:rPr>
              <w:t>10,780</w:t>
            </w:r>
          </w:p>
        </w:tc>
        <w:tc>
          <w:tcPr>
            <w:tcW w:w="80" w:type="dxa"/>
            <w:vAlign w:val="bottom"/>
          </w:tcPr>
          <w:p>
            <w:pPr>
              <w:spacing w:after="0"/>
              <w:rPr>
                <w:sz w:val="13"/>
                <w:szCs w:val="13"/>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center"/>
              <w:ind w:left="519"/>
              <w:spacing w:after="0"/>
              <w:rPr>
                <w:sz w:val="20"/>
                <w:szCs w:val="20"/>
                <w:color w:val="auto"/>
              </w:rPr>
            </w:pPr>
            <w:r>
              <w:rPr>
                <w:rFonts w:ascii="Arial" w:cs="Arial" w:eastAsia="Arial" w:hAnsi="Arial"/>
                <w:sz w:val="12"/>
                <w:szCs w:val="12"/>
                <w:color w:val="auto"/>
                <w:w w:val="92"/>
              </w:rPr>
              <w:t>17,662</w:t>
            </w: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10,780</w:t>
            </w:r>
          </w:p>
        </w:tc>
      </w:tr>
      <w:tr>
        <w:trPr>
          <w:trHeight w:val="20"/>
        </w:trPr>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320"/>
          </w:cols>
          <w:pgMar w:left="300" w:top="129" w:right="27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Revenue by Geographic Area</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Revenue by geographic area is based on the IP address or the mailing address of the customer at the time of registration. The following table sets forth revenue by geographic area:</w:t>
      </w:r>
    </w:p>
    <w:p>
      <w:pPr>
        <w:spacing w:after="0" w:line="204"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3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gridSpan w:val="3"/>
          </w:tcPr>
          <w:p>
            <w:pPr>
              <w:jc w:val="right"/>
              <w:ind w:right="79"/>
              <w:spacing w:after="0"/>
              <w:rPr>
                <w:sz w:val="20"/>
                <w:szCs w:val="20"/>
                <w:color w:val="auto"/>
              </w:rPr>
            </w:pPr>
            <w:r>
              <w:rPr>
                <w:rFonts w:ascii="Arial" w:cs="Arial" w:eastAsia="Arial" w:hAnsi="Arial"/>
                <w:sz w:val="12"/>
                <w:szCs w:val="12"/>
                <w:b w:val="1"/>
                <w:bCs w:val="1"/>
                <w:color w:val="auto"/>
              </w:rPr>
              <w:t>Three Months Ended</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gridSpan w:val="4"/>
          </w:tcPr>
          <w:p>
            <w:pPr>
              <w:jc w:val="right"/>
              <w:ind w:right="160"/>
              <w:spacing w:after="0"/>
              <w:rPr>
                <w:sz w:val="20"/>
                <w:szCs w:val="20"/>
                <w:color w:val="auto"/>
              </w:rPr>
            </w:pPr>
            <w:r>
              <w:rPr>
                <w:rFonts w:ascii="Arial" w:cs="Arial" w:eastAsia="Arial" w:hAnsi="Arial"/>
                <w:sz w:val="12"/>
                <w:szCs w:val="12"/>
                <w:b w:val="1"/>
                <w:bCs w:val="1"/>
                <w:color w:val="auto"/>
              </w:rPr>
              <w:t>Nine Months Ended</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2"/>
                <w:szCs w:val="12"/>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2"/>
                <w:szCs w:val="12"/>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2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b w:val="1"/>
                <w:bCs w:val="1"/>
                <w:color w:val="auto"/>
              </w:rPr>
              <w:t>2020</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b w:val="1"/>
                <w:bCs w:val="1"/>
                <w:color w:val="auto"/>
              </w:rPr>
              <w:t>2021</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40" w:type="dxa"/>
            <w:vAlign w:val="bottom"/>
          </w:tcPr>
          <w:p>
            <w:pPr>
              <w:ind w:left="500"/>
              <w:spacing w:after="0"/>
              <w:rPr>
                <w:sz w:val="20"/>
                <w:szCs w:val="20"/>
                <w:color w:val="auto"/>
              </w:rPr>
            </w:pPr>
            <w:r>
              <w:rPr>
                <w:rFonts w:ascii="Arial" w:cs="Arial" w:eastAsia="Arial" w:hAnsi="Arial"/>
                <w:sz w:val="12"/>
                <w:szCs w:val="12"/>
                <w:color w:val="auto"/>
              </w:rPr>
              <w:t>Revenue by geographic area:</w:t>
            </w: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2"/>
                <w:szCs w:val="12"/>
                <w:color w:val="auto"/>
                <w:w w:val="91"/>
              </w:rPr>
              <w:t>(In thousands)</w:t>
            </w: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240" w:type="dxa"/>
            <w:vAlign w:val="bottom"/>
            <w:shd w:val="clear" w:color="auto" w:fill="CCEEFF"/>
          </w:tcPr>
          <w:p>
            <w:pPr>
              <w:ind w:left="640"/>
              <w:spacing w:after="0"/>
              <w:rPr>
                <w:sz w:val="20"/>
                <w:szCs w:val="20"/>
                <w:color w:val="auto"/>
              </w:rPr>
            </w:pPr>
            <w:r>
              <w:rPr>
                <w:rFonts w:ascii="Arial" w:cs="Arial" w:eastAsia="Arial" w:hAnsi="Arial"/>
                <w:sz w:val="12"/>
                <w:szCs w:val="12"/>
                <w:color w:val="auto"/>
              </w:rPr>
              <w:t>United States</w:t>
            </w:r>
          </w:p>
        </w:tc>
        <w:tc>
          <w:tcPr>
            <w:tcW w:w="8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497,993</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328,056</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1,372,436</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881,984</w:t>
            </w:r>
          </w:p>
        </w:tc>
        <w:tc>
          <w:tcPr>
            <w:tcW w:w="0" w:type="dxa"/>
            <w:vAlign w:val="bottom"/>
          </w:tcPr>
          <w:p>
            <w:pPr>
              <w:spacing w:after="0"/>
              <w:rPr>
                <w:sz w:val="1"/>
                <w:szCs w:val="1"/>
                <w:color w:val="auto"/>
              </w:rPr>
            </w:pPr>
          </w:p>
        </w:tc>
      </w:tr>
      <w:tr>
        <w:trPr>
          <w:trHeight w:val="161"/>
        </w:trPr>
        <w:tc>
          <w:tcPr>
            <w:tcW w:w="3240" w:type="dxa"/>
            <w:vAlign w:val="bottom"/>
            <w:tcBorders>
              <w:bottom w:val="single" w:sz="8" w:color="CCEEFF"/>
            </w:tcBorders>
          </w:tcPr>
          <w:p>
            <w:pPr>
              <w:ind w:left="640"/>
              <w:spacing w:after="0"/>
              <w:rPr>
                <w:sz w:val="20"/>
                <w:szCs w:val="20"/>
                <w:color w:val="auto"/>
              </w:rPr>
            </w:pPr>
            <w:r>
              <w:rPr>
                <w:rFonts w:ascii="Arial" w:cs="Arial" w:eastAsia="Arial" w:hAnsi="Arial"/>
                <w:sz w:val="12"/>
                <w:szCs w:val="12"/>
                <w:color w:val="auto"/>
              </w:rPr>
              <w:t>International</w:t>
            </w:r>
          </w:p>
        </w:tc>
        <w:tc>
          <w:tcPr>
            <w:tcW w:w="8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242,183</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119,913</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626,659</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331,702</w:t>
            </w:r>
          </w:p>
        </w:tc>
        <w:tc>
          <w:tcPr>
            <w:tcW w:w="0" w:type="dxa"/>
            <w:vAlign w:val="bottom"/>
          </w:tcPr>
          <w:p>
            <w:pPr>
              <w:spacing w:after="0"/>
              <w:rPr>
                <w:sz w:val="1"/>
                <w:szCs w:val="1"/>
                <w:color w:val="auto"/>
              </w:rPr>
            </w:pPr>
          </w:p>
        </w:tc>
      </w:tr>
      <w:tr>
        <w:trPr>
          <w:trHeight w:val="173"/>
        </w:trPr>
        <w:tc>
          <w:tcPr>
            <w:tcW w:w="3240" w:type="dxa"/>
            <w:vAlign w:val="bottom"/>
            <w:shd w:val="clear" w:color="auto" w:fill="CCEEFF"/>
          </w:tcPr>
          <w:p>
            <w:pPr>
              <w:ind w:left="840"/>
              <w:spacing w:after="0"/>
              <w:rPr>
                <w:sz w:val="20"/>
                <w:szCs w:val="20"/>
                <w:color w:val="auto"/>
              </w:rPr>
            </w:pPr>
            <w:r>
              <w:rPr>
                <w:rFonts w:ascii="Arial" w:cs="Arial" w:eastAsia="Arial" w:hAnsi="Arial"/>
                <w:sz w:val="12"/>
                <w:szCs w:val="12"/>
                <w:color w:val="auto"/>
              </w:rPr>
              <w:t>Total</w:t>
            </w:r>
          </w:p>
        </w:tc>
        <w:tc>
          <w:tcPr>
            <w:tcW w:w="8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740,176</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447,969</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1,999,095</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1,213,686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2"/>
                <w:szCs w:val="12"/>
                <w:color w:val="auto"/>
              </w:rPr>
              <w:t>Percentage of revenue by geographic area:</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240" w:type="dxa"/>
            <w:vAlign w:val="bottom"/>
            <w:shd w:val="clear" w:color="auto" w:fill="CCEEFF"/>
          </w:tcPr>
          <w:p>
            <w:pPr>
              <w:ind w:left="640"/>
              <w:spacing w:after="0"/>
              <w:rPr>
                <w:sz w:val="20"/>
                <w:szCs w:val="20"/>
                <w:color w:val="auto"/>
              </w:rPr>
            </w:pPr>
            <w:r>
              <w:rPr>
                <w:rFonts w:ascii="Arial" w:cs="Arial" w:eastAsia="Arial" w:hAnsi="Arial"/>
                <w:sz w:val="12"/>
                <w:szCs w:val="12"/>
                <w:color w:val="auto"/>
              </w:rPr>
              <w:t>United States</w:t>
            </w:r>
          </w:p>
        </w:tc>
        <w:tc>
          <w:tcPr>
            <w:tcW w:w="8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67</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73</w:t>
            </w:r>
          </w:p>
        </w:tc>
        <w:tc>
          <w:tcPr>
            <w:tcW w:w="940" w:type="dxa"/>
            <w:vAlign w:val="bottom"/>
            <w:gridSpan w:val="3"/>
            <w:shd w:val="clear" w:color="auto" w:fill="CCEEFF"/>
          </w:tcPr>
          <w:p>
            <w:pPr>
              <w:jc w:val="right"/>
              <w:ind w:right="74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rPr>
              <w:t>69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74"/>
              </w:rPr>
              <w:t>%</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73</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3240" w:type="dxa"/>
            <w:vAlign w:val="bottom"/>
          </w:tcPr>
          <w:p>
            <w:pPr>
              <w:ind w:left="640"/>
              <w:spacing w:after="0"/>
              <w:rPr>
                <w:sz w:val="20"/>
                <w:szCs w:val="20"/>
                <w:color w:val="auto"/>
              </w:rPr>
            </w:pPr>
            <w:r>
              <w:rPr>
                <w:rFonts w:ascii="Arial" w:cs="Arial" w:eastAsia="Arial" w:hAnsi="Arial"/>
                <w:sz w:val="12"/>
                <w:szCs w:val="12"/>
                <w:color w:val="auto"/>
              </w:rPr>
              <w:t>International</w:t>
            </w:r>
          </w:p>
        </w:tc>
        <w:tc>
          <w:tcPr>
            <w:tcW w:w="800" w:type="dxa"/>
            <w:vAlign w:val="bottom"/>
          </w:tcPr>
          <w:p>
            <w:pPr>
              <w:spacing w:after="0"/>
              <w:rPr>
                <w:sz w:val="13"/>
                <w:szCs w:val="13"/>
                <w:color w:val="auto"/>
              </w:rPr>
            </w:pPr>
          </w:p>
        </w:tc>
        <w:tc>
          <w:tcPr>
            <w:tcW w:w="1020" w:type="dxa"/>
            <w:vAlign w:val="bottom"/>
          </w:tcPr>
          <w:p>
            <w:pPr>
              <w:jc w:val="right"/>
              <w:ind w:right="339"/>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3"/>
                <w:szCs w:val="13"/>
                <w:color w:val="auto"/>
              </w:rPr>
            </w:pPr>
          </w:p>
        </w:tc>
        <w:tc>
          <w:tcPr>
            <w:tcW w:w="900" w:type="dxa"/>
            <w:vAlign w:val="bottom"/>
          </w:tcPr>
          <w:p>
            <w:pPr>
              <w:jc w:val="right"/>
              <w:ind w:right="699"/>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59"/>
              <w:spacing w:after="0"/>
              <w:rPr>
                <w:sz w:val="20"/>
                <w:szCs w:val="20"/>
                <w:color w:val="auto"/>
              </w:rPr>
            </w:pPr>
            <w:r>
              <w:rPr>
                <w:rFonts w:ascii="Arial" w:cs="Arial" w:eastAsia="Arial" w:hAnsi="Arial"/>
                <w:sz w:val="12"/>
                <w:szCs w:val="12"/>
                <w:color w:val="auto"/>
              </w:rPr>
              <w:t>27</w:t>
            </w:r>
          </w:p>
        </w:tc>
        <w:tc>
          <w:tcPr>
            <w:tcW w:w="940" w:type="dxa"/>
            <w:vAlign w:val="bottom"/>
            <w:gridSpan w:val="3"/>
          </w:tcPr>
          <w:p>
            <w:pPr>
              <w:jc w:val="right"/>
              <w:ind w:right="7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59"/>
              <w:spacing w:after="0"/>
              <w:rPr>
                <w:sz w:val="20"/>
                <w:szCs w:val="20"/>
                <w:color w:val="auto"/>
              </w:rPr>
            </w:pPr>
            <w:r>
              <w:rPr>
                <w:rFonts w:ascii="Arial" w:cs="Arial" w:eastAsia="Arial" w:hAnsi="Arial"/>
                <w:sz w:val="12"/>
                <w:szCs w:val="12"/>
                <w:color w:val="auto"/>
              </w:rPr>
              <w:t>31</w:t>
            </w:r>
          </w:p>
        </w:tc>
        <w:tc>
          <w:tcPr>
            <w:tcW w:w="120" w:type="dxa"/>
            <w:vAlign w:val="bottom"/>
            <w:gridSpan w:val="2"/>
          </w:tcPr>
          <w:p>
            <w:pPr>
              <w:jc w:val="right"/>
              <w:ind w:right="20"/>
              <w:spacing w:after="0"/>
              <w:rPr>
                <w:sz w:val="20"/>
                <w:szCs w:val="20"/>
                <w:color w:val="auto"/>
              </w:rPr>
            </w:pPr>
            <w:r>
              <w:rPr>
                <w:rFonts w:ascii="Arial" w:cs="Arial" w:eastAsia="Arial" w:hAnsi="Arial"/>
                <w:sz w:val="12"/>
                <w:szCs w:val="12"/>
                <w:color w:val="auto"/>
                <w:w w:val="74"/>
              </w:rPr>
              <w:t>%</w:t>
            </w:r>
          </w:p>
        </w:tc>
        <w:tc>
          <w:tcPr>
            <w:tcW w:w="880" w:type="dxa"/>
            <w:vAlign w:val="bottom"/>
          </w:tcPr>
          <w:p>
            <w:pPr>
              <w:spacing w:after="0"/>
              <w:rPr>
                <w:sz w:val="13"/>
                <w:szCs w:val="13"/>
                <w:color w:val="auto"/>
              </w:rPr>
            </w:pPr>
          </w:p>
        </w:tc>
        <w:tc>
          <w:tcPr>
            <w:tcW w:w="420" w:type="dxa"/>
            <w:vAlign w:val="bottom"/>
          </w:tcPr>
          <w:p>
            <w:pPr>
              <w:jc w:val="right"/>
              <w:ind w:right="39"/>
              <w:spacing w:after="0"/>
              <w:rPr>
                <w:sz w:val="20"/>
                <w:szCs w:val="20"/>
                <w:color w:val="auto"/>
              </w:rPr>
            </w:pPr>
            <w:r>
              <w:rPr>
                <w:rFonts w:ascii="Arial" w:cs="Arial" w:eastAsia="Arial" w:hAnsi="Arial"/>
                <w:sz w:val="12"/>
                <w:szCs w:val="12"/>
                <w:color w:val="auto"/>
              </w:rPr>
              <w:t>27</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Long-lived assets outside of the United States were not significant.</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320"/>
          </w:cols>
          <w:pgMar w:left="300" w:top="129" w:right="27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Commitments and Contingencies</w:t>
      </w:r>
    </w:p>
    <w:p>
      <w:pPr>
        <w:spacing w:after="0" w:line="188" w:lineRule="exact"/>
        <w:rPr>
          <w:sz w:val="20"/>
          <w:szCs w:val="20"/>
          <w:color w:val="auto"/>
        </w:rPr>
      </w:pPr>
    </w:p>
    <w:p>
      <w:pPr>
        <w:ind w:left="980" w:hanging="611"/>
        <w:spacing w:after="0"/>
        <w:tabs>
          <w:tab w:leader="none" w:pos="980" w:val="left"/>
        </w:tabs>
        <w:numPr>
          <w:ilvl w:val="0"/>
          <w:numId w:val="1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Lease and Other Commitments</w:t>
      </w:r>
    </w:p>
    <w:p>
      <w:pPr>
        <w:spacing w:after="0" w:line="166" w:lineRule="exact"/>
        <w:rPr>
          <w:sz w:val="20"/>
          <w:szCs w:val="20"/>
          <w:color w:val="auto"/>
        </w:rPr>
      </w:pPr>
    </w:p>
    <w:p>
      <w:pPr>
        <w:ind w:right="80" w:firstLine="367"/>
        <w:spacing w:after="0" w:line="261" w:lineRule="auto"/>
        <w:rPr>
          <w:sz w:val="20"/>
          <w:szCs w:val="20"/>
          <w:color w:val="auto"/>
        </w:rPr>
      </w:pPr>
      <w:r>
        <w:rPr>
          <w:rFonts w:ascii="Arial" w:cs="Arial" w:eastAsia="Arial" w:hAnsi="Arial"/>
          <w:sz w:val="14"/>
          <w:szCs w:val="14"/>
          <w:color w:val="auto"/>
        </w:rPr>
        <w:t>The Company has entered into various non-cancelable operating lease agreements for its facilities with remaining lease terms ranging from less than one year to approximately eight years. See Note 6 to these condensed consolidated financial statements for additional detail on the Company’s operating and finance lease commitments.</w:t>
      </w:r>
    </w:p>
    <w:p>
      <w:pPr>
        <w:spacing w:after="0" w:line="140" w:lineRule="exact"/>
        <w:rPr>
          <w:sz w:val="20"/>
          <w:szCs w:val="20"/>
          <w:color w:val="auto"/>
        </w:rPr>
      </w:pPr>
    </w:p>
    <w:p>
      <w:pPr>
        <w:ind w:right="460" w:firstLine="367"/>
        <w:spacing w:after="0" w:line="345" w:lineRule="auto"/>
        <w:rPr>
          <w:sz w:val="20"/>
          <w:szCs w:val="20"/>
          <w:color w:val="auto"/>
        </w:rPr>
      </w:pPr>
      <w:r>
        <w:rPr>
          <w:rFonts w:ascii="Arial" w:cs="Arial" w:eastAsia="Arial" w:hAnsi="Arial"/>
          <w:sz w:val="12"/>
          <w:szCs w:val="12"/>
          <w:color w:val="auto"/>
        </w:rPr>
        <w:t>Additionally, the Company has non-cancelable contractual commitments with its cloud infrastructure provider, network service providers and other vendors. In the three and nine months ended September 30, 2021, the Company entered into several such agreements with terms up to four years for a total purchase commitment of $9.0 million and $447.0 million, respectively.</w:t>
      </w:r>
    </w:p>
    <w:p>
      <w:pPr>
        <w:spacing w:after="0" w:line="93" w:lineRule="exact"/>
        <w:rPr>
          <w:sz w:val="20"/>
          <w:szCs w:val="20"/>
          <w:color w:val="auto"/>
        </w:rPr>
      </w:pPr>
    </w:p>
    <w:p>
      <w:pPr>
        <w:ind w:firstLine="367"/>
        <w:spacing w:after="0" w:line="289" w:lineRule="auto"/>
        <w:rPr>
          <w:sz w:val="20"/>
          <w:szCs w:val="20"/>
          <w:color w:val="auto"/>
        </w:rPr>
      </w:pPr>
      <w:r>
        <w:rPr>
          <w:rFonts w:ascii="Arial" w:cs="Arial" w:eastAsia="Arial" w:hAnsi="Arial"/>
          <w:sz w:val="12"/>
          <w:szCs w:val="12"/>
          <w:color w:val="auto"/>
        </w:rPr>
        <w:t>In February 2021, the Company entered into a Framework Agreement with Syniverse Corporation (“Syniverse”) and Carlyle Partners V Holdings, L.P. (“Carlyle”) (the “Framework Agreement”), pursuant to which Syniverse will issue to the Company shares of Syniverse common stock in consideration for an investment by the Company of up to $750.0 million. In August 2021, Syniverse entered into an Agreement and Plan of Merger (the “Merger Agreement”) with Blue Steel Merger Sub Inc. and M-3 Brigade Acquisition II Corp. (“MBAC”), which will result in Syniverse being a wholly owned subsidiary of MBAC (the “Merger”). Concurrently, the Company and MBAC entered into the Twilio Subscription Agreement (the “Subscription Agreement”), pursuant to which the Company has agreed, subject to the terms and conditions set forth therein, to subscribe for and purchase, and MBAC agreed to issue and sell to the Company, immediately prior to the closing of the Merger, shares of Class A common stock and, if applicable, shares of Class C common stock for an aggregate amount between $500.0 million and $750.0 million, depending on redemptions by MBAC’s shareholders. The Company and Syniverse also entered into an amendment to the Framework Agreement to conform the Framework Agreement to the Merger and the terms of the Merger Agreement. In connection with the closing of the investment, the Company and Syniverse will enter into a wholesale agreement, in which Syniverse will process, route and deliver application-to-person messages originating and/or terminating between the Company’s customers and mobile network operators. The investment is expected to result in the Company holding a significant minority equity ownership position in Syniverse, subject to certain adjustments based on the terms of the final agreement. This proposed transaction closing is subject to consummation of certain other transactions by Syniverse, as defined in the Framework Agreement, and other customary closing conditions, including regulatory approvals. The closing is expected to occur before the end of 2021. As of September 30, 2021, the Company has deferred $4.8 million of costs related to this proposed transaction that are recorded in prepaid expenses and other current assets in the accompanying condensed consolidated balance sheet.</w:t>
      </w:r>
    </w:p>
    <w:p>
      <w:pPr>
        <w:spacing w:after="0" w:line="128" w:lineRule="exact"/>
        <w:rPr>
          <w:sz w:val="20"/>
          <w:szCs w:val="20"/>
          <w:color w:val="auto"/>
        </w:rPr>
      </w:pPr>
    </w:p>
    <w:p>
      <w:pPr>
        <w:ind w:left="980" w:hanging="611"/>
        <w:spacing w:after="0"/>
        <w:tabs>
          <w:tab w:leader="none" w:pos="980" w:val="left"/>
        </w:tabs>
        <w:numPr>
          <w:ilvl w:val="0"/>
          <w:numId w:val="1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Legal Matters</w:t>
      </w:r>
    </w:p>
    <w:p>
      <w:pPr>
        <w:spacing w:after="0" w:line="186" w:lineRule="exact"/>
        <w:rPr>
          <w:sz w:val="20"/>
          <w:szCs w:val="20"/>
          <w:color w:val="auto"/>
        </w:rPr>
      </w:pPr>
    </w:p>
    <w:p>
      <w:pPr>
        <w:ind w:right="160" w:firstLine="367"/>
        <w:spacing w:after="0" w:line="327" w:lineRule="auto"/>
        <w:rPr>
          <w:sz w:val="20"/>
          <w:szCs w:val="20"/>
          <w:color w:val="auto"/>
        </w:rPr>
      </w:pPr>
      <w:r>
        <w:rPr>
          <w:rFonts w:ascii="Arial" w:cs="Arial" w:eastAsia="Arial" w:hAnsi="Arial"/>
          <w:sz w:val="12"/>
          <w:szCs w:val="12"/>
          <w:color w:val="auto"/>
        </w:rPr>
        <w:t>The City and County of San Francisco (“San Francisco”) has assessed the Company for additional Telephone Users Tax (“TUT”) and Access Line Tax (“ALT”) on certain of the Company’s services for the years 2009 through 2018. The assessments totaled $38.8 million, including interest and penalties. The Company paid the assessments under protest in the third quarter of 2020.</w:t>
      </w:r>
    </w:p>
    <w:p>
      <w:pPr>
        <w:spacing w:after="0" w:line="114" w:lineRule="exact"/>
        <w:rPr>
          <w:sz w:val="20"/>
          <w:szCs w:val="20"/>
          <w:color w:val="auto"/>
        </w:rPr>
      </w:pPr>
    </w:p>
    <w:p>
      <w:pPr>
        <w:ind w:right="140" w:firstLine="490"/>
        <w:spacing w:after="0" w:line="235" w:lineRule="auto"/>
        <w:rPr>
          <w:sz w:val="20"/>
          <w:szCs w:val="20"/>
          <w:color w:val="auto"/>
        </w:rPr>
      </w:pPr>
      <w:r>
        <w:rPr>
          <w:rFonts w:ascii="Arial" w:cs="Arial" w:eastAsia="Arial" w:hAnsi="Arial"/>
          <w:sz w:val="14"/>
          <w:szCs w:val="14"/>
          <w:color w:val="auto"/>
        </w:rPr>
        <w:t>On May 27, 2021, the Company filed a lawsuit against San Francisco in San Francisco Superior Court challenging the assessments. The Company raised numerous defenses to the assessments including that its services are not telecommunications services, application of the taxes to Twilio’s services violates the Internet Tax Freedom Act and San Francisco does not have jurisdiction to impose tax on services provided outside of San Francisco. The Company is seeking refunds of the taxes paid, waivers of interest and penalties, cost of suit and reasonable attorneys’ fees, and other legal and equitable relief as the court deems appropriate.</w:t>
      </w:r>
    </w:p>
    <w:p>
      <w:pPr>
        <w:spacing w:after="0" w:line="165" w:lineRule="exact"/>
        <w:rPr>
          <w:sz w:val="20"/>
          <w:szCs w:val="20"/>
          <w:color w:val="auto"/>
        </w:rPr>
      </w:pPr>
    </w:p>
    <w:p>
      <w:pPr>
        <w:ind w:right="40" w:firstLine="490"/>
        <w:spacing w:after="0" w:line="235" w:lineRule="auto"/>
        <w:rPr>
          <w:sz w:val="20"/>
          <w:szCs w:val="20"/>
          <w:color w:val="auto"/>
        </w:rPr>
      </w:pPr>
      <w:r>
        <w:rPr>
          <w:rFonts w:ascii="Arial" w:cs="Arial" w:eastAsia="Arial" w:hAnsi="Arial"/>
          <w:sz w:val="14"/>
          <w:szCs w:val="14"/>
          <w:color w:val="auto"/>
        </w:rPr>
        <w:t>The Company believes it has strong arguments that TUT and ALT do not apply to its services, but litigation is uncertain and there is no assurance that it will prevail in court. Should the Company lose on one or more of its arguments, it could incur additional losses associated with taxes, interest, and penalties that together, in aggregate, could be material. The Company regularly assesses the likelihood of adverse outcomes resulting from tax disputes such as this and examines all open years to determine the necessity and adequacy of any tax reserves. The Company’s tax reserves are further discussed in Note 13 (d) of these condensed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firstLine="367"/>
        <w:spacing w:after="0" w:line="166" w:lineRule="exact"/>
        <w:rPr>
          <w:sz w:val="20"/>
          <w:szCs w:val="20"/>
          <w:color w:val="auto"/>
        </w:rPr>
      </w:pPr>
      <w:r>
        <w:rPr>
          <w:rFonts w:ascii="Arial" w:cs="Arial" w:eastAsia="Arial" w:hAnsi="Arial"/>
          <w:sz w:val="12"/>
          <w:szCs w:val="12"/>
          <w:color w:val="auto"/>
        </w:rPr>
        <w:t>In addition to the litigation discussed above, from time to time, the Company may be subject to legal actions and claims in the ordinary course of business. 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w:t>
      </w:r>
      <w:r>
        <w:rPr>
          <w:rFonts w:ascii="MS PGothic" w:cs="MS PGothic" w:eastAsia="MS PGothic" w:hAnsi="MS PGothic"/>
          <w:sz w:val="12"/>
          <w:szCs w:val="12"/>
          <w:color w:val="auto"/>
        </w:rPr>
        <w:t>‑</w:t>
      </w:r>
      <w:r>
        <w:rPr>
          <w:rFonts w:ascii="Arial" w:cs="Arial" w:eastAsia="Arial" w:hAnsi="Arial"/>
          <w:sz w:val="12"/>
          <w:szCs w:val="12"/>
          <w:color w:val="auto"/>
        </w:rPr>
        <w:t>party proprietary rights, or to establish our proprietary rights. The results of any current or future litigation cannot be predicted with certainty, and regardless of the outcome, litigation can have an adverse impact on the Company because of defense and settlement costs, diversion of management resources, and other factors.</w:t>
      </w:r>
    </w:p>
    <w:p>
      <w:pPr>
        <w:spacing w:after="0" w:line="154" w:lineRule="exact"/>
        <w:rPr>
          <w:sz w:val="20"/>
          <w:szCs w:val="20"/>
          <w:color w:val="auto"/>
        </w:rPr>
      </w:pPr>
    </w:p>
    <w:p>
      <w:pPr>
        <w:ind w:right="660" w:firstLine="367"/>
        <w:spacing w:after="0" w:line="261" w:lineRule="auto"/>
        <w:rPr>
          <w:sz w:val="20"/>
          <w:szCs w:val="20"/>
          <w:color w:val="auto"/>
        </w:rPr>
      </w:pPr>
      <w:r>
        <w:rPr>
          <w:rFonts w:ascii="Arial" w:cs="Arial" w:eastAsia="Arial" w:hAnsi="Arial"/>
          <w:sz w:val="14"/>
          <w:szCs w:val="14"/>
          <w:color w:val="auto"/>
        </w:rPr>
        <w:t>Legal fees and other costs related to litigation and other legal proceedings are expensed as incurred and are included in general and administrative expenses in the accompanying condensed consolidated statements of operations.</w:t>
      </w:r>
    </w:p>
    <w:p>
      <w:pPr>
        <w:spacing w:after="0" w:line="140" w:lineRule="exact"/>
        <w:rPr>
          <w:sz w:val="20"/>
          <w:szCs w:val="20"/>
          <w:color w:val="auto"/>
        </w:rPr>
      </w:pPr>
    </w:p>
    <w:p>
      <w:pPr>
        <w:ind w:left="980" w:hanging="611"/>
        <w:spacing w:after="0"/>
        <w:tabs>
          <w:tab w:leader="none" w:pos="980" w:val="left"/>
        </w:tabs>
        <w:numPr>
          <w:ilvl w:val="0"/>
          <w:numId w:val="1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Indemnification Agreements</w:t>
      </w:r>
    </w:p>
    <w:p>
      <w:pPr>
        <w:spacing w:after="0" w:line="166" w:lineRule="exact"/>
        <w:rPr>
          <w:sz w:val="20"/>
          <w:szCs w:val="20"/>
          <w:color w:val="auto"/>
        </w:rPr>
      </w:pPr>
    </w:p>
    <w:p>
      <w:pPr>
        <w:ind w:right="160" w:firstLine="367"/>
        <w:spacing w:after="0" w:line="249" w:lineRule="auto"/>
        <w:rPr>
          <w:sz w:val="20"/>
          <w:szCs w:val="20"/>
          <w:color w:val="auto"/>
        </w:rPr>
      </w:pPr>
      <w:r>
        <w:rPr>
          <w:rFonts w:ascii="Arial" w:cs="Arial" w:eastAsia="Arial" w:hAnsi="Arial"/>
          <w:sz w:val="14"/>
          <w:szCs w:val="14"/>
          <w:color w:val="auto"/>
        </w:rPr>
        <w:t>The Company has signed indemnification agreements with all of its board members and executive officers. The agreements indemnify the board members and executive officers from claims and expenses of actions brought against the individuals separately or jointly with the Company for certain indemnifiable events. Indemnifiable events generally mean any event or occurrence related to the fact that the board member or the executive officer was or is acting in his or her capacity as a board member or an executive officer for the Company or was or is acting or representing the interests of the Company.</w:t>
      </w:r>
    </w:p>
    <w:p>
      <w:pPr>
        <w:spacing w:after="0" w:line="148" w:lineRule="exact"/>
        <w:rPr>
          <w:sz w:val="20"/>
          <w:szCs w:val="20"/>
          <w:color w:val="auto"/>
        </w:rPr>
      </w:pPr>
    </w:p>
    <w:p>
      <w:pPr>
        <w:ind w:right="100" w:firstLine="367"/>
        <w:spacing w:after="0" w:line="299" w:lineRule="auto"/>
        <w:rPr>
          <w:sz w:val="20"/>
          <w:szCs w:val="20"/>
          <w:color w:val="auto"/>
        </w:rPr>
      </w:pPr>
      <w:r>
        <w:rPr>
          <w:rFonts w:ascii="Arial" w:cs="Arial" w:eastAsia="Arial" w:hAnsi="Arial"/>
          <w:sz w:val="12"/>
          <w:szCs w:val="12"/>
          <w:color w:val="auto"/>
        </w:rPr>
        <w:t>In the ordinary course of business and in connection with our financing and business combinations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various products, or its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 The terms of such obligations may vary.</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September 30, 2021 and December 31, 2020, no amounts were accrued related to any outstanding indemnification agreements.</w:t>
      </w:r>
    </w:p>
    <w:p>
      <w:pPr>
        <w:spacing w:after="0" w:line="166" w:lineRule="exact"/>
        <w:rPr>
          <w:sz w:val="20"/>
          <w:szCs w:val="20"/>
          <w:color w:val="auto"/>
        </w:rPr>
      </w:pPr>
    </w:p>
    <w:p>
      <w:pPr>
        <w:ind w:left="980" w:hanging="611"/>
        <w:spacing w:after="0"/>
        <w:tabs>
          <w:tab w:leader="none" w:pos="980" w:val="left"/>
        </w:tabs>
        <w:numPr>
          <w:ilvl w:val="0"/>
          <w:numId w:val="1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Other Taxes</w:t>
      </w:r>
    </w:p>
    <w:p>
      <w:pPr>
        <w:spacing w:after="0" w:line="166" w:lineRule="exact"/>
        <w:rPr>
          <w:sz w:val="20"/>
          <w:szCs w:val="20"/>
          <w:color w:val="auto"/>
        </w:rPr>
      </w:pPr>
    </w:p>
    <w:p>
      <w:pPr>
        <w:ind w:firstLine="367"/>
        <w:spacing w:after="0" w:line="290" w:lineRule="auto"/>
        <w:rPr>
          <w:sz w:val="20"/>
          <w:szCs w:val="20"/>
          <w:color w:val="auto"/>
        </w:rPr>
      </w:pPr>
      <w:r>
        <w:rPr>
          <w:rFonts w:ascii="Arial" w:cs="Arial" w:eastAsia="Arial" w:hAnsi="Arial"/>
          <w:sz w:val="12"/>
          <w:szCs w:val="12"/>
          <w:color w:val="auto"/>
        </w:rPr>
        <w:t>The Company conducts operations in many tax jurisdictions within and outside the United States. In many of these jurisdictions, non-income-based taxes, such as sales, use, telecommunications, and other local taxes are assessed on the Company’s operations. Prior to March 2017, the Company had not billed nor collected these taxes from its customers and, in accordance with U.S. GAAP, recorded a provision for its tax exposure in these jurisdictions when it was both probable that a liability had been incurred and the amount of the exposure could be reasonably estimated. These estimates included several key assumptions including, but not limited to, the taxability of the Company’s services, the jurisdictions in which its management believes it had nexus, and the sourcing of revenues to those jurisdictions. Starting in March 2017, the Company began collecting these taxes from customers in certain jurisdictions and since then has expanded to collect taxes in most jurisdictions where the Company operates. The Company is also in discussions with certain jurisdictions regarding its prior sales and other taxes, if any, that it may owe. In the event any of these jurisdictions disagree with management’s assumptions and analysis, the assessment of the Company’s tax exposure could differ materially from management’s current estimates. For example, San Francisco City and County has assessed the Company for $38.8 million in taxes, including interest and penalties, which exceeded the $11.5 million the Company had accrued for the period covered by this assessment. The Company paid the full amount as required by law. The payment made in excess of the accrued amount is reflected as a deposit in the accompanying condensed consolidated balance sheets. The Company believes, however, that this assessment is incorrect and, after failing to reach a settlement, filed a lawsuit on May 27, 2021 contesting the assessment. However, litigation is uncertain and a ruling against the Company, or a dismissal of our complaint, may adversely affect its financial position and results of operations.</w:t>
      </w:r>
    </w:p>
    <w:p>
      <w:pPr>
        <w:spacing w:after="0" w:line="125" w:lineRule="exact"/>
        <w:rPr>
          <w:sz w:val="20"/>
          <w:szCs w:val="20"/>
          <w:color w:val="auto"/>
        </w:rPr>
      </w:pPr>
    </w:p>
    <w:p>
      <w:pPr>
        <w:ind w:right="280" w:firstLine="367"/>
        <w:spacing w:after="0" w:line="261" w:lineRule="auto"/>
        <w:rPr>
          <w:sz w:val="20"/>
          <w:szCs w:val="20"/>
          <w:color w:val="auto"/>
        </w:rPr>
      </w:pPr>
      <w:r>
        <w:rPr>
          <w:rFonts w:ascii="Arial" w:cs="Arial" w:eastAsia="Arial" w:hAnsi="Arial"/>
          <w:sz w:val="14"/>
          <w:szCs w:val="14"/>
          <w:color w:val="auto"/>
        </w:rPr>
        <w:t>As of September 30, 2021, the liabilities recorded for these taxes were $27.9 million for domestic jurisdictions and $15.3 million for jurisdictions outside of the United States. As of December 31, 2020, these liabilities were $25.6 million and $9.6 million, respectively.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ind w:left="360" w:right="9800" w:hanging="358"/>
        <w:spacing w:after="0" w:line="569" w:lineRule="auto"/>
        <w:tabs>
          <w:tab w:leader="none" w:pos="197" w:val="left"/>
        </w:tabs>
        <w:numPr>
          <w:ilvl w:val="0"/>
          <w:numId w:val="1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Stockholders’ Equity </w:t>
      </w:r>
      <w:r>
        <w:rPr>
          <w:rFonts w:ascii="Arial" w:cs="Arial" w:eastAsia="Arial" w:hAnsi="Arial"/>
          <w:sz w:val="12"/>
          <w:szCs w:val="12"/>
          <w:b w:val="1"/>
          <w:bCs w:val="1"/>
          <w:i w:val="1"/>
          <w:iCs w:val="1"/>
          <w:color w:val="auto"/>
        </w:rPr>
        <w:t>Preferred Stock</w:t>
      </w:r>
    </w:p>
    <w:p>
      <w:pPr>
        <w:ind w:left="360"/>
        <w:spacing w:after="0"/>
        <w:rPr>
          <w:rFonts w:ascii="Arial" w:cs="Arial" w:eastAsia="Arial" w:hAnsi="Arial"/>
          <w:sz w:val="12"/>
          <w:szCs w:val="12"/>
          <w:b w:val="1"/>
          <w:bCs w:val="1"/>
          <w:color w:val="auto"/>
        </w:rPr>
      </w:pPr>
      <w:r>
        <w:rPr>
          <w:rFonts w:ascii="Arial" w:cs="Arial" w:eastAsia="Arial" w:hAnsi="Arial"/>
          <w:sz w:val="12"/>
          <w:szCs w:val="12"/>
          <w:color w:val="auto"/>
        </w:rPr>
        <w:t>As of September 30, 2021 and December 31, 2020, the Company had authorized 100,000,000 shares of preferred stock, par value $0.001, of which no shares were issued and outstanding.</w:t>
      </w:r>
    </w:p>
    <w:p>
      <w:pPr>
        <w:spacing w:after="0" w:line="188" w:lineRule="exact"/>
        <w:rPr>
          <w:rFonts w:ascii="Arial" w:cs="Arial" w:eastAsia="Arial" w:hAnsi="Arial"/>
          <w:sz w:val="12"/>
          <w:szCs w:val="12"/>
          <w:b w:val="1"/>
          <w:bCs w:val="1"/>
          <w:color w:val="auto"/>
        </w:rPr>
      </w:pPr>
    </w:p>
    <w:p>
      <w:pPr>
        <w:ind w:left="360"/>
        <w:spacing w:after="0"/>
        <w:rPr>
          <w:rFonts w:ascii="Arial" w:cs="Arial" w:eastAsia="Arial" w:hAnsi="Arial"/>
          <w:sz w:val="12"/>
          <w:szCs w:val="12"/>
          <w:b w:val="1"/>
          <w:bCs w:val="1"/>
          <w:color w:val="auto"/>
        </w:rPr>
      </w:pPr>
      <w:r>
        <w:rPr>
          <w:rFonts w:ascii="Arial" w:cs="Arial" w:eastAsia="Arial" w:hAnsi="Arial"/>
          <w:sz w:val="14"/>
          <w:szCs w:val="14"/>
          <w:b w:val="1"/>
          <w:bCs w:val="1"/>
          <w:i w:val="1"/>
          <w:iCs w:val="1"/>
          <w:color w:val="auto"/>
        </w:rPr>
        <w:t>Common Stock</w:t>
      </w:r>
    </w:p>
    <w:p>
      <w:pPr>
        <w:spacing w:after="0" w:line="166" w:lineRule="exact"/>
        <w:rPr>
          <w:sz w:val="20"/>
          <w:szCs w:val="20"/>
          <w:color w:val="auto"/>
        </w:rPr>
      </w:pPr>
    </w:p>
    <w:p>
      <w:pPr>
        <w:ind w:right="80" w:firstLine="367"/>
        <w:spacing w:after="0" w:line="304" w:lineRule="auto"/>
        <w:rPr>
          <w:sz w:val="20"/>
          <w:szCs w:val="20"/>
          <w:color w:val="auto"/>
        </w:rPr>
      </w:pPr>
      <w:r>
        <w:rPr>
          <w:rFonts w:ascii="Arial" w:cs="Arial" w:eastAsia="Arial" w:hAnsi="Arial"/>
          <w:sz w:val="12"/>
          <w:szCs w:val="12"/>
          <w:color w:val="auto"/>
        </w:rPr>
        <w:t>As of September 30, 2021 and December 31, 2020, the Company had authorized 1,000,000,000 shares of Class A common stock and 100,000,000 shares of Class B common stock, each par value $0.001 per share. As of September 30, 2021, 168,352,933 shares of Class A common stock and 9,913,181 shares of Class B common stock were issued and outstanding. As of December 31, 2020, 153,496,222 shares of Class A common stock and 10,551,302 shares of Class B common stock were issued and outstanding. Holders of Class A and Class B common stock are entitled to one vote per share and 10 votes per share, respectively, and the shares of Class A common stock and Class B common stock are identical, except for voting and conversion rights.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Company has reserved shares of common stock for issuance as follows:</w:t>
      </w:r>
    </w:p>
    <w:p>
      <w:pPr>
        <w:spacing w:after="0" w:line="196" w:lineRule="exact"/>
        <w:rPr>
          <w:sz w:val="20"/>
          <w:szCs w:val="20"/>
          <w:color w:val="auto"/>
        </w:rPr>
      </w:pPr>
    </w:p>
    <w:tbl>
      <w:tblPr>
        <w:tblLayout w:type="fixed"/>
        <w:tblInd w:w="1360" w:type="dxa"/>
        <w:tblCellMar>
          <w:top w:w="0" w:type="dxa"/>
          <w:left w:w="0" w:type="dxa"/>
          <w:bottom w:w="0" w:type="dxa"/>
          <w:right w:w="0" w:type="dxa"/>
        </w:tblCellMar>
      </w:tblPr>
      <w:tr>
        <w:trPr>
          <w:trHeight w:val="159"/>
        </w:trPr>
        <w:tc>
          <w:tcPr>
            <w:tcW w:w="5780" w:type="dxa"/>
            <w:vAlign w:val="bottom"/>
          </w:tcPr>
          <w:p>
            <w:pPr>
              <w:spacing w:after="0"/>
              <w:rPr>
                <w:sz w:val="13"/>
                <w:szCs w:val="13"/>
                <w:color w:val="auto"/>
              </w:rPr>
            </w:pPr>
          </w:p>
        </w:tc>
        <w:tc>
          <w:tcPr>
            <w:tcW w:w="1640" w:type="dxa"/>
            <w:vAlign w:val="bottom"/>
            <w:gridSpan w:val="2"/>
          </w:tcPr>
          <w:p>
            <w:pPr>
              <w:jc w:val="center"/>
              <w:ind w:left="199"/>
              <w:spacing w:after="0"/>
              <w:rPr>
                <w:sz w:val="20"/>
                <w:szCs w:val="20"/>
                <w:color w:val="auto"/>
              </w:rPr>
            </w:pPr>
            <w:r>
              <w:rPr>
                <w:rFonts w:ascii="Arial" w:cs="Arial" w:eastAsia="Arial" w:hAnsi="Arial"/>
                <w:sz w:val="12"/>
                <w:szCs w:val="12"/>
                <w:b w:val="1"/>
                <w:bCs w:val="1"/>
                <w:color w:val="auto"/>
                <w:w w:val="86"/>
              </w:rPr>
              <w:t>As of</w:t>
            </w:r>
          </w:p>
        </w:tc>
        <w:tc>
          <w:tcPr>
            <w:tcW w:w="1520" w:type="dxa"/>
            <w:vAlign w:val="bottom"/>
          </w:tcPr>
          <w:p>
            <w:pPr>
              <w:jc w:val="center"/>
              <w:ind w:left="299"/>
              <w:spacing w:after="0"/>
              <w:rPr>
                <w:sz w:val="20"/>
                <w:szCs w:val="20"/>
                <w:color w:val="auto"/>
              </w:rPr>
            </w:pPr>
            <w:r>
              <w:rPr>
                <w:rFonts w:ascii="Arial" w:cs="Arial" w:eastAsia="Arial" w:hAnsi="Arial"/>
                <w:sz w:val="12"/>
                <w:szCs w:val="12"/>
                <w:b w:val="1"/>
                <w:bCs w:val="1"/>
                <w:color w:val="auto"/>
                <w:w w:val="93"/>
              </w:rPr>
              <w:t>As of</w:t>
            </w:r>
          </w:p>
        </w:tc>
      </w:tr>
      <w:tr>
        <w:trPr>
          <w:trHeight w:val="163"/>
        </w:trPr>
        <w:tc>
          <w:tcPr>
            <w:tcW w:w="5780" w:type="dxa"/>
            <w:vAlign w:val="bottom"/>
          </w:tcPr>
          <w:p>
            <w:pPr>
              <w:spacing w:after="0"/>
              <w:rPr>
                <w:sz w:val="14"/>
                <w:szCs w:val="14"/>
                <w:color w:val="auto"/>
              </w:rPr>
            </w:pPr>
          </w:p>
        </w:tc>
        <w:tc>
          <w:tcPr>
            <w:tcW w:w="1640" w:type="dxa"/>
            <w:vAlign w:val="bottom"/>
            <w:gridSpan w:val="2"/>
          </w:tcPr>
          <w:p>
            <w:pPr>
              <w:jc w:val="center"/>
              <w:ind w:left="199"/>
              <w:spacing w:after="0"/>
              <w:rPr>
                <w:sz w:val="20"/>
                <w:szCs w:val="20"/>
                <w:color w:val="auto"/>
              </w:rPr>
            </w:pPr>
            <w:r>
              <w:rPr>
                <w:rFonts w:ascii="Arial" w:cs="Arial" w:eastAsia="Arial" w:hAnsi="Arial"/>
                <w:sz w:val="12"/>
                <w:szCs w:val="12"/>
                <w:b w:val="1"/>
                <w:bCs w:val="1"/>
                <w:color w:val="auto"/>
                <w:w w:val="90"/>
              </w:rPr>
              <w:t>September 30,</w:t>
            </w:r>
          </w:p>
        </w:tc>
        <w:tc>
          <w:tcPr>
            <w:tcW w:w="1520" w:type="dxa"/>
            <w:vAlign w:val="bottom"/>
          </w:tcPr>
          <w:p>
            <w:pPr>
              <w:jc w:val="center"/>
              <w:ind w:left="299"/>
              <w:spacing w:after="0"/>
              <w:rPr>
                <w:sz w:val="20"/>
                <w:szCs w:val="20"/>
                <w:color w:val="auto"/>
              </w:rPr>
            </w:pPr>
            <w:r>
              <w:rPr>
                <w:rFonts w:ascii="Arial" w:cs="Arial" w:eastAsia="Arial" w:hAnsi="Arial"/>
                <w:sz w:val="12"/>
                <w:szCs w:val="12"/>
                <w:b w:val="1"/>
                <w:bCs w:val="1"/>
                <w:color w:val="auto"/>
                <w:w w:val="92"/>
              </w:rPr>
              <w:t>December 31,</w:t>
            </w:r>
          </w:p>
        </w:tc>
      </w:tr>
      <w:tr>
        <w:trPr>
          <w:trHeight w:val="166"/>
        </w:trPr>
        <w:tc>
          <w:tcPr>
            <w:tcW w:w="578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center"/>
              <w:ind w:left="299"/>
              <w:spacing w:after="0"/>
              <w:rPr>
                <w:sz w:val="20"/>
                <w:szCs w:val="20"/>
                <w:color w:val="auto"/>
              </w:rPr>
            </w:pPr>
            <w:r>
              <w:rPr>
                <w:rFonts w:ascii="Arial" w:cs="Arial" w:eastAsia="Arial" w:hAnsi="Arial"/>
                <w:sz w:val="12"/>
                <w:szCs w:val="12"/>
                <w:b w:val="1"/>
                <w:bCs w:val="1"/>
                <w:color w:val="auto"/>
                <w:w w:val="97"/>
              </w:rPr>
              <w:t>2021</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ind w:left="299"/>
              <w:spacing w:after="0"/>
              <w:rPr>
                <w:sz w:val="20"/>
                <w:szCs w:val="20"/>
                <w:color w:val="auto"/>
              </w:rPr>
            </w:pPr>
            <w:r>
              <w:rPr>
                <w:rFonts w:ascii="Arial" w:cs="Arial" w:eastAsia="Arial" w:hAnsi="Arial"/>
                <w:sz w:val="12"/>
                <w:szCs w:val="12"/>
                <w:b w:val="1"/>
                <w:bCs w:val="1"/>
                <w:color w:val="auto"/>
                <w:w w:val="89"/>
              </w:rPr>
              <w:t>2020</w:t>
            </w:r>
          </w:p>
        </w:tc>
      </w:tr>
      <w:tr>
        <w:trPr>
          <w:trHeight w:val="156"/>
        </w:trPr>
        <w:tc>
          <w:tcPr>
            <w:tcW w:w="57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Stock options issued and outstanding</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4,510,986</w:t>
            </w: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5,625,735</w:t>
            </w:r>
          </w:p>
        </w:tc>
      </w:tr>
      <w:tr>
        <w:trPr>
          <w:trHeight w:val="161"/>
        </w:trPr>
        <w:tc>
          <w:tcPr>
            <w:tcW w:w="5780" w:type="dxa"/>
            <w:vAlign w:val="bottom"/>
          </w:tcPr>
          <w:p>
            <w:pPr>
              <w:ind w:left="380"/>
              <w:spacing w:after="0"/>
              <w:rPr>
                <w:sz w:val="20"/>
                <w:szCs w:val="20"/>
                <w:color w:val="auto"/>
              </w:rPr>
            </w:pPr>
            <w:r>
              <w:rPr>
                <w:rFonts w:ascii="Arial" w:cs="Arial" w:eastAsia="Arial" w:hAnsi="Arial"/>
                <w:sz w:val="12"/>
                <w:szCs w:val="12"/>
                <w:color w:val="auto"/>
              </w:rPr>
              <w:t>Unvested restricted stock units issued and outstanding</w:t>
            </w:r>
          </w:p>
        </w:tc>
        <w:tc>
          <w:tcPr>
            <w:tcW w:w="1540" w:type="dxa"/>
            <w:vAlign w:val="bottom"/>
          </w:tcPr>
          <w:p>
            <w:pPr>
              <w:jc w:val="right"/>
              <w:spacing w:after="0"/>
              <w:rPr>
                <w:sz w:val="20"/>
                <w:szCs w:val="20"/>
                <w:color w:val="auto"/>
              </w:rPr>
            </w:pPr>
            <w:r>
              <w:rPr>
                <w:rFonts w:ascii="Arial" w:cs="Arial" w:eastAsia="Arial" w:hAnsi="Arial"/>
                <w:sz w:val="12"/>
                <w:szCs w:val="12"/>
                <w:color w:val="auto"/>
              </w:rPr>
              <w:t>6,467,518</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7,523,882</w:t>
            </w:r>
          </w:p>
        </w:tc>
      </w:tr>
      <w:tr>
        <w:trPr>
          <w:trHeight w:val="166"/>
        </w:trPr>
        <w:tc>
          <w:tcPr>
            <w:tcW w:w="57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Class A common stock reserved for Twilio.org</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640,959</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707,265</w:t>
            </w:r>
          </w:p>
        </w:tc>
      </w:tr>
      <w:tr>
        <w:trPr>
          <w:trHeight w:val="161"/>
        </w:trPr>
        <w:tc>
          <w:tcPr>
            <w:tcW w:w="5780" w:type="dxa"/>
            <w:vAlign w:val="bottom"/>
          </w:tcPr>
          <w:p>
            <w:pPr>
              <w:ind w:left="380"/>
              <w:spacing w:after="0"/>
              <w:rPr>
                <w:sz w:val="20"/>
                <w:szCs w:val="20"/>
                <w:color w:val="auto"/>
              </w:rPr>
            </w:pPr>
            <w:r>
              <w:rPr>
                <w:rFonts w:ascii="Arial" w:cs="Arial" w:eastAsia="Arial" w:hAnsi="Arial"/>
                <w:sz w:val="12"/>
                <w:szCs w:val="12"/>
                <w:color w:val="auto"/>
              </w:rPr>
              <w:t>Stock-based awards available for grant under 2016 Plan</w:t>
            </w:r>
          </w:p>
        </w:tc>
        <w:tc>
          <w:tcPr>
            <w:tcW w:w="1540" w:type="dxa"/>
            <w:vAlign w:val="bottom"/>
          </w:tcPr>
          <w:p>
            <w:pPr>
              <w:jc w:val="right"/>
              <w:spacing w:after="0"/>
              <w:rPr>
                <w:sz w:val="20"/>
                <w:szCs w:val="20"/>
                <w:color w:val="auto"/>
              </w:rPr>
            </w:pPr>
            <w:r>
              <w:rPr>
                <w:rFonts w:ascii="Arial" w:cs="Arial" w:eastAsia="Arial" w:hAnsi="Arial"/>
                <w:sz w:val="12"/>
                <w:szCs w:val="12"/>
                <w:color w:val="auto"/>
              </w:rPr>
              <w:t>25,591,744</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18,942,205</w:t>
            </w:r>
          </w:p>
        </w:tc>
      </w:tr>
      <w:tr>
        <w:trPr>
          <w:trHeight w:val="166"/>
        </w:trPr>
        <w:tc>
          <w:tcPr>
            <w:tcW w:w="57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Stock-based awards available for grant under ESPP</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6,481,649</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4,941,281</w:t>
            </w:r>
          </w:p>
        </w:tc>
      </w:tr>
      <w:tr>
        <w:trPr>
          <w:trHeight w:val="161"/>
        </w:trPr>
        <w:tc>
          <w:tcPr>
            <w:tcW w:w="5780" w:type="dxa"/>
            <w:vAlign w:val="bottom"/>
          </w:tcPr>
          <w:p>
            <w:pPr>
              <w:ind w:left="380"/>
              <w:spacing w:after="0"/>
              <w:rPr>
                <w:sz w:val="20"/>
                <w:szCs w:val="20"/>
                <w:color w:val="auto"/>
              </w:rPr>
            </w:pPr>
            <w:r>
              <w:rPr>
                <w:rFonts w:ascii="Arial" w:cs="Arial" w:eastAsia="Arial" w:hAnsi="Arial"/>
                <w:sz w:val="12"/>
                <w:szCs w:val="12"/>
                <w:color w:val="auto"/>
              </w:rPr>
              <w:t>Class A common stock reserved for the Convertible Notes</w:t>
            </w:r>
          </w:p>
        </w:tc>
        <w:tc>
          <w:tcPr>
            <w:tcW w:w="1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7,569,731</w:t>
            </w:r>
          </w:p>
        </w:tc>
      </w:tr>
      <w:tr>
        <w:trPr>
          <w:trHeight w:val="181"/>
        </w:trPr>
        <w:tc>
          <w:tcPr>
            <w:tcW w:w="57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Total</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43,692,856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45,310,099</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Stock-Based Compensation</w:t>
      </w:r>
    </w:p>
    <w:p>
      <w:pPr>
        <w:spacing w:after="0" w:line="168" w:lineRule="exact"/>
        <w:rPr>
          <w:sz w:val="20"/>
          <w:szCs w:val="20"/>
          <w:color w:val="auto"/>
        </w:rPr>
      </w:pPr>
    </w:p>
    <w:p>
      <w:pPr>
        <w:jc w:val="both"/>
        <w:ind w:firstLine="367"/>
        <w:spacing w:after="0" w:line="314" w:lineRule="auto"/>
        <w:rPr>
          <w:sz w:val="20"/>
          <w:szCs w:val="20"/>
          <w:color w:val="auto"/>
        </w:rPr>
      </w:pPr>
      <w:r>
        <w:rPr>
          <w:rFonts w:ascii="Arial" w:cs="Arial" w:eastAsia="Arial" w:hAnsi="Arial"/>
          <w:sz w:val="12"/>
          <w:szCs w:val="12"/>
          <w:color w:val="auto"/>
        </w:rPr>
        <w:t>The Company’s 2016 Stock Option and Incentive Plan (the “2016 Plan”) provides for granting stock options, restricted stock units (“RSU”), restricted stock awards (“RSA”), stock appreciation rights, unrestricted stock awards, performance share awards, dividend equivalent rights and cash-based awards to its employees, directors and consultants. Certain of the Company’s outstanding equity awards were granted under equity incentive plans that are no longer active but continue to govern the outstanding equity awards granted thereunder.</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Company also offers an Employee Stock Purchase Plan (“ESPP”) to eligible employees. The ESPP provides for separate six-month offering periods beginning in May and November of each year.</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In the three months ended September 30, 2021 and 2020, no shares of Class A common stock were purchased under the ESPP and 107,815 shares are expected to be purchased in the fourth quarter of 2021.</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On January 1, 2021, the shares available for grant under the 2016 Plan and ESPP were automatically increased by 8,202,376 shares and 1,640,475 shares, respectively.</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Stock-options and restricted stock units and awards activity under the Company’s equity incentive plans was as follows: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Stock Options</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126"/>
        </w:trPr>
        <w:tc>
          <w:tcPr>
            <w:tcW w:w="47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3"/>
            <w:vMerge w:val="restart"/>
          </w:tcPr>
          <w:p>
            <w:pPr>
              <w:ind w:left="800"/>
              <w:spacing w:after="0"/>
              <w:rPr>
                <w:sz w:val="20"/>
                <w:szCs w:val="20"/>
                <w:color w:val="auto"/>
              </w:rPr>
            </w:pPr>
            <w:r>
              <w:rPr>
                <w:rFonts w:ascii="Arial" w:cs="Arial" w:eastAsia="Arial" w:hAnsi="Arial"/>
                <w:sz w:val="11"/>
                <w:szCs w:val="11"/>
                <w:b w:val="1"/>
                <w:bCs w:val="1"/>
                <w:color w:val="auto"/>
              </w:rPr>
              <w:t>Weighted-</w:t>
            </w:r>
          </w:p>
        </w:tc>
        <w:tc>
          <w:tcPr>
            <w:tcW w:w="1260" w:type="dxa"/>
            <w:vAlign w:val="bottom"/>
            <w:gridSpan w:val="2"/>
          </w:tcPr>
          <w:p>
            <w:pPr>
              <w:jc w:val="center"/>
              <w:ind w:left="323"/>
              <w:spacing w:after="0"/>
              <w:rPr>
                <w:sz w:val="20"/>
                <w:szCs w:val="20"/>
                <w:color w:val="auto"/>
              </w:rPr>
            </w:pPr>
            <w:r>
              <w:rPr>
                <w:rFonts w:ascii="Arial" w:cs="Arial" w:eastAsia="Arial" w:hAnsi="Arial"/>
                <w:sz w:val="11"/>
                <w:szCs w:val="11"/>
                <w:b w:val="1"/>
                <w:bCs w:val="1"/>
                <w:color w:val="auto"/>
                <w:w w:val="90"/>
              </w:rPr>
              <w:t>Weighted-</w:t>
            </w:r>
          </w:p>
        </w:tc>
        <w:tc>
          <w:tcPr>
            <w:tcW w:w="6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126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86"/>
              </w:rPr>
              <w:t>average</w:t>
            </w:r>
          </w:p>
        </w:tc>
        <w:tc>
          <w:tcPr>
            <w:tcW w:w="600" w:type="dxa"/>
            <w:vAlign w:val="bottom"/>
          </w:tcPr>
          <w:p>
            <w:pPr>
              <w:spacing w:after="0"/>
              <w:rPr>
                <w:sz w:val="8"/>
                <w:szCs w:val="8"/>
                <w:color w:val="auto"/>
              </w:rPr>
            </w:pPr>
          </w:p>
        </w:tc>
        <w:tc>
          <w:tcPr>
            <w:tcW w:w="1080" w:type="dxa"/>
            <w:vAlign w:val="bottom"/>
            <w:vMerge w:val="restart"/>
          </w:tcPr>
          <w:p>
            <w:pPr>
              <w:jc w:val="right"/>
              <w:ind w:right="302"/>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02"/>
        </w:trPr>
        <w:tc>
          <w:tcPr>
            <w:tcW w:w="4720" w:type="dxa"/>
            <w:vAlign w:val="bottom"/>
          </w:tcPr>
          <w:p>
            <w:pPr>
              <w:spacing w:after="0"/>
              <w:rPr>
                <w:sz w:val="8"/>
                <w:szCs w:val="8"/>
                <w:color w:val="auto"/>
              </w:rPr>
            </w:pPr>
          </w:p>
        </w:tc>
        <w:tc>
          <w:tcPr>
            <w:tcW w:w="1180" w:type="dxa"/>
            <w:vAlign w:val="bottom"/>
            <w:vMerge w:val="restart"/>
          </w:tcPr>
          <w:p>
            <w:pPr>
              <w:jc w:val="right"/>
              <w:ind w:right="41"/>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8"/>
                <w:szCs w:val="8"/>
                <w:color w:val="auto"/>
              </w:rPr>
            </w:pPr>
          </w:p>
        </w:tc>
        <w:tc>
          <w:tcPr>
            <w:tcW w:w="1120" w:type="dxa"/>
            <w:vAlign w:val="bottom"/>
          </w:tcPr>
          <w:p>
            <w:pPr>
              <w:jc w:val="center"/>
              <w:ind w:left="386"/>
              <w:spacing w:after="0" w:line="102" w:lineRule="exact"/>
              <w:rPr>
                <w:sz w:val="20"/>
                <w:szCs w:val="20"/>
                <w:color w:val="auto"/>
              </w:rPr>
            </w:pPr>
            <w:r>
              <w:rPr>
                <w:rFonts w:ascii="Arial" w:cs="Arial" w:eastAsia="Arial" w:hAnsi="Arial"/>
                <w:sz w:val="11"/>
                <w:szCs w:val="11"/>
                <w:b w:val="1"/>
                <w:bCs w:val="1"/>
                <w:color w:val="auto"/>
                <w:w w:val="86"/>
              </w:rPr>
              <w:t>average</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91"/>
              </w:rPr>
              <w:t>remaining</w:t>
            </w:r>
          </w:p>
        </w:tc>
        <w:tc>
          <w:tcPr>
            <w:tcW w:w="6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7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jc w:val="center"/>
              <w:ind w:left="406"/>
              <w:spacing w:after="0" w:line="102" w:lineRule="exact"/>
              <w:rPr>
                <w:sz w:val="20"/>
                <w:szCs w:val="20"/>
                <w:color w:val="auto"/>
              </w:rPr>
            </w:pPr>
            <w:r>
              <w:rPr>
                <w:rFonts w:ascii="Arial" w:cs="Arial" w:eastAsia="Arial" w:hAnsi="Arial"/>
                <w:sz w:val="11"/>
                <w:szCs w:val="11"/>
                <w:b w:val="1"/>
                <w:bCs w:val="1"/>
                <w:color w:val="auto"/>
                <w:w w:val="86"/>
              </w:rPr>
              <w:t>exercise</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87"/>
              </w:rPr>
              <w:t>contractual</w:t>
            </w:r>
          </w:p>
        </w:tc>
        <w:tc>
          <w:tcPr>
            <w:tcW w:w="600" w:type="dxa"/>
            <w:vAlign w:val="bottom"/>
          </w:tcPr>
          <w:p>
            <w:pPr>
              <w:spacing w:after="0"/>
              <w:rPr>
                <w:sz w:val="8"/>
                <w:szCs w:val="8"/>
                <w:color w:val="auto"/>
              </w:rPr>
            </w:pPr>
          </w:p>
        </w:tc>
        <w:tc>
          <w:tcPr>
            <w:tcW w:w="1080" w:type="dxa"/>
            <w:vAlign w:val="bottom"/>
          </w:tcPr>
          <w:p>
            <w:pPr>
              <w:jc w:val="right"/>
              <w:ind w:right="602"/>
              <w:spacing w:after="0" w:line="102" w:lineRule="exact"/>
              <w:rPr>
                <w:sz w:val="20"/>
                <w:szCs w:val="20"/>
                <w:color w:val="auto"/>
              </w:rPr>
            </w:pPr>
            <w:r>
              <w:rPr>
                <w:rFonts w:ascii="Arial" w:cs="Arial" w:eastAsia="Arial" w:hAnsi="Arial"/>
                <w:sz w:val="11"/>
                <w:szCs w:val="11"/>
                <w:b w:val="1"/>
                <w:bCs w:val="1"/>
                <w:color w:val="auto"/>
                <w:w w:val="93"/>
              </w:rPr>
              <w:t>intrinsic</w:t>
            </w:r>
          </w:p>
        </w:tc>
        <w:tc>
          <w:tcPr>
            <w:tcW w:w="0" w:type="dxa"/>
            <w:vAlign w:val="bottom"/>
          </w:tcPr>
          <w:p>
            <w:pPr>
              <w:spacing w:after="0"/>
              <w:rPr>
                <w:sz w:val="1"/>
                <w:szCs w:val="1"/>
                <w:color w:val="auto"/>
              </w:rPr>
            </w:pPr>
          </w:p>
        </w:tc>
      </w:tr>
      <w:tr>
        <w:trPr>
          <w:trHeight w:val="102"/>
        </w:trPr>
        <w:tc>
          <w:tcPr>
            <w:tcW w:w="4720" w:type="dxa"/>
            <w:vAlign w:val="bottom"/>
          </w:tcPr>
          <w:p>
            <w:pPr>
              <w:spacing w:after="0"/>
              <w:rPr>
                <w:sz w:val="8"/>
                <w:szCs w:val="8"/>
                <w:color w:val="auto"/>
              </w:rPr>
            </w:pPr>
          </w:p>
        </w:tc>
        <w:tc>
          <w:tcPr>
            <w:tcW w:w="1180" w:type="dxa"/>
            <w:vAlign w:val="bottom"/>
          </w:tcPr>
          <w:p>
            <w:pPr>
              <w:jc w:val="right"/>
              <w:ind w:right="361"/>
              <w:spacing w:after="0" w:line="102" w:lineRule="exact"/>
              <w:rPr>
                <w:sz w:val="20"/>
                <w:szCs w:val="20"/>
                <w:color w:val="auto"/>
              </w:rPr>
            </w:pPr>
            <w:r>
              <w:rPr>
                <w:rFonts w:ascii="Arial" w:cs="Arial" w:eastAsia="Arial" w:hAnsi="Arial"/>
                <w:sz w:val="11"/>
                <w:szCs w:val="11"/>
                <w:b w:val="1"/>
                <w:bCs w:val="1"/>
                <w:color w:val="auto"/>
              </w:rPr>
              <w:t>options</w:t>
            </w:r>
          </w:p>
        </w:tc>
        <w:tc>
          <w:tcPr>
            <w:tcW w:w="100" w:type="dxa"/>
            <w:vAlign w:val="bottom"/>
          </w:tcPr>
          <w:p>
            <w:pPr>
              <w:spacing w:after="0"/>
              <w:rPr>
                <w:sz w:val="8"/>
                <w:szCs w:val="8"/>
                <w:color w:val="auto"/>
              </w:rPr>
            </w:pPr>
          </w:p>
        </w:tc>
        <w:tc>
          <w:tcPr>
            <w:tcW w:w="1120" w:type="dxa"/>
            <w:vAlign w:val="bottom"/>
          </w:tcPr>
          <w:p>
            <w:pPr>
              <w:jc w:val="center"/>
              <w:ind w:left="406"/>
              <w:spacing w:after="0" w:line="102" w:lineRule="exact"/>
              <w:rPr>
                <w:sz w:val="20"/>
                <w:szCs w:val="20"/>
                <w:color w:val="auto"/>
              </w:rPr>
            </w:pPr>
            <w:r>
              <w:rPr>
                <w:rFonts w:ascii="Arial" w:cs="Arial" w:eastAsia="Arial" w:hAnsi="Arial"/>
                <w:sz w:val="11"/>
                <w:szCs w:val="11"/>
                <w:b w:val="1"/>
                <w:bCs w:val="1"/>
                <w:color w:val="auto"/>
                <w:w w:val="83"/>
              </w:rPr>
              <w:t>price</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2"/>
              </w:rPr>
              <w:t>term</w:t>
            </w:r>
          </w:p>
        </w:tc>
        <w:tc>
          <w:tcPr>
            <w:tcW w:w="600" w:type="dxa"/>
            <w:vAlign w:val="bottom"/>
          </w:tcPr>
          <w:p>
            <w:pPr>
              <w:spacing w:after="0"/>
              <w:rPr>
                <w:sz w:val="8"/>
                <w:szCs w:val="8"/>
                <w:color w:val="auto"/>
              </w:rPr>
            </w:pPr>
          </w:p>
        </w:tc>
        <w:tc>
          <w:tcPr>
            <w:tcW w:w="1080" w:type="dxa"/>
            <w:vAlign w:val="bottom"/>
          </w:tcPr>
          <w:p>
            <w:pPr>
              <w:jc w:val="right"/>
              <w:ind w:right="662"/>
              <w:spacing w:after="0" w:line="102" w:lineRule="exact"/>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center"/>
              <w:ind w:left="406"/>
              <w:spacing w:after="0"/>
              <w:rPr>
                <w:sz w:val="20"/>
                <w:szCs w:val="20"/>
                <w:color w:val="auto"/>
              </w:rPr>
            </w:pPr>
            <w:r>
              <w:rPr>
                <w:rFonts w:ascii="Arial" w:cs="Arial" w:eastAsia="Arial" w:hAnsi="Arial"/>
                <w:sz w:val="11"/>
                <w:szCs w:val="11"/>
                <w:b w:val="1"/>
                <w:bCs w:val="1"/>
                <w:color w:val="auto"/>
                <w:w w:val="86"/>
              </w:rPr>
              <w:t>(Per share)</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(In years)</w:t>
            </w:r>
          </w:p>
        </w:tc>
        <w:tc>
          <w:tcPr>
            <w:tcW w:w="100" w:type="dxa"/>
            <w:vAlign w:val="bottom"/>
            <w:tcBorders>
              <w:bottom w:val="single" w:sz="8" w:color="CCEEFF"/>
            </w:tcBorders>
          </w:tcPr>
          <w:p>
            <w:pPr>
              <w:spacing w:after="0"/>
              <w:rPr>
                <w:sz w:val="12"/>
                <w:szCs w:val="12"/>
                <w:color w:val="auto"/>
              </w:rPr>
            </w:pPr>
          </w:p>
        </w:tc>
        <w:tc>
          <w:tcPr>
            <w:tcW w:w="1680" w:type="dxa"/>
            <w:vAlign w:val="bottom"/>
            <w:tcBorders>
              <w:bottom w:val="single" w:sz="8" w:color="auto"/>
            </w:tcBorders>
            <w:gridSpan w:val="2"/>
          </w:tcPr>
          <w:p>
            <w:pPr>
              <w:ind w:left="500"/>
              <w:spacing w:after="0"/>
              <w:rPr>
                <w:sz w:val="20"/>
                <w:szCs w:val="20"/>
                <w:color w:val="auto"/>
              </w:rPr>
            </w:pPr>
            <w:r>
              <w:rPr>
                <w:rFonts w:ascii="Arial" w:cs="Arial" w:eastAsia="Arial" w:hAnsi="Arial"/>
                <w:sz w:val="11"/>
                <w:szCs w:val="11"/>
                <w:b w:val="1"/>
                <w:bCs w:val="1"/>
                <w:color w:val="auto"/>
              </w:rPr>
              <w:t>(In thousands)</w:t>
            </w:r>
          </w:p>
        </w:tc>
        <w:tc>
          <w:tcPr>
            <w:tcW w:w="0" w:type="dxa"/>
            <w:vAlign w:val="bottom"/>
          </w:tcPr>
          <w:p>
            <w:pPr>
              <w:spacing w:after="0"/>
              <w:rPr>
                <w:sz w:val="1"/>
                <w:szCs w:val="1"/>
                <w:color w:val="auto"/>
              </w:rPr>
            </w:pPr>
          </w:p>
        </w:tc>
      </w:tr>
      <w:tr>
        <w:trPr>
          <w:trHeight w:val="154"/>
        </w:trPr>
        <w:tc>
          <w:tcPr>
            <w:tcW w:w="4720" w:type="dxa"/>
            <w:vAlign w:val="bottom"/>
            <w:shd w:val="clear" w:color="auto" w:fill="CCEEFF"/>
          </w:tcPr>
          <w:p>
            <w:pPr>
              <w:ind w:left="500"/>
              <w:spacing w:after="0"/>
              <w:rPr>
                <w:sz w:val="20"/>
                <w:szCs w:val="20"/>
                <w:color w:val="auto"/>
              </w:rPr>
            </w:pPr>
            <w:r>
              <w:rPr>
                <w:rFonts w:ascii="Arial" w:cs="Arial" w:eastAsia="Arial" w:hAnsi="Arial"/>
                <w:sz w:val="12"/>
                <w:szCs w:val="12"/>
                <w:color w:val="auto"/>
              </w:rPr>
              <w:t>Outstanding options as of December 31, 2020</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5,070,735</w:t>
            </w:r>
          </w:p>
        </w:tc>
        <w:tc>
          <w:tcPr>
            <w:tcW w:w="1220" w:type="dxa"/>
            <w:vAlign w:val="bottom"/>
            <w:gridSpan w:val="2"/>
            <w:shd w:val="clear" w:color="auto" w:fill="CCEEFF"/>
          </w:tcPr>
          <w:p>
            <w:pPr>
              <w:jc w:val="right"/>
              <w:ind w:right="506"/>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51.71</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center"/>
              <w:ind w:left="423"/>
              <w:spacing w:after="0"/>
              <w:rPr>
                <w:sz w:val="20"/>
                <w:szCs w:val="20"/>
                <w:color w:val="auto"/>
              </w:rPr>
            </w:pPr>
            <w:r>
              <w:rPr>
                <w:rFonts w:ascii="Arial" w:cs="Arial" w:eastAsia="Arial" w:hAnsi="Arial"/>
                <w:sz w:val="12"/>
                <w:szCs w:val="12"/>
                <w:color w:val="auto"/>
                <w:w w:val="85"/>
              </w:rPr>
              <w:t>6.85</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1,454,222</w:t>
            </w:r>
          </w:p>
        </w:tc>
        <w:tc>
          <w:tcPr>
            <w:tcW w:w="0" w:type="dxa"/>
            <w:vAlign w:val="bottom"/>
          </w:tcPr>
          <w:p>
            <w:pPr>
              <w:spacing w:after="0"/>
              <w:rPr>
                <w:sz w:val="1"/>
                <w:szCs w:val="1"/>
                <w:color w:val="auto"/>
              </w:rPr>
            </w:pPr>
          </w:p>
        </w:tc>
      </w:tr>
      <w:tr>
        <w:trPr>
          <w:trHeight w:val="161"/>
        </w:trPr>
        <w:tc>
          <w:tcPr>
            <w:tcW w:w="4720" w:type="dxa"/>
            <w:vAlign w:val="bottom"/>
          </w:tcPr>
          <w:p>
            <w:pPr>
              <w:ind w:left="660"/>
              <w:spacing w:after="0"/>
              <w:rPr>
                <w:sz w:val="20"/>
                <w:szCs w:val="20"/>
                <w:color w:val="auto"/>
              </w:rPr>
            </w:pPr>
            <w:r>
              <w:rPr>
                <w:rFonts w:ascii="Arial" w:cs="Arial" w:eastAsia="Arial" w:hAnsi="Arial"/>
                <w:sz w:val="12"/>
                <w:szCs w:val="12"/>
                <w:color w:val="auto"/>
              </w:rPr>
              <w:t>Granted</w:t>
            </w: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249,842</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368.82</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720" w:type="dxa"/>
            <w:vAlign w:val="bottom"/>
            <w:shd w:val="clear" w:color="auto" w:fill="CCEEFF"/>
          </w:tcPr>
          <w:p>
            <w:pPr>
              <w:ind w:left="660"/>
              <w:spacing w:after="0"/>
              <w:rPr>
                <w:sz w:val="20"/>
                <w:szCs w:val="20"/>
                <w:color w:val="auto"/>
              </w:rPr>
            </w:pPr>
            <w:r>
              <w:rPr>
                <w:rFonts w:ascii="Arial" w:cs="Arial" w:eastAsia="Arial" w:hAnsi="Arial"/>
                <w:sz w:val="12"/>
                <w:szCs w:val="12"/>
                <w:color w:val="auto"/>
              </w:rPr>
              <w:t>Assumed in acquisition</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83,539</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49.26</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20" w:type="dxa"/>
            <w:vAlign w:val="bottom"/>
          </w:tcPr>
          <w:p>
            <w:pPr>
              <w:ind w:left="660"/>
              <w:spacing w:after="0"/>
              <w:rPr>
                <w:sz w:val="20"/>
                <w:szCs w:val="20"/>
                <w:color w:val="auto"/>
              </w:rPr>
            </w:pPr>
            <w:r>
              <w:rPr>
                <w:rFonts w:ascii="Arial" w:cs="Arial" w:eastAsia="Arial" w:hAnsi="Arial"/>
                <w:sz w:val="12"/>
                <w:szCs w:val="12"/>
                <w:color w:val="auto"/>
              </w:rPr>
              <w:t>Exercised</w:t>
            </w:r>
          </w:p>
        </w:tc>
        <w:tc>
          <w:tcPr>
            <w:tcW w:w="1180" w:type="dxa"/>
            <w:vAlign w:val="bottom"/>
          </w:tcPr>
          <w:p>
            <w:pPr>
              <w:jc w:val="right"/>
              <w:spacing w:after="0"/>
              <w:rPr>
                <w:sz w:val="20"/>
                <w:szCs w:val="20"/>
                <w:color w:val="auto"/>
              </w:rPr>
            </w:pPr>
            <w:r>
              <w:rPr>
                <w:rFonts w:ascii="Arial" w:cs="Arial" w:eastAsia="Arial" w:hAnsi="Arial"/>
                <w:sz w:val="12"/>
                <w:szCs w:val="12"/>
                <w:color w:val="auto"/>
              </w:rPr>
              <w:t>(1,122,523)</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42.76</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720" w:type="dxa"/>
            <w:vAlign w:val="bottom"/>
            <w:shd w:val="clear" w:color="auto" w:fill="CCEEFF"/>
          </w:tcPr>
          <w:p>
            <w:pPr>
              <w:ind w:left="660"/>
              <w:spacing w:after="0"/>
              <w:rPr>
                <w:sz w:val="20"/>
                <w:szCs w:val="20"/>
                <w:color w:val="auto"/>
              </w:rPr>
            </w:pPr>
            <w:r>
              <w:rPr>
                <w:rFonts w:ascii="Arial" w:cs="Arial" w:eastAsia="Arial" w:hAnsi="Arial"/>
                <w:sz w:val="12"/>
                <w:szCs w:val="12"/>
                <w:color w:val="auto"/>
              </w:rPr>
              <w:t>Forfeited and canceled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(325,607)</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120.73</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tcPr>
          <w:p>
            <w:pPr>
              <w:ind w:left="500"/>
              <w:spacing w:after="0"/>
              <w:rPr>
                <w:sz w:val="20"/>
                <w:szCs w:val="20"/>
                <w:color w:val="auto"/>
              </w:rPr>
            </w:pPr>
            <w:r>
              <w:rPr>
                <w:rFonts w:ascii="Arial" w:cs="Arial" w:eastAsia="Arial" w:hAnsi="Arial"/>
                <w:sz w:val="12"/>
                <w:szCs w:val="12"/>
                <w:color w:val="auto"/>
              </w:rPr>
              <w:t>Outstanding options as of September 30, 2021</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3,955,986</w:t>
            </w:r>
          </w:p>
        </w:tc>
        <w:tc>
          <w:tcPr>
            <w:tcW w:w="1220" w:type="dxa"/>
            <w:vAlign w:val="bottom"/>
            <w:gridSpan w:val="2"/>
          </w:tcPr>
          <w:p>
            <w:pPr>
              <w:jc w:val="right"/>
              <w:ind w:right="506"/>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68.53</w:t>
            </w:r>
          </w:p>
        </w:tc>
        <w:tc>
          <w:tcPr>
            <w:tcW w:w="80" w:type="dxa"/>
            <w:vAlign w:val="bottom"/>
          </w:tcPr>
          <w:p>
            <w:pPr>
              <w:spacing w:after="0"/>
              <w:rPr>
                <w:sz w:val="13"/>
                <w:szCs w:val="13"/>
                <w:color w:val="auto"/>
              </w:rPr>
            </w:pPr>
          </w:p>
        </w:tc>
        <w:tc>
          <w:tcPr>
            <w:tcW w:w="1160" w:type="dxa"/>
            <w:vAlign w:val="bottom"/>
          </w:tcPr>
          <w:p>
            <w:pPr>
              <w:jc w:val="center"/>
              <w:ind w:left="423"/>
              <w:spacing w:after="0"/>
              <w:rPr>
                <w:sz w:val="20"/>
                <w:szCs w:val="20"/>
                <w:color w:val="auto"/>
              </w:rPr>
            </w:pPr>
            <w:r>
              <w:rPr>
                <w:rFonts w:ascii="Arial" w:cs="Arial" w:eastAsia="Arial" w:hAnsi="Arial"/>
                <w:sz w:val="12"/>
                <w:szCs w:val="12"/>
                <w:color w:val="auto"/>
                <w:w w:val="85"/>
              </w:rPr>
              <w:t>6.21</w:t>
            </w:r>
          </w:p>
        </w:tc>
        <w:tc>
          <w:tcPr>
            <w:tcW w:w="100" w:type="dxa"/>
            <w:vAlign w:val="bottom"/>
          </w:tcPr>
          <w:p>
            <w:pPr>
              <w:spacing w:after="0"/>
              <w:rPr>
                <w:sz w:val="13"/>
                <w:szCs w:val="13"/>
                <w:color w:val="auto"/>
              </w:rPr>
            </w:pPr>
          </w:p>
        </w:tc>
        <w:tc>
          <w:tcPr>
            <w:tcW w:w="600" w:type="dxa"/>
            <w:vAlign w:val="bottom"/>
          </w:tcPr>
          <w:p>
            <w:pPr>
              <w:ind w:left="480"/>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1,002,796</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Options vested and exercisable as of September 30, 2021</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2,482,865</w:t>
            </w:r>
          </w:p>
        </w:tc>
        <w:tc>
          <w:tcPr>
            <w:tcW w:w="1220" w:type="dxa"/>
            <w:vAlign w:val="bottom"/>
            <w:tcBorders>
              <w:bottom w:val="single" w:sz="8" w:color="CCEEFF"/>
            </w:tcBorders>
            <w:gridSpan w:val="2"/>
            <w:shd w:val="clear" w:color="auto" w:fill="CCEEFF"/>
          </w:tcPr>
          <w:p>
            <w:pPr>
              <w:jc w:val="right"/>
              <w:ind w:right="506"/>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28.83</w:t>
            </w:r>
          </w:p>
        </w:tc>
        <w:tc>
          <w:tcPr>
            <w:tcW w:w="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center"/>
              <w:ind w:left="423"/>
              <w:spacing w:after="0"/>
              <w:rPr>
                <w:sz w:val="20"/>
                <w:szCs w:val="20"/>
                <w:color w:val="auto"/>
              </w:rPr>
            </w:pPr>
            <w:r>
              <w:rPr>
                <w:rFonts w:ascii="Arial" w:cs="Arial" w:eastAsia="Arial" w:hAnsi="Arial"/>
                <w:sz w:val="12"/>
                <w:szCs w:val="12"/>
                <w:color w:val="auto"/>
                <w:w w:val="85"/>
              </w:rPr>
              <w:t>5.03</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721,478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tbl>
      <w:tblPr>
        <w:tblLayout w:type="fixed"/>
        <w:tblInd w:w="620" w:type="dxa"/>
        <w:tblCellMar>
          <w:top w:w="0" w:type="dxa"/>
          <w:left w:w="0" w:type="dxa"/>
          <w:bottom w:w="0" w:type="dxa"/>
          <w:right w:w="0" w:type="dxa"/>
        </w:tblCellMar>
      </w:tblPr>
      <w:tr>
        <w:trPr>
          <w:trHeight w:val="138"/>
        </w:trPr>
        <w:tc>
          <w:tcPr>
            <w:tcW w:w="3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40" w:type="dxa"/>
            <w:vAlign w:val="bottom"/>
            <w:gridSpan w:val="2"/>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60" w:type="dxa"/>
            <w:vAlign w:val="bottom"/>
            <w:gridSpan w:val="2"/>
          </w:tcPr>
          <w:p>
            <w:pPr>
              <w:jc w:val="right"/>
              <w:ind w:right="19"/>
              <w:spacing w:after="0"/>
              <w:rPr>
                <w:sz w:val="20"/>
                <w:szCs w:val="20"/>
                <w:color w:val="auto"/>
              </w:rPr>
            </w:pPr>
            <w:r>
              <w:rPr>
                <w:rFonts w:ascii="Arial" w:cs="Arial" w:eastAsia="Arial" w:hAnsi="Arial"/>
                <w:sz w:val="12"/>
                <w:szCs w:val="12"/>
                <w:b w:val="1"/>
                <w:bCs w:val="1"/>
                <w:color w:val="auto"/>
              </w:rPr>
              <w:t>Nine Months Ended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59"/>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79"/>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3"/>
        </w:trPr>
        <w:tc>
          <w:tcPr>
            <w:tcW w:w="3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960" w:type="dxa"/>
            <w:vAlign w:val="bottom"/>
            <w:gridSpan w:val="4"/>
          </w:tcPr>
          <w:p>
            <w:pPr>
              <w:jc w:val="right"/>
              <w:ind w:right="819"/>
              <w:spacing w:after="0"/>
              <w:rPr>
                <w:sz w:val="20"/>
                <w:szCs w:val="20"/>
                <w:color w:val="auto"/>
              </w:rPr>
            </w:pPr>
            <w:r>
              <w:rPr>
                <w:rFonts w:ascii="Arial" w:cs="Arial" w:eastAsia="Arial" w:hAnsi="Arial"/>
                <w:sz w:val="12"/>
                <w:szCs w:val="12"/>
                <w:color w:val="auto"/>
                <w:w w:val="92"/>
              </w:rPr>
              <w:t>(In thousands, except per share amounts)</w:t>
            </w: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CCEEFF"/>
          </w:tcPr>
          <w:p>
            <w:pPr>
              <w:ind w:left="500"/>
              <w:spacing w:after="0" w:line="166" w:lineRule="exact"/>
              <w:rPr>
                <w:sz w:val="20"/>
                <w:szCs w:val="20"/>
                <w:color w:val="auto"/>
              </w:rPr>
            </w:pPr>
            <w:r>
              <w:rPr>
                <w:rFonts w:ascii="Arial" w:cs="Arial" w:eastAsia="Arial" w:hAnsi="Arial"/>
                <w:sz w:val="12"/>
                <w:szCs w:val="12"/>
                <w:color w:val="auto"/>
              </w:rPr>
              <w:t xml:space="preserve">Aggregate intrinsic value of stock options exercised </w:t>
            </w:r>
            <w:r>
              <w:rPr>
                <w:rFonts w:ascii="Arial" w:cs="Arial" w:eastAsia="Arial" w:hAnsi="Arial"/>
                <w:sz w:val="15"/>
                <w:szCs w:val="15"/>
                <w:color w:val="auto"/>
                <w:vertAlign w:val="superscript"/>
              </w:rPr>
              <w:t>(1)</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jc w:val="right"/>
              <w:ind w:right="499"/>
              <w:spacing w:after="0"/>
              <w:rPr>
                <w:sz w:val="20"/>
                <w:szCs w:val="20"/>
                <w:color w:val="auto"/>
              </w:rPr>
            </w:pPr>
            <w:r>
              <w:rPr>
                <w:rFonts w:ascii="Arial" w:cs="Arial" w:eastAsia="Arial" w:hAnsi="Arial"/>
                <w:sz w:val="12"/>
                <w:szCs w:val="12"/>
                <w:color w:val="auto"/>
              </w:rPr>
              <w:t>93,920</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89,808</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499"/>
              <w:spacing w:after="0"/>
              <w:rPr>
                <w:sz w:val="20"/>
                <w:szCs w:val="20"/>
                <w:color w:val="auto"/>
              </w:rPr>
            </w:pPr>
            <w:r>
              <w:rPr>
                <w:rFonts w:ascii="Arial" w:cs="Arial" w:eastAsia="Arial" w:hAnsi="Arial"/>
                <w:sz w:val="12"/>
                <w:szCs w:val="12"/>
                <w:color w:val="auto"/>
              </w:rPr>
              <w:t>359,904</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496,198</w:t>
            </w:r>
          </w:p>
        </w:tc>
        <w:tc>
          <w:tcPr>
            <w:tcW w:w="0" w:type="dxa"/>
            <w:vAlign w:val="bottom"/>
          </w:tcPr>
          <w:p>
            <w:pPr>
              <w:spacing w:after="0"/>
              <w:rPr>
                <w:sz w:val="1"/>
                <w:szCs w:val="1"/>
                <w:color w:val="auto"/>
              </w:rPr>
            </w:pPr>
          </w:p>
        </w:tc>
      </w:tr>
      <w:tr>
        <w:trPr>
          <w:trHeight w:val="161"/>
        </w:trPr>
        <w:tc>
          <w:tcPr>
            <w:tcW w:w="3920" w:type="dxa"/>
            <w:vAlign w:val="bottom"/>
          </w:tcPr>
          <w:p>
            <w:pPr>
              <w:ind w:left="500"/>
              <w:spacing w:after="0"/>
              <w:rPr>
                <w:sz w:val="20"/>
                <w:szCs w:val="20"/>
                <w:color w:val="auto"/>
              </w:rPr>
            </w:pPr>
            <w:r>
              <w:rPr>
                <w:rFonts w:ascii="Arial" w:cs="Arial" w:eastAsia="Arial" w:hAnsi="Arial"/>
                <w:sz w:val="12"/>
                <w:szCs w:val="12"/>
                <w:color w:val="auto"/>
              </w:rPr>
              <w:t>Total estimated grant date fair value of options vested</w:t>
            </w:r>
          </w:p>
        </w:tc>
        <w:tc>
          <w:tcPr>
            <w:tcW w:w="74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1340" w:type="dxa"/>
            <w:vAlign w:val="bottom"/>
          </w:tcPr>
          <w:p>
            <w:pPr>
              <w:jc w:val="right"/>
              <w:ind w:right="499"/>
              <w:spacing w:after="0"/>
              <w:rPr>
                <w:sz w:val="20"/>
                <w:szCs w:val="20"/>
                <w:color w:val="auto"/>
              </w:rPr>
            </w:pPr>
            <w:r>
              <w:rPr>
                <w:rFonts w:ascii="Arial" w:cs="Arial" w:eastAsia="Arial" w:hAnsi="Arial"/>
                <w:sz w:val="12"/>
                <w:szCs w:val="12"/>
                <w:color w:val="auto"/>
              </w:rPr>
              <w:t>27,629</w:t>
            </w:r>
          </w:p>
        </w:tc>
        <w:tc>
          <w:tcPr>
            <w:tcW w:w="40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12,090</w:t>
            </w:r>
          </w:p>
        </w:tc>
        <w:tc>
          <w:tcPr>
            <w:tcW w:w="100" w:type="dxa"/>
            <w:vAlign w:val="bottom"/>
          </w:tcPr>
          <w:p>
            <w:pPr>
              <w:spacing w:after="0"/>
              <w:rPr>
                <w:sz w:val="13"/>
                <w:szCs w:val="13"/>
                <w:color w:val="auto"/>
              </w:rPr>
            </w:pPr>
          </w:p>
        </w:tc>
        <w:tc>
          <w:tcPr>
            <w:tcW w:w="74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499"/>
              <w:spacing w:after="0"/>
              <w:rPr>
                <w:sz w:val="20"/>
                <w:szCs w:val="20"/>
                <w:color w:val="auto"/>
              </w:rPr>
            </w:pPr>
            <w:r>
              <w:rPr>
                <w:rFonts w:ascii="Arial" w:cs="Arial" w:eastAsia="Arial" w:hAnsi="Arial"/>
                <w:sz w:val="12"/>
                <w:szCs w:val="12"/>
                <w:color w:val="auto"/>
              </w:rPr>
              <w:t>105,481</w:t>
            </w:r>
          </w:p>
        </w:tc>
        <w:tc>
          <w:tcPr>
            <w:tcW w:w="40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53,110</w:t>
            </w:r>
          </w:p>
        </w:tc>
        <w:tc>
          <w:tcPr>
            <w:tcW w:w="0" w:type="dxa"/>
            <w:vAlign w:val="bottom"/>
          </w:tcPr>
          <w:p>
            <w:pPr>
              <w:spacing w:after="0"/>
              <w:rPr>
                <w:sz w:val="1"/>
                <w:szCs w:val="1"/>
                <w:color w:val="auto"/>
              </w:rPr>
            </w:pPr>
          </w:p>
        </w:tc>
      </w:tr>
      <w:tr>
        <w:trPr>
          <w:trHeight w:val="128"/>
        </w:trPr>
        <w:tc>
          <w:tcPr>
            <w:tcW w:w="3920" w:type="dxa"/>
            <w:vAlign w:val="bottom"/>
            <w:shd w:val="clear" w:color="auto" w:fill="CCEEFF"/>
          </w:tcPr>
          <w:p>
            <w:pPr>
              <w:ind w:left="500"/>
              <w:spacing w:after="0" w:line="128" w:lineRule="exact"/>
              <w:rPr>
                <w:sz w:val="20"/>
                <w:szCs w:val="20"/>
                <w:color w:val="auto"/>
              </w:rPr>
            </w:pPr>
            <w:r>
              <w:rPr>
                <w:rFonts w:ascii="Arial" w:cs="Arial" w:eastAsia="Arial" w:hAnsi="Arial"/>
                <w:sz w:val="12"/>
                <w:szCs w:val="12"/>
                <w:color w:val="auto"/>
                <w:w w:val="94"/>
              </w:rPr>
              <w:t>Weighted-average grant date fair value per share of options granted</w:t>
            </w:r>
          </w:p>
        </w:tc>
        <w:tc>
          <w:tcPr>
            <w:tcW w:w="740" w:type="dxa"/>
            <w:vAlign w:val="bottom"/>
            <w:vMerge w:val="restart"/>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340" w:type="dxa"/>
            <w:vAlign w:val="bottom"/>
            <w:vMerge w:val="restart"/>
            <w:shd w:val="clear" w:color="auto" w:fill="CCEEFF"/>
          </w:tcPr>
          <w:p>
            <w:pPr>
              <w:jc w:val="right"/>
              <w:ind w:right="499"/>
              <w:spacing w:after="0"/>
              <w:rPr>
                <w:sz w:val="20"/>
                <w:szCs w:val="20"/>
                <w:color w:val="auto"/>
              </w:rPr>
            </w:pPr>
            <w:r>
              <w:rPr>
                <w:rFonts w:ascii="Arial" w:cs="Arial" w:eastAsia="Arial" w:hAnsi="Arial"/>
                <w:sz w:val="12"/>
                <w:szCs w:val="12"/>
                <w:color w:val="auto"/>
              </w:rPr>
              <w:t>331.57</w:t>
            </w:r>
          </w:p>
        </w:tc>
        <w:tc>
          <w:tcPr>
            <w:tcW w:w="40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360" w:type="dxa"/>
            <w:vAlign w:val="bottom"/>
            <w:vMerge w:val="restart"/>
            <w:shd w:val="clear" w:color="auto" w:fill="CCEEFF"/>
          </w:tcPr>
          <w:p>
            <w:pPr>
              <w:jc w:val="right"/>
              <w:ind w:right="499"/>
              <w:spacing w:after="0"/>
              <w:rPr>
                <w:sz w:val="20"/>
                <w:szCs w:val="20"/>
                <w:color w:val="auto"/>
              </w:rPr>
            </w:pPr>
            <w:r>
              <w:rPr>
                <w:rFonts w:ascii="Arial" w:cs="Arial" w:eastAsia="Arial" w:hAnsi="Arial"/>
                <w:sz w:val="12"/>
                <w:szCs w:val="12"/>
                <w:color w:val="auto"/>
              </w:rPr>
              <w:t>234.74</w:t>
            </w:r>
          </w:p>
        </w:tc>
        <w:tc>
          <w:tcPr>
            <w:tcW w:w="40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64.06</w:t>
            </w:r>
          </w:p>
        </w:tc>
        <w:tc>
          <w:tcPr>
            <w:tcW w:w="0" w:type="dxa"/>
            <w:vAlign w:val="bottom"/>
          </w:tcPr>
          <w:p>
            <w:pPr>
              <w:spacing w:after="0"/>
              <w:rPr>
                <w:sz w:val="1"/>
                <w:szCs w:val="1"/>
                <w:color w:val="auto"/>
              </w:rPr>
            </w:pPr>
          </w:p>
        </w:tc>
      </w:tr>
      <w:tr>
        <w:trPr>
          <w:trHeight w:val="160"/>
        </w:trPr>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or assumed in acquisition</w:t>
            </w:r>
          </w:p>
        </w:tc>
        <w:tc>
          <w:tcPr>
            <w:tcW w:w="740" w:type="dxa"/>
            <w:vAlign w:val="bottom"/>
            <w:vMerge w:val="continue"/>
            <w:shd w:val="clear" w:color="auto" w:fill="CCEEFF"/>
          </w:tcPr>
          <w:p>
            <w:pPr>
              <w:spacing w:after="0"/>
              <w:rPr>
                <w:sz w:val="13"/>
                <w:szCs w:val="13"/>
                <w:color w:val="auto"/>
              </w:rPr>
            </w:pPr>
          </w:p>
        </w:tc>
        <w:tc>
          <w:tcPr>
            <w:tcW w:w="1340" w:type="dxa"/>
            <w:vAlign w:val="bottom"/>
            <w:vMerge w:val="continue"/>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360" w:type="dxa"/>
            <w:vAlign w:val="bottom"/>
            <w:vMerge w:val="continue"/>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____________________________________</w:t>
      </w:r>
    </w:p>
    <w:p>
      <w:pPr>
        <w:spacing w:after="0" w:line="12" w:lineRule="exact"/>
        <w:rPr>
          <w:sz w:val="20"/>
          <w:szCs w:val="20"/>
          <w:color w:val="auto"/>
        </w:rPr>
      </w:pPr>
    </w:p>
    <w:p>
      <w:pPr>
        <w:ind w:left="360" w:right="180"/>
        <w:spacing w:after="0" w:line="224" w:lineRule="auto"/>
        <w:rPr>
          <w:sz w:val="20"/>
          <w:szCs w:val="20"/>
          <w:color w:val="auto"/>
        </w:rPr>
      </w:pPr>
      <w:r>
        <w:rPr>
          <w:rFonts w:ascii="Arial" w:cs="Arial" w:eastAsia="Arial" w:hAnsi="Arial"/>
          <w:sz w:val="17"/>
          <w:szCs w:val="17"/>
          <w:color w:val="auto"/>
          <w:vertAlign w:val="superscript"/>
        </w:rPr>
        <w:t>(</w:t>
      </w:r>
      <w:r>
        <w:rPr>
          <w:rFonts w:ascii="Arial" w:cs="Arial" w:eastAsia="Arial" w:hAnsi="Arial"/>
          <w:sz w:val="7"/>
          <w:szCs w:val="7"/>
          <w:color w:val="auto"/>
        </w:rPr>
        <w:t>1</w:t>
      </w:r>
      <w:r>
        <w:rPr>
          <w:rFonts w:ascii="Arial" w:cs="Arial" w:eastAsia="Arial" w:hAnsi="Arial"/>
          <w:sz w:val="17"/>
          <w:szCs w:val="17"/>
          <w:color w:val="auto"/>
          <w:vertAlign w:val="superscript"/>
        </w:rPr>
        <w:t>)</w:t>
      </w:r>
      <w:r>
        <w:rPr>
          <w:rFonts w:ascii="Arial" w:cs="Arial" w:eastAsia="Arial" w:hAnsi="Arial"/>
          <w:sz w:val="7"/>
          <w:szCs w:val="7"/>
          <w:color w:val="auto"/>
        </w:rPr>
        <w:t xml:space="preserve"> </w:t>
      </w:r>
      <w:r>
        <w:rPr>
          <w:rFonts w:ascii="Arial" w:cs="Arial" w:eastAsia="Arial" w:hAnsi="Arial"/>
          <w:sz w:val="12"/>
          <w:szCs w:val="12"/>
          <w:color w:val="auto"/>
        </w:rPr>
        <w:t>Aggregate intrinsic value represents the difference between the fair value of the Company’s Class A common stock as reported on the New York Stock Exchange and the exercise price of outstanding “in-the-money”</w:t>
      </w:r>
      <w:r>
        <w:rPr>
          <w:rFonts w:ascii="Arial" w:cs="Arial" w:eastAsia="Arial" w:hAnsi="Arial"/>
          <w:sz w:val="7"/>
          <w:szCs w:val="7"/>
          <w:color w:val="auto"/>
        </w:rPr>
        <w:t xml:space="preserve"> </w:t>
      </w:r>
      <w:r>
        <w:rPr>
          <w:rFonts w:ascii="Arial" w:cs="Arial" w:eastAsia="Arial" w:hAnsi="Arial"/>
          <w:sz w:val="12"/>
          <w:szCs w:val="12"/>
          <w:color w:val="auto"/>
        </w:rPr>
        <w:t>options.</w:t>
      </w:r>
    </w:p>
    <w:p>
      <w:pPr>
        <w:spacing w:after="0" w:line="148" w:lineRule="exact"/>
        <w:rPr>
          <w:sz w:val="20"/>
          <w:szCs w:val="20"/>
          <w:color w:val="auto"/>
        </w:rPr>
      </w:pPr>
    </w:p>
    <w:p>
      <w:pPr>
        <w:ind w:right="160" w:firstLine="367"/>
        <w:spacing w:after="0" w:line="261" w:lineRule="auto"/>
        <w:rPr>
          <w:sz w:val="20"/>
          <w:szCs w:val="20"/>
          <w:color w:val="auto"/>
        </w:rPr>
      </w:pPr>
      <w:r>
        <w:rPr>
          <w:rFonts w:ascii="Arial" w:cs="Arial" w:eastAsia="Arial" w:hAnsi="Arial"/>
          <w:sz w:val="14"/>
          <w:szCs w:val="14"/>
          <w:color w:val="auto"/>
        </w:rPr>
        <w:t>Additionally, as of September 30, 2021, the Company had outstanding 555,000 shares of performance-based stock options with a weighted average exercise price of $31.72, of which 555,000 were vested and exercisable. All performance conditions have been met.</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Restricted Stock Units and Awards</w:t>
      </w:r>
    </w:p>
    <w:p>
      <w:pPr>
        <w:spacing w:after="0" w:line="172" w:lineRule="exact"/>
        <w:rPr>
          <w:sz w:val="20"/>
          <w:szCs w:val="20"/>
          <w:color w:val="auto"/>
        </w:rPr>
      </w:pPr>
    </w:p>
    <w:tbl>
      <w:tblPr>
        <w:tblLayout w:type="fixed"/>
        <w:tblInd w:w="780" w:type="dxa"/>
        <w:tblCellMar>
          <w:top w:w="0" w:type="dxa"/>
          <w:left w:w="0" w:type="dxa"/>
          <w:bottom w:w="0" w:type="dxa"/>
          <w:right w:w="0" w:type="dxa"/>
        </w:tblCellMar>
      </w:tblPr>
      <w:tr>
        <w:trPr>
          <w:trHeight w:val="126"/>
        </w:trPr>
        <w:tc>
          <w:tcPr>
            <w:tcW w:w="5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3"/>
          </w:tcPr>
          <w:p>
            <w:pPr>
              <w:ind w:left="680"/>
              <w:spacing w:after="0"/>
              <w:rPr>
                <w:sz w:val="20"/>
                <w:szCs w:val="20"/>
                <w:color w:val="auto"/>
              </w:rPr>
            </w:pPr>
            <w:r>
              <w:rPr>
                <w:rFonts w:ascii="Arial" w:cs="Arial" w:eastAsia="Arial" w:hAnsi="Arial"/>
                <w:sz w:val="11"/>
                <w:szCs w:val="11"/>
                <w:b w:val="1"/>
                <w:bCs w:val="1"/>
                <w:color w:val="auto"/>
              </w:rPr>
              <w:t>Weighted-</w:t>
            </w:r>
          </w:p>
        </w:tc>
        <w:tc>
          <w:tcPr>
            <w:tcW w:w="440" w:type="dxa"/>
            <w:vAlign w:val="bottom"/>
          </w:tcPr>
          <w:p>
            <w:pPr>
              <w:spacing w:after="0"/>
              <w:rPr>
                <w:sz w:val="10"/>
                <w:szCs w:val="10"/>
                <w:color w:val="auto"/>
              </w:rPr>
            </w:pPr>
          </w:p>
        </w:tc>
        <w:tc>
          <w:tcPr>
            <w:tcW w:w="1120" w:type="dxa"/>
            <w:vAlign w:val="bottom"/>
            <w:vMerge w:val="restart"/>
          </w:tcPr>
          <w:p>
            <w:pPr>
              <w:jc w:val="right"/>
              <w:ind w:right="303"/>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02"/>
        </w:trPr>
        <w:tc>
          <w:tcPr>
            <w:tcW w:w="5680" w:type="dxa"/>
            <w:vAlign w:val="bottom"/>
          </w:tcPr>
          <w:p>
            <w:pPr>
              <w:spacing w:after="0"/>
              <w:rPr>
                <w:sz w:val="8"/>
                <w:szCs w:val="8"/>
                <w:color w:val="auto"/>
              </w:rPr>
            </w:pPr>
          </w:p>
        </w:tc>
        <w:tc>
          <w:tcPr>
            <w:tcW w:w="1160" w:type="dxa"/>
            <w:vAlign w:val="bottom"/>
            <w:vMerge w:val="restart"/>
          </w:tcPr>
          <w:p>
            <w:pPr>
              <w:jc w:val="right"/>
              <w:ind w:right="101"/>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8"/>
                <w:szCs w:val="8"/>
                <w:color w:val="auto"/>
              </w:rPr>
            </w:pPr>
          </w:p>
        </w:tc>
        <w:tc>
          <w:tcPr>
            <w:tcW w:w="1040" w:type="dxa"/>
            <w:vAlign w:val="bottom"/>
          </w:tcPr>
          <w:p>
            <w:pPr>
              <w:jc w:val="center"/>
              <w:ind w:left="386"/>
              <w:spacing w:after="0" w:line="102" w:lineRule="exact"/>
              <w:rPr>
                <w:sz w:val="20"/>
                <w:szCs w:val="20"/>
                <w:color w:val="auto"/>
              </w:rPr>
            </w:pPr>
            <w:r>
              <w:rPr>
                <w:rFonts w:ascii="Arial" w:cs="Arial" w:eastAsia="Arial" w:hAnsi="Arial"/>
                <w:sz w:val="11"/>
                <w:szCs w:val="11"/>
                <w:b w:val="1"/>
                <w:bCs w:val="1"/>
                <w:color w:val="auto"/>
                <w:w w:val="86"/>
              </w:rPr>
              <w:t>average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jc w:val="center"/>
              <w:ind w:left="386"/>
              <w:spacing w:after="0" w:line="102" w:lineRule="exact"/>
              <w:rPr>
                <w:sz w:val="20"/>
                <w:szCs w:val="20"/>
                <w:color w:val="auto"/>
              </w:rPr>
            </w:pPr>
            <w:r>
              <w:rPr>
                <w:rFonts w:ascii="Arial" w:cs="Arial" w:eastAsia="Arial" w:hAnsi="Arial"/>
                <w:sz w:val="11"/>
                <w:szCs w:val="11"/>
                <w:b w:val="1"/>
                <w:bCs w:val="1"/>
                <w:color w:val="auto"/>
                <w:w w:val="90"/>
              </w:rPr>
              <w:t>grant date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jc w:val="center"/>
              <w:ind w:right="383"/>
              <w:spacing w:after="0" w:line="102" w:lineRule="exact"/>
              <w:rPr>
                <w:sz w:val="20"/>
                <w:szCs w:val="20"/>
                <w:color w:val="auto"/>
              </w:rPr>
            </w:pPr>
            <w:r>
              <w:rPr>
                <w:rFonts w:ascii="Arial" w:cs="Arial" w:eastAsia="Arial" w:hAnsi="Arial"/>
                <w:sz w:val="11"/>
                <w:szCs w:val="11"/>
                <w:b w:val="1"/>
                <w:bCs w:val="1"/>
                <w:color w:val="auto"/>
                <w:w w:val="93"/>
              </w:rPr>
              <w:t>intrinsic</w:t>
            </w:r>
          </w:p>
        </w:tc>
        <w:tc>
          <w:tcPr>
            <w:tcW w:w="0" w:type="dxa"/>
            <w:vAlign w:val="bottom"/>
          </w:tcPr>
          <w:p>
            <w:pPr>
              <w:spacing w:after="0"/>
              <w:rPr>
                <w:sz w:val="1"/>
                <w:szCs w:val="1"/>
                <w:color w:val="auto"/>
              </w:rPr>
            </w:pPr>
          </w:p>
        </w:tc>
      </w:tr>
      <w:tr>
        <w:trPr>
          <w:trHeight w:val="102"/>
        </w:trPr>
        <w:tc>
          <w:tcPr>
            <w:tcW w:w="5680" w:type="dxa"/>
            <w:vAlign w:val="bottom"/>
          </w:tcPr>
          <w:p>
            <w:pPr>
              <w:spacing w:after="0"/>
              <w:rPr>
                <w:sz w:val="8"/>
                <w:szCs w:val="8"/>
                <w:color w:val="auto"/>
              </w:rPr>
            </w:pPr>
          </w:p>
        </w:tc>
        <w:tc>
          <w:tcPr>
            <w:tcW w:w="1160" w:type="dxa"/>
            <w:vAlign w:val="bottom"/>
          </w:tcPr>
          <w:p>
            <w:pPr>
              <w:jc w:val="right"/>
              <w:ind w:right="361"/>
              <w:spacing w:after="0" w:line="102" w:lineRule="exact"/>
              <w:rPr>
                <w:sz w:val="20"/>
                <w:szCs w:val="20"/>
                <w:color w:val="auto"/>
              </w:rPr>
            </w:pPr>
            <w:r>
              <w:rPr>
                <w:rFonts w:ascii="Arial" w:cs="Arial" w:eastAsia="Arial" w:hAnsi="Arial"/>
                <w:sz w:val="11"/>
                <w:szCs w:val="11"/>
                <w:b w:val="1"/>
                <w:bCs w:val="1"/>
                <w:color w:val="auto"/>
              </w:rPr>
              <w:t>awards</w:t>
            </w:r>
          </w:p>
        </w:tc>
        <w:tc>
          <w:tcPr>
            <w:tcW w:w="100" w:type="dxa"/>
            <w:vAlign w:val="bottom"/>
          </w:tcPr>
          <w:p>
            <w:pPr>
              <w:spacing w:after="0"/>
              <w:rPr>
                <w:sz w:val="8"/>
                <w:szCs w:val="8"/>
                <w:color w:val="auto"/>
              </w:rPr>
            </w:pPr>
          </w:p>
        </w:tc>
        <w:tc>
          <w:tcPr>
            <w:tcW w:w="1040" w:type="dxa"/>
            <w:vAlign w:val="bottom"/>
          </w:tcPr>
          <w:p>
            <w:pPr>
              <w:jc w:val="center"/>
              <w:ind w:left="386"/>
              <w:spacing w:after="0" w:line="102" w:lineRule="exact"/>
              <w:rPr>
                <w:sz w:val="20"/>
                <w:szCs w:val="20"/>
                <w:color w:val="auto"/>
              </w:rPr>
            </w:pPr>
            <w:r>
              <w:rPr>
                <w:rFonts w:ascii="Arial" w:cs="Arial" w:eastAsia="Arial" w:hAnsi="Arial"/>
                <w:sz w:val="11"/>
                <w:szCs w:val="11"/>
                <w:b w:val="1"/>
                <w:bCs w:val="1"/>
                <w:color w:val="auto"/>
                <w:w w:val="90"/>
              </w:rPr>
              <w:t>fair value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jc w:val="center"/>
              <w:ind w:right="383"/>
              <w:spacing w:after="0" w:line="102" w:lineRule="exact"/>
              <w:rPr>
                <w:sz w:val="20"/>
                <w:szCs w:val="20"/>
                <w:color w:val="auto"/>
              </w:rPr>
            </w:pPr>
            <w:r>
              <w:rPr>
                <w:rFonts w:ascii="Arial" w:cs="Arial" w:eastAsia="Arial" w:hAnsi="Arial"/>
                <w:sz w:val="11"/>
                <w:szCs w:val="11"/>
                <w:b w:val="1"/>
                <w:bCs w:val="1"/>
                <w:color w:val="auto"/>
                <w:w w:val="85"/>
              </w:rPr>
              <w:t>value</w:t>
            </w:r>
          </w:p>
        </w:tc>
        <w:tc>
          <w:tcPr>
            <w:tcW w:w="0" w:type="dxa"/>
            <w:vAlign w:val="bottom"/>
          </w:tcPr>
          <w:p>
            <w:pPr>
              <w:spacing w:after="0"/>
              <w:rPr>
                <w:sz w:val="1"/>
                <w:szCs w:val="1"/>
                <w:color w:val="auto"/>
              </w:rPr>
            </w:pPr>
          </w:p>
        </w:tc>
      </w:tr>
      <w:tr>
        <w:trPr>
          <w:trHeight w:val="142"/>
        </w:trPr>
        <w:tc>
          <w:tcPr>
            <w:tcW w:w="568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center"/>
              <w:ind w:left="386"/>
              <w:spacing w:after="0"/>
              <w:rPr>
                <w:sz w:val="20"/>
                <w:szCs w:val="20"/>
                <w:color w:val="auto"/>
              </w:rPr>
            </w:pPr>
            <w:r>
              <w:rPr>
                <w:rFonts w:ascii="Arial" w:cs="Arial" w:eastAsia="Arial" w:hAnsi="Arial"/>
                <w:sz w:val="11"/>
                <w:szCs w:val="11"/>
                <w:b w:val="1"/>
                <w:bCs w:val="1"/>
                <w:color w:val="auto"/>
                <w:w w:val="90"/>
              </w:rPr>
              <w:t>(Per share)</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383"/>
              <w:spacing w:after="0"/>
              <w:rPr>
                <w:sz w:val="20"/>
                <w:szCs w:val="20"/>
                <w:color w:val="auto"/>
              </w:rPr>
            </w:pPr>
            <w:r>
              <w:rPr>
                <w:rFonts w:ascii="Arial" w:cs="Arial" w:eastAsia="Arial" w:hAnsi="Arial"/>
                <w:sz w:val="11"/>
                <w:szCs w:val="11"/>
                <w:b w:val="1"/>
                <w:bCs w:val="1"/>
                <w:color w:val="auto"/>
                <w:w w:val="89"/>
              </w:rPr>
              <w:t>(In thousands)</w:t>
            </w:r>
          </w:p>
        </w:tc>
        <w:tc>
          <w:tcPr>
            <w:tcW w:w="0" w:type="dxa"/>
            <w:vAlign w:val="bottom"/>
          </w:tcPr>
          <w:p>
            <w:pPr>
              <w:spacing w:after="0"/>
              <w:rPr>
                <w:sz w:val="1"/>
                <w:szCs w:val="1"/>
                <w:color w:val="auto"/>
              </w:rPr>
            </w:pPr>
          </w:p>
        </w:tc>
      </w:tr>
      <w:tr>
        <w:trPr>
          <w:trHeight w:val="154"/>
        </w:trPr>
        <w:tc>
          <w:tcPr>
            <w:tcW w:w="56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Unvested RSUs as of December 31, 2020</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7,523,882</w:t>
            </w:r>
          </w:p>
        </w:tc>
        <w:tc>
          <w:tcPr>
            <w:tcW w:w="1140" w:type="dxa"/>
            <w:vAlign w:val="bottom"/>
            <w:gridSpan w:val="2"/>
            <w:shd w:val="clear" w:color="auto" w:fill="CCEEFF"/>
          </w:tcPr>
          <w:p>
            <w:pPr>
              <w:jc w:val="right"/>
              <w:ind w:right="546"/>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131.76</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2,542,858</w:t>
            </w:r>
          </w:p>
        </w:tc>
        <w:tc>
          <w:tcPr>
            <w:tcW w:w="0" w:type="dxa"/>
            <w:vAlign w:val="bottom"/>
          </w:tcPr>
          <w:p>
            <w:pPr>
              <w:spacing w:after="0"/>
              <w:rPr>
                <w:sz w:val="1"/>
                <w:szCs w:val="1"/>
                <w:color w:val="auto"/>
              </w:rPr>
            </w:pPr>
          </w:p>
        </w:tc>
      </w:tr>
      <w:tr>
        <w:trPr>
          <w:trHeight w:val="161"/>
        </w:trPr>
        <w:tc>
          <w:tcPr>
            <w:tcW w:w="5680" w:type="dxa"/>
            <w:vAlign w:val="bottom"/>
          </w:tcPr>
          <w:p>
            <w:pPr>
              <w:ind w:left="520"/>
              <w:spacing w:after="0"/>
              <w:rPr>
                <w:sz w:val="20"/>
                <w:szCs w:val="20"/>
                <w:color w:val="auto"/>
              </w:rPr>
            </w:pPr>
            <w:r>
              <w:rPr>
                <w:rFonts w:ascii="Arial" w:cs="Arial" w:eastAsia="Arial" w:hAnsi="Arial"/>
                <w:sz w:val="12"/>
                <w:szCs w:val="12"/>
                <w:color w:val="auto"/>
              </w:rPr>
              <w:t>Granted</w:t>
            </w: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2,220,043</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345.57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680" w:type="dxa"/>
            <w:vAlign w:val="bottom"/>
            <w:shd w:val="clear" w:color="auto" w:fill="CCEEFF"/>
          </w:tcPr>
          <w:p>
            <w:pPr>
              <w:ind w:left="520"/>
              <w:spacing w:after="0"/>
              <w:rPr>
                <w:sz w:val="20"/>
                <w:szCs w:val="20"/>
                <w:color w:val="auto"/>
              </w:rPr>
            </w:pPr>
            <w:r>
              <w:rPr>
                <w:rFonts w:ascii="Arial" w:cs="Arial" w:eastAsia="Arial" w:hAnsi="Arial"/>
                <w:sz w:val="12"/>
                <w:szCs w:val="12"/>
                <w:color w:val="auto"/>
              </w:rPr>
              <w:t>Vested</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(2,570,006)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101.86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8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Forfeited and canceled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(706,401)</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170.27</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Unvested RSUs as of September 30, 2021</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6,467,518</w:t>
            </w:r>
          </w:p>
        </w:tc>
        <w:tc>
          <w:tcPr>
            <w:tcW w:w="1140" w:type="dxa"/>
            <w:vAlign w:val="bottom"/>
            <w:tcBorders>
              <w:bottom w:val="single" w:sz="8" w:color="CCEEFF"/>
            </w:tcBorders>
            <w:gridSpan w:val="2"/>
            <w:shd w:val="clear" w:color="auto" w:fill="CCEEFF"/>
          </w:tcPr>
          <w:p>
            <w:pPr>
              <w:jc w:val="right"/>
              <w:ind w:right="546"/>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212.83</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2,063,462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Additionally, as of September 30, 2021, the Company granted 24,697 shares of RSAs with a weighted average grant date fair value of $359.80 per share and aggregate intrinsic value of $7.8 million.</w:t>
      </w:r>
    </w:p>
    <w:p>
      <w:pPr>
        <w:spacing w:after="0" w:line="189"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color w:val="auto"/>
        </w:rPr>
        <w:t>As of September 30, 2021, the Company had 318,087 shares of its Class A common stock in escrow that are subject to future vesting over a period of 2.2 years with a weighted average grant date fair value of $292.46 per share and aggregate intrinsic value of $101.5 million.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September 30, 2021, total unrecognized compensation cost was as follows:</w:t>
      </w:r>
    </w:p>
    <w:p>
      <w:pPr>
        <w:spacing w:after="0" w:line="181" w:lineRule="exact"/>
        <w:rPr>
          <w:sz w:val="20"/>
          <w:szCs w:val="20"/>
          <w:color w:val="auto"/>
        </w:rPr>
      </w:pPr>
    </w:p>
    <w:tbl>
      <w:tblPr>
        <w:tblLayout w:type="fixed"/>
        <w:tblInd w:w="178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960" w:type="dxa"/>
            <w:vAlign w:val="bottom"/>
            <w:gridSpan w:val="2"/>
          </w:tcPr>
          <w:p>
            <w:pPr>
              <w:jc w:val="right"/>
              <w:spacing w:after="0"/>
              <w:rPr>
                <w:sz w:val="20"/>
                <w:szCs w:val="20"/>
                <w:color w:val="auto"/>
              </w:rPr>
            </w:pPr>
            <w:r>
              <w:rPr>
                <w:rFonts w:ascii="Arial" w:cs="Arial" w:eastAsia="Arial" w:hAnsi="Arial"/>
                <w:sz w:val="12"/>
                <w:szCs w:val="12"/>
                <w:b w:val="1"/>
                <w:bCs w:val="1"/>
                <w:color w:val="auto"/>
              </w:rPr>
              <w:t>Unrecognized Compensation</w:t>
            </w:r>
          </w:p>
        </w:tc>
        <w:tc>
          <w:tcPr>
            <w:tcW w:w="80" w:type="dxa"/>
            <w:vAlign w:val="bottom"/>
          </w:tcPr>
          <w:p>
            <w:pPr>
              <w:spacing w:after="0"/>
              <w:rPr>
                <w:sz w:val="12"/>
                <w:szCs w:val="12"/>
                <w:color w:val="auto"/>
              </w:rPr>
            </w:pPr>
          </w:p>
        </w:tc>
        <w:tc>
          <w:tcPr>
            <w:tcW w:w="1600" w:type="dxa"/>
            <w:vAlign w:val="bottom"/>
          </w:tcPr>
          <w:p>
            <w:pPr>
              <w:jc w:val="center"/>
              <w:ind w:left="319"/>
              <w:spacing w:after="0"/>
              <w:rPr>
                <w:sz w:val="20"/>
                <w:szCs w:val="20"/>
                <w:color w:val="auto"/>
              </w:rPr>
            </w:pPr>
            <w:r>
              <w:rPr>
                <w:rFonts w:ascii="Arial" w:cs="Arial" w:eastAsia="Arial" w:hAnsi="Arial"/>
                <w:sz w:val="12"/>
                <w:szCs w:val="12"/>
                <w:b w:val="1"/>
                <w:bCs w:val="1"/>
                <w:color w:val="auto"/>
                <w:w w:val="90"/>
              </w:rPr>
              <w:t>Weighted-average</w:t>
            </w:r>
          </w:p>
        </w:tc>
      </w:tr>
      <w:tr>
        <w:trPr>
          <w:trHeight w:val="161"/>
        </w:trPr>
        <w:tc>
          <w:tcPr>
            <w:tcW w:w="44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99"/>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4"/>
                <w:szCs w:val="14"/>
                <w:color w:val="auto"/>
              </w:rPr>
            </w:pPr>
          </w:p>
        </w:tc>
        <w:tc>
          <w:tcPr>
            <w:tcW w:w="160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remaining period</w:t>
            </w:r>
          </w:p>
        </w:tc>
      </w:tr>
      <w:tr>
        <w:trPr>
          <w:trHeight w:val="153"/>
        </w:trPr>
        <w:tc>
          <w:tcPr>
            <w:tcW w:w="4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jc w:val="right"/>
              <w:ind w:right="379"/>
              <w:spacing w:after="0"/>
              <w:rPr>
                <w:sz w:val="20"/>
                <w:szCs w:val="20"/>
                <w:color w:val="auto"/>
              </w:rPr>
            </w:pPr>
            <w:r>
              <w:rPr>
                <w:rFonts w:ascii="Arial" w:cs="Arial" w:eastAsia="Arial" w:hAnsi="Arial"/>
                <w:sz w:val="12"/>
                <w:szCs w:val="12"/>
                <w:color w:val="auto"/>
              </w:rPr>
              <w:t>(In thousands)</w:t>
            </w:r>
          </w:p>
        </w:tc>
        <w:tc>
          <w:tcPr>
            <w:tcW w:w="80" w:type="dxa"/>
            <w:vAlign w:val="bottom"/>
          </w:tcPr>
          <w:p>
            <w:pPr>
              <w:spacing w:after="0"/>
              <w:rPr>
                <w:sz w:val="13"/>
                <w:szCs w:val="13"/>
                <w:color w:val="auto"/>
              </w:rPr>
            </w:pPr>
          </w:p>
        </w:tc>
        <w:tc>
          <w:tcPr>
            <w:tcW w:w="1600" w:type="dxa"/>
            <w:vAlign w:val="bottom"/>
          </w:tcPr>
          <w:p>
            <w:pPr>
              <w:jc w:val="center"/>
              <w:ind w:left="299"/>
              <w:spacing w:after="0"/>
              <w:rPr>
                <w:sz w:val="20"/>
                <w:szCs w:val="20"/>
                <w:color w:val="auto"/>
              </w:rPr>
            </w:pPr>
            <w:r>
              <w:rPr>
                <w:rFonts w:ascii="Arial" w:cs="Arial" w:eastAsia="Arial" w:hAnsi="Arial"/>
                <w:sz w:val="12"/>
                <w:szCs w:val="12"/>
                <w:color w:val="auto"/>
                <w:w w:val="94"/>
              </w:rPr>
              <w:t>(In years)</w:t>
            </w:r>
          </w:p>
        </w:tc>
      </w:tr>
      <w:tr>
        <w:trPr>
          <w:trHeight w:val="166"/>
        </w:trPr>
        <w:tc>
          <w:tcPr>
            <w:tcW w:w="44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Unvested stock options</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189,118</w:t>
            </w:r>
          </w:p>
        </w:tc>
        <w:tc>
          <w:tcPr>
            <w:tcW w:w="1680" w:type="dxa"/>
            <w:vAlign w:val="bottom"/>
            <w:gridSpan w:val="2"/>
            <w:shd w:val="clear" w:color="auto" w:fill="CCEEFF"/>
          </w:tcPr>
          <w:p>
            <w:pPr>
              <w:jc w:val="center"/>
              <w:ind w:left="379"/>
              <w:spacing w:after="0"/>
              <w:rPr>
                <w:sz w:val="20"/>
                <w:szCs w:val="20"/>
                <w:color w:val="auto"/>
              </w:rPr>
            </w:pPr>
            <w:r>
              <w:rPr>
                <w:rFonts w:ascii="Arial" w:cs="Arial" w:eastAsia="Arial" w:hAnsi="Arial"/>
                <w:sz w:val="12"/>
                <w:szCs w:val="12"/>
                <w:color w:val="auto"/>
                <w:w w:val="95"/>
              </w:rPr>
              <w:t>2.1</w:t>
            </w:r>
          </w:p>
        </w:tc>
      </w:tr>
      <w:tr>
        <w:trPr>
          <w:trHeight w:val="161"/>
        </w:trPr>
        <w:tc>
          <w:tcPr>
            <w:tcW w:w="4460" w:type="dxa"/>
            <w:vAlign w:val="bottom"/>
          </w:tcPr>
          <w:p>
            <w:pPr>
              <w:ind w:left="380"/>
              <w:spacing w:after="0"/>
              <w:rPr>
                <w:sz w:val="20"/>
                <w:szCs w:val="20"/>
                <w:color w:val="auto"/>
              </w:rPr>
            </w:pPr>
            <w:r>
              <w:rPr>
                <w:rFonts w:ascii="Arial" w:cs="Arial" w:eastAsia="Arial" w:hAnsi="Arial"/>
                <w:sz w:val="12"/>
                <w:szCs w:val="12"/>
                <w:color w:val="auto"/>
              </w:rPr>
              <w:t>Unvested restricted stock units and awards</w:t>
            </w:r>
          </w:p>
        </w:tc>
        <w:tc>
          <w:tcPr>
            <w:tcW w:w="6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1,235,756</w:t>
            </w:r>
          </w:p>
        </w:tc>
        <w:tc>
          <w:tcPr>
            <w:tcW w:w="1680" w:type="dxa"/>
            <w:vAlign w:val="bottom"/>
            <w:gridSpan w:val="2"/>
          </w:tcPr>
          <w:p>
            <w:pPr>
              <w:jc w:val="center"/>
              <w:ind w:left="379"/>
              <w:spacing w:after="0"/>
              <w:rPr>
                <w:sz w:val="20"/>
                <w:szCs w:val="20"/>
                <w:color w:val="auto"/>
              </w:rPr>
            </w:pPr>
            <w:r>
              <w:rPr>
                <w:rFonts w:ascii="Arial" w:cs="Arial" w:eastAsia="Arial" w:hAnsi="Arial"/>
                <w:sz w:val="12"/>
                <w:szCs w:val="12"/>
                <w:color w:val="auto"/>
                <w:w w:val="95"/>
              </w:rPr>
              <w:t>3.0</w:t>
            </w:r>
          </w:p>
        </w:tc>
      </w:tr>
      <w:tr>
        <w:trPr>
          <w:trHeight w:val="166"/>
        </w:trPr>
        <w:tc>
          <w:tcPr>
            <w:tcW w:w="44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Class A shares in escrow subject to future vesting</w:t>
            </w:r>
          </w:p>
        </w:tc>
        <w:tc>
          <w:tcPr>
            <w:tcW w:w="6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67,821</w:t>
            </w:r>
          </w:p>
        </w:tc>
        <w:tc>
          <w:tcPr>
            <w:tcW w:w="1680" w:type="dxa"/>
            <w:vAlign w:val="bottom"/>
            <w:gridSpan w:val="2"/>
            <w:shd w:val="clear" w:color="auto" w:fill="CCEEFF"/>
          </w:tcPr>
          <w:p>
            <w:pPr>
              <w:jc w:val="center"/>
              <w:ind w:left="379"/>
              <w:spacing w:after="0"/>
              <w:rPr>
                <w:sz w:val="20"/>
                <w:szCs w:val="20"/>
                <w:color w:val="auto"/>
              </w:rPr>
            </w:pPr>
            <w:r>
              <w:rPr>
                <w:rFonts w:ascii="Arial" w:cs="Arial" w:eastAsia="Arial" w:hAnsi="Arial"/>
                <w:sz w:val="12"/>
                <w:szCs w:val="12"/>
                <w:color w:val="auto"/>
                <w:w w:val="95"/>
              </w:rPr>
              <w:t>2.2</w:t>
            </w:r>
          </w:p>
        </w:tc>
      </w:tr>
      <w:tr>
        <w:trPr>
          <w:trHeight w:val="161"/>
        </w:trPr>
        <w:tc>
          <w:tcPr>
            <w:tcW w:w="446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ESPP</w:t>
            </w:r>
          </w:p>
        </w:tc>
        <w:tc>
          <w:tcPr>
            <w:tcW w:w="6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2,360</w:t>
            </w:r>
          </w:p>
        </w:tc>
        <w:tc>
          <w:tcPr>
            <w:tcW w:w="1680" w:type="dxa"/>
            <w:vAlign w:val="bottom"/>
            <w:tcBorders>
              <w:bottom w:val="single" w:sz="8" w:color="CCEEFF"/>
            </w:tcBorders>
            <w:gridSpan w:val="2"/>
          </w:tcPr>
          <w:p>
            <w:pPr>
              <w:jc w:val="center"/>
              <w:ind w:left="379"/>
              <w:spacing w:after="0"/>
              <w:rPr>
                <w:sz w:val="20"/>
                <w:szCs w:val="20"/>
                <w:color w:val="auto"/>
              </w:rPr>
            </w:pPr>
            <w:r>
              <w:rPr>
                <w:rFonts w:ascii="Arial" w:cs="Arial" w:eastAsia="Arial" w:hAnsi="Arial"/>
                <w:sz w:val="12"/>
                <w:szCs w:val="12"/>
                <w:color w:val="auto"/>
                <w:w w:val="95"/>
              </w:rPr>
              <w:t>0.1</w:t>
            </w:r>
          </w:p>
        </w:tc>
      </w:tr>
      <w:tr>
        <w:trPr>
          <w:trHeight w:val="178"/>
        </w:trPr>
        <w:tc>
          <w:tcPr>
            <w:tcW w:w="4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Total</w:t>
            </w: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1,495,055</w:t>
            </w:r>
          </w:p>
        </w:tc>
        <w:tc>
          <w:tcPr>
            <w:tcW w:w="8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2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Valuation Assumptions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No stock options were granted in the three months ended September 30, 2020. The fair value of employee stock options was estimated on the grant date using the following assumptions in the Black-</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Scholes option pricing model:</w:t>
      </w:r>
    </w:p>
    <w:p>
      <w:pPr>
        <w:sectPr>
          <w:pgSz w:w="11900" w:h="16838" w:orient="portrait"/>
          <w:cols w:equalWidth="0" w:num="1">
            <w:col w:w="11360"/>
          </w:cols>
          <w:pgMar w:left="300" w:top="129" w:right="239" w:bottom="1440" w:gutter="0" w:footer="0" w:header="0"/>
        </w:sectPr>
      </w:pPr>
    </w:p>
    <w:p>
      <w:pPr>
        <w:spacing w:after="0" w:line="319" w:lineRule="exact"/>
        <w:rPr>
          <w:sz w:val="20"/>
          <w:szCs w:val="20"/>
          <w:color w:val="auto"/>
        </w:rPr>
      </w:pPr>
    </w:p>
    <w:p>
      <w:pPr>
        <w:ind w:left="420"/>
        <w:spacing w:after="0"/>
        <w:rPr>
          <w:sz w:val="20"/>
          <w:szCs w:val="20"/>
          <w:color w:val="auto"/>
        </w:rPr>
      </w:pPr>
      <w:r>
        <w:rPr>
          <w:rFonts w:ascii="Arial" w:cs="Arial" w:eastAsia="Arial" w:hAnsi="Arial"/>
          <w:sz w:val="11"/>
          <w:szCs w:val="11"/>
          <w:b w:val="1"/>
          <w:bCs w:val="1"/>
          <w:color w:val="auto"/>
        </w:rPr>
        <w:t>Employee Stock Options:</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Fair value of common stock</w:t>
      </w:r>
    </w:p>
    <w:p>
      <w:pPr>
        <w:spacing w:after="0" w:line="3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Expected term (in years)</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Expected volatility</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Risk-free interest rate</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Dividend rate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240" w:type="dxa"/>
        <w:tblCellMar>
          <w:top w:w="0" w:type="dxa"/>
          <w:left w:w="0" w:type="dxa"/>
          <w:bottom w:w="0" w:type="dxa"/>
          <w:right w:w="0" w:type="dxa"/>
        </w:tblCellMar>
      </w:tblPr>
      <w:tr>
        <w:trPr>
          <w:trHeight w:val="138"/>
        </w:trPr>
        <w:tc>
          <w:tcPr>
            <w:tcW w:w="760" w:type="dxa"/>
            <w:vAlign w:val="bottom"/>
          </w:tcPr>
          <w:p>
            <w:pPr>
              <w:spacing w:after="0"/>
              <w:rPr>
                <w:sz w:val="12"/>
                <w:szCs w:val="12"/>
                <w:color w:val="auto"/>
              </w:rPr>
            </w:pPr>
          </w:p>
        </w:tc>
        <w:tc>
          <w:tcPr>
            <w:tcW w:w="1500" w:type="dxa"/>
            <w:vAlign w:val="bottom"/>
            <w:gridSpan w:val="3"/>
          </w:tcPr>
          <w:p>
            <w:pPr>
              <w:ind w:left="320"/>
              <w:spacing w:after="0"/>
              <w:rPr>
                <w:sz w:val="20"/>
                <w:szCs w:val="20"/>
                <w:color w:val="auto"/>
              </w:rPr>
            </w:pPr>
            <w:r>
              <w:rPr>
                <w:rFonts w:ascii="Arial" w:cs="Arial" w:eastAsia="Arial" w:hAnsi="Arial"/>
                <w:sz w:val="12"/>
                <w:szCs w:val="12"/>
                <w:b w:val="1"/>
                <w:bCs w:val="1"/>
                <w:color w:val="auto"/>
                <w:w w:val="97"/>
              </w:rPr>
              <w:t>Three Months Ended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60" w:type="dxa"/>
            <w:vAlign w:val="bottom"/>
            <w:gridSpan w:val="4"/>
          </w:tcPr>
          <w:p>
            <w:pPr>
              <w:ind w:left="340"/>
              <w:spacing w:after="0"/>
              <w:rPr>
                <w:sz w:val="20"/>
                <w:szCs w:val="20"/>
                <w:color w:val="auto"/>
              </w:rPr>
            </w:pPr>
            <w:r>
              <w:rPr>
                <w:rFonts w:ascii="Arial" w:cs="Arial" w:eastAsia="Arial" w:hAnsi="Arial"/>
                <w:sz w:val="12"/>
                <w:szCs w:val="12"/>
                <w:b w:val="1"/>
                <w:bCs w:val="1"/>
                <w:color w:val="auto"/>
              </w:rPr>
              <w:t>Nine Months Ended</w:t>
            </w:r>
          </w:p>
        </w:tc>
        <w:tc>
          <w:tcPr>
            <w:tcW w:w="820" w:type="dxa"/>
            <w:vAlign w:val="bottom"/>
          </w:tcPr>
          <w:p>
            <w:pPr>
              <w:spacing w:after="0"/>
              <w:rPr>
                <w:sz w:val="12"/>
                <w:szCs w:val="12"/>
                <w:color w:val="auto"/>
              </w:rPr>
            </w:pPr>
          </w:p>
        </w:tc>
      </w:tr>
      <w:tr>
        <w:trPr>
          <w:trHeight w:val="161"/>
        </w:trPr>
        <w:tc>
          <w:tcPr>
            <w:tcW w:w="7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500"/>
              <w:spacing w:after="0"/>
              <w:rPr>
                <w:sz w:val="20"/>
                <w:szCs w:val="20"/>
                <w:color w:val="auto"/>
              </w:rPr>
            </w:pPr>
            <w:r>
              <w:rPr>
                <w:rFonts w:ascii="Arial" w:cs="Arial" w:eastAsia="Arial" w:hAnsi="Arial"/>
                <w:sz w:val="12"/>
                <w:szCs w:val="12"/>
                <w:b w:val="1"/>
                <w:bCs w:val="1"/>
                <w:color w:val="auto"/>
              </w:rPr>
              <w:t>September 30,</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2"/>
                <w:szCs w:val="12"/>
                <w:b w:val="1"/>
                <w:bCs w:val="1"/>
                <w:color w:val="auto"/>
                <w:w w:val="87"/>
              </w:rPr>
              <w:t>September 30,</w:t>
            </w:r>
          </w:p>
        </w:tc>
        <w:tc>
          <w:tcPr>
            <w:tcW w:w="820" w:type="dxa"/>
            <w:vAlign w:val="bottom"/>
            <w:tcBorders>
              <w:bottom w:val="single" w:sz="8" w:color="auto"/>
            </w:tcBorders>
          </w:tcPr>
          <w:p>
            <w:pPr>
              <w:spacing w:after="0"/>
              <w:rPr>
                <w:sz w:val="14"/>
                <w:szCs w:val="14"/>
                <w:color w:val="auto"/>
              </w:rPr>
            </w:pPr>
          </w:p>
        </w:tc>
      </w:tr>
      <w:tr>
        <w:trPr>
          <w:trHeight w:val="153"/>
        </w:trPr>
        <w:tc>
          <w:tcPr>
            <w:tcW w:w="158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539"/>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Pr>
          <w:p>
            <w:pPr>
              <w:spacing w:after="0"/>
              <w:rPr>
                <w:sz w:val="13"/>
                <w:szCs w:val="13"/>
                <w:color w:val="auto"/>
              </w:rPr>
            </w:pPr>
          </w:p>
        </w:tc>
        <w:tc>
          <w:tcPr>
            <w:tcW w:w="124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2020</w:t>
            </w:r>
          </w:p>
        </w:tc>
      </w:tr>
      <w:tr>
        <w:trPr>
          <w:trHeight w:val="151"/>
        </w:trPr>
        <w:tc>
          <w:tcPr>
            <w:tcW w:w="760" w:type="dxa"/>
            <w:vAlign w:val="bottom"/>
          </w:tcPr>
          <w:p>
            <w:pPr>
              <w:jc w:val="right"/>
              <w:spacing w:after="0"/>
              <w:rPr>
                <w:sz w:val="20"/>
                <w:szCs w:val="20"/>
                <w:color w:val="auto"/>
              </w:rPr>
            </w:pPr>
            <w:r>
              <w:rPr>
                <w:rFonts w:ascii="Arial" w:cs="Arial" w:eastAsia="Arial" w:hAnsi="Arial"/>
                <w:sz w:val="12"/>
                <w:szCs w:val="12"/>
                <w:color w:val="auto"/>
              </w:rPr>
              <w:t>$342.0</w:t>
            </w:r>
          </w:p>
        </w:tc>
        <w:tc>
          <w:tcPr>
            <w:tcW w:w="820" w:type="dxa"/>
            <w:vAlign w:val="bottom"/>
          </w:tcPr>
          <w:p>
            <w:pPr>
              <w:ind w:left="20"/>
              <w:spacing w:after="0"/>
              <w:rPr>
                <w:sz w:val="20"/>
                <w:szCs w:val="20"/>
                <w:color w:val="auto"/>
              </w:rPr>
            </w:pPr>
            <w:r>
              <w:rPr>
                <w:rFonts w:ascii="Arial" w:cs="Arial" w:eastAsia="Arial" w:hAnsi="Arial"/>
                <w:sz w:val="12"/>
                <w:szCs w:val="12"/>
                <w:color w:val="auto"/>
              </w:rPr>
              <w:t>- $375.4</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2"/>
                <w:szCs w:val="12"/>
                <w:color w:val="auto"/>
                <w:w w:val="96"/>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$316.31</w:t>
            </w:r>
          </w:p>
        </w:tc>
        <w:tc>
          <w:tcPr>
            <w:tcW w:w="500" w:type="dxa"/>
            <w:vAlign w:val="bottom"/>
          </w:tcPr>
          <w:p>
            <w:pPr>
              <w:ind w:left="20"/>
              <w:spacing w:after="0"/>
              <w:rPr>
                <w:sz w:val="20"/>
                <w:szCs w:val="20"/>
                <w:color w:val="auto"/>
              </w:rPr>
            </w:pPr>
            <w:r>
              <w:rPr>
                <w:rFonts w:ascii="Arial" w:cs="Arial" w:eastAsia="Arial" w:hAnsi="Arial"/>
                <w:sz w:val="12"/>
                <w:szCs w:val="12"/>
                <w:color w:val="auto"/>
                <w:w w:val="90"/>
              </w:rPr>
              <w:t>- $409.21</w:t>
            </w:r>
          </w:p>
        </w:tc>
        <w:tc>
          <w:tcPr>
            <w:tcW w:w="1160" w:type="dxa"/>
            <w:vAlign w:val="bottom"/>
            <w:gridSpan w:val="3"/>
          </w:tcPr>
          <w:p>
            <w:pPr>
              <w:jc w:val="right"/>
              <w:spacing w:after="0"/>
              <w:rPr>
                <w:sz w:val="20"/>
                <w:szCs w:val="20"/>
                <w:color w:val="auto"/>
              </w:rPr>
            </w:pPr>
            <w:r>
              <w:rPr>
                <w:rFonts w:ascii="Arial" w:cs="Arial" w:eastAsia="Arial" w:hAnsi="Arial"/>
                <w:sz w:val="12"/>
                <w:szCs w:val="12"/>
                <w:color w:val="auto"/>
              </w:rPr>
              <w:t>$108.4</w:t>
            </w:r>
          </w:p>
        </w:tc>
        <w:tc>
          <w:tcPr>
            <w:tcW w:w="820" w:type="dxa"/>
            <w:vAlign w:val="bottom"/>
          </w:tcPr>
          <w:p>
            <w:pPr>
              <w:ind w:left="20"/>
              <w:spacing w:after="0"/>
              <w:rPr>
                <w:sz w:val="20"/>
                <w:szCs w:val="20"/>
                <w:color w:val="auto"/>
              </w:rPr>
            </w:pPr>
            <w:r>
              <w:rPr>
                <w:rFonts w:ascii="Arial" w:cs="Arial" w:eastAsia="Arial" w:hAnsi="Arial"/>
                <w:sz w:val="12"/>
                <w:szCs w:val="12"/>
                <w:color w:val="auto"/>
              </w:rPr>
              <w:t>- $191.9</w:t>
            </w:r>
          </w:p>
        </w:tc>
      </w:tr>
      <w:tr>
        <w:trPr>
          <w:trHeight w:val="163"/>
        </w:trPr>
        <w:tc>
          <w:tcPr>
            <w:tcW w:w="760" w:type="dxa"/>
            <w:vAlign w:val="bottom"/>
          </w:tcPr>
          <w:p>
            <w:pPr>
              <w:jc w:val="right"/>
              <w:spacing w:after="0"/>
              <w:rPr>
                <w:sz w:val="20"/>
                <w:szCs w:val="20"/>
                <w:color w:val="auto"/>
              </w:rPr>
            </w:pPr>
            <w:r>
              <w:rPr>
                <w:rFonts w:ascii="Arial" w:cs="Arial" w:eastAsia="Arial" w:hAnsi="Arial"/>
                <w:sz w:val="12"/>
                <w:szCs w:val="12"/>
                <w:color w:val="auto"/>
              </w:rPr>
              <w:t>0.30</w:t>
            </w:r>
          </w:p>
        </w:tc>
        <w:tc>
          <w:tcPr>
            <w:tcW w:w="820" w:type="dxa"/>
            <w:vAlign w:val="bottom"/>
          </w:tcPr>
          <w:p>
            <w:pPr>
              <w:ind w:left="20"/>
              <w:spacing w:after="0"/>
              <w:rPr>
                <w:sz w:val="20"/>
                <w:szCs w:val="20"/>
                <w:color w:val="auto"/>
              </w:rPr>
            </w:pPr>
            <w:r>
              <w:rPr>
                <w:rFonts w:ascii="Arial" w:cs="Arial" w:eastAsia="Arial" w:hAnsi="Arial"/>
                <w:sz w:val="12"/>
                <w:szCs w:val="12"/>
                <w:color w:val="auto"/>
              </w:rPr>
              <w:t>- 5.40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tcPr>
          <w:p>
            <w:pPr>
              <w:jc w:val="center"/>
              <w:ind w:right="700"/>
              <w:spacing w:after="0"/>
              <w:rPr>
                <w:sz w:val="20"/>
                <w:szCs w:val="20"/>
                <w:color w:val="auto"/>
              </w:rPr>
            </w:pPr>
            <w:r>
              <w:rPr>
                <w:rFonts w:ascii="Arial" w:cs="Arial" w:eastAsia="Arial" w:hAnsi="Arial"/>
                <w:sz w:val="12"/>
                <w:szCs w:val="12"/>
                <w:color w:val="auto"/>
                <w:w w:val="9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0.30</w:t>
            </w:r>
          </w:p>
        </w:tc>
        <w:tc>
          <w:tcPr>
            <w:tcW w:w="500" w:type="dxa"/>
            <w:vAlign w:val="bottom"/>
          </w:tcPr>
          <w:p>
            <w:pPr>
              <w:ind w:left="20"/>
              <w:spacing w:after="0"/>
              <w:rPr>
                <w:sz w:val="20"/>
                <w:szCs w:val="20"/>
                <w:color w:val="auto"/>
              </w:rPr>
            </w:pPr>
            <w:r>
              <w:rPr>
                <w:rFonts w:ascii="Arial" w:cs="Arial" w:eastAsia="Arial" w:hAnsi="Arial"/>
                <w:sz w:val="12"/>
                <w:szCs w:val="12"/>
                <w:color w:val="auto"/>
              </w:rPr>
              <w:t>- 6.08</w:t>
            </w:r>
          </w:p>
        </w:tc>
        <w:tc>
          <w:tcPr>
            <w:tcW w:w="1980" w:type="dxa"/>
            <w:vAlign w:val="bottom"/>
            <w:gridSpan w:val="4"/>
          </w:tcPr>
          <w:p>
            <w:pPr>
              <w:jc w:val="center"/>
              <w:ind w:left="359"/>
              <w:spacing w:after="0"/>
              <w:rPr>
                <w:sz w:val="20"/>
                <w:szCs w:val="20"/>
                <w:color w:val="auto"/>
              </w:rPr>
            </w:pPr>
            <w:r>
              <w:rPr>
                <w:rFonts w:ascii="Arial" w:cs="Arial" w:eastAsia="Arial" w:hAnsi="Arial"/>
                <w:sz w:val="12"/>
                <w:szCs w:val="12"/>
                <w:color w:val="auto"/>
                <w:w w:val="85"/>
              </w:rPr>
              <w:t>6.08</w:t>
            </w:r>
          </w:p>
        </w:tc>
      </w:tr>
      <w:tr>
        <w:trPr>
          <w:trHeight w:val="163"/>
        </w:trPr>
        <w:tc>
          <w:tcPr>
            <w:tcW w:w="760" w:type="dxa"/>
            <w:vAlign w:val="bottom"/>
          </w:tcPr>
          <w:p>
            <w:pPr>
              <w:jc w:val="right"/>
              <w:spacing w:after="0"/>
              <w:rPr>
                <w:sz w:val="20"/>
                <w:szCs w:val="20"/>
                <w:color w:val="auto"/>
              </w:rPr>
            </w:pPr>
            <w:r>
              <w:rPr>
                <w:rFonts w:ascii="Arial" w:cs="Arial" w:eastAsia="Arial" w:hAnsi="Arial"/>
                <w:sz w:val="12"/>
                <w:szCs w:val="12"/>
                <w:color w:val="auto"/>
              </w:rPr>
              <w:t>42.9%</w:t>
            </w:r>
          </w:p>
        </w:tc>
        <w:tc>
          <w:tcPr>
            <w:tcW w:w="820" w:type="dxa"/>
            <w:vAlign w:val="bottom"/>
          </w:tcPr>
          <w:p>
            <w:pPr>
              <w:ind w:left="20"/>
              <w:spacing w:after="0"/>
              <w:rPr>
                <w:sz w:val="20"/>
                <w:szCs w:val="20"/>
                <w:color w:val="auto"/>
              </w:rPr>
            </w:pPr>
            <w:r>
              <w:rPr>
                <w:rFonts w:ascii="Arial" w:cs="Arial" w:eastAsia="Arial" w:hAnsi="Arial"/>
                <w:sz w:val="12"/>
                <w:szCs w:val="12"/>
                <w:color w:val="auto"/>
              </w:rPr>
              <w:t>- 61.5%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2"/>
                <w:szCs w:val="12"/>
                <w:color w:val="auto"/>
                <w:w w:val="96"/>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42.9%</w:t>
            </w:r>
          </w:p>
        </w:tc>
        <w:tc>
          <w:tcPr>
            <w:tcW w:w="500" w:type="dxa"/>
            <w:vAlign w:val="bottom"/>
          </w:tcPr>
          <w:p>
            <w:pPr>
              <w:ind w:left="20"/>
              <w:spacing w:after="0"/>
              <w:rPr>
                <w:sz w:val="20"/>
                <w:szCs w:val="20"/>
                <w:color w:val="auto"/>
              </w:rPr>
            </w:pPr>
            <w:r>
              <w:rPr>
                <w:rFonts w:ascii="Arial" w:cs="Arial" w:eastAsia="Arial" w:hAnsi="Arial"/>
                <w:sz w:val="12"/>
                <w:szCs w:val="12"/>
                <w:color w:val="auto"/>
              </w:rPr>
              <w:t>- 61.5%</w:t>
            </w:r>
          </w:p>
        </w:tc>
        <w:tc>
          <w:tcPr>
            <w:tcW w:w="1160" w:type="dxa"/>
            <w:vAlign w:val="bottom"/>
            <w:gridSpan w:val="3"/>
          </w:tcPr>
          <w:p>
            <w:pPr>
              <w:jc w:val="right"/>
              <w:spacing w:after="0"/>
              <w:rPr>
                <w:sz w:val="20"/>
                <w:szCs w:val="20"/>
                <w:color w:val="auto"/>
              </w:rPr>
            </w:pPr>
            <w:r>
              <w:rPr>
                <w:rFonts w:ascii="Arial" w:cs="Arial" w:eastAsia="Arial" w:hAnsi="Arial"/>
                <w:sz w:val="12"/>
                <w:szCs w:val="12"/>
                <w:color w:val="auto"/>
              </w:rPr>
              <w:t>51.9%</w:t>
            </w:r>
          </w:p>
        </w:tc>
        <w:tc>
          <w:tcPr>
            <w:tcW w:w="820" w:type="dxa"/>
            <w:vAlign w:val="bottom"/>
          </w:tcPr>
          <w:p>
            <w:pPr>
              <w:ind w:left="20"/>
              <w:spacing w:after="0"/>
              <w:rPr>
                <w:sz w:val="20"/>
                <w:szCs w:val="20"/>
                <w:color w:val="auto"/>
              </w:rPr>
            </w:pPr>
            <w:r>
              <w:rPr>
                <w:rFonts w:ascii="Arial" w:cs="Arial" w:eastAsia="Arial" w:hAnsi="Arial"/>
                <w:sz w:val="12"/>
                <w:szCs w:val="12"/>
                <w:color w:val="auto"/>
              </w:rPr>
              <w:t>- 56.0%</w:t>
            </w:r>
          </w:p>
        </w:tc>
      </w:tr>
      <w:tr>
        <w:trPr>
          <w:trHeight w:val="163"/>
        </w:trPr>
        <w:tc>
          <w:tcPr>
            <w:tcW w:w="760" w:type="dxa"/>
            <w:vAlign w:val="bottom"/>
          </w:tcPr>
          <w:p>
            <w:pPr>
              <w:jc w:val="right"/>
              <w:spacing w:after="0"/>
              <w:rPr>
                <w:sz w:val="20"/>
                <w:szCs w:val="20"/>
                <w:color w:val="auto"/>
              </w:rPr>
            </w:pPr>
            <w:r>
              <w:rPr>
                <w:rFonts w:ascii="Arial" w:cs="Arial" w:eastAsia="Arial" w:hAnsi="Arial"/>
                <w:sz w:val="12"/>
                <w:szCs w:val="12"/>
                <w:color w:val="auto"/>
              </w:rPr>
              <w:t>0.1%</w:t>
            </w:r>
          </w:p>
        </w:tc>
        <w:tc>
          <w:tcPr>
            <w:tcW w:w="820" w:type="dxa"/>
            <w:vAlign w:val="bottom"/>
          </w:tcPr>
          <w:p>
            <w:pPr>
              <w:ind w:left="20"/>
              <w:spacing w:after="0"/>
              <w:rPr>
                <w:sz w:val="20"/>
                <w:szCs w:val="20"/>
                <w:color w:val="auto"/>
              </w:rPr>
            </w:pPr>
            <w:r>
              <w:rPr>
                <w:rFonts w:ascii="Arial" w:cs="Arial" w:eastAsia="Arial" w:hAnsi="Arial"/>
                <w:sz w:val="12"/>
                <w:szCs w:val="12"/>
                <w:color w:val="auto"/>
              </w:rPr>
              <w:t>- 0.9%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2"/>
                <w:szCs w:val="12"/>
                <w:color w:val="auto"/>
                <w:w w:val="96"/>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0.1%</w:t>
            </w:r>
          </w:p>
        </w:tc>
        <w:tc>
          <w:tcPr>
            <w:tcW w:w="500" w:type="dxa"/>
            <w:vAlign w:val="bottom"/>
          </w:tcPr>
          <w:p>
            <w:pPr>
              <w:ind w:left="20"/>
              <w:spacing w:after="0"/>
              <w:rPr>
                <w:sz w:val="20"/>
                <w:szCs w:val="20"/>
                <w:color w:val="auto"/>
              </w:rPr>
            </w:pPr>
            <w:r>
              <w:rPr>
                <w:rFonts w:ascii="Arial" w:cs="Arial" w:eastAsia="Arial" w:hAnsi="Arial"/>
                <w:sz w:val="12"/>
                <w:szCs w:val="12"/>
                <w:color w:val="auto"/>
              </w:rPr>
              <w:t>- 1.1%</w:t>
            </w:r>
          </w:p>
        </w:tc>
        <w:tc>
          <w:tcPr>
            <w:tcW w:w="1160" w:type="dxa"/>
            <w:vAlign w:val="bottom"/>
            <w:gridSpan w:val="3"/>
          </w:tcPr>
          <w:p>
            <w:pPr>
              <w:jc w:val="right"/>
              <w:spacing w:after="0"/>
              <w:rPr>
                <w:sz w:val="20"/>
                <w:szCs w:val="20"/>
                <w:color w:val="auto"/>
              </w:rPr>
            </w:pPr>
            <w:r>
              <w:rPr>
                <w:rFonts w:ascii="Arial" w:cs="Arial" w:eastAsia="Arial" w:hAnsi="Arial"/>
                <w:sz w:val="12"/>
                <w:szCs w:val="12"/>
                <w:color w:val="auto"/>
              </w:rPr>
              <w:t>0.4%</w:t>
            </w:r>
          </w:p>
        </w:tc>
        <w:tc>
          <w:tcPr>
            <w:tcW w:w="820" w:type="dxa"/>
            <w:vAlign w:val="bottom"/>
          </w:tcPr>
          <w:p>
            <w:pPr>
              <w:ind w:left="20"/>
              <w:spacing w:after="0"/>
              <w:rPr>
                <w:sz w:val="20"/>
                <w:szCs w:val="20"/>
                <w:color w:val="auto"/>
              </w:rPr>
            </w:pPr>
            <w:r>
              <w:rPr>
                <w:rFonts w:ascii="Arial" w:cs="Arial" w:eastAsia="Arial" w:hAnsi="Arial"/>
                <w:sz w:val="12"/>
                <w:szCs w:val="12"/>
                <w:color w:val="auto"/>
              </w:rPr>
              <w:t>- 1.4%</w:t>
            </w:r>
          </w:p>
        </w:tc>
      </w:tr>
      <w:tr>
        <w:trPr>
          <w:trHeight w:val="163"/>
        </w:trPr>
        <w:tc>
          <w:tcPr>
            <w:tcW w:w="2260" w:type="dxa"/>
            <w:vAlign w:val="bottom"/>
            <w:gridSpan w:val="4"/>
          </w:tcPr>
          <w:p>
            <w:pPr>
              <w:jc w:val="center"/>
              <w:ind w:right="680"/>
              <w:spacing w:after="0"/>
              <w:rPr>
                <w:sz w:val="20"/>
                <w:szCs w:val="20"/>
                <w:color w:val="auto"/>
              </w:rPr>
            </w:pPr>
            <w:r>
              <w:rPr>
                <w:rFonts w:ascii="Arial" w:cs="Arial" w:eastAsia="Arial" w:hAnsi="Arial"/>
                <w:sz w:val="12"/>
                <w:szCs w:val="12"/>
                <w:color w:val="auto"/>
                <w:w w:val="96"/>
              </w:rPr>
              <w:t>—%</w:t>
            </w:r>
          </w:p>
        </w:tc>
        <w:tc>
          <w:tcPr>
            <w:tcW w:w="1100" w:type="dxa"/>
            <w:vAlign w:val="bottom"/>
            <w:gridSpan w:val="2"/>
          </w:tcPr>
          <w:p>
            <w:pPr>
              <w:jc w:val="center"/>
              <w:ind w:right="680"/>
              <w:spacing w:after="0"/>
              <w:rPr>
                <w:sz w:val="20"/>
                <w:szCs w:val="20"/>
                <w:color w:val="auto"/>
              </w:rPr>
            </w:pPr>
            <w:r>
              <w:rPr>
                <w:rFonts w:ascii="Arial" w:cs="Arial" w:eastAsia="Arial" w:hAnsi="Arial"/>
                <w:sz w:val="12"/>
                <w:szCs w:val="12"/>
                <w:color w:val="auto"/>
                <w:w w:val="96"/>
              </w:rPr>
              <w:t>—%</w:t>
            </w:r>
          </w:p>
        </w:tc>
        <w:tc>
          <w:tcPr>
            <w:tcW w:w="1240" w:type="dxa"/>
            <w:vAlign w:val="bottom"/>
            <w:gridSpan w:val="2"/>
          </w:tcPr>
          <w:p>
            <w:pPr>
              <w:jc w:val="center"/>
              <w:ind w:left="259"/>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2"/>
                <w:szCs w:val="12"/>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-521335</wp:posOffset>
            </wp:positionV>
            <wp:extent cx="6660515" cy="1098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60515" cy="109855"/>
                    </a:xfrm>
                    <a:prstGeom prst="rect">
                      <a:avLst/>
                    </a:prstGeom>
                    <a:noFill/>
                  </pic:spPr>
                </pic:pic>
              </a:graphicData>
            </a:graphic>
          </wp:anchor>
        </w:drawing>
        <w:drawing>
          <wp:anchor simplePos="0" relativeHeight="251657728" behindDoc="1" locked="0" layoutInCell="0" allowOverlap="1">
            <wp:simplePos x="0" y="0"/>
            <wp:positionH relativeFrom="column">
              <wp:posOffset>-1053465</wp:posOffset>
            </wp:positionH>
            <wp:positionV relativeFrom="paragraph">
              <wp:posOffset>-307340</wp:posOffset>
            </wp:positionV>
            <wp:extent cx="6660515" cy="1035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60515" cy="103505"/>
                    </a:xfrm>
                    <a:prstGeom prst="rect">
                      <a:avLst/>
                    </a:prstGeom>
                    <a:noFill/>
                  </pic:spPr>
                </pic:pic>
              </a:graphicData>
            </a:graphic>
          </wp:anchor>
        </w:drawing>
        <w:drawing>
          <wp:anchor simplePos="0" relativeHeight="251657728" behindDoc="1" locked="0" layoutInCell="0" allowOverlap="1">
            <wp:simplePos x="0" y="0"/>
            <wp:positionH relativeFrom="column">
              <wp:posOffset>-1053465</wp:posOffset>
            </wp:positionH>
            <wp:positionV relativeFrom="paragraph">
              <wp:posOffset>-99695</wp:posOffset>
            </wp:positionV>
            <wp:extent cx="6660515" cy="1035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0515" cy="10350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40" w:type="dxa"/>
            <w:vAlign w:val="bottom"/>
            <w:gridSpan w:val="3"/>
          </w:tcPr>
          <w:p>
            <w:pPr>
              <w:jc w:val="center"/>
              <w:ind w:right="979"/>
              <w:spacing w:after="0"/>
              <w:rPr>
                <w:sz w:val="20"/>
                <w:szCs w:val="20"/>
                <w:color w:val="auto"/>
              </w:rPr>
            </w:pPr>
            <w:r>
              <w:rPr>
                <w:rFonts w:ascii="Arial" w:cs="Arial" w:eastAsia="Arial" w:hAnsi="Arial"/>
                <w:sz w:val="12"/>
                <w:szCs w:val="12"/>
                <w:b w:val="1"/>
                <w:bCs w:val="1"/>
                <w:color w:val="auto"/>
                <w:w w:val="92"/>
              </w:rPr>
              <w:t>Nine Months Ended</w:t>
            </w:r>
          </w:p>
        </w:tc>
      </w:tr>
      <w:tr>
        <w:trPr>
          <w:trHeight w:val="159"/>
        </w:trPr>
        <w:tc>
          <w:tcPr>
            <w:tcW w:w="39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jc w:val="center"/>
              <w:ind w:right="979"/>
              <w:spacing w:after="0"/>
              <w:rPr>
                <w:sz w:val="20"/>
                <w:szCs w:val="20"/>
                <w:color w:val="auto"/>
              </w:rPr>
            </w:pPr>
            <w:r>
              <w:rPr>
                <w:rFonts w:ascii="Arial" w:cs="Arial" w:eastAsia="Arial" w:hAnsi="Arial"/>
                <w:sz w:val="12"/>
                <w:szCs w:val="12"/>
                <w:b w:val="1"/>
                <w:bCs w:val="1"/>
                <w:color w:val="auto"/>
                <w:w w:val="92"/>
              </w:rPr>
              <w:t>September 30,</w:t>
            </w:r>
          </w:p>
        </w:tc>
      </w:tr>
      <w:tr>
        <w:trPr>
          <w:trHeight w:val="156"/>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Employee Stock Purchase Plan:</w:t>
            </w:r>
          </w:p>
        </w:tc>
        <w:tc>
          <w:tcPr>
            <w:tcW w:w="1020" w:type="dxa"/>
            <w:vAlign w:val="bottom"/>
            <w:tcBorders>
              <w:bottom w:val="single" w:sz="8" w:color="auto"/>
            </w:tcBorders>
          </w:tcPr>
          <w:p>
            <w:pPr>
              <w:jc w:val="center"/>
              <w:ind w:left="479"/>
              <w:spacing w:after="0"/>
              <w:rPr>
                <w:sz w:val="20"/>
                <w:szCs w:val="20"/>
                <w:color w:val="auto"/>
              </w:rPr>
            </w:pPr>
            <w:r>
              <w:rPr>
                <w:rFonts w:ascii="Arial" w:cs="Arial" w:eastAsia="Arial" w:hAnsi="Arial"/>
                <w:sz w:val="12"/>
                <w:szCs w:val="12"/>
                <w:b w:val="1"/>
                <w:bCs w:val="1"/>
                <w:color w:val="auto"/>
                <w:w w:val="89"/>
              </w:rPr>
              <w:t>2021</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r>
      <w:tr>
        <w:trPr>
          <w:trHeight w:val="156"/>
        </w:trPr>
        <w:tc>
          <w:tcPr>
            <w:tcW w:w="3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term (in years)</w:t>
            </w:r>
          </w:p>
        </w:tc>
        <w:tc>
          <w:tcPr>
            <w:tcW w:w="1020" w:type="dxa"/>
            <w:vAlign w:val="bottom"/>
            <w:shd w:val="clear" w:color="auto" w:fill="CCEEFF"/>
          </w:tcPr>
          <w:p>
            <w:pPr>
              <w:jc w:val="center"/>
              <w:ind w:left="479"/>
              <w:spacing w:after="0"/>
              <w:rPr>
                <w:sz w:val="20"/>
                <w:szCs w:val="20"/>
                <w:color w:val="auto"/>
              </w:rPr>
            </w:pPr>
            <w:r>
              <w:rPr>
                <w:rFonts w:ascii="Arial" w:cs="Arial" w:eastAsia="Arial" w:hAnsi="Arial"/>
                <w:sz w:val="12"/>
                <w:szCs w:val="12"/>
                <w:color w:val="auto"/>
                <w:w w:val="95"/>
              </w:rPr>
              <w:t>0.5</w:t>
            </w:r>
          </w:p>
        </w:tc>
        <w:tc>
          <w:tcPr>
            <w:tcW w:w="2240" w:type="dxa"/>
            <w:vAlign w:val="bottom"/>
            <w:gridSpan w:val="3"/>
            <w:shd w:val="clear" w:color="auto" w:fill="CCEEFF"/>
          </w:tcPr>
          <w:p>
            <w:pPr>
              <w:jc w:val="center"/>
              <w:ind w:left="579"/>
              <w:spacing w:after="0"/>
              <w:rPr>
                <w:sz w:val="20"/>
                <w:szCs w:val="20"/>
                <w:color w:val="auto"/>
              </w:rPr>
            </w:pPr>
            <w:r>
              <w:rPr>
                <w:rFonts w:ascii="Arial" w:cs="Arial" w:eastAsia="Arial" w:hAnsi="Arial"/>
                <w:sz w:val="12"/>
                <w:szCs w:val="12"/>
                <w:color w:val="auto"/>
                <w:w w:val="95"/>
              </w:rPr>
              <w:t>0.5</w:t>
            </w:r>
          </w:p>
        </w:tc>
      </w:tr>
      <w:tr>
        <w:trPr>
          <w:trHeight w:val="161"/>
        </w:trPr>
        <w:tc>
          <w:tcPr>
            <w:tcW w:w="3920" w:type="dxa"/>
            <w:vAlign w:val="bottom"/>
          </w:tcPr>
          <w:p>
            <w:pPr>
              <w:ind w:left="20"/>
              <w:spacing w:after="0"/>
              <w:rPr>
                <w:sz w:val="20"/>
                <w:szCs w:val="20"/>
                <w:color w:val="auto"/>
              </w:rPr>
            </w:pPr>
            <w:r>
              <w:rPr>
                <w:rFonts w:ascii="Arial" w:cs="Arial" w:eastAsia="Arial" w:hAnsi="Arial"/>
                <w:sz w:val="12"/>
                <w:szCs w:val="12"/>
                <w:color w:val="auto"/>
              </w:rPr>
              <w:t>Expected volatility</w:t>
            </w:r>
          </w:p>
        </w:tc>
        <w:tc>
          <w:tcPr>
            <w:tcW w:w="1020" w:type="dxa"/>
            <w:vAlign w:val="bottom"/>
          </w:tcPr>
          <w:p>
            <w:pPr>
              <w:jc w:val="center"/>
              <w:ind w:left="479"/>
              <w:spacing w:after="0"/>
              <w:rPr>
                <w:sz w:val="20"/>
                <w:szCs w:val="20"/>
                <w:color w:val="auto"/>
              </w:rPr>
            </w:pPr>
            <w:r>
              <w:rPr>
                <w:rFonts w:ascii="Arial" w:cs="Arial" w:eastAsia="Arial" w:hAnsi="Arial"/>
                <w:sz w:val="12"/>
                <w:szCs w:val="12"/>
                <w:color w:val="auto"/>
                <w:w w:val="93"/>
              </w:rPr>
              <w:t>58.7%</w:t>
            </w:r>
          </w:p>
        </w:tc>
        <w:tc>
          <w:tcPr>
            <w:tcW w:w="2240" w:type="dxa"/>
            <w:vAlign w:val="bottom"/>
            <w:gridSpan w:val="3"/>
          </w:tcPr>
          <w:p>
            <w:pPr>
              <w:jc w:val="center"/>
              <w:ind w:left="579"/>
              <w:spacing w:after="0"/>
              <w:rPr>
                <w:sz w:val="20"/>
                <w:szCs w:val="20"/>
                <w:color w:val="auto"/>
              </w:rPr>
            </w:pPr>
            <w:r>
              <w:rPr>
                <w:rFonts w:ascii="Arial" w:cs="Arial" w:eastAsia="Arial" w:hAnsi="Arial"/>
                <w:sz w:val="12"/>
                <w:szCs w:val="12"/>
                <w:color w:val="auto"/>
                <w:w w:val="93"/>
              </w:rPr>
              <w:t>72.1%</w:t>
            </w:r>
          </w:p>
        </w:tc>
      </w:tr>
      <w:tr>
        <w:trPr>
          <w:trHeight w:val="166"/>
        </w:trPr>
        <w:tc>
          <w:tcPr>
            <w:tcW w:w="3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Risk-free interest rate</w:t>
            </w:r>
          </w:p>
        </w:tc>
        <w:tc>
          <w:tcPr>
            <w:tcW w:w="1020" w:type="dxa"/>
            <w:vAlign w:val="bottom"/>
            <w:shd w:val="clear" w:color="auto" w:fill="CCEEFF"/>
          </w:tcPr>
          <w:p>
            <w:pPr>
              <w:jc w:val="center"/>
              <w:ind w:left="479"/>
              <w:spacing w:after="0"/>
              <w:rPr>
                <w:sz w:val="20"/>
                <w:szCs w:val="20"/>
                <w:color w:val="auto"/>
              </w:rPr>
            </w:pPr>
            <w:r>
              <w:rPr>
                <w:rFonts w:ascii="Arial" w:cs="Arial" w:eastAsia="Arial" w:hAnsi="Arial"/>
                <w:sz w:val="12"/>
                <w:szCs w:val="12"/>
                <w:color w:val="auto"/>
                <w:w w:val="93"/>
              </w:rPr>
              <w:t>0.04%</w:t>
            </w:r>
          </w:p>
        </w:tc>
        <w:tc>
          <w:tcPr>
            <w:tcW w:w="2240" w:type="dxa"/>
            <w:vAlign w:val="bottom"/>
            <w:gridSpan w:val="3"/>
            <w:shd w:val="clear" w:color="auto" w:fill="CCEEFF"/>
          </w:tcPr>
          <w:p>
            <w:pPr>
              <w:jc w:val="center"/>
              <w:ind w:left="579"/>
              <w:spacing w:after="0"/>
              <w:rPr>
                <w:sz w:val="20"/>
                <w:szCs w:val="20"/>
                <w:color w:val="auto"/>
              </w:rPr>
            </w:pPr>
            <w:r>
              <w:rPr>
                <w:rFonts w:ascii="Arial" w:cs="Arial" w:eastAsia="Arial" w:hAnsi="Arial"/>
                <w:sz w:val="12"/>
                <w:szCs w:val="12"/>
                <w:color w:val="auto"/>
                <w:w w:val="87"/>
              </w:rPr>
              <w:t>0.2%</w:t>
            </w:r>
          </w:p>
        </w:tc>
      </w:tr>
      <w:tr>
        <w:trPr>
          <w:trHeight w:val="158"/>
        </w:trPr>
        <w:tc>
          <w:tcPr>
            <w:tcW w:w="3920" w:type="dxa"/>
            <w:vAlign w:val="bottom"/>
          </w:tcPr>
          <w:p>
            <w:pPr>
              <w:ind w:left="20"/>
              <w:spacing w:after="0"/>
              <w:rPr>
                <w:sz w:val="20"/>
                <w:szCs w:val="20"/>
                <w:color w:val="auto"/>
              </w:rPr>
            </w:pPr>
            <w:r>
              <w:rPr>
                <w:rFonts w:ascii="Arial" w:cs="Arial" w:eastAsia="Arial" w:hAnsi="Arial"/>
                <w:sz w:val="12"/>
                <w:szCs w:val="12"/>
                <w:color w:val="auto"/>
              </w:rPr>
              <w:t>Dividend rate</w:t>
            </w:r>
          </w:p>
        </w:tc>
        <w:tc>
          <w:tcPr>
            <w:tcW w:w="1020" w:type="dxa"/>
            <w:vAlign w:val="bottom"/>
          </w:tcPr>
          <w:p>
            <w:pPr>
              <w:jc w:val="center"/>
              <w:ind w:left="459"/>
              <w:spacing w:after="0"/>
              <w:rPr>
                <w:sz w:val="20"/>
                <w:szCs w:val="20"/>
                <w:color w:val="auto"/>
              </w:rPr>
            </w:pPr>
            <w:r>
              <w:rPr>
                <w:rFonts w:ascii="Arial" w:cs="Arial" w:eastAsia="Arial" w:hAnsi="Arial"/>
                <w:sz w:val="12"/>
                <w:szCs w:val="12"/>
                <w:color w:val="auto"/>
                <w:w w:val="96"/>
              </w:rPr>
              <w:t>—%</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2"/>
                <w:szCs w:val="12"/>
                <w:color w:val="auto"/>
              </w:rPr>
              <w:t>—%</w:t>
            </w:r>
          </w:p>
        </w:tc>
      </w:tr>
    </w:tbl>
    <w:p>
      <w:pPr>
        <w:spacing w:after="0" w:line="200" w:lineRule="exact"/>
        <w:rPr>
          <w:sz w:val="20"/>
          <w:szCs w:val="20"/>
          <w:color w:val="auto"/>
        </w:rPr>
      </w:pPr>
    </w:p>
    <w:p>
      <w:pPr>
        <w:sectPr>
          <w:pgSz w:w="11900" w:h="16838" w:orient="portrait"/>
          <w:cols w:equalWidth="0" w:num="2">
            <w:col w:w="1780" w:space="280"/>
            <w:col w:w="9300"/>
          </w:cols>
          <w:pgMar w:left="300" w:top="129" w:right="239" w:bottom="1440" w:gutter="0" w:footer="0" w:header="0"/>
          <w:type w:val="continuous"/>
        </w:sectPr>
      </w:pPr>
    </w:p>
    <w:p>
      <w:pPr>
        <w:spacing w:after="0" w:line="2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Stock-Based Compensation Expense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Company recorded total stock-based compensation expense as follows:</w:t>
      </w:r>
    </w:p>
    <w:p>
      <w:pPr>
        <w:spacing w:after="0" w:line="181" w:lineRule="exact"/>
        <w:rPr>
          <w:sz w:val="20"/>
          <w:szCs w:val="20"/>
          <w:color w:val="auto"/>
        </w:rPr>
      </w:pPr>
    </w:p>
    <w:tbl>
      <w:tblPr>
        <w:tblLayout w:type="fixed"/>
        <w:tblInd w:w="860" w:type="dxa"/>
        <w:tblCellMar>
          <w:top w:w="0" w:type="dxa"/>
          <w:left w:w="0" w:type="dxa"/>
          <w:bottom w:w="0" w:type="dxa"/>
          <w:right w:w="0" w:type="dxa"/>
        </w:tblCellMar>
      </w:tblPr>
      <w:tr>
        <w:trPr>
          <w:trHeight w:val="138"/>
        </w:trPr>
        <w:tc>
          <w:tcPr>
            <w:tcW w:w="2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60" w:type="dxa"/>
            <w:vAlign w:val="bottom"/>
            <w:gridSpan w:val="4"/>
          </w:tcPr>
          <w:p>
            <w:pPr>
              <w:jc w:val="right"/>
              <w:ind w:right="199"/>
              <w:spacing w:after="0"/>
              <w:rPr>
                <w:sz w:val="20"/>
                <w:szCs w:val="20"/>
                <w:color w:val="auto"/>
              </w:rPr>
            </w:pPr>
            <w:r>
              <w:rPr>
                <w:rFonts w:ascii="Arial" w:cs="Arial" w:eastAsia="Arial" w:hAnsi="Arial"/>
                <w:sz w:val="12"/>
                <w:szCs w:val="12"/>
                <w:b w:val="1"/>
                <w:bCs w:val="1"/>
                <w:color w:val="auto"/>
              </w:rPr>
              <w:t>Three Months Ended</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80" w:type="dxa"/>
            <w:vAlign w:val="bottom"/>
            <w:gridSpan w:val="4"/>
          </w:tcPr>
          <w:p>
            <w:pPr>
              <w:jc w:val="right"/>
              <w:ind w:right="519"/>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61"/>
        </w:trPr>
        <w:tc>
          <w:tcPr>
            <w:tcW w:w="2020" w:type="dxa"/>
            <w:vAlign w:val="bottom"/>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180"/>
              <w:spacing w:after="0"/>
              <w:rPr>
                <w:sz w:val="20"/>
                <w:szCs w:val="20"/>
                <w:color w:val="auto"/>
              </w:rPr>
            </w:pPr>
            <w:r>
              <w:rPr>
                <w:rFonts w:ascii="Arial" w:cs="Arial" w:eastAsia="Arial" w:hAnsi="Arial"/>
                <w:sz w:val="12"/>
                <w:szCs w:val="12"/>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20" w:type="dxa"/>
            <w:vAlign w:val="bottom"/>
          </w:tcPr>
          <w:p>
            <w:pPr>
              <w:spacing w:after="0"/>
              <w:rPr>
                <w:sz w:val="13"/>
                <w:szCs w:val="13"/>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53"/>
        </w:trPr>
        <w:tc>
          <w:tcPr>
            <w:tcW w:w="20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right"/>
              <w:ind w:right="919"/>
              <w:spacing w:after="0"/>
              <w:rPr>
                <w:sz w:val="20"/>
                <w:szCs w:val="20"/>
                <w:color w:val="auto"/>
              </w:rPr>
            </w:pPr>
            <w:r>
              <w:rPr>
                <w:rFonts w:ascii="Arial" w:cs="Arial" w:eastAsia="Arial" w:hAnsi="Arial"/>
                <w:sz w:val="12"/>
                <w:szCs w:val="12"/>
                <w:color w:val="auto"/>
                <w:w w:val="99"/>
              </w:rPr>
              <w:t>(In thousands)</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20" w:type="dxa"/>
            <w:vAlign w:val="bottom"/>
            <w:shd w:val="clear" w:color="auto" w:fill="CCEEFF"/>
          </w:tcPr>
          <w:p>
            <w:pPr>
              <w:ind w:left="860"/>
              <w:spacing w:after="0"/>
              <w:rPr>
                <w:sz w:val="20"/>
                <w:szCs w:val="20"/>
                <w:color w:val="auto"/>
              </w:rPr>
            </w:pPr>
            <w:r>
              <w:rPr>
                <w:rFonts w:ascii="Arial" w:cs="Arial" w:eastAsia="Arial" w:hAnsi="Arial"/>
                <w:sz w:val="12"/>
                <w:szCs w:val="12"/>
                <w:color w:val="auto"/>
              </w:rPr>
              <w:t>Cost of revenue</w:t>
            </w:r>
          </w:p>
        </w:tc>
        <w:tc>
          <w:tcPr>
            <w:tcW w:w="1760" w:type="dxa"/>
            <w:vAlign w:val="bottom"/>
            <w:shd w:val="clear" w:color="auto" w:fill="CCEEFF"/>
          </w:tcPr>
          <w:p>
            <w:pPr>
              <w:jc w:val="right"/>
              <w:ind w:right="759"/>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2,237</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right"/>
              <w:ind w:right="759"/>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9,461</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9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020" w:type="dxa"/>
            <w:vAlign w:val="bottom"/>
          </w:tcPr>
          <w:p>
            <w:pPr>
              <w:ind w:left="860"/>
              <w:spacing w:after="0" w:line="126" w:lineRule="exact"/>
              <w:rPr>
                <w:sz w:val="20"/>
                <w:szCs w:val="20"/>
                <w:color w:val="auto"/>
              </w:rPr>
            </w:pPr>
            <w:r>
              <w:rPr>
                <w:rFonts w:ascii="Arial" w:cs="Arial" w:eastAsia="Arial" w:hAnsi="Arial"/>
                <w:sz w:val="12"/>
                <w:szCs w:val="12"/>
                <w:color w:val="auto"/>
              </w:rPr>
              <w:t>Research and</w:t>
            </w:r>
          </w:p>
        </w:tc>
        <w:tc>
          <w:tcPr>
            <w:tcW w:w="17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69,242</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46,294</w:t>
            </w:r>
          </w:p>
        </w:tc>
        <w:tc>
          <w:tcPr>
            <w:tcW w:w="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185,072</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20" w:type="dxa"/>
            <w:vAlign w:val="bottom"/>
          </w:tcPr>
          <w:p>
            <w:pPr>
              <w:ind w:left="20"/>
              <w:spacing w:after="0"/>
              <w:rPr>
                <w:sz w:val="20"/>
                <w:szCs w:val="20"/>
                <w:color w:val="auto"/>
              </w:rPr>
            </w:pPr>
            <w:r>
              <w:rPr>
                <w:rFonts w:ascii="Arial" w:cs="Arial" w:eastAsia="Arial" w:hAnsi="Arial"/>
                <w:sz w:val="12"/>
                <w:szCs w:val="12"/>
                <w:color w:val="auto"/>
              </w:rPr>
              <w:t>development</w:t>
            </w:r>
          </w:p>
        </w:tc>
        <w:tc>
          <w:tcPr>
            <w:tcW w:w="17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20" w:type="dxa"/>
            <w:vAlign w:val="bottom"/>
            <w:shd w:val="clear" w:color="auto" w:fill="CCEEFF"/>
          </w:tcPr>
          <w:p>
            <w:pPr>
              <w:ind w:left="860"/>
              <w:spacing w:after="0"/>
              <w:rPr>
                <w:sz w:val="20"/>
                <w:szCs w:val="20"/>
                <w:color w:val="auto"/>
              </w:rPr>
            </w:pPr>
            <w:r>
              <w:rPr>
                <w:rFonts w:ascii="Arial" w:cs="Arial" w:eastAsia="Arial" w:hAnsi="Arial"/>
                <w:sz w:val="12"/>
                <w:szCs w:val="12"/>
                <w:color w:val="auto"/>
              </w:rPr>
              <w:t>Sales and marketing</w:t>
            </w:r>
          </w:p>
        </w:tc>
        <w:tc>
          <w:tcPr>
            <w:tcW w:w="17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53,843</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26,573</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143,419</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20" w:type="dxa"/>
            <w:vAlign w:val="bottom"/>
          </w:tcPr>
          <w:p>
            <w:pPr>
              <w:ind w:left="860"/>
              <w:spacing w:after="0" w:line="126" w:lineRule="exact"/>
              <w:rPr>
                <w:sz w:val="20"/>
                <w:szCs w:val="20"/>
                <w:color w:val="auto"/>
              </w:rPr>
            </w:pPr>
            <w:r>
              <w:rPr>
                <w:rFonts w:ascii="Arial" w:cs="Arial" w:eastAsia="Arial" w:hAnsi="Arial"/>
                <w:sz w:val="12"/>
                <w:szCs w:val="12"/>
                <w:color w:val="auto"/>
              </w:rPr>
              <w:t>General and</w:t>
            </w:r>
          </w:p>
        </w:tc>
        <w:tc>
          <w:tcPr>
            <w:tcW w:w="17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37,238</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14,306</w:t>
            </w:r>
          </w:p>
        </w:tc>
        <w:tc>
          <w:tcPr>
            <w:tcW w:w="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107,414</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administrative</w:t>
            </w:r>
          </w:p>
        </w:tc>
        <w:tc>
          <w:tcPr>
            <w:tcW w:w="17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2"/>
                <w:szCs w:val="12"/>
                <w:color w:val="auto"/>
              </w:rPr>
              <w:t>Total</w:t>
            </w:r>
          </w:p>
        </w:tc>
        <w:tc>
          <w:tcPr>
            <w:tcW w:w="17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164,043</w:t>
            </w:r>
          </w:p>
        </w:tc>
        <w:tc>
          <w:tcPr>
            <w:tcW w:w="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89,410</w:t>
            </w:r>
          </w:p>
        </w:tc>
        <w:tc>
          <w:tcPr>
            <w:tcW w:w="8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445,366</w:t>
            </w: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Net Loss Per Share Attributable to Common Stockholders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Basic and diluted net loss per common share is presented in conformity with the two-class method required for participating securities and is described in detail in the Company’s Annual Report.</w:t>
      </w:r>
    </w:p>
    <w:p>
      <w:pPr>
        <w:spacing w:after="0" w:line="260"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sets forth the calculation of basic and diluted net loss per share attributable to common stockholders during the periods presented:</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3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20" w:type="dxa"/>
            <w:vAlign w:val="bottom"/>
            <w:gridSpan w:val="4"/>
          </w:tcPr>
          <w:p>
            <w:pPr>
              <w:jc w:val="right"/>
              <w:ind w:right="79"/>
              <w:spacing w:after="0"/>
              <w:rPr>
                <w:sz w:val="20"/>
                <w:szCs w:val="20"/>
                <w:color w:val="auto"/>
              </w:rPr>
            </w:pPr>
            <w:r>
              <w:rPr>
                <w:rFonts w:ascii="Arial" w:cs="Arial" w:eastAsia="Arial" w:hAnsi="Arial"/>
                <w:sz w:val="12"/>
                <w:szCs w:val="12"/>
                <w:b w:val="1"/>
                <w:bCs w:val="1"/>
                <w:color w:val="auto"/>
              </w:rPr>
              <w:t>Three Months Ended</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gridSpan w:val="4"/>
          </w:tcPr>
          <w:p>
            <w:pPr>
              <w:jc w:val="right"/>
              <w:ind w:right="99"/>
              <w:spacing w:after="0"/>
              <w:rPr>
                <w:sz w:val="20"/>
                <w:szCs w:val="20"/>
                <w:color w:val="auto"/>
              </w:rPr>
            </w:pPr>
            <w:r>
              <w:rPr>
                <w:rFonts w:ascii="Arial" w:cs="Arial" w:eastAsia="Arial" w:hAnsi="Arial"/>
                <w:sz w:val="12"/>
                <w:szCs w:val="12"/>
                <w:b w:val="1"/>
                <w:bCs w:val="1"/>
                <w:color w:val="auto"/>
              </w:rPr>
              <w:t>Nine Months Ended</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700"/>
              <w:spacing w:after="0"/>
              <w:rPr>
                <w:sz w:val="20"/>
                <w:szCs w:val="20"/>
                <w:color w:val="auto"/>
              </w:rPr>
            </w:pPr>
            <w:r>
              <w:rPr>
                <w:rFonts w:ascii="Arial" w:cs="Arial" w:eastAsia="Arial" w:hAnsi="Arial"/>
                <w:sz w:val="12"/>
                <w:szCs w:val="12"/>
                <w:b w:val="1"/>
                <w:bCs w:val="1"/>
                <w:color w:val="auto"/>
                <w:w w:val="99"/>
              </w:rPr>
              <w:t>September 30,</w:t>
            </w: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720"/>
              <w:spacing w:after="0"/>
              <w:rPr>
                <w:sz w:val="20"/>
                <w:szCs w:val="20"/>
                <w:color w:val="auto"/>
              </w:rPr>
            </w:pPr>
            <w:r>
              <w:rPr>
                <w:rFonts w:ascii="Arial" w:cs="Arial" w:eastAsia="Arial" w:hAnsi="Arial"/>
                <w:sz w:val="12"/>
                <w:szCs w:val="12"/>
                <w:b w:val="1"/>
                <w:bCs w:val="1"/>
                <w:color w:val="auto"/>
                <w:w w:val="99"/>
              </w:rPr>
              <w:t>September 30,</w:t>
            </w: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6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81"/>
        </w:trPr>
        <w:tc>
          <w:tcPr>
            <w:tcW w:w="3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w w:val="96"/>
              </w:rPr>
              <w:t>Net loss attributable to common stockholders (in thousands)</w:t>
            </w:r>
          </w:p>
        </w:tc>
        <w:tc>
          <w:tcPr>
            <w:tcW w:w="8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(224,109)</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(116,914)</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(658,504)</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500"/>
              <w:spacing w:after="0" w:line="106" w:lineRule="exact"/>
              <w:rPr>
                <w:sz w:val="20"/>
                <w:szCs w:val="20"/>
                <w:color w:val="auto"/>
              </w:rPr>
            </w:pPr>
            <w:r>
              <w:rPr>
                <w:rFonts w:ascii="Arial" w:cs="Arial" w:eastAsia="Arial" w:hAnsi="Arial"/>
                <w:sz w:val="12"/>
                <w:szCs w:val="12"/>
                <w:color w:val="auto"/>
                <w:w w:val="93"/>
              </w:rPr>
              <w:t>Weighted-average shares used to compute net loss per share</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36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177,231,285</w:t>
            </w: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147,501,075</w:t>
            </w: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172,605,371</w:t>
            </w: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142,8</w:t>
            </w:r>
          </w:p>
        </w:tc>
        <w:tc>
          <w:tcPr>
            <w:tcW w:w="0" w:type="dxa"/>
            <w:vAlign w:val="bottom"/>
          </w:tcPr>
          <w:p>
            <w:pPr>
              <w:spacing w:after="0"/>
              <w:rPr>
                <w:sz w:val="1"/>
                <w:szCs w:val="1"/>
                <w:color w:val="auto"/>
              </w:rPr>
            </w:pPr>
          </w:p>
        </w:tc>
      </w:tr>
      <w:tr>
        <w:trPr>
          <w:trHeight w:val="139"/>
        </w:trPr>
        <w:tc>
          <w:tcPr>
            <w:tcW w:w="3600" w:type="dxa"/>
            <w:vAlign w:val="bottom"/>
          </w:tcPr>
          <w:p>
            <w:pPr>
              <w:spacing w:after="0"/>
              <w:rPr>
                <w:sz w:val="20"/>
                <w:szCs w:val="20"/>
                <w:color w:val="auto"/>
              </w:rPr>
            </w:pPr>
            <w:r>
              <w:rPr>
                <w:rFonts w:ascii="Arial" w:cs="Arial" w:eastAsia="Arial" w:hAnsi="Arial"/>
                <w:sz w:val="12"/>
                <w:szCs w:val="12"/>
                <w:color w:val="auto"/>
              </w:rPr>
              <w:t>attributable to common stockholders, basic and diluted</w:t>
            </w:r>
          </w:p>
        </w:tc>
        <w:tc>
          <w:tcPr>
            <w:tcW w:w="8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600" w:type="dxa"/>
            <w:vAlign w:val="bottom"/>
            <w:shd w:val="clear" w:color="auto" w:fill="CCEEFF"/>
          </w:tcPr>
          <w:p>
            <w:pPr>
              <w:ind w:left="500"/>
              <w:spacing w:after="0" w:line="86" w:lineRule="exact"/>
              <w:rPr>
                <w:sz w:val="20"/>
                <w:szCs w:val="20"/>
                <w:color w:val="auto"/>
              </w:rPr>
            </w:pPr>
            <w:r>
              <w:rPr>
                <w:rFonts w:ascii="Arial" w:cs="Arial" w:eastAsia="Arial" w:hAnsi="Arial"/>
                <w:sz w:val="9"/>
                <w:szCs w:val="9"/>
                <w:color w:val="auto"/>
              </w:rPr>
              <w:t>Net loss per share attributable to common stockholders, basic</w:t>
            </w:r>
          </w:p>
        </w:tc>
        <w:tc>
          <w:tcPr>
            <w:tcW w:w="82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(1.26)</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80" w:type="dxa"/>
            <w:vAlign w:val="bottom"/>
            <w:vMerge w:val="restart"/>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(0.79)</w:t>
            </w:r>
          </w:p>
        </w:tc>
        <w:tc>
          <w:tcPr>
            <w:tcW w:w="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(3.82)</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and diluted</w:t>
            </w: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10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9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80" w:firstLine="367"/>
        <w:spacing w:after="0" w:line="261" w:lineRule="auto"/>
        <w:rPr>
          <w:sz w:val="20"/>
          <w:szCs w:val="20"/>
          <w:color w:val="auto"/>
        </w:rPr>
      </w:pPr>
      <w:r>
        <w:rPr>
          <w:rFonts w:ascii="Arial" w:cs="Arial" w:eastAsia="Arial" w:hAnsi="Arial"/>
          <w:sz w:val="14"/>
          <w:szCs w:val="14"/>
          <w:color w:val="auto"/>
        </w:rPr>
        <w:t>The following outstanding shares of common stock equivalents were excluded from the calculation of the diluted net loss per share attributable to common stockholders because their effect would have been anti-dilutive:</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560" w:type="dxa"/>
            <w:vAlign w:val="bottom"/>
            <w:tcBorders>
              <w:bottom w:val="single" w:sz="8" w:color="auto"/>
            </w:tcBorders>
            <w:gridSpan w:val="3"/>
          </w:tcPr>
          <w:p>
            <w:pPr>
              <w:ind w:left="1400"/>
              <w:spacing w:after="0"/>
              <w:rPr>
                <w:sz w:val="20"/>
                <w:szCs w:val="20"/>
                <w:color w:val="auto"/>
              </w:rPr>
            </w:pPr>
            <w:r>
              <w:rPr>
                <w:rFonts w:ascii="Arial" w:cs="Arial" w:eastAsia="Arial" w:hAnsi="Arial"/>
                <w:sz w:val="12"/>
                <w:szCs w:val="12"/>
                <w:b w:val="1"/>
                <w:bCs w:val="1"/>
                <w:color w:val="auto"/>
                <w:w w:val="98"/>
              </w:rPr>
              <w:t>As of September 30,</w:t>
            </w:r>
          </w:p>
        </w:tc>
        <w:tc>
          <w:tcPr>
            <w:tcW w:w="820" w:type="dxa"/>
            <w:vAlign w:val="bottom"/>
            <w:tcBorders>
              <w:bottom w:val="single" w:sz="8" w:color="auto"/>
            </w:tcBorders>
          </w:tcPr>
          <w:p>
            <w:pPr>
              <w:spacing w:after="0"/>
              <w:rPr>
                <w:sz w:val="14"/>
                <w:szCs w:val="14"/>
                <w:color w:val="auto"/>
              </w:rPr>
            </w:pPr>
          </w:p>
        </w:tc>
      </w:tr>
      <w:tr>
        <w:trPr>
          <w:trHeight w:val="154"/>
        </w:trPr>
        <w:tc>
          <w:tcPr>
            <w:tcW w:w="668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2020</w:t>
            </w:r>
          </w:p>
        </w:tc>
      </w:tr>
      <w:tr>
        <w:trPr>
          <w:trHeight w:val="156"/>
        </w:trPr>
        <w:tc>
          <w:tcPr>
            <w:tcW w:w="66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Stock options issued and outstanding</w:t>
            </w: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4,510,986</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4,946,920</w:t>
            </w:r>
          </w:p>
        </w:tc>
      </w:tr>
      <w:tr>
        <w:trPr>
          <w:trHeight w:val="161"/>
        </w:trPr>
        <w:tc>
          <w:tcPr>
            <w:tcW w:w="6680" w:type="dxa"/>
            <w:vAlign w:val="bottom"/>
          </w:tcPr>
          <w:p>
            <w:pPr>
              <w:ind w:left="500"/>
              <w:spacing w:after="0"/>
              <w:rPr>
                <w:sz w:val="20"/>
                <w:szCs w:val="20"/>
                <w:color w:val="auto"/>
              </w:rPr>
            </w:pPr>
            <w:r>
              <w:rPr>
                <w:rFonts w:ascii="Arial" w:cs="Arial" w:eastAsia="Arial" w:hAnsi="Arial"/>
                <w:sz w:val="12"/>
                <w:szCs w:val="12"/>
                <w:color w:val="auto"/>
              </w:rPr>
              <w:t>Restricted stock units issued and outstanding</w:t>
            </w:r>
          </w:p>
        </w:tc>
        <w:tc>
          <w:tcPr>
            <w:tcW w:w="1640" w:type="dxa"/>
            <w:vAlign w:val="bottom"/>
          </w:tcPr>
          <w:p>
            <w:pPr>
              <w:jc w:val="right"/>
              <w:spacing w:after="0"/>
              <w:rPr>
                <w:sz w:val="20"/>
                <w:szCs w:val="20"/>
                <w:color w:val="auto"/>
              </w:rPr>
            </w:pPr>
            <w:r>
              <w:rPr>
                <w:rFonts w:ascii="Arial" w:cs="Arial" w:eastAsia="Arial" w:hAnsi="Arial"/>
                <w:sz w:val="12"/>
                <w:szCs w:val="12"/>
                <w:color w:val="auto"/>
              </w:rPr>
              <w:t>6,467,518</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8,026,189</w:t>
            </w:r>
          </w:p>
        </w:tc>
      </w:tr>
      <w:tr>
        <w:trPr>
          <w:trHeight w:val="166"/>
        </w:trPr>
        <w:tc>
          <w:tcPr>
            <w:tcW w:w="66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Class A common stock reserved for Twilio.org</w:t>
            </w: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640,959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729,367</w:t>
            </w:r>
          </w:p>
        </w:tc>
      </w:tr>
      <w:tr>
        <w:trPr>
          <w:trHeight w:val="161"/>
        </w:trPr>
        <w:tc>
          <w:tcPr>
            <w:tcW w:w="6680" w:type="dxa"/>
            <w:vAlign w:val="bottom"/>
          </w:tcPr>
          <w:p>
            <w:pPr>
              <w:ind w:left="500"/>
              <w:spacing w:after="0"/>
              <w:rPr>
                <w:sz w:val="20"/>
                <w:szCs w:val="20"/>
                <w:color w:val="auto"/>
              </w:rPr>
            </w:pPr>
            <w:r>
              <w:rPr>
                <w:rFonts w:ascii="Arial" w:cs="Arial" w:eastAsia="Arial" w:hAnsi="Arial"/>
                <w:sz w:val="12"/>
                <w:szCs w:val="12"/>
                <w:color w:val="auto"/>
              </w:rPr>
              <w:t>Class A common stock committed under ESPP</w:t>
            </w:r>
          </w:p>
        </w:tc>
        <w:tc>
          <w:tcPr>
            <w:tcW w:w="1640" w:type="dxa"/>
            <w:vAlign w:val="bottom"/>
          </w:tcPr>
          <w:p>
            <w:pPr>
              <w:jc w:val="right"/>
              <w:spacing w:after="0"/>
              <w:rPr>
                <w:sz w:val="20"/>
                <w:szCs w:val="20"/>
                <w:color w:val="auto"/>
              </w:rPr>
            </w:pPr>
            <w:r>
              <w:rPr>
                <w:rFonts w:ascii="Arial" w:cs="Arial" w:eastAsia="Arial" w:hAnsi="Arial"/>
                <w:sz w:val="12"/>
                <w:szCs w:val="12"/>
                <w:color w:val="auto"/>
              </w:rPr>
              <w:t>107,815</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103,374</w:t>
            </w:r>
          </w:p>
        </w:tc>
      </w:tr>
      <w:tr>
        <w:trPr>
          <w:trHeight w:val="166"/>
        </w:trPr>
        <w:tc>
          <w:tcPr>
            <w:tcW w:w="6680" w:type="dxa"/>
            <w:vAlign w:val="bottom"/>
            <w:shd w:val="clear" w:color="auto" w:fill="CCEEFF"/>
          </w:tcPr>
          <w:p>
            <w:pPr>
              <w:ind w:left="500"/>
              <w:spacing w:after="0" w:line="166" w:lineRule="exact"/>
              <w:rPr>
                <w:sz w:val="20"/>
                <w:szCs w:val="20"/>
                <w:color w:val="auto"/>
              </w:rPr>
            </w:pPr>
            <w:r>
              <w:rPr>
                <w:rFonts w:ascii="Arial" w:cs="Arial" w:eastAsia="Arial" w:hAnsi="Arial"/>
                <w:sz w:val="12"/>
                <w:szCs w:val="12"/>
                <w:color w:val="auto"/>
              </w:rPr>
              <w:t xml:space="preserve">Convertible senior notes </w:t>
            </w:r>
            <w:r>
              <w:rPr>
                <w:rFonts w:ascii="Arial" w:cs="Arial" w:eastAsia="Arial" w:hAnsi="Arial"/>
                <w:sz w:val="15"/>
                <w:szCs w:val="15"/>
                <w:color w:val="auto"/>
                <w:vertAlign w:val="superscript"/>
              </w:rPr>
              <w:t>(1)</w:t>
            </w:r>
          </w:p>
        </w:tc>
        <w:tc>
          <w:tcPr>
            <w:tcW w:w="2560" w:type="dxa"/>
            <w:vAlign w:val="bottom"/>
            <w:gridSpan w:val="3"/>
            <w:shd w:val="clear" w:color="auto" w:fill="CCEEFF"/>
          </w:tcPr>
          <w:p>
            <w:pPr>
              <w:jc w:val="right"/>
              <w:ind w:right="9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5,013,815</w:t>
            </w:r>
          </w:p>
        </w:tc>
      </w:tr>
      <w:tr>
        <w:trPr>
          <w:trHeight w:val="161"/>
        </w:trPr>
        <w:tc>
          <w:tcPr>
            <w:tcW w:w="6680" w:type="dxa"/>
            <w:vAlign w:val="bottom"/>
          </w:tcPr>
          <w:p>
            <w:pPr>
              <w:ind w:left="500"/>
              <w:spacing w:after="0"/>
              <w:rPr>
                <w:sz w:val="20"/>
                <w:szCs w:val="20"/>
                <w:color w:val="auto"/>
              </w:rPr>
            </w:pPr>
            <w:r>
              <w:rPr>
                <w:rFonts w:ascii="Arial" w:cs="Arial" w:eastAsia="Arial" w:hAnsi="Arial"/>
                <w:sz w:val="12"/>
                <w:szCs w:val="12"/>
                <w:color w:val="auto"/>
              </w:rPr>
              <w:t>Class A common stock in escrow</w:t>
            </w:r>
          </w:p>
        </w:tc>
        <w:tc>
          <w:tcPr>
            <w:tcW w:w="1640" w:type="dxa"/>
            <w:vAlign w:val="bottom"/>
          </w:tcPr>
          <w:p>
            <w:pPr>
              <w:jc w:val="right"/>
              <w:spacing w:after="0"/>
              <w:rPr>
                <w:sz w:val="20"/>
                <w:szCs w:val="20"/>
                <w:color w:val="auto"/>
              </w:rPr>
            </w:pPr>
            <w:r>
              <w:rPr>
                <w:rFonts w:ascii="Arial" w:cs="Arial" w:eastAsia="Arial" w:hAnsi="Arial"/>
                <w:sz w:val="12"/>
                <w:szCs w:val="12"/>
                <w:color w:val="auto"/>
              </w:rPr>
              <w:t>75,612</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3"/>
        </w:trPr>
        <w:tc>
          <w:tcPr>
            <w:tcW w:w="66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Class A common stock in escrow and restricted stock awards subject to future vesting</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342,784</w:t>
            </w:r>
          </w:p>
        </w:tc>
        <w:tc>
          <w:tcPr>
            <w:tcW w:w="1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6680" w:type="dxa"/>
            <w:vAlign w:val="bottom"/>
          </w:tcPr>
          <w:p>
            <w:pPr>
              <w:ind w:left="660"/>
              <w:spacing w:after="0"/>
              <w:rPr>
                <w:sz w:val="20"/>
                <w:szCs w:val="20"/>
                <w:color w:val="auto"/>
              </w:rPr>
            </w:pPr>
            <w:r>
              <w:rPr>
                <w:rFonts w:ascii="Arial" w:cs="Arial" w:eastAsia="Arial" w:hAnsi="Arial"/>
                <w:sz w:val="12"/>
                <w:szCs w:val="12"/>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12,145,674</w:t>
            </w:r>
          </w:p>
        </w:tc>
        <w:tc>
          <w:tcPr>
            <w:tcW w:w="1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18,819,665</w:t>
            </w:r>
          </w:p>
        </w:tc>
      </w:tr>
      <w:tr>
        <w:trPr>
          <w:trHeight w:val="20"/>
        </w:trPr>
        <w:tc>
          <w:tcPr>
            <w:tcW w:w="66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____________________________________</w:t>
      </w:r>
    </w:p>
    <w:p>
      <w:pPr>
        <w:spacing w:after="0" w:line="12" w:lineRule="exact"/>
        <w:rPr>
          <w:sz w:val="20"/>
          <w:szCs w:val="20"/>
          <w:color w:val="auto"/>
        </w:rPr>
      </w:pPr>
    </w:p>
    <w:p>
      <w:pPr>
        <w:ind w:left="360" w:right="200" w:firstLine="9"/>
        <w:spacing w:after="0" w:line="265" w:lineRule="auto"/>
        <w:tabs>
          <w:tab w:leader="none" w:pos="483" w:val="left"/>
        </w:tabs>
        <w:numPr>
          <w:ilvl w:val="1"/>
          <w:numId w:val="20"/>
        </w:numPr>
        <w:rPr>
          <w:rFonts w:ascii="Arial" w:cs="Arial" w:eastAsia="Arial" w:hAnsi="Arial"/>
          <w:sz w:val="14"/>
          <w:szCs w:val="14"/>
          <w:color w:val="auto"/>
          <w:vertAlign w:val="superscript"/>
        </w:rPr>
      </w:pPr>
      <w:r>
        <w:rPr>
          <w:rFonts w:ascii="Arial" w:cs="Arial" w:eastAsia="Arial" w:hAnsi="Arial"/>
          <w:sz w:val="11"/>
          <w:szCs w:val="11"/>
          <w:color w:val="auto"/>
        </w:rPr>
        <w:t>During the second quarter of 2021, the remaining principal amount of the Convertible Notes was fully redeemed and as of June 30, 2021, no Convertible Notes were outstanding. As of September 30, 2020, the Company was using treasury stock method to calculate the dilutive impact of the Convertible Notes because at that time the Company expected to settle the principal amount of these notes in cash and any excess in shares of the Company’s Class A common stock. Effective with the fourth quarter 2020, the Company expected to settle the principal amount of these notes in shares of the Company’s Class A common stock, and since then used the if-converted method for calculating a potential dilutive effect on diluted net income per share, if applicable. As of September 30, 2020, the conversion spread, calculated using the average market price of Class A common stock during the period consistent with the treasury stock method, had a dilutive impact on diluted net income per share of Class A common stock when the average market price of the Company’s Class A common stock for a given period exceeded the conversion price of $70.90 per share.</w:t>
      </w:r>
    </w:p>
    <w:p>
      <w:pPr>
        <w:spacing w:after="0" w:line="132" w:lineRule="exact"/>
        <w:rPr>
          <w:rFonts w:ascii="Arial" w:cs="Arial" w:eastAsia="Arial" w:hAnsi="Arial"/>
          <w:sz w:val="14"/>
          <w:szCs w:val="14"/>
          <w:color w:val="auto"/>
          <w:vertAlign w:val="superscript"/>
        </w:rPr>
      </w:pPr>
    </w:p>
    <w:p>
      <w:pPr>
        <w:ind w:left="200" w:hanging="198"/>
        <w:spacing w:after="0"/>
        <w:tabs>
          <w:tab w:leader="none" w:pos="200"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68" w:lineRule="exact"/>
        <w:rPr>
          <w:sz w:val="20"/>
          <w:szCs w:val="20"/>
          <w:color w:val="auto"/>
        </w:rPr>
      </w:pPr>
    </w:p>
    <w:p>
      <w:pPr>
        <w:ind w:right="220" w:firstLine="367"/>
        <w:spacing w:after="0" w:line="314" w:lineRule="auto"/>
        <w:rPr>
          <w:sz w:val="20"/>
          <w:szCs w:val="20"/>
          <w:color w:val="auto"/>
        </w:rPr>
      </w:pPr>
      <w:r>
        <w:rPr>
          <w:rFonts w:ascii="Arial" w:cs="Arial" w:eastAsia="Arial" w:hAnsi="Arial"/>
          <w:sz w:val="12"/>
          <w:szCs w:val="12"/>
          <w:color w:val="auto"/>
        </w:rPr>
        <w:t>The Company computes its provision for interim periods by applying an estimated annual effective tax rate to anticipated annual pretax income or loss. The estimated annual effective tax rate is applied to the Company’s year to date income or loss, and is adjusted for discrete items recorded in the period. The Company recorded an income tax benefit of $14.8 million and $12.7 million for the three and nine months ended September 30, 2021, respectively, and an income tax provision of $0.6 million and $1.9 million for the three and nine months ended September 30, 2020, respectively.</w:t>
      </w:r>
    </w:p>
    <w:p>
      <w:pPr>
        <w:spacing w:after="0" w:line="111" w:lineRule="exact"/>
        <w:rPr>
          <w:sz w:val="20"/>
          <w:szCs w:val="20"/>
          <w:color w:val="auto"/>
        </w:rPr>
      </w:pPr>
    </w:p>
    <w:p>
      <w:pPr>
        <w:jc w:val="both"/>
        <w:ind w:right="340" w:firstLine="367"/>
        <w:spacing w:after="0" w:line="314" w:lineRule="auto"/>
        <w:rPr>
          <w:sz w:val="20"/>
          <w:szCs w:val="20"/>
          <w:color w:val="auto"/>
        </w:rPr>
      </w:pPr>
      <w:r>
        <w:rPr>
          <w:rFonts w:ascii="Arial" w:cs="Arial" w:eastAsia="Arial" w:hAnsi="Arial"/>
          <w:sz w:val="12"/>
          <w:szCs w:val="12"/>
          <w:color w:val="auto"/>
        </w:rPr>
        <w:t>The benefit for income taxes recorded in the three and nine months ended September 30, 2021 consists primarily of the income tax benefit from the reversal of U.S. valuation allowance related to acquired intangibles from current year business combinations partially offset with income taxes and withholding taxes in foreign jurisdictions in which the Company conducts business. The provision for income taxes recorded in the three and nine months ended September 30, 2020 consists primarily of income taxes and withholding taxes in foreign jurisdictions in which the Company conducts business.</w:t>
      </w:r>
    </w:p>
    <w:p>
      <w:pPr>
        <w:spacing w:after="0" w:line="132" w:lineRule="exact"/>
        <w:rPr>
          <w:sz w:val="20"/>
          <w:szCs w:val="20"/>
          <w:color w:val="auto"/>
        </w:rPr>
      </w:pPr>
    </w:p>
    <w:p>
      <w:pPr>
        <w:ind w:right="380" w:firstLine="490"/>
        <w:spacing w:after="0" w:line="261" w:lineRule="auto"/>
        <w:rPr>
          <w:sz w:val="20"/>
          <w:szCs w:val="20"/>
          <w:color w:val="auto"/>
        </w:rPr>
      </w:pPr>
      <w:r>
        <w:rPr>
          <w:rFonts w:ascii="Arial" w:cs="Arial" w:eastAsia="Arial" w:hAnsi="Arial"/>
          <w:sz w:val="14"/>
          <w:szCs w:val="14"/>
          <w:color w:val="auto"/>
        </w:rPr>
        <w:t>The primary difference between the effective tax rate and the federal statutory rate is the full valuation allowance the Company established on the federal, state, and certain foreign net operating losses and credits. The Company continues to maintain a full valuation allowance against its U.S. federal and state net deferred tax assets.</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2. </w:t>
      </w:r>
      <w:r>
        <w:rPr>
          <w:rFonts w:ascii="Arial" w:cs="Arial" w:eastAsia="Arial" w:hAnsi="Arial"/>
          <w:sz w:val="14"/>
          <w:szCs w:val="14"/>
          <w:b w:val="1"/>
          <w:bCs w:val="1"/>
          <w:i w:val="1"/>
          <w:iCs w:val="1"/>
          <w:color w:val="auto"/>
        </w:rPr>
        <w:t>Management’s Discussion and Analysis of Financial Condition and Results of Operations</w:t>
      </w:r>
    </w:p>
    <w:p>
      <w:pPr>
        <w:spacing w:after="0" w:line="168" w:lineRule="exact"/>
        <w:rPr>
          <w:sz w:val="20"/>
          <w:szCs w:val="20"/>
          <w:color w:val="auto"/>
        </w:rPr>
      </w:pPr>
    </w:p>
    <w:p>
      <w:pPr>
        <w:ind w:right="60" w:firstLine="367"/>
        <w:spacing w:after="0" w:line="249" w:lineRule="auto"/>
        <w:rPr>
          <w:sz w:val="20"/>
          <w:szCs w:val="20"/>
          <w:color w:val="auto"/>
        </w:rPr>
      </w:pPr>
      <w:r>
        <w:rPr>
          <w:rFonts w:ascii="Arial" w:cs="Arial" w:eastAsia="Arial" w:hAnsi="Arial"/>
          <w:sz w:val="14"/>
          <w:szCs w:val="14"/>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II, Item 1A, “Risk Factors” in this Quarterly Report on Form 10-Q.</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Overview</w:t>
      </w:r>
    </w:p>
    <w:p>
      <w:pPr>
        <w:spacing w:after="0" w:line="168" w:lineRule="exact"/>
        <w:rPr>
          <w:sz w:val="20"/>
          <w:szCs w:val="20"/>
          <w:color w:val="auto"/>
        </w:rPr>
      </w:pPr>
    </w:p>
    <w:p>
      <w:pPr>
        <w:ind w:right="40" w:firstLine="367"/>
        <w:spacing w:after="0" w:line="166" w:lineRule="exact"/>
        <w:rPr>
          <w:sz w:val="20"/>
          <w:szCs w:val="20"/>
          <w:color w:val="auto"/>
        </w:rPr>
      </w:pPr>
      <w:r>
        <w:rPr>
          <w:rFonts w:ascii="Arial" w:cs="Arial" w:eastAsia="Arial" w:hAnsi="Arial"/>
          <w:sz w:val="12"/>
          <w:szCs w:val="12"/>
          <w:color w:val="auto"/>
        </w:rPr>
        <w:t>We are the leader in the cloud communications platform category. We enable developers to build, scale and operate real</w:t>
      </w:r>
      <w:r>
        <w:rPr>
          <w:rFonts w:ascii="MS PGothic" w:cs="MS PGothic" w:eastAsia="MS PGothic" w:hAnsi="MS PGothic"/>
          <w:sz w:val="12"/>
          <w:szCs w:val="12"/>
          <w:color w:val="auto"/>
        </w:rPr>
        <w:t>‑</w:t>
      </w:r>
      <w:r>
        <w:rPr>
          <w:rFonts w:ascii="Arial" w:cs="Arial" w:eastAsia="Arial" w:hAnsi="Arial"/>
          <w:sz w:val="12"/>
          <w:szCs w:val="12"/>
          <w:color w:val="auto"/>
        </w:rPr>
        <w:t>time customer engagement within their software applications. We offer a customer engagement platform with software designed to address specific use cases like account security and contact centers, and a set of Application Programming Interfaces (“APIs”) that handles the higher level communication logic needed for nearly every type of customer engagement. The power, flexibility, and reliability offered by our software building blocks empowers companies of virtually every shape and size to build world-class engagement into their customer experience. For additional detail on the description of our business and products please refer to Part II, Item 7, "Management’s Discussion and Analysis of Financial Condition and Results of Operations", of our Annual Report on Form 10-K filed with the SEC on February 26, 2021 (“Annual Report”).</w:t>
      </w:r>
    </w:p>
    <w:p>
      <w:pPr>
        <w:spacing w:after="0" w:line="154" w:lineRule="exact"/>
        <w:rPr>
          <w:sz w:val="20"/>
          <w:szCs w:val="20"/>
          <w:color w:val="auto"/>
        </w:rPr>
      </w:pPr>
    </w:p>
    <w:p>
      <w:pPr>
        <w:ind w:right="60" w:firstLine="367"/>
        <w:spacing w:after="0" w:line="252" w:lineRule="auto"/>
        <w:rPr>
          <w:sz w:val="20"/>
          <w:szCs w:val="20"/>
          <w:color w:val="auto"/>
        </w:rPr>
      </w:pPr>
      <w:r>
        <w:rPr>
          <w:rFonts w:ascii="Arial" w:cs="Arial" w:eastAsia="Arial" w:hAnsi="Arial"/>
          <w:sz w:val="14"/>
          <w:szCs w:val="14"/>
          <w:color w:val="auto"/>
        </w:rPr>
        <w:t>We have achieved significant growth in recent periods. In the three months ended September 30, 2021 and 2020, our revenue was $740.2 million and $448.0 million, respectively, and our net loss was $224.1 million and $116.9 million, respectively. In the three months ended September 30, 2021 and 2020, our 10 largest Active Customer Accounts generated an aggregate of 11% and 14% of our total revenue, respectively.</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Acquisition of Zipwhip, Inc</w:t>
      </w:r>
    </w:p>
    <w:p>
      <w:pPr>
        <w:spacing w:after="0" w:line="166" w:lineRule="exact"/>
        <w:rPr>
          <w:sz w:val="20"/>
          <w:szCs w:val="20"/>
          <w:color w:val="auto"/>
        </w:rPr>
      </w:pPr>
    </w:p>
    <w:p>
      <w:pPr>
        <w:ind w:firstLine="367"/>
        <w:spacing w:after="0" w:line="296" w:lineRule="auto"/>
        <w:rPr>
          <w:sz w:val="20"/>
          <w:szCs w:val="20"/>
          <w:color w:val="auto"/>
        </w:rPr>
      </w:pPr>
      <w:r>
        <w:rPr>
          <w:rFonts w:ascii="Arial" w:cs="Arial" w:eastAsia="Arial" w:hAnsi="Arial"/>
          <w:sz w:val="12"/>
          <w:szCs w:val="12"/>
          <w:color w:val="auto"/>
        </w:rPr>
        <w:t>On July 14, 2021, we acquired Zipwhip, Inc. (“Zipwhip”), a leading provider of toll-free messaging in the United States, for a purchase price of $838.4 million. The purchase price was paid in the form of shares of our Class A common stock and cash and included fair value of pre-combination services of Zipwhip employees that was embedded in the unvested equity awards which we assumed on the acquisition closing date. Part of the cash consideration was paid to settle the vested stock options of Zipwhip employees that were outstanding on the acquisition closing date. We assumed all unvested and outstanding stock options and restricted stock units of Zipwhip continuing employees as converted into our own respective equity awards at the conversion ratio provided in the Agreement and Plan of Merger and Reorganization. This acquisition is described in detail in Note 7 to our condensed consolidated financial statements included elsewhere in this quarterly report on Form 10-Q. During the nine months ended September 30, 2021, we incurred $4.2 million in expenses related to this transaction.</w:t>
      </w:r>
    </w:p>
    <w:p>
      <w:pPr>
        <w:spacing w:after="0" w:line="120"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COVID-19 UPDATE</w:t>
      </w:r>
    </w:p>
    <w:p>
      <w:pPr>
        <w:spacing w:after="0" w:line="168" w:lineRule="exact"/>
        <w:rPr>
          <w:sz w:val="20"/>
          <w:szCs w:val="20"/>
          <w:color w:val="auto"/>
        </w:rPr>
      </w:pPr>
    </w:p>
    <w:p>
      <w:pPr>
        <w:ind w:right="20" w:firstLine="367"/>
        <w:spacing w:after="0" w:line="294" w:lineRule="auto"/>
        <w:rPr>
          <w:sz w:val="20"/>
          <w:szCs w:val="20"/>
          <w:color w:val="auto"/>
        </w:rPr>
      </w:pPr>
      <w:r>
        <w:rPr>
          <w:rFonts w:ascii="Arial" w:cs="Arial" w:eastAsia="Arial" w:hAnsi="Arial"/>
          <w:sz w:val="12"/>
          <w:szCs w:val="12"/>
          <w:color w:val="auto"/>
        </w:rPr>
        <w:t>A novel coronavirus disease (“COVID-19”) was declared a global pandemic during the first quarter of 2020 and has resulted in the imposition of numerous, unprecedented, national and international measures to try to contain the virus, including travel bans and restrictions, shutdowns, quarantines, shelter-in-place and social distancing orders. To prioritize the health and safety of our employees, customers and our community at large, we have either cancelled or shifted our planned events to virtual-only experiences and may determine to alter, postpone or cancel additional customer, employee or industry events in the future. Since mid-March 2020, we have also taken several precautionary measures to protect our employees and contingent workers and help minimize the spread of the virus, including temporarily closing our worldwide offices, requiring all employees and contingent workers to work from home and suspending almost all business travel worldwide for our employees. We have continued to monitor the progress of vaccination efforts around the world. In the third quarter of 2021, as COVID-19 related restrictions have eased in some geographies, we commenced a phased reopening for certain offices. In these cases, reopening includes limited capacity and social distancing, is voluntary, and is only available to fully-vaccinated employees, unless they have a medical or other protected exception.</w:t>
      </w:r>
    </w:p>
    <w:p>
      <w:pPr>
        <w:spacing w:after="0" w:line="123" w:lineRule="exact"/>
        <w:rPr>
          <w:sz w:val="20"/>
          <w:szCs w:val="20"/>
          <w:color w:val="auto"/>
        </w:rPr>
      </w:pPr>
    </w:p>
    <w:p>
      <w:pPr>
        <w:ind w:right="40" w:firstLine="367"/>
        <w:spacing w:after="0" w:line="247" w:lineRule="auto"/>
        <w:rPr>
          <w:sz w:val="20"/>
          <w:szCs w:val="20"/>
          <w:color w:val="auto"/>
        </w:rPr>
      </w:pPr>
      <w:r>
        <w:rPr>
          <w:rFonts w:ascii="Arial" w:cs="Arial" w:eastAsia="Arial" w:hAnsi="Arial"/>
          <w:sz w:val="14"/>
          <w:szCs w:val="14"/>
          <w:color w:val="auto"/>
        </w:rPr>
        <w:t>The broader implications of COVID-19 on our results of operations and overall financial performance remain uncertain. The COVID-19 pandemic and its adverse effects have been prevalent in the locations where we, our customers, our suppliers or our third-party business partners conduct business. There may be additional impacts to the economy and our business as a result of COVID-19. We expect that there may be some volatility in customer demand and buying habits as the pandemic continues, and we may experience constrained supply or curtailed customer demand that could materially and adversely impact our business, results of operations and financial performance in future periods. Specifically, we may experience impact from delayed sales cycles, including customers and prospective customers delaying contract signing or contract renewals, or reducing</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120"/>
        <w:spacing w:after="0" w:line="314" w:lineRule="auto"/>
        <w:rPr>
          <w:sz w:val="20"/>
          <w:szCs w:val="20"/>
          <w:color w:val="auto"/>
        </w:rPr>
      </w:pPr>
      <w:r>
        <w:rPr>
          <w:rFonts w:ascii="Arial" w:cs="Arial" w:eastAsia="Arial" w:hAnsi="Arial"/>
          <w:sz w:val="12"/>
          <w:szCs w:val="12"/>
          <w:color w:val="auto"/>
        </w:rPr>
        <w:t>budgets or minimum commitments related to the products and services that we offer and changes to consumer behavior that may affect customers who use our products and services for confirmations, notifications, and other use cases. See the risk factor titled “The global COVID-19 pandemic may adversely impact our business, results of operations and financial performance” in Part II, Item 1A, “Risk Factors” of this Quarterly Report on Form 10-Q for further discussion of the possible impact of the COVID-19 pandemic on our business, financial condition and results of operations.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Key Business Metrics</w:t>
      </w:r>
    </w:p>
    <w:p>
      <w:pPr>
        <w:spacing w:after="0" w:line="18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ind w:left="100"/>
              <w:spacing w:after="0"/>
              <w:rPr>
                <w:sz w:val="20"/>
                <w:szCs w:val="20"/>
                <w:color w:val="auto"/>
              </w:rPr>
            </w:pPr>
            <w:r>
              <w:rPr>
                <w:rFonts w:ascii="Arial" w:cs="Arial" w:eastAsia="Arial" w:hAnsi="Arial"/>
                <w:sz w:val="12"/>
                <w:szCs w:val="12"/>
                <w:b w:val="1"/>
                <w:bCs w:val="1"/>
                <w:color w:val="auto"/>
              </w:rPr>
              <w:t>Three Months Ended</w:t>
            </w: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61"/>
        </w:trPr>
        <w:tc>
          <w:tcPr>
            <w:tcW w:w="48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rPr>
              <w:t>September 30,</w:t>
            </w:r>
          </w:p>
        </w:tc>
        <w:tc>
          <w:tcPr>
            <w:tcW w:w="9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r>
      <w:tr>
        <w:trPr>
          <w:trHeight w:val="153"/>
        </w:trPr>
        <w:tc>
          <w:tcPr>
            <w:tcW w:w="48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b w:val="1"/>
                <w:bCs w:val="1"/>
                <w:color w:val="auto"/>
              </w:rPr>
              <w:t>2020</w:t>
            </w:r>
          </w:p>
        </w:tc>
        <w:tc>
          <w:tcPr>
            <w:tcW w:w="320" w:type="dxa"/>
            <w:vAlign w:val="bottom"/>
            <w:tcBorders>
              <w:bottom w:val="single" w:sz="8" w:color="auto"/>
            </w:tcBorders>
          </w:tcPr>
          <w:p>
            <w:pPr>
              <w:spacing w:after="0"/>
              <w:rPr>
                <w:sz w:val="13"/>
                <w:szCs w:val="13"/>
                <w:color w:val="auto"/>
              </w:rPr>
            </w:pPr>
          </w:p>
        </w:tc>
      </w:tr>
      <w:tr>
        <w:trPr>
          <w:trHeight w:val="156"/>
        </w:trPr>
        <w:tc>
          <w:tcPr>
            <w:tcW w:w="4840" w:type="dxa"/>
            <w:vAlign w:val="bottom"/>
            <w:shd w:val="clear" w:color="auto" w:fill="CCEEFF"/>
          </w:tcPr>
          <w:p>
            <w:pPr>
              <w:ind w:left="380"/>
              <w:spacing w:after="0" w:line="156" w:lineRule="exact"/>
              <w:rPr>
                <w:sz w:val="20"/>
                <w:szCs w:val="20"/>
                <w:color w:val="auto"/>
              </w:rPr>
            </w:pPr>
            <w:r>
              <w:rPr>
                <w:rFonts w:ascii="Arial" w:cs="Arial" w:eastAsia="Arial" w:hAnsi="Arial"/>
                <w:sz w:val="12"/>
                <w:szCs w:val="12"/>
                <w:color w:val="auto"/>
              </w:rPr>
              <w:t xml:space="preserve">Number of Active Customer Accounts (as of end date of period) </w:t>
            </w:r>
            <w:r>
              <w:rPr>
                <w:rFonts w:ascii="Arial" w:cs="Arial" w:eastAsia="Arial" w:hAnsi="Arial"/>
                <w:sz w:val="15"/>
                <w:szCs w:val="15"/>
                <w:color w:val="auto"/>
                <w:vertAlign w:val="superscript"/>
              </w:rPr>
              <w:t>(1)</w:t>
            </w:r>
          </w:p>
        </w:tc>
        <w:tc>
          <w:tcPr>
            <w:tcW w:w="8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250,000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208,000</w:t>
            </w:r>
          </w:p>
        </w:tc>
        <w:tc>
          <w:tcPr>
            <w:tcW w:w="320" w:type="dxa"/>
            <w:vAlign w:val="bottom"/>
            <w:shd w:val="clear" w:color="auto" w:fill="CCEEFF"/>
          </w:tcPr>
          <w:p>
            <w:pPr>
              <w:spacing w:after="0"/>
              <w:rPr>
                <w:sz w:val="13"/>
                <w:szCs w:val="13"/>
                <w:color w:val="auto"/>
              </w:rPr>
            </w:pPr>
          </w:p>
        </w:tc>
      </w:tr>
      <w:tr>
        <w:trPr>
          <w:trHeight w:val="163"/>
        </w:trPr>
        <w:tc>
          <w:tcPr>
            <w:tcW w:w="4840" w:type="dxa"/>
            <w:vAlign w:val="bottom"/>
          </w:tcPr>
          <w:p>
            <w:pPr>
              <w:ind w:left="380"/>
              <w:spacing w:after="0" w:line="164" w:lineRule="exact"/>
              <w:rPr>
                <w:sz w:val="20"/>
                <w:szCs w:val="20"/>
                <w:color w:val="auto"/>
              </w:rPr>
            </w:pPr>
            <w:r>
              <w:rPr>
                <w:rFonts w:ascii="Arial" w:cs="Arial" w:eastAsia="Arial" w:hAnsi="Arial"/>
                <w:sz w:val="12"/>
                <w:szCs w:val="12"/>
                <w:color w:val="auto"/>
              </w:rPr>
              <w:t xml:space="preserve">Total Revenue (in thousands) </w:t>
            </w:r>
            <w:r>
              <w:rPr>
                <w:rFonts w:ascii="Arial" w:cs="Arial" w:eastAsia="Arial" w:hAnsi="Arial"/>
                <w:sz w:val="15"/>
                <w:szCs w:val="15"/>
                <w:color w:val="auto"/>
                <w:vertAlign w:val="superscript"/>
              </w:rPr>
              <w:t>(1)</w:t>
            </w:r>
          </w:p>
        </w:tc>
        <w:tc>
          <w:tcPr>
            <w:tcW w:w="800" w:type="dxa"/>
            <w:vAlign w:val="bottom"/>
          </w:tcPr>
          <w:p>
            <w:pPr>
              <w:jc w:val="right"/>
              <w:ind w:right="299"/>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39"/>
              <w:spacing w:after="0"/>
              <w:rPr>
                <w:sz w:val="20"/>
                <w:szCs w:val="20"/>
                <w:color w:val="auto"/>
              </w:rPr>
            </w:pPr>
            <w:r>
              <w:rPr>
                <w:rFonts w:ascii="Arial" w:cs="Arial" w:eastAsia="Arial" w:hAnsi="Arial"/>
                <w:sz w:val="12"/>
                <w:szCs w:val="12"/>
                <w:color w:val="auto"/>
              </w:rPr>
              <w:t>740,176</w:t>
            </w:r>
          </w:p>
        </w:tc>
        <w:tc>
          <w:tcPr>
            <w:tcW w:w="1440" w:type="dxa"/>
            <w:vAlign w:val="bottom"/>
            <w:gridSpan w:val="3"/>
          </w:tcPr>
          <w:p>
            <w:pPr>
              <w:jc w:val="right"/>
              <w:ind w:right="50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39"/>
              <w:spacing w:after="0"/>
              <w:rPr>
                <w:sz w:val="20"/>
                <w:szCs w:val="20"/>
                <w:color w:val="auto"/>
              </w:rPr>
            </w:pPr>
            <w:r>
              <w:rPr>
                <w:rFonts w:ascii="Arial" w:cs="Arial" w:eastAsia="Arial" w:hAnsi="Arial"/>
                <w:sz w:val="12"/>
                <w:szCs w:val="12"/>
                <w:color w:val="auto"/>
              </w:rPr>
              <w:t>447,969</w:t>
            </w:r>
          </w:p>
        </w:tc>
        <w:tc>
          <w:tcPr>
            <w:tcW w:w="320" w:type="dxa"/>
            <w:vAlign w:val="bottom"/>
          </w:tcPr>
          <w:p>
            <w:pPr>
              <w:spacing w:after="0"/>
              <w:rPr>
                <w:sz w:val="14"/>
                <w:szCs w:val="14"/>
                <w:color w:val="auto"/>
              </w:rPr>
            </w:pPr>
          </w:p>
        </w:tc>
      </w:tr>
      <w:tr>
        <w:trPr>
          <w:trHeight w:val="163"/>
        </w:trPr>
        <w:tc>
          <w:tcPr>
            <w:tcW w:w="4840" w:type="dxa"/>
            <w:vAlign w:val="bottom"/>
            <w:shd w:val="clear" w:color="auto" w:fill="CCEEFF"/>
          </w:tcPr>
          <w:p>
            <w:pPr>
              <w:ind w:left="460"/>
              <w:spacing w:after="0" w:line="164" w:lineRule="exact"/>
              <w:rPr>
                <w:sz w:val="20"/>
                <w:szCs w:val="20"/>
                <w:color w:val="auto"/>
              </w:rPr>
            </w:pPr>
            <w:r>
              <w:rPr>
                <w:rFonts w:ascii="Arial" w:cs="Arial" w:eastAsia="Arial" w:hAnsi="Arial"/>
                <w:sz w:val="12"/>
                <w:szCs w:val="12"/>
                <w:i w:val="1"/>
                <w:iCs w:val="1"/>
                <w:color w:val="auto"/>
              </w:rPr>
              <w:t xml:space="preserve">Total Revenue Growth Rate </w:t>
            </w:r>
            <w:r>
              <w:rPr>
                <w:rFonts w:ascii="Arial" w:cs="Arial" w:eastAsia="Arial" w:hAnsi="Arial"/>
                <w:sz w:val="15"/>
                <w:szCs w:val="15"/>
                <w:i w:val="1"/>
                <w:iCs w:val="1"/>
                <w:color w:val="auto"/>
                <w:vertAlign w:val="superscript"/>
              </w:rPr>
              <w:t>(1)</w:t>
            </w:r>
          </w:p>
        </w:tc>
        <w:tc>
          <w:tcPr>
            <w:tcW w:w="8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65</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52</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4840" w:type="dxa"/>
            <w:vAlign w:val="bottom"/>
          </w:tcPr>
          <w:p>
            <w:pPr>
              <w:ind w:left="380"/>
              <w:spacing w:after="0" w:line="167" w:lineRule="exact"/>
              <w:rPr>
                <w:sz w:val="20"/>
                <w:szCs w:val="20"/>
                <w:color w:val="auto"/>
              </w:rPr>
            </w:pPr>
            <w:r>
              <w:rPr>
                <w:rFonts w:ascii="Arial" w:cs="Arial" w:eastAsia="Arial" w:hAnsi="Arial"/>
                <w:sz w:val="12"/>
                <w:szCs w:val="12"/>
                <w:color w:val="auto"/>
              </w:rPr>
              <w:t xml:space="preserve">Dollar-Based Net Expansion Rate </w:t>
            </w:r>
            <w:r>
              <w:rPr>
                <w:rFonts w:ascii="Arial" w:cs="Arial" w:eastAsia="Arial" w:hAnsi="Arial"/>
                <w:sz w:val="15"/>
                <w:szCs w:val="15"/>
                <w:color w:val="auto"/>
                <w:vertAlign w:val="superscript"/>
              </w:rPr>
              <w:t>(2)</w:t>
            </w:r>
          </w:p>
        </w:tc>
        <w:tc>
          <w:tcPr>
            <w:tcW w:w="800" w:type="dxa"/>
            <w:vAlign w:val="bottom"/>
          </w:tcPr>
          <w:p>
            <w:pPr>
              <w:spacing w:after="0"/>
              <w:rPr>
                <w:sz w:val="14"/>
                <w:szCs w:val="14"/>
                <w:color w:val="auto"/>
              </w:rPr>
            </w:pPr>
          </w:p>
        </w:tc>
        <w:tc>
          <w:tcPr>
            <w:tcW w:w="980" w:type="dxa"/>
            <w:vAlign w:val="bottom"/>
          </w:tcPr>
          <w:p>
            <w:pPr>
              <w:jc w:val="right"/>
              <w:ind w:right="39"/>
              <w:spacing w:after="0"/>
              <w:rPr>
                <w:sz w:val="20"/>
                <w:szCs w:val="20"/>
                <w:color w:val="auto"/>
              </w:rPr>
            </w:pPr>
            <w:r>
              <w:rPr>
                <w:rFonts w:ascii="Arial" w:cs="Arial" w:eastAsia="Arial" w:hAnsi="Arial"/>
                <w:sz w:val="12"/>
                <w:szCs w:val="12"/>
                <w:color w:val="auto"/>
              </w:rPr>
              <w:t>131</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right"/>
              <w:ind w:right="139"/>
              <w:spacing w:after="0"/>
              <w:rPr>
                <w:sz w:val="20"/>
                <w:szCs w:val="20"/>
                <w:color w:val="auto"/>
              </w:rPr>
            </w:pPr>
            <w:r>
              <w:rPr>
                <w:rFonts w:ascii="Arial" w:cs="Arial" w:eastAsia="Arial" w:hAnsi="Arial"/>
                <w:sz w:val="12"/>
                <w:szCs w:val="12"/>
                <w:color w:val="auto"/>
              </w:rPr>
              <w:t>137</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03"/>
        </w:trPr>
        <w:tc>
          <w:tcPr>
            <w:tcW w:w="4840" w:type="dxa"/>
            <w:vAlign w:val="bottom"/>
          </w:tcPr>
          <w:p>
            <w:pPr>
              <w:ind w:left="380"/>
              <w:spacing w:after="0"/>
              <w:rPr>
                <w:sz w:val="20"/>
                <w:szCs w:val="20"/>
                <w:color w:val="auto"/>
              </w:rPr>
            </w:pPr>
            <w:r>
              <w:rPr>
                <w:rFonts w:ascii="Arial" w:cs="Arial" w:eastAsia="Arial" w:hAnsi="Arial"/>
                <w:sz w:val="8"/>
                <w:szCs w:val="8"/>
                <w:color w:val="auto"/>
              </w:rPr>
              <w:t>____________________</w:t>
            </w: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r>
    </w:tbl>
    <w:p>
      <w:pPr>
        <w:spacing w:after="0" w:line="13" w:lineRule="exact"/>
        <w:rPr>
          <w:sz w:val="20"/>
          <w:szCs w:val="20"/>
          <w:color w:val="auto"/>
        </w:rPr>
      </w:pPr>
    </w:p>
    <w:p>
      <w:pPr>
        <w:ind w:left="1640" w:hanging="105"/>
        <w:spacing w:after="0"/>
        <w:tabs>
          <w:tab w:leader="none" w:pos="1640" w:val="left"/>
        </w:tabs>
        <w:numPr>
          <w:ilvl w:val="0"/>
          <w:numId w:val="22"/>
        </w:numPr>
        <w:rPr>
          <w:rFonts w:ascii="Arial" w:cs="Arial" w:eastAsia="Arial" w:hAnsi="Arial"/>
          <w:sz w:val="12"/>
          <w:szCs w:val="12"/>
          <w:color w:val="auto"/>
          <w:vertAlign w:val="superscript"/>
        </w:rPr>
      </w:pPr>
      <w:r>
        <w:rPr>
          <w:rFonts w:ascii="Arial" w:cs="Arial" w:eastAsia="Arial" w:hAnsi="Arial"/>
          <w:sz w:val="9"/>
          <w:szCs w:val="9"/>
          <w:color w:val="auto"/>
        </w:rPr>
        <w:t>Includes the contributions from our ValueFirst business, acquired March 12, 2021, and Twilio Segment business, acquired November 2, 2020.</w:t>
      </w:r>
    </w:p>
    <w:p>
      <w:pPr>
        <w:spacing w:after="0" w:line="45" w:lineRule="exact"/>
        <w:rPr>
          <w:rFonts w:ascii="Arial" w:cs="Arial" w:eastAsia="Arial" w:hAnsi="Arial"/>
          <w:sz w:val="12"/>
          <w:szCs w:val="12"/>
          <w:color w:val="auto"/>
          <w:vertAlign w:val="superscript"/>
        </w:rPr>
      </w:pPr>
    </w:p>
    <w:p>
      <w:pPr>
        <w:ind w:left="1640" w:hanging="105"/>
        <w:spacing w:after="0"/>
        <w:tabs>
          <w:tab w:leader="none" w:pos="1640" w:val="left"/>
        </w:tabs>
        <w:numPr>
          <w:ilvl w:val="0"/>
          <w:numId w:val="22"/>
        </w:numPr>
        <w:rPr>
          <w:rFonts w:ascii="Arial" w:cs="Arial" w:eastAsia="Arial" w:hAnsi="Arial"/>
          <w:sz w:val="12"/>
          <w:szCs w:val="12"/>
          <w:color w:val="auto"/>
          <w:vertAlign w:val="superscript"/>
        </w:rPr>
      </w:pPr>
      <w:r>
        <w:rPr>
          <w:rFonts w:ascii="Arial" w:cs="Arial" w:eastAsia="Arial" w:hAnsi="Arial"/>
          <w:sz w:val="9"/>
          <w:szCs w:val="9"/>
          <w:color w:val="auto"/>
        </w:rPr>
        <w:t>Revenue from Zipwhip, ValueFirst and Twilio Segment will not impact this calculation until the quarter following the one-year anniversary of the respective acquisition.</w:t>
      </w:r>
    </w:p>
    <w:p>
      <w:pPr>
        <w:spacing w:after="0" w:line="233" w:lineRule="exact"/>
        <w:rPr>
          <w:sz w:val="20"/>
          <w:szCs w:val="20"/>
          <w:color w:val="auto"/>
        </w:rPr>
      </w:pPr>
    </w:p>
    <w:p>
      <w:pPr>
        <w:ind w:right="80" w:firstLine="367"/>
        <w:spacing w:after="0" w:line="299" w:lineRule="auto"/>
        <w:rPr>
          <w:sz w:val="20"/>
          <w:szCs w:val="20"/>
          <w:color w:val="auto"/>
        </w:rPr>
      </w:pPr>
      <w:r>
        <w:rPr>
          <w:rFonts w:ascii="Arial" w:cs="Arial" w:eastAsia="Arial" w:hAnsi="Arial"/>
          <w:sz w:val="12"/>
          <w:szCs w:val="12"/>
          <w:b w:val="1"/>
          <w:bCs w:val="1"/>
          <w:i w:val="1"/>
          <w:iCs w:val="1"/>
          <w:color w:val="auto"/>
        </w:rPr>
        <w:t xml:space="preserve">Number of Active Customer Accounts. </w:t>
      </w:r>
      <w:r>
        <w:rPr>
          <w:rFonts w:ascii="Arial" w:cs="Arial" w:eastAsia="Arial" w:hAnsi="Arial"/>
          <w:sz w:val="12"/>
          <w:szCs w:val="12"/>
          <w:color w:val="auto"/>
        </w:rPr>
        <w:t>We believe that the number of Active Customer Accounts is an important indicator of the growth of our business, the market acceptance of our platform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future revenue trends. We define an “Active Customer Account” at the end of any period as an individual account, as identified by a unique account identifier, for which we have recognized at least $5 of revenue in the last month of the period. We believe that use of our platform by customers at or above the $5 per month threshold is a stronger indicator of potential future engagement than trial usage of our platform or usage at levels below $5 per month. In the three months ended September 30, 2021 and 2020, revenue from Active Customer Accounts represented over 99% of total revenue in each period. A single organization may constitute multiple unique Active Customer Accounts if it has multiple account identifiers, each of which is treated as a separate Active Customer Account.</w:t>
      </w:r>
    </w:p>
    <w:p>
      <w:pPr>
        <w:spacing w:after="0" w:line="120" w:lineRule="exact"/>
        <w:rPr>
          <w:sz w:val="20"/>
          <w:szCs w:val="20"/>
          <w:color w:val="auto"/>
        </w:rPr>
      </w:pPr>
    </w:p>
    <w:p>
      <w:pPr>
        <w:ind w:firstLine="367"/>
        <w:spacing w:after="0" w:line="165" w:lineRule="exact"/>
        <w:rPr>
          <w:sz w:val="20"/>
          <w:szCs w:val="20"/>
          <w:color w:val="auto"/>
        </w:rPr>
      </w:pPr>
      <w:r>
        <w:rPr>
          <w:rFonts w:ascii="Arial" w:cs="Arial" w:eastAsia="Arial" w:hAnsi="Arial"/>
          <w:sz w:val="12"/>
          <w:szCs w:val="12"/>
          <w:b w:val="1"/>
          <w:bCs w:val="1"/>
          <w:i w:val="1"/>
          <w:iCs w:val="1"/>
          <w:color w:val="auto"/>
        </w:rPr>
        <w:t>Dollar</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 xml:space="preserve">Based Net Expansion Rate. </w:t>
      </w:r>
      <w:r>
        <w:rPr>
          <w:rFonts w:ascii="Arial" w:cs="Arial" w:eastAsia="Arial" w:hAnsi="Arial"/>
          <w:sz w:val="12"/>
          <w:szCs w:val="12"/>
          <w:color w:val="auto"/>
        </w:rPr>
        <w:t>Our ability to drive growth and generate incremental revenue depends, in part, on our ability to maintain and grow our relationships with existing Active Customer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Accounts and to increase their use of the platform. An important way in which we have historically tracked performance in this area is by measuring the Dollar-Based Net Expansion Rate for Active Customer Accounts. Our Dollar-Based Net Expansion Rate increases when such Active Customer Accounts increase their usage of a product, extend their usage of a product to new applications or adopt a new product. Our Dollar-Based Net Expansion Rate decreases when such Active Customer Accounts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 We believe that measuring Dollar-Based Net Expansion Rate provides a meaningful indication of the performance of our efforts to increase revenue from existing customers.</w:t>
      </w:r>
    </w:p>
    <w:p>
      <w:pPr>
        <w:spacing w:after="0" w:line="154" w:lineRule="exact"/>
        <w:rPr>
          <w:sz w:val="20"/>
          <w:szCs w:val="20"/>
          <w:color w:val="auto"/>
        </w:rPr>
      </w:pPr>
    </w:p>
    <w:p>
      <w:pPr>
        <w:ind w:right="140" w:firstLine="367"/>
        <w:spacing w:after="0" w:line="249" w:lineRule="auto"/>
        <w:rPr>
          <w:sz w:val="20"/>
          <w:szCs w:val="20"/>
          <w:color w:val="auto"/>
        </w:rPr>
      </w:pPr>
      <w:r>
        <w:rPr>
          <w:rFonts w:ascii="Arial" w:cs="Arial" w:eastAsia="Arial" w:hAnsi="Arial"/>
          <w:sz w:val="14"/>
          <w:szCs w:val="14"/>
          <w:color w:val="auto"/>
        </w:rPr>
        <w:t>To calculate the Dollar-Based Net Expansion Rate, we first identify the cohort of Active Customer Accounts that were Active Customer Accounts in the same quarter of the prior year. The Dollar-Based Net Expansion Rate is the quotient obtained by dividing the revenue generated from that cohort in a quarter, by the revenue generated from that same cohort in the corresponding quarter in the prior year. When we calculate Dollar-Based Net Expansion Rate for periods longer than one quarter, we use the average of the applicable quarterly Dollar-Based Net Expansion Rates for each of the quarters in such period.</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Key Components of Statements of Operations</w:t>
      </w:r>
    </w:p>
    <w:p>
      <w:pPr>
        <w:spacing w:after="0" w:line="168" w:lineRule="exact"/>
        <w:rPr>
          <w:sz w:val="20"/>
          <w:szCs w:val="20"/>
          <w:color w:val="auto"/>
        </w:rPr>
      </w:pPr>
    </w:p>
    <w:p>
      <w:pPr>
        <w:ind w:right="80" w:firstLine="367"/>
        <w:spacing w:after="0" w:line="166" w:lineRule="exact"/>
        <w:rPr>
          <w:sz w:val="20"/>
          <w:szCs w:val="20"/>
          <w:color w:val="auto"/>
        </w:rPr>
      </w:pPr>
      <w:r>
        <w:rPr>
          <w:rFonts w:ascii="Arial" w:cs="Arial" w:eastAsia="Arial" w:hAnsi="Arial"/>
          <w:sz w:val="12"/>
          <w:szCs w:val="12"/>
          <w:b w:val="1"/>
          <w:bCs w:val="1"/>
          <w:i w:val="1"/>
          <w:iCs w:val="1"/>
          <w:color w:val="auto"/>
        </w:rPr>
        <w:t xml:space="preserve">Revenue. </w:t>
      </w:r>
      <w:r>
        <w:rPr>
          <w:rFonts w:ascii="Arial" w:cs="Arial" w:eastAsia="Arial" w:hAnsi="Arial"/>
          <w:sz w:val="12"/>
          <w:szCs w:val="12"/>
          <w:color w:val="auto"/>
        </w:rPr>
        <w:t>We derive our revenue primarily from usage</w:t>
      </w:r>
      <w:r>
        <w:rPr>
          <w:rFonts w:ascii="MS PGothic" w:cs="MS PGothic" w:eastAsia="MS PGothic" w:hAnsi="MS PGothic"/>
          <w:sz w:val="12"/>
          <w:szCs w:val="12"/>
          <w:color w:val="auto"/>
        </w:rPr>
        <w:t>‑</w:t>
      </w:r>
      <w:r>
        <w:rPr>
          <w:rFonts w:ascii="Arial" w:cs="Arial" w:eastAsia="Arial" w:hAnsi="Arial"/>
          <w:sz w:val="12"/>
          <w:szCs w:val="12"/>
          <w:color w:val="auto"/>
        </w:rPr>
        <w:t>based fees earned from customers using the software products within our Channel APIs. These usage</w:t>
      </w:r>
      <w:r>
        <w:rPr>
          <w:rFonts w:ascii="MS PGothic" w:cs="MS PGothic" w:eastAsia="MS PGothic" w:hAnsi="MS PGothic"/>
          <w:sz w:val="12"/>
          <w:szCs w:val="12"/>
          <w:color w:val="auto"/>
        </w:rPr>
        <w:t>‑</w:t>
      </w:r>
      <w:r>
        <w:rPr>
          <w:rFonts w:ascii="Arial" w:cs="Arial" w:eastAsia="Arial" w:hAnsi="Arial"/>
          <w:sz w:val="12"/>
          <w:szCs w:val="12"/>
          <w:color w:val="auto"/>
        </w:rPr>
        <w:t>based software products include offerings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such as Programmable Messaging, Programmable Voice and Programmable Video, among others. Some examples of the usage</w:t>
      </w:r>
      <w:r>
        <w:rPr>
          <w:rFonts w:ascii="MS PGothic" w:cs="MS PGothic" w:eastAsia="MS PGothic" w:hAnsi="MS PGothic"/>
          <w:sz w:val="12"/>
          <w:szCs w:val="12"/>
          <w:color w:val="auto"/>
        </w:rPr>
        <w:t>‑</w:t>
      </w:r>
      <w:r>
        <w:rPr>
          <w:rFonts w:ascii="Arial" w:cs="Arial" w:eastAsia="Arial" w:hAnsi="Arial"/>
          <w:sz w:val="12"/>
          <w:szCs w:val="12"/>
          <w:color w:val="auto"/>
        </w:rPr>
        <w:t>based fees for which we charge include the number of text messages sent or received using our Programmable Messaging products, minutes of call duration activity for our Programmable Voice products, and number of authentications for our Verify product. In the three months ended September 30, 2021 and 2020, we generated 72% and 77% of our revenue, respectively, from usage</w:t>
      </w:r>
      <w:r>
        <w:rPr>
          <w:rFonts w:ascii="MS PGothic" w:cs="MS PGothic" w:eastAsia="MS PGothic" w:hAnsi="MS PGothic"/>
          <w:sz w:val="12"/>
          <w:szCs w:val="12"/>
          <w:color w:val="auto"/>
        </w:rPr>
        <w:t>‑</w:t>
      </w:r>
      <w:r>
        <w:rPr>
          <w:rFonts w:ascii="Arial" w:cs="Arial" w:eastAsia="Arial" w:hAnsi="Arial"/>
          <w:sz w:val="12"/>
          <w:szCs w:val="12"/>
          <w:color w:val="auto"/>
        </w:rPr>
        <w:t>based fees. We also earn monthly flat fees from certain fee</w:t>
      </w:r>
      <w:r>
        <w:rPr>
          <w:rFonts w:ascii="MS PGothic" w:cs="MS PGothic" w:eastAsia="MS PGothic" w:hAnsi="MS PGothic"/>
          <w:sz w:val="12"/>
          <w:szCs w:val="12"/>
          <w:color w:val="auto"/>
        </w:rPr>
        <w:t>‑</w:t>
      </w:r>
      <w:r>
        <w:rPr>
          <w:rFonts w:ascii="Arial" w:cs="Arial" w:eastAsia="Arial" w:hAnsi="Arial"/>
          <w:sz w:val="12"/>
          <w:szCs w:val="12"/>
          <w:color w:val="auto"/>
        </w:rPr>
        <w:t>based products, such as our Email API, Marketing Campaigns, Twilio Flex, our cloud contact center platform, and Twilio Segment, our customer data platform.</w:t>
      </w:r>
    </w:p>
    <w:p>
      <w:pPr>
        <w:spacing w:after="0" w:line="154" w:lineRule="exact"/>
        <w:rPr>
          <w:sz w:val="20"/>
          <w:szCs w:val="20"/>
          <w:color w:val="auto"/>
        </w:rPr>
      </w:pPr>
    </w:p>
    <w:p>
      <w:pPr>
        <w:ind w:right="220" w:firstLine="367"/>
        <w:spacing w:after="0" w:line="252" w:lineRule="auto"/>
        <w:rPr>
          <w:sz w:val="20"/>
          <w:szCs w:val="20"/>
          <w:color w:val="auto"/>
        </w:rPr>
      </w:pPr>
      <w:r>
        <w:rPr>
          <w:rFonts w:ascii="Arial" w:cs="Arial" w:eastAsia="Arial" w:hAnsi="Arial"/>
          <w:sz w:val="14"/>
          <w:szCs w:val="14"/>
          <w:color w:val="auto"/>
        </w:rPr>
        <w:t>When customers first begin using our platform, they typically pay upfront via credit card in monthly prepaid amounts and draw down their balances as they purchase or use our products. Our larger customers often enter into contracts, for at least 12 months, that contain minimum revenue commitments, which may contain more favorable pricing. Customers on such contracts typically are invoiced monthly in arrears for products used.</w:t>
      </w:r>
    </w:p>
    <w:p>
      <w:pPr>
        <w:spacing w:after="0" w:line="146" w:lineRule="exact"/>
        <w:rPr>
          <w:sz w:val="20"/>
          <w:szCs w:val="20"/>
          <w:color w:val="auto"/>
        </w:rPr>
      </w:pPr>
    </w:p>
    <w:p>
      <w:pPr>
        <w:ind w:right="100" w:firstLine="367"/>
        <w:spacing w:after="0" w:line="252" w:lineRule="auto"/>
        <w:rPr>
          <w:sz w:val="20"/>
          <w:szCs w:val="20"/>
          <w:color w:val="auto"/>
        </w:rPr>
      </w:pPr>
      <w:r>
        <w:rPr>
          <w:rFonts w:ascii="Arial" w:cs="Arial" w:eastAsia="Arial" w:hAnsi="Arial"/>
          <w:sz w:val="14"/>
          <w:szCs w:val="14"/>
          <w:color w:val="auto"/>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spacing w:after="0" w:line="146" w:lineRule="exact"/>
        <w:rPr>
          <w:sz w:val="20"/>
          <w:szCs w:val="20"/>
          <w:color w:val="auto"/>
        </w:rPr>
      </w:pPr>
    </w:p>
    <w:p>
      <w:pPr>
        <w:ind w:right="540" w:firstLine="367"/>
        <w:spacing w:after="0" w:line="261" w:lineRule="auto"/>
        <w:rPr>
          <w:sz w:val="20"/>
          <w:szCs w:val="20"/>
          <w:color w:val="auto"/>
        </w:rPr>
      </w:pPr>
      <w:r>
        <w:rPr>
          <w:rFonts w:ascii="Arial" w:cs="Arial" w:eastAsia="Arial" w:hAnsi="Arial"/>
          <w:sz w:val="14"/>
          <w:szCs w:val="14"/>
          <w:color w:val="auto"/>
        </w:rPr>
        <w:t>We define U.S. revenue as revenue from customers with IP addresses or mailing addresses at the time of registration in the United States, and we define international revenue as revenue from customers with IP addresses or mailing addresses at the time of registration outside of the United States.</w:t>
      </w:r>
    </w:p>
    <w:p>
      <w:pPr>
        <w:spacing w:after="0" w:line="140" w:lineRule="exact"/>
        <w:rPr>
          <w:sz w:val="20"/>
          <w:szCs w:val="20"/>
          <w:color w:val="auto"/>
        </w:rPr>
      </w:pPr>
    </w:p>
    <w:p>
      <w:pPr>
        <w:ind w:right="20" w:firstLine="367"/>
        <w:spacing w:after="0" w:line="166" w:lineRule="exact"/>
        <w:rPr>
          <w:sz w:val="20"/>
          <w:szCs w:val="20"/>
          <w:color w:val="auto"/>
        </w:rPr>
      </w:pPr>
      <w:r>
        <w:rPr>
          <w:rFonts w:ascii="Arial" w:cs="Arial" w:eastAsia="Arial" w:hAnsi="Arial"/>
          <w:sz w:val="14"/>
          <w:szCs w:val="14"/>
          <w:b w:val="1"/>
          <w:bCs w:val="1"/>
          <w:i w:val="1"/>
          <w:iCs w:val="1"/>
          <w:color w:val="auto"/>
        </w:rPr>
        <w:t xml:space="preserve">Cost of Revenue and Gross Margin. </w:t>
      </w:r>
      <w:r>
        <w:rPr>
          <w:rFonts w:ascii="Arial" w:cs="Arial" w:eastAsia="Arial" w:hAnsi="Arial"/>
          <w:sz w:val="14"/>
          <w:szCs w:val="14"/>
          <w:color w:val="auto"/>
        </w:rPr>
        <w:t>Cost of revenue consists primarily of fees paid to network service providers. Cost of revenue also includes cloud infrastructure fees, direct costs of personnel, such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salaries and stock</w:t>
      </w:r>
      <w:r>
        <w:rPr>
          <w:rFonts w:ascii="MS PGothic" w:cs="MS PGothic" w:eastAsia="MS PGothic" w:hAnsi="MS PGothic"/>
          <w:sz w:val="14"/>
          <w:szCs w:val="14"/>
          <w:color w:val="auto"/>
        </w:rPr>
        <w:t>‑</w:t>
      </w:r>
      <w:r>
        <w:rPr>
          <w:rFonts w:ascii="Arial" w:cs="Arial" w:eastAsia="Arial" w:hAnsi="Arial"/>
          <w:sz w:val="14"/>
          <w:szCs w:val="14"/>
          <w:color w:val="auto"/>
        </w:rPr>
        <w:t>based compensation for our customer support employees, and non</w:t>
      </w:r>
      <w:r>
        <w:rPr>
          <w:rFonts w:ascii="MS PGothic" w:cs="MS PGothic" w:eastAsia="MS PGothic" w:hAnsi="MS PGothic"/>
          <w:sz w:val="14"/>
          <w:szCs w:val="14"/>
          <w:color w:val="auto"/>
        </w:rPr>
        <w:t>‑</w:t>
      </w:r>
      <w:r>
        <w:rPr>
          <w:rFonts w:ascii="Arial" w:cs="Arial" w:eastAsia="Arial" w:hAnsi="Arial"/>
          <w:sz w:val="14"/>
          <w:szCs w:val="14"/>
          <w:color w:val="auto"/>
        </w:rPr>
        <w:t>personnel costs, such as depreciation and amortization expense related to data centers and hosting equipment, amortization of capitalized internal use software development costs and acquired intangibles. Our arrangements with network service providers require us to pay fees based on the volume of phone calls initiated or text messages sent, as well as the number of telephone numbers acquired by us to service our customers. Our arrangements with our cloud infrastructure provider require us to pay fees based on our server capacity consumption.</w:t>
      </w:r>
    </w:p>
    <w:p>
      <w:pPr>
        <w:spacing w:after="0" w:line="154" w:lineRule="exact"/>
        <w:rPr>
          <w:sz w:val="20"/>
          <w:szCs w:val="20"/>
          <w:color w:val="auto"/>
        </w:rPr>
      </w:pPr>
    </w:p>
    <w:p>
      <w:pPr>
        <w:ind w:firstLine="367"/>
        <w:spacing w:after="0" w:line="166" w:lineRule="exact"/>
        <w:rPr>
          <w:sz w:val="20"/>
          <w:szCs w:val="20"/>
          <w:color w:val="auto"/>
        </w:rPr>
      </w:pPr>
      <w:r>
        <w:rPr>
          <w:rFonts w:ascii="Arial" w:cs="Arial" w:eastAsia="Arial" w:hAnsi="Arial"/>
          <w:sz w:val="14"/>
          <w:szCs w:val="14"/>
          <w:color w:val="auto"/>
        </w:rPr>
        <w:t>Our gross margin has been and will continue to be affected by a number of factors, including the timing and extent of our investments in our operations; our product mix; our ability to manage our network service provider and cloud infrastructure</w:t>
      </w:r>
      <w:r>
        <w:rPr>
          <w:rFonts w:ascii="MS PGothic" w:cs="MS PGothic" w:eastAsia="MS PGothic" w:hAnsi="MS PGothic"/>
          <w:sz w:val="14"/>
          <w:szCs w:val="14"/>
          <w:color w:val="auto"/>
        </w:rPr>
        <w:t>‑</w:t>
      </w:r>
      <w:r>
        <w:rPr>
          <w:rFonts w:ascii="Arial" w:cs="Arial" w:eastAsia="Arial" w:hAnsi="Arial"/>
          <w:sz w:val="14"/>
          <w:szCs w:val="14"/>
          <w:color w:val="auto"/>
        </w:rPr>
        <w:t>related fees, including Application to Person SMS fees; the mix of U.S. revenue compared to international revenue; changes in foreign exchange rates; the timing of amortization of capitalized software development costs and acquired intangibles; and the extent to which we periodically choose to pass on our cost savings from platform optimization efforts to our customers in the form of lower usage prices.</w:t>
      </w:r>
    </w:p>
    <w:p>
      <w:pPr>
        <w:spacing w:after="0" w:line="153" w:lineRule="exact"/>
        <w:rPr>
          <w:sz w:val="20"/>
          <w:szCs w:val="20"/>
          <w:color w:val="auto"/>
        </w:rPr>
      </w:pPr>
    </w:p>
    <w:p>
      <w:pPr>
        <w:ind w:firstLine="367"/>
        <w:spacing w:after="0" w:line="167" w:lineRule="exact"/>
        <w:rPr>
          <w:sz w:val="20"/>
          <w:szCs w:val="20"/>
          <w:color w:val="auto"/>
        </w:rPr>
      </w:pPr>
      <w:r>
        <w:rPr>
          <w:rFonts w:ascii="Arial" w:cs="Arial" w:eastAsia="Arial" w:hAnsi="Arial"/>
          <w:sz w:val="14"/>
          <w:szCs w:val="14"/>
          <w:b w:val="1"/>
          <w:bCs w:val="1"/>
          <w:i w:val="1"/>
          <w:iCs w:val="1"/>
          <w:color w:val="auto"/>
        </w:rPr>
        <w:t xml:space="preserve">Operating Expenses. </w:t>
      </w:r>
      <w:r>
        <w:rPr>
          <w:rFonts w:ascii="Arial" w:cs="Arial" w:eastAsia="Arial" w:hAnsi="Arial"/>
          <w:sz w:val="14"/>
          <w:szCs w:val="14"/>
          <w:color w:val="auto"/>
        </w:rPr>
        <w:t>The most significant components of operating expenses are personnel costs, which consist of salaries, benefits, sales commissions and bonuses and stock</w:t>
      </w:r>
      <w:r>
        <w:rPr>
          <w:rFonts w:ascii="MS PGothic" w:cs="MS PGothic" w:eastAsia="MS PGothic" w:hAnsi="MS PGothic"/>
          <w:sz w:val="14"/>
          <w:szCs w:val="14"/>
          <w:color w:val="auto"/>
        </w:rPr>
        <w:t>‑</w:t>
      </w:r>
      <w:r>
        <w:rPr>
          <w:rFonts w:ascii="Arial" w:cs="Arial" w:eastAsia="Arial" w:hAnsi="Arial"/>
          <w:sz w:val="14"/>
          <w:szCs w:val="14"/>
          <w:color w:val="auto"/>
        </w:rPr>
        <w:t>based compensation.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also incur other non</w:t>
      </w:r>
      <w:r>
        <w:rPr>
          <w:rFonts w:ascii="MS PGothic" w:cs="MS PGothic" w:eastAsia="MS PGothic" w:hAnsi="MS PGothic"/>
          <w:sz w:val="14"/>
          <w:szCs w:val="14"/>
          <w:color w:val="auto"/>
        </w:rPr>
        <w:t>‑</w:t>
      </w:r>
      <w:r>
        <w:rPr>
          <w:rFonts w:ascii="Arial" w:cs="Arial" w:eastAsia="Arial" w:hAnsi="Arial"/>
          <w:sz w:val="14"/>
          <w:szCs w:val="14"/>
          <w:color w:val="auto"/>
        </w:rPr>
        <w:t>personnel costs related to our general overhead expenses. We expect that our operating costs will increase in absolute dollars as we add additional employees and invest in our infrastructure to grow our business.</w:t>
      </w:r>
    </w:p>
    <w:p>
      <w:pPr>
        <w:spacing w:after="0" w:line="154" w:lineRule="exact"/>
        <w:rPr>
          <w:sz w:val="20"/>
          <w:szCs w:val="20"/>
          <w:color w:val="auto"/>
        </w:rPr>
      </w:pPr>
    </w:p>
    <w:p>
      <w:pPr>
        <w:ind w:right="140" w:firstLine="367"/>
        <w:spacing w:after="0" w:line="252" w:lineRule="auto"/>
        <w:rPr>
          <w:sz w:val="20"/>
          <w:szCs w:val="20"/>
          <w:color w:val="auto"/>
        </w:rPr>
      </w:pPr>
      <w:r>
        <w:rPr>
          <w:rFonts w:ascii="Arial" w:cs="Arial" w:eastAsia="Arial" w:hAnsi="Arial"/>
          <w:sz w:val="14"/>
          <w:szCs w:val="14"/>
          <w:i w:val="1"/>
          <w:iCs w:val="1"/>
          <w:color w:val="auto"/>
        </w:rPr>
        <w:t xml:space="preserve">Research and Development. </w:t>
      </w:r>
      <w:r>
        <w:rPr>
          <w:rFonts w:ascii="Arial" w:cs="Arial" w:eastAsia="Arial" w:hAnsi="Arial"/>
          <w:sz w:val="14"/>
          <w:szCs w:val="14"/>
          <w:color w:val="auto"/>
        </w:rPr>
        <w:t>Research and development expenses consist primarily of personnel costs, outsourced engineering services, cloud infrastructure fees for staging and development,</w:t>
      </w:r>
      <w:r>
        <w:rPr>
          <w:rFonts w:ascii="Arial" w:cs="Arial" w:eastAsia="Arial" w:hAnsi="Arial"/>
          <w:sz w:val="14"/>
          <w:szCs w:val="14"/>
          <w:i w:val="1"/>
          <w:iCs w:val="1"/>
          <w:color w:val="auto"/>
        </w:rPr>
        <w:t xml:space="preserve"> </w:t>
      </w:r>
      <w:r>
        <w:rPr>
          <w:rFonts w:ascii="Arial" w:cs="Arial" w:eastAsia="Arial" w:hAnsi="Arial"/>
          <w:sz w:val="14"/>
          <w:szCs w:val="14"/>
          <w:color w:val="auto"/>
        </w:rPr>
        <w:t>amortization of capitalized internal use software development costs, depreciation and an allocation of our general overhead expenses. We capitalize the portion of our software development costs that meets the criteria for capitalization.</w:t>
      </w:r>
    </w:p>
    <w:p>
      <w:pPr>
        <w:spacing w:after="0" w:line="146" w:lineRule="exact"/>
        <w:rPr>
          <w:sz w:val="20"/>
          <w:szCs w:val="20"/>
          <w:color w:val="auto"/>
        </w:rPr>
      </w:pPr>
    </w:p>
    <w:p>
      <w:pPr>
        <w:ind w:right="360" w:firstLine="367"/>
        <w:spacing w:after="0" w:line="261" w:lineRule="auto"/>
        <w:rPr>
          <w:sz w:val="20"/>
          <w:szCs w:val="20"/>
          <w:color w:val="auto"/>
        </w:rPr>
      </w:pPr>
      <w:r>
        <w:rPr>
          <w:rFonts w:ascii="Arial" w:cs="Arial" w:eastAsia="Arial" w:hAnsi="Arial"/>
          <w:sz w:val="14"/>
          <w:szCs w:val="14"/>
          <w:color w:val="auto"/>
        </w:rPr>
        <w:t>We continue to focus our research and development efforts on adding new features and products, including new use cases, improving our platform and increasing the functionality of our existing products.</w:t>
      </w:r>
    </w:p>
    <w:p>
      <w:pPr>
        <w:spacing w:after="0" w:line="140" w:lineRule="exact"/>
        <w:rPr>
          <w:sz w:val="20"/>
          <w:szCs w:val="20"/>
          <w:color w:val="auto"/>
        </w:rPr>
      </w:pPr>
    </w:p>
    <w:p>
      <w:pPr>
        <w:ind w:right="360" w:firstLine="367"/>
        <w:spacing w:after="0" w:line="252" w:lineRule="auto"/>
        <w:rPr>
          <w:sz w:val="20"/>
          <w:szCs w:val="20"/>
          <w:color w:val="auto"/>
        </w:rPr>
      </w:pPr>
      <w:r>
        <w:rPr>
          <w:rFonts w:ascii="Arial" w:cs="Arial" w:eastAsia="Arial" w:hAnsi="Arial"/>
          <w:sz w:val="14"/>
          <w:szCs w:val="14"/>
          <w:i w:val="1"/>
          <w:iCs w:val="1"/>
          <w:color w:val="auto"/>
        </w:rPr>
        <w:t xml:space="preserve">Sales and Marketing. </w:t>
      </w:r>
      <w:r>
        <w:rPr>
          <w:rFonts w:ascii="Arial" w:cs="Arial" w:eastAsia="Arial" w:hAnsi="Arial"/>
          <w:sz w:val="14"/>
          <w:szCs w:val="14"/>
          <w:color w:val="auto"/>
        </w:rPr>
        <w:t>Sales and marketing expenses consist primarily of personnel costs, including commissions for our sales employees. Sales and marketing expenses also include expenditures</w:t>
      </w:r>
      <w:r>
        <w:rPr>
          <w:rFonts w:ascii="Arial" w:cs="Arial" w:eastAsia="Arial" w:hAnsi="Arial"/>
          <w:sz w:val="14"/>
          <w:szCs w:val="14"/>
          <w:i w:val="1"/>
          <w:iCs w:val="1"/>
          <w:color w:val="auto"/>
        </w:rPr>
        <w:t xml:space="preserve"> </w:t>
      </w:r>
      <w:r>
        <w:rPr>
          <w:rFonts w:ascii="Arial" w:cs="Arial" w:eastAsia="Arial" w:hAnsi="Arial"/>
          <w:sz w:val="14"/>
          <w:szCs w:val="14"/>
          <w:color w:val="auto"/>
        </w:rPr>
        <w:t>related to advertising, marketing, our brand awareness activities and developer evangelism, costs related to our SIGNAL customer and developer conferences, credit card processing fees, professional services fees, depreciation, amortization of acquired intangibles and an allocation of our general overhead expenses.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both"/>
        <w:ind w:right="420" w:firstLine="367"/>
        <w:spacing w:after="0" w:line="167" w:lineRule="exact"/>
        <w:rPr>
          <w:sz w:val="20"/>
          <w:szCs w:val="20"/>
          <w:color w:val="auto"/>
        </w:rPr>
      </w:pPr>
      <w:r>
        <w:rPr>
          <w:rFonts w:ascii="Arial" w:cs="Arial" w:eastAsia="Arial" w:hAnsi="Arial"/>
          <w:sz w:val="12"/>
          <w:szCs w:val="12"/>
          <w:color w:val="auto"/>
        </w:rPr>
        <w:t>We focus our sales and marketing efforts on generating awareness of our company, platform and products through our developer evangelist team and self</w:t>
      </w:r>
      <w:r>
        <w:rPr>
          <w:rFonts w:ascii="MS PGothic" w:cs="MS PGothic" w:eastAsia="MS PGothic" w:hAnsi="MS PGothic"/>
          <w:sz w:val="12"/>
          <w:szCs w:val="12"/>
          <w:color w:val="auto"/>
        </w:rPr>
        <w:t>‑</w:t>
      </w:r>
      <w:r>
        <w:rPr>
          <w:rFonts w:ascii="Arial" w:cs="Arial" w:eastAsia="Arial" w:hAnsi="Arial"/>
          <w:sz w:val="12"/>
          <w:szCs w:val="12"/>
          <w:color w:val="auto"/>
        </w:rPr>
        <w:t>service model, creating sales leads and establishing and promoting our brand, both domestically and internationally. We plan to continue investing in sales and marketing by increasing our sales and marketing headcount, supplementing our self</w:t>
      </w:r>
      <w:r>
        <w:rPr>
          <w:rFonts w:ascii="MS PGothic" w:cs="MS PGothic" w:eastAsia="MS PGothic" w:hAnsi="MS PGothic"/>
          <w:sz w:val="12"/>
          <w:szCs w:val="12"/>
          <w:color w:val="auto"/>
        </w:rPr>
        <w:t>‑</w:t>
      </w:r>
      <w:r>
        <w:rPr>
          <w:rFonts w:ascii="Arial" w:cs="Arial" w:eastAsia="Arial" w:hAnsi="Arial"/>
          <w:sz w:val="12"/>
          <w:szCs w:val="12"/>
          <w:color w:val="auto"/>
        </w:rPr>
        <w:t>service model with an enterprise sales approach, expanding our sales channels, driving our go</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market strategies, building our brand awareness and sponsoring additional marketing events.</w:t>
      </w:r>
    </w:p>
    <w:p>
      <w:pPr>
        <w:spacing w:after="0" w:line="155" w:lineRule="exact"/>
        <w:rPr>
          <w:sz w:val="20"/>
          <w:szCs w:val="20"/>
          <w:color w:val="auto"/>
        </w:rPr>
      </w:pPr>
    </w:p>
    <w:p>
      <w:pPr>
        <w:ind w:right="80" w:firstLine="367"/>
        <w:spacing w:after="0" w:line="304" w:lineRule="auto"/>
        <w:rPr>
          <w:sz w:val="20"/>
          <w:szCs w:val="20"/>
          <w:color w:val="auto"/>
        </w:rPr>
      </w:pPr>
      <w:r>
        <w:rPr>
          <w:rFonts w:ascii="Arial" w:cs="Arial" w:eastAsia="Arial" w:hAnsi="Arial"/>
          <w:sz w:val="12"/>
          <w:szCs w:val="12"/>
          <w:i w:val="1"/>
          <w:iCs w:val="1"/>
          <w:color w:val="auto"/>
        </w:rPr>
        <w:t xml:space="preserve">General and Administrative. </w:t>
      </w:r>
      <w:r>
        <w:rPr>
          <w:rFonts w:ascii="Arial" w:cs="Arial" w:eastAsia="Arial" w:hAnsi="Arial"/>
          <w:sz w:val="12"/>
          <w:szCs w:val="12"/>
          <w:color w:val="auto"/>
        </w:rPr>
        <w:t>General and administrative expenses consist primarily of personnel costs for our accounting, finance, legal, human resources and administrative support personnel and</w:t>
      </w:r>
      <w:r>
        <w:rPr>
          <w:rFonts w:ascii="Arial" w:cs="Arial" w:eastAsia="Arial" w:hAnsi="Arial"/>
          <w:sz w:val="12"/>
          <w:szCs w:val="12"/>
          <w:i w:val="1"/>
          <w:iCs w:val="1"/>
          <w:color w:val="auto"/>
        </w:rPr>
        <w:t xml:space="preserve"> </w:t>
      </w:r>
      <w:r>
        <w:rPr>
          <w:rFonts w:ascii="Arial" w:cs="Arial" w:eastAsia="Arial" w:hAnsi="Arial"/>
          <w:sz w:val="12"/>
          <w:szCs w:val="12"/>
          <w:color w:val="auto"/>
        </w:rPr>
        <w:t>executives. General and administrative expenses also include costs related to business acquisitions, legal and other professional services fees, certain taxes, depreciation and amortization and an allocation of our general overhead expenses. We expect that we will incur costs associated with supporting the growth of our business and to meet the increased compliance requirements associated with our international expansion. We may also incur higher than usual losses related to deterioration of quality of certain financial assets caused by the macroeconomic conditions and uncertainly in the COVID-19 environment.</w:t>
      </w:r>
    </w:p>
    <w:p>
      <w:pPr>
        <w:spacing w:after="0" w:line="117" w:lineRule="exact"/>
        <w:rPr>
          <w:sz w:val="20"/>
          <w:szCs w:val="20"/>
          <w:color w:val="auto"/>
        </w:rPr>
      </w:pPr>
    </w:p>
    <w:p>
      <w:pPr>
        <w:ind w:right="120" w:firstLine="367"/>
        <w:spacing w:after="0" w:line="261" w:lineRule="auto"/>
        <w:rPr>
          <w:sz w:val="20"/>
          <w:szCs w:val="20"/>
          <w:color w:val="auto"/>
        </w:rPr>
      </w:pPr>
      <w:r>
        <w:rPr>
          <w:rFonts w:ascii="Arial" w:cs="Arial" w:eastAsia="Arial" w:hAnsi="Arial"/>
          <w:sz w:val="14"/>
          <w:szCs w:val="14"/>
          <w:color w:val="auto"/>
        </w:rPr>
        <w:t>Our general and administrative expenses include a certain amount of sales and other taxes to which we are subject in the United States and internationally based on the manner we sell and deliver our products.</w:t>
      </w:r>
    </w:p>
    <w:p>
      <w:pPr>
        <w:spacing w:after="0" w:line="140"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b w:val="1"/>
          <w:bCs w:val="1"/>
          <w:i w:val="1"/>
          <w:iCs w:val="1"/>
          <w:color w:val="auto"/>
        </w:rPr>
        <w:t xml:space="preserve">Provision for Income Taxes. </w:t>
      </w:r>
      <w:r>
        <w:rPr>
          <w:rFonts w:ascii="Arial" w:cs="Arial" w:eastAsia="Arial" w:hAnsi="Arial"/>
          <w:sz w:val="14"/>
          <w:szCs w:val="14"/>
          <w:color w:val="auto"/>
        </w:rPr>
        <w:t>Our income tax provision or benefit for interim periods is determined using an estimate of our annual effective tax rate, adjusted for discrete items occurring in the quarter.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primary difference between our effective tax rate and the federal statutory rate relates to the full valuation allowance the Company established on the federal, state and certain foreign net operating losses and credits.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168" w:lineRule="exact"/>
        <w:rPr>
          <w:sz w:val="20"/>
          <w:szCs w:val="20"/>
          <w:color w:val="auto"/>
        </w:rPr>
      </w:pPr>
    </w:p>
    <w:p>
      <w:pPr>
        <w:ind w:firstLine="367"/>
        <w:spacing w:after="0" w:line="170" w:lineRule="exact"/>
        <w:rPr>
          <w:sz w:val="20"/>
          <w:szCs w:val="20"/>
          <w:color w:val="auto"/>
        </w:rPr>
      </w:pPr>
      <w:r>
        <w:rPr>
          <w:rFonts w:ascii="Arial" w:cs="Arial" w:eastAsia="Arial" w:hAnsi="Arial"/>
          <w:sz w:val="12"/>
          <w:szCs w:val="12"/>
          <w:color w:val="auto"/>
        </w:rPr>
        <w:t>We use the following non</w:t>
      </w:r>
      <w:r>
        <w:rPr>
          <w:rFonts w:ascii="MS PGothic" w:cs="MS PGothic" w:eastAsia="MS PGothic" w:hAnsi="MS PGothic"/>
          <w:sz w:val="12"/>
          <w:szCs w:val="12"/>
          <w:color w:val="auto"/>
        </w:rPr>
        <w:t>‑</w:t>
      </w:r>
      <w:r>
        <w:rPr>
          <w:rFonts w:ascii="Arial" w:cs="Arial" w:eastAsia="Arial" w:hAnsi="Arial"/>
          <w:sz w:val="12"/>
          <w:szCs w:val="12"/>
          <w:color w:val="auto"/>
        </w:rPr>
        <w:t>GAAP financial information, collectively, to evaluate our ongoing operations and for internal planning and forecasting purposes. We believe that non</w:t>
      </w:r>
      <w:r>
        <w:rPr>
          <w:rFonts w:ascii="MS PGothic" w:cs="MS PGothic" w:eastAsia="MS PGothic" w:hAnsi="MS PGothic"/>
          <w:sz w:val="12"/>
          <w:szCs w:val="12"/>
          <w:color w:val="auto"/>
        </w:rPr>
        <w:t>‑</w:t>
      </w:r>
      <w:r>
        <w:rPr>
          <w:rFonts w:ascii="Arial" w:cs="Arial" w:eastAsia="Arial" w:hAnsi="Arial"/>
          <w:sz w:val="12"/>
          <w:szCs w:val="12"/>
          <w:color w:val="auto"/>
        </w:rPr>
        <w:t>GAAP financial information, when taken collectively, may be helpful to investors because it provides consistency and comparability with past financial performance, facilitates period</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period comparisons of results of operations, and assists in comparisons with other companies, many of which use similar non</w:t>
      </w:r>
      <w:r>
        <w:rPr>
          <w:rFonts w:ascii="MS PGothic" w:cs="MS PGothic" w:eastAsia="MS PGothic" w:hAnsi="MS PGothic"/>
          <w:sz w:val="12"/>
          <w:szCs w:val="12"/>
          <w:color w:val="auto"/>
        </w:rPr>
        <w:t>‑</w:t>
      </w:r>
      <w:r>
        <w:rPr>
          <w:rFonts w:ascii="Arial" w:cs="Arial" w:eastAsia="Arial" w:hAnsi="Arial"/>
          <w:sz w:val="12"/>
          <w:szCs w:val="12"/>
          <w:color w:val="auto"/>
        </w:rPr>
        <w:t>GAAP financial information to supplement their GAAP results. Non</w:t>
      </w:r>
      <w:r>
        <w:rPr>
          <w:rFonts w:ascii="MS PGothic" w:cs="MS PGothic" w:eastAsia="MS PGothic" w:hAnsi="MS PGothic"/>
          <w:sz w:val="12"/>
          <w:szCs w:val="12"/>
          <w:color w:val="auto"/>
        </w:rPr>
        <w:t>‑</w:t>
      </w:r>
      <w:r>
        <w:rPr>
          <w:rFonts w:ascii="Arial" w:cs="Arial" w:eastAsia="Arial" w:hAnsi="Arial"/>
          <w:sz w:val="12"/>
          <w:szCs w:val="12"/>
          <w:color w:val="auto"/>
        </w:rPr>
        <w:t>GAAP financial information is presented for supplemental informational purposes only, should not be considered a substitute for financial information presented in accordance with generally accepted accounting principles, and may be different from similarly</w:t>
      </w:r>
      <w:r>
        <w:rPr>
          <w:rFonts w:ascii="MS PGothic" w:cs="MS PGothic" w:eastAsia="MS PGothic" w:hAnsi="MS PGothic"/>
          <w:sz w:val="12"/>
          <w:szCs w:val="12"/>
          <w:color w:val="auto"/>
        </w:rPr>
        <w:t>‑</w:t>
      </w:r>
      <w:r>
        <w:rPr>
          <w:rFonts w:ascii="Arial" w:cs="Arial" w:eastAsia="Arial" w:hAnsi="Arial"/>
          <w:sz w:val="12"/>
          <w:szCs w:val="12"/>
          <w:color w:val="auto"/>
        </w:rPr>
        <w:t>titled non</w:t>
      </w:r>
      <w:r>
        <w:rPr>
          <w:rFonts w:ascii="MS PGothic" w:cs="MS PGothic" w:eastAsia="MS PGothic" w:hAnsi="MS PGothic"/>
          <w:sz w:val="12"/>
          <w:szCs w:val="12"/>
          <w:color w:val="auto"/>
        </w:rPr>
        <w:t>‑</w:t>
      </w:r>
      <w:r>
        <w:rPr>
          <w:rFonts w:ascii="Arial" w:cs="Arial" w:eastAsia="Arial" w:hAnsi="Arial"/>
          <w:sz w:val="12"/>
          <w:szCs w:val="12"/>
          <w:color w:val="auto"/>
        </w:rPr>
        <w:t>GAAP measures used by other companies. Whenever we use a non</w:t>
      </w:r>
      <w:r>
        <w:rPr>
          <w:rFonts w:ascii="MS PGothic" w:cs="MS PGothic" w:eastAsia="MS PGothic" w:hAnsi="MS PGothic"/>
          <w:sz w:val="12"/>
          <w:szCs w:val="12"/>
          <w:color w:val="auto"/>
        </w:rPr>
        <w:t>‑</w:t>
      </w:r>
      <w:r>
        <w:rPr>
          <w:rFonts w:ascii="Arial" w:cs="Arial" w:eastAsia="Arial" w:hAnsi="Arial"/>
          <w:sz w:val="12"/>
          <w:szCs w:val="12"/>
          <w:color w:val="auto"/>
        </w:rPr>
        <w:t>GAAP financial measure, a reconciliation is provided to the most closely applicable financial measure stated in accordance with generally accepted accounting principles. Investors are encouraged to review the related GAAP financial measures and the reconciliation of these non</w:t>
      </w:r>
      <w:r>
        <w:rPr>
          <w:rFonts w:ascii="MS PGothic" w:cs="MS PGothic" w:eastAsia="MS PGothic" w:hAnsi="MS PGothic"/>
          <w:sz w:val="12"/>
          <w:szCs w:val="12"/>
          <w:color w:val="auto"/>
        </w:rPr>
        <w:t>‑</w:t>
      </w:r>
      <w:r>
        <w:rPr>
          <w:rFonts w:ascii="Arial" w:cs="Arial" w:eastAsia="Arial" w:hAnsi="Arial"/>
          <w:sz w:val="12"/>
          <w:szCs w:val="12"/>
          <w:color w:val="auto"/>
        </w:rPr>
        <w:t>GAAP financial measures to their most directly comparable GAAP financial measures.</w:t>
      </w:r>
    </w:p>
    <w:p>
      <w:pPr>
        <w:spacing w:after="0" w:line="286" w:lineRule="exact"/>
        <w:rPr>
          <w:sz w:val="20"/>
          <w:szCs w:val="20"/>
          <w:color w:val="auto"/>
        </w:rPr>
      </w:pPr>
    </w:p>
    <w:p>
      <w:pPr>
        <w:ind w:right="100" w:firstLine="367"/>
        <w:spacing w:after="0" w:line="170"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GAAP Gross Profit and 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GAAP Gross Margin. </w:t>
      </w:r>
      <w:r>
        <w:rPr>
          <w:rFonts w:ascii="Arial" w:cs="Arial" w:eastAsia="Arial" w:hAnsi="Arial"/>
          <w:sz w:val="14"/>
          <w:szCs w:val="14"/>
          <w:color w:val="auto"/>
        </w:rPr>
        <w:t>For the periods presented, we define non</w:t>
      </w:r>
      <w:r>
        <w:rPr>
          <w:rFonts w:ascii="MS PGothic" w:cs="MS PGothic" w:eastAsia="MS PGothic" w:hAnsi="MS PGothic"/>
          <w:sz w:val="14"/>
          <w:szCs w:val="14"/>
          <w:color w:val="auto"/>
        </w:rPr>
        <w:t>‑</w:t>
      </w:r>
      <w:r>
        <w:rPr>
          <w:rFonts w:ascii="Arial" w:cs="Arial" w:eastAsia="Arial" w:hAnsi="Arial"/>
          <w:sz w:val="14"/>
          <w:szCs w:val="14"/>
          <w:color w:val="auto"/>
        </w:rPr>
        <w:t>GAAP gross profit and non</w:t>
      </w:r>
      <w:r>
        <w:rPr>
          <w:rFonts w:ascii="MS PGothic" w:cs="MS PGothic" w:eastAsia="MS PGothic" w:hAnsi="MS PGothic"/>
          <w:sz w:val="14"/>
          <w:szCs w:val="14"/>
          <w:color w:val="auto"/>
        </w:rPr>
        <w:t>‑</w:t>
      </w:r>
      <w:r>
        <w:rPr>
          <w:rFonts w:ascii="Arial" w:cs="Arial" w:eastAsia="Arial" w:hAnsi="Arial"/>
          <w:sz w:val="14"/>
          <w:szCs w:val="14"/>
          <w:color w:val="auto"/>
        </w:rPr>
        <w:t>GAAP gross margin as GAAP gross profit and GAAP gross margin,</w:t>
      </w:r>
      <w:r>
        <w:rPr>
          <w:rFonts w:ascii="Arial" w:cs="Arial" w:eastAsia="Arial" w:hAnsi="Arial"/>
          <w:sz w:val="14"/>
          <w:szCs w:val="14"/>
          <w:b w:val="1"/>
          <w:bCs w:val="1"/>
          <w:color w:val="auto"/>
        </w:rPr>
        <w:t xml:space="preserve"> </w:t>
      </w:r>
      <w:r>
        <w:rPr>
          <w:rFonts w:ascii="Arial" w:cs="Arial" w:eastAsia="Arial" w:hAnsi="Arial"/>
          <w:sz w:val="14"/>
          <w:szCs w:val="14"/>
          <w:color w:val="auto"/>
        </w:rPr>
        <w:t>respectively, adjusted to exclude, as applicable, certain expenses as presented in the table below:</w:t>
      </w:r>
    </w:p>
    <w:p>
      <w:pPr>
        <w:spacing w:after="0" w:line="241" w:lineRule="exact"/>
        <w:rPr>
          <w:sz w:val="20"/>
          <w:szCs w:val="20"/>
          <w:color w:val="auto"/>
        </w:rPr>
      </w:pPr>
    </w:p>
    <w:tbl>
      <w:tblPr>
        <w:tblLayout w:type="fixed"/>
        <w:tblInd w:w="800" w:type="dxa"/>
        <w:tblCellMar>
          <w:top w:w="0" w:type="dxa"/>
          <w:left w:w="0" w:type="dxa"/>
          <w:bottom w:w="0" w:type="dxa"/>
          <w:right w:w="0" w:type="dxa"/>
        </w:tblCellMar>
      </w:tblPr>
      <w:tr>
        <w:trPr>
          <w:trHeight w:val="138"/>
        </w:trPr>
        <w:tc>
          <w:tcPr>
            <w:tcW w:w="5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00" w:type="dxa"/>
            <w:vAlign w:val="bottom"/>
            <w:gridSpan w:val="3"/>
          </w:tcPr>
          <w:p>
            <w:pPr>
              <w:ind w:left="100"/>
              <w:spacing w:after="0"/>
              <w:rPr>
                <w:sz w:val="20"/>
                <w:szCs w:val="20"/>
                <w:color w:val="auto"/>
              </w:rPr>
            </w:pPr>
            <w:r>
              <w:rPr>
                <w:rFonts w:ascii="Arial" w:cs="Arial" w:eastAsia="Arial" w:hAnsi="Arial"/>
                <w:sz w:val="12"/>
                <w:szCs w:val="12"/>
                <w:b w:val="1"/>
                <w:bCs w:val="1"/>
                <w:color w:val="auto"/>
              </w:rPr>
              <w:t>Three Months Ended</w:t>
            </w: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61"/>
        </w:trPr>
        <w:tc>
          <w:tcPr>
            <w:tcW w:w="5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rPr>
              <w:t>September 30,</w:t>
            </w:r>
          </w:p>
        </w:tc>
        <w:tc>
          <w:tcPr>
            <w:tcW w:w="1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r>
      <w:tr>
        <w:trPr>
          <w:trHeight w:val="151"/>
        </w:trPr>
        <w:tc>
          <w:tcPr>
            <w:tcW w:w="52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b w:val="1"/>
                <w:bCs w:val="1"/>
                <w:color w:val="auto"/>
              </w:rPr>
              <w:t>2020</w:t>
            </w:r>
          </w:p>
        </w:tc>
        <w:tc>
          <w:tcPr>
            <w:tcW w:w="320" w:type="dxa"/>
            <w:vAlign w:val="bottom"/>
            <w:tcBorders>
              <w:bottom w:val="single" w:sz="8" w:color="auto"/>
            </w:tcBorders>
          </w:tcPr>
          <w:p>
            <w:pPr>
              <w:spacing w:after="0"/>
              <w:rPr>
                <w:sz w:val="13"/>
                <w:szCs w:val="13"/>
                <w:color w:val="auto"/>
              </w:rPr>
            </w:pPr>
          </w:p>
        </w:tc>
      </w:tr>
      <w:tr>
        <w:trPr>
          <w:trHeight w:val="155"/>
        </w:trPr>
        <w:tc>
          <w:tcPr>
            <w:tcW w:w="5200" w:type="dxa"/>
            <w:vAlign w:val="bottom"/>
          </w:tcPr>
          <w:p>
            <w:pPr>
              <w:ind w:left="380"/>
              <w:spacing w:after="0"/>
              <w:rPr>
                <w:sz w:val="20"/>
                <w:szCs w:val="20"/>
                <w:color w:val="auto"/>
              </w:rPr>
            </w:pPr>
            <w:r>
              <w:rPr>
                <w:rFonts w:ascii="Arial" w:cs="Arial" w:eastAsia="Arial" w:hAnsi="Arial"/>
                <w:sz w:val="12"/>
                <w:szCs w:val="12"/>
                <w:b w:val="1"/>
                <w:bCs w:val="1"/>
                <w:color w:val="auto"/>
              </w:rPr>
              <w:t>Reconciliation:</w:t>
            </w: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gridSpan w:val="3"/>
          </w:tcPr>
          <w:p>
            <w:pPr>
              <w:ind w:left="300"/>
              <w:spacing w:after="0"/>
              <w:rPr>
                <w:sz w:val="20"/>
                <w:szCs w:val="20"/>
                <w:color w:val="auto"/>
              </w:rPr>
            </w:pPr>
            <w:r>
              <w:rPr>
                <w:rFonts w:ascii="Arial" w:cs="Arial" w:eastAsia="Arial" w:hAnsi="Arial"/>
                <w:sz w:val="12"/>
                <w:szCs w:val="12"/>
                <w:color w:val="auto"/>
              </w:rPr>
              <w:t>(In thousands)</w:t>
            </w: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66"/>
        </w:trPr>
        <w:tc>
          <w:tcPr>
            <w:tcW w:w="52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Gross profit</w:t>
            </w:r>
          </w:p>
        </w:tc>
        <w:tc>
          <w:tcPr>
            <w:tcW w:w="84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364,615</w:t>
            </w:r>
          </w:p>
        </w:tc>
        <w:tc>
          <w:tcPr>
            <w:tcW w:w="1500" w:type="dxa"/>
            <w:vAlign w:val="bottom"/>
            <w:gridSpan w:val="3"/>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230,874</w:t>
            </w:r>
          </w:p>
        </w:tc>
        <w:tc>
          <w:tcPr>
            <w:tcW w:w="320" w:type="dxa"/>
            <w:vAlign w:val="bottom"/>
            <w:shd w:val="clear" w:color="auto" w:fill="CCEEFF"/>
          </w:tcPr>
          <w:p>
            <w:pPr>
              <w:spacing w:after="0"/>
              <w:rPr>
                <w:sz w:val="14"/>
                <w:szCs w:val="14"/>
                <w:color w:val="auto"/>
              </w:rPr>
            </w:pPr>
          </w:p>
        </w:tc>
      </w:tr>
      <w:tr>
        <w:trPr>
          <w:trHeight w:val="161"/>
        </w:trPr>
        <w:tc>
          <w:tcPr>
            <w:tcW w:w="5200" w:type="dxa"/>
            <w:vAlign w:val="bottom"/>
          </w:tcPr>
          <w:p>
            <w:pPr>
              <w:ind w:left="380"/>
              <w:spacing w:after="0"/>
              <w:rPr>
                <w:sz w:val="20"/>
                <w:szCs w:val="20"/>
                <w:color w:val="auto"/>
              </w:rPr>
            </w:pPr>
            <w:r>
              <w:rPr>
                <w:rFonts w:ascii="Arial" w:cs="Arial" w:eastAsia="Arial" w:hAnsi="Arial"/>
                <w:sz w:val="12"/>
                <w:szCs w:val="12"/>
                <w:color w:val="auto"/>
              </w:rPr>
              <w:t>Gross margin</w:t>
            </w:r>
          </w:p>
        </w:tc>
        <w:tc>
          <w:tcPr>
            <w:tcW w:w="840" w:type="dxa"/>
            <w:vAlign w:val="bottom"/>
          </w:tcPr>
          <w:p>
            <w:pPr>
              <w:spacing w:after="0"/>
              <w:rPr>
                <w:sz w:val="13"/>
                <w:szCs w:val="13"/>
                <w:color w:val="auto"/>
              </w:rPr>
            </w:pPr>
          </w:p>
        </w:tc>
        <w:tc>
          <w:tcPr>
            <w:tcW w:w="1120" w:type="dxa"/>
            <w:vAlign w:val="bottom"/>
          </w:tcPr>
          <w:p>
            <w:pPr>
              <w:jc w:val="right"/>
              <w:ind w:right="39"/>
              <w:spacing w:after="0"/>
              <w:rPr>
                <w:sz w:val="20"/>
                <w:szCs w:val="20"/>
                <w:color w:val="auto"/>
              </w:rPr>
            </w:pPr>
            <w:r>
              <w:rPr>
                <w:rFonts w:ascii="Arial" w:cs="Arial" w:eastAsia="Arial" w:hAnsi="Arial"/>
                <w:sz w:val="12"/>
                <w:szCs w:val="12"/>
                <w:color w:val="auto"/>
              </w:rPr>
              <w:t>49</w:t>
            </w:r>
          </w:p>
        </w:tc>
        <w:tc>
          <w:tcPr>
            <w:tcW w:w="420" w:type="dxa"/>
            <w:vAlign w:val="bottom"/>
          </w:tcPr>
          <w:p>
            <w:pPr>
              <w:ind w:left="300"/>
              <w:spacing w:after="0"/>
              <w:rPr>
                <w:sz w:val="20"/>
                <w:szCs w:val="20"/>
                <w:color w:val="auto"/>
              </w:rPr>
            </w:pPr>
            <w:r>
              <w:rPr>
                <w:rFonts w:ascii="Arial" w:cs="Arial" w:eastAsia="Arial" w:hAnsi="Arial"/>
                <w:sz w:val="12"/>
                <w:szCs w:val="12"/>
                <w:color w:val="auto"/>
                <w:w w:val="93"/>
              </w:rPr>
              <w:t>%</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jc w:val="right"/>
              <w:ind w:right="139"/>
              <w:spacing w:after="0"/>
              <w:rPr>
                <w:sz w:val="20"/>
                <w:szCs w:val="20"/>
                <w:color w:val="auto"/>
              </w:rPr>
            </w:pPr>
            <w:r>
              <w:rPr>
                <w:rFonts w:ascii="Arial" w:cs="Arial" w:eastAsia="Arial" w:hAnsi="Arial"/>
                <w:sz w:val="12"/>
                <w:szCs w:val="12"/>
                <w:color w:val="auto"/>
              </w:rPr>
              <w:t>52</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52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Non-GAAP adjustments:</w:t>
            </w:r>
          </w:p>
        </w:tc>
        <w:tc>
          <w:tcPr>
            <w:tcW w:w="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r>
      <w:tr>
        <w:trPr>
          <w:trHeight w:val="161"/>
        </w:trPr>
        <w:tc>
          <w:tcPr>
            <w:tcW w:w="5200" w:type="dxa"/>
            <w:vAlign w:val="bottom"/>
          </w:tcPr>
          <w:p>
            <w:pPr>
              <w:ind w:left="520"/>
              <w:spacing w:after="0"/>
              <w:rPr>
                <w:sz w:val="20"/>
                <w:szCs w:val="20"/>
                <w:color w:val="auto"/>
              </w:rPr>
            </w:pPr>
            <w:r>
              <w:rPr>
                <w:rFonts w:ascii="Arial" w:cs="Arial" w:eastAsia="Arial" w:hAnsi="Arial"/>
                <w:sz w:val="12"/>
                <w:szCs w:val="12"/>
                <w:color w:val="auto"/>
              </w:rPr>
              <w:t>Stock-based compensation</w:t>
            </w:r>
          </w:p>
        </w:tc>
        <w:tc>
          <w:tcPr>
            <w:tcW w:w="840" w:type="dxa"/>
            <w:vAlign w:val="bottom"/>
          </w:tcPr>
          <w:p>
            <w:pPr>
              <w:spacing w:after="0"/>
              <w:rPr>
                <w:sz w:val="13"/>
                <w:szCs w:val="13"/>
                <w:color w:val="auto"/>
              </w:rPr>
            </w:pPr>
          </w:p>
        </w:tc>
        <w:tc>
          <w:tcPr>
            <w:tcW w:w="1120" w:type="dxa"/>
            <w:vAlign w:val="bottom"/>
          </w:tcPr>
          <w:p>
            <w:pPr>
              <w:jc w:val="right"/>
              <w:ind w:right="39"/>
              <w:spacing w:after="0"/>
              <w:rPr>
                <w:sz w:val="20"/>
                <w:szCs w:val="20"/>
                <w:color w:val="auto"/>
              </w:rPr>
            </w:pPr>
            <w:r>
              <w:rPr>
                <w:rFonts w:ascii="Arial" w:cs="Arial" w:eastAsia="Arial" w:hAnsi="Arial"/>
                <w:sz w:val="12"/>
                <w:szCs w:val="12"/>
                <w:color w:val="auto"/>
              </w:rPr>
              <w:t>3,720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jc w:val="right"/>
              <w:ind w:right="139"/>
              <w:spacing w:after="0"/>
              <w:rPr>
                <w:sz w:val="20"/>
                <w:szCs w:val="20"/>
                <w:color w:val="auto"/>
              </w:rPr>
            </w:pPr>
            <w:r>
              <w:rPr>
                <w:rFonts w:ascii="Arial" w:cs="Arial" w:eastAsia="Arial" w:hAnsi="Arial"/>
                <w:sz w:val="12"/>
                <w:szCs w:val="12"/>
                <w:color w:val="auto"/>
              </w:rPr>
              <w:t>2,237</w:t>
            </w:r>
          </w:p>
        </w:tc>
        <w:tc>
          <w:tcPr>
            <w:tcW w:w="320" w:type="dxa"/>
            <w:vAlign w:val="bottom"/>
          </w:tcPr>
          <w:p>
            <w:pPr>
              <w:spacing w:after="0"/>
              <w:rPr>
                <w:sz w:val="13"/>
                <w:szCs w:val="13"/>
                <w:color w:val="auto"/>
              </w:rPr>
            </w:pPr>
          </w:p>
        </w:tc>
      </w:tr>
      <w:tr>
        <w:trPr>
          <w:trHeight w:val="163"/>
        </w:trPr>
        <w:tc>
          <w:tcPr>
            <w:tcW w:w="52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Amortization of acquired intangibles</w:t>
            </w:r>
          </w:p>
        </w:tc>
        <w:tc>
          <w:tcPr>
            <w:tcW w:w="8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31,558</w:t>
            </w:r>
          </w:p>
        </w:tc>
        <w:tc>
          <w:tcPr>
            <w:tcW w:w="4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12,540</w:t>
            </w:r>
          </w:p>
        </w:tc>
        <w:tc>
          <w:tcPr>
            <w:tcW w:w="320" w:type="dxa"/>
            <w:vAlign w:val="bottom"/>
            <w:tcBorders>
              <w:bottom w:val="single" w:sz="8" w:color="auto"/>
            </w:tcBorders>
            <w:shd w:val="clear" w:color="auto" w:fill="CCEEFF"/>
          </w:tcPr>
          <w:p>
            <w:pPr>
              <w:spacing w:after="0"/>
              <w:rPr>
                <w:sz w:val="14"/>
                <w:szCs w:val="14"/>
                <w:color w:val="auto"/>
              </w:rPr>
            </w:pPr>
          </w:p>
        </w:tc>
      </w:tr>
      <w:tr>
        <w:trPr>
          <w:trHeight w:val="156"/>
        </w:trPr>
        <w:tc>
          <w:tcPr>
            <w:tcW w:w="5200" w:type="dxa"/>
            <w:vAlign w:val="bottom"/>
          </w:tcPr>
          <w:p>
            <w:pPr>
              <w:ind w:left="640"/>
              <w:spacing w:after="0"/>
              <w:rPr>
                <w:sz w:val="20"/>
                <w:szCs w:val="20"/>
                <w:color w:val="auto"/>
              </w:rPr>
            </w:pPr>
            <w:r>
              <w:rPr>
                <w:rFonts w:ascii="Arial" w:cs="Arial" w:eastAsia="Arial" w:hAnsi="Arial"/>
                <w:sz w:val="12"/>
                <w:szCs w:val="12"/>
                <w:color w:val="auto"/>
              </w:rPr>
              <w:t>Non-GAAP gross profit</w:t>
            </w:r>
          </w:p>
        </w:tc>
        <w:tc>
          <w:tcPr>
            <w:tcW w:w="84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39"/>
              <w:spacing w:after="0"/>
              <w:rPr>
                <w:sz w:val="20"/>
                <w:szCs w:val="20"/>
                <w:color w:val="auto"/>
              </w:rPr>
            </w:pPr>
            <w:r>
              <w:rPr>
                <w:rFonts w:ascii="Arial" w:cs="Arial" w:eastAsia="Arial" w:hAnsi="Arial"/>
                <w:sz w:val="12"/>
                <w:szCs w:val="12"/>
                <w:color w:val="auto"/>
              </w:rPr>
              <w:t>399,893</w:t>
            </w:r>
          </w:p>
        </w:tc>
        <w:tc>
          <w:tcPr>
            <w:tcW w:w="1500" w:type="dxa"/>
            <w:vAlign w:val="bottom"/>
            <w:gridSpan w:val="3"/>
          </w:tcPr>
          <w:p>
            <w:pPr>
              <w:ind w:left="900"/>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39"/>
              <w:spacing w:after="0"/>
              <w:rPr>
                <w:sz w:val="20"/>
                <w:szCs w:val="20"/>
                <w:color w:val="auto"/>
              </w:rPr>
            </w:pPr>
            <w:r>
              <w:rPr>
                <w:rFonts w:ascii="Arial" w:cs="Arial" w:eastAsia="Arial" w:hAnsi="Arial"/>
                <w:sz w:val="12"/>
                <w:szCs w:val="12"/>
                <w:color w:val="auto"/>
              </w:rPr>
              <w:t>245,651</w:t>
            </w:r>
          </w:p>
        </w:tc>
        <w:tc>
          <w:tcPr>
            <w:tcW w:w="320" w:type="dxa"/>
            <w:vAlign w:val="bottom"/>
          </w:tcPr>
          <w:p>
            <w:pPr>
              <w:spacing w:after="0"/>
              <w:rPr>
                <w:sz w:val="13"/>
                <w:szCs w:val="13"/>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144"/>
        </w:trPr>
        <w:tc>
          <w:tcPr>
            <w:tcW w:w="5200" w:type="dxa"/>
            <w:vAlign w:val="bottom"/>
            <w:shd w:val="clear" w:color="auto" w:fill="CCEEFF"/>
          </w:tcPr>
          <w:p>
            <w:pPr>
              <w:ind w:left="640"/>
              <w:spacing w:after="0"/>
              <w:rPr>
                <w:sz w:val="20"/>
                <w:szCs w:val="20"/>
                <w:color w:val="auto"/>
              </w:rPr>
            </w:pPr>
            <w:r>
              <w:rPr>
                <w:rFonts w:ascii="Arial" w:cs="Arial" w:eastAsia="Arial" w:hAnsi="Arial"/>
                <w:sz w:val="12"/>
                <w:szCs w:val="12"/>
                <w:color w:val="auto"/>
              </w:rPr>
              <w:t>Non-GAAP gross margin</w:t>
            </w:r>
          </w:p>
        </w:tc>
        <w:tc>
          <w:tcPr>
            <w:tcW w:w="8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54</w:t>
            </w:r>
          </w:p>
        </w:tc>
        <w:tc>
          <w:tcPr>
            <w:tcW w:w="420" w:type="dxa"/>
            <w:vAlign w:val="bottom"/>
            <w:shd w:val="clear" w:color="auto" w:fill="CCEEFF"/>
          </w:tcPr>
          <w:p>
            <w:pPr>
              <w:ind w:left="300"/>
              <w:spacing w:after="0"/>
              <w:rPr>
                <w:sz w:val="20"/>
                <w:szCs w:val="20"/>
                <w:color w:val="auto"/>
              </w:rPr>
            </w:pPr>
            <w:r>
              <w:rPr>
                <w:rFonts w:ascii="Arial" w:cs="Arial" w:eastAsia="Arial" w:hAnsi="Arial"/>
                <w:sz w:val="12"/>
                <w:szCs w:val="12"/>
                <w:color w:val="auto"/>
                <w:w w:val="93"/>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55</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ind w:right="140" w:firstLine="367"/>
        <w:spacing w:after="0" w:line="170"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GAAP Operating Expenses</w:t>
      </w:r>
      <w:r>
        <w:rPr>
          <w:rFonts w:ascii="Arial" w:cs="Arial" w:eastAsia="Arial" w:hAnsi="Arial"/>
          <w:sz w:val="14"/>
          <w:szCs w:val="14"/>
          <w:color w:val="auto"/>
        </w:rPr>
        <w:t>. For the periods presented, we define non</w:t>
      </w:r>
      <w:r>
        <w:rPr>
          <w:rFonts w:ascii="MS PGothic" w:cs="MS PGothic" w:eastAsia="MS PGothic" w:hAnsi="MS PGothic"/>
          <w:sz w:val="14"/>
          <w:szCs w:val="14"/>
          <w:color w:val="auto"/>
        </w:rPr>
        <w:t>‑</w:t>
      </w:r>
      <w:r>
        <w:rPr>
          <w:rFonts w:ascii="Arial" w:cs="Arial" w:eastAsia="Arial" w:hAnsi="Arial"/>
          <w:sz w:val="14"/>
          <w:szCs w:val="14"/>
          <w:color w:val="auto"/>
        </w:rPr>
        <w:t>GAAP operating expenses (including categories of operating expenses) as GAAP operating expenses (and categories of</w:t>
      </w:r>
      <w:r>
        <w:rPr>
          <w:rFonts w:ascii="Arial" w:cs="Arial" w:eastAsia="Arial" w:hAnsi="Arial"/>
          <w:sz w:val="14"/>
          <w:szCs w:val="14"/>
          <w:b w:val="1"/>
          <w:bCs w:val="1"/>
          <w:color w:val="auto"/>
        </w:rPr>
        <w:t xml:space="preserve"> </w:t>
      </w:r>
      <w:r>
        <w:rPr>
          <w:rFonts w:ascii="Arial" w:cs="Arial" w:eastAsia="Arial" w:hAnsi="Arial"/>
          <w:sz w:val="14"/>
          <w:szCs w:val="14"/>
          <w:color w:val="auto"/>
        </w:rPr>
        <w:t>operating expenses) adjusted to exclude, as applicable, certain expenses as presented in the table below:</w:t>
      </w:r>
    </w:p>
    <w:p>
      <w:pPr>
        <w:spacing w:after="0" w:line="241" w:lineRule="exact"/>
        <w:rPr>
          <w:sz w:val="20"/>
          <w:szCs w:val="20"/>
          <w:color w:val="auto"/>
        </w:rPr>
      </w:pPr>
    </w:p>
    <w:tbl>
      <w:tblPr>
        <w:tblLayout w:type="fixed"/>
        <w:tblInd w:w="800" w:type="dxa"/>
        <w:tblCellMar>
          <w:top w:w="0" w:type="dxa"/>
          <w:left w:w="0" w:type="dxa"/>
          <w:bottom w:w="0" w:type="dxa"/>
          <w:right w:w="0" w:type="dxa"/>
        </w:tblCellMar>
      </w:tblPr>
      <w:tr>
        <w:trPr>
          <w:trHeight w:val="138"/>
        </w:trPr>
        <w:tc>
          <w:tcPr>
            <w:tcW w:w="5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0" w:type="dxa"/>
            <w:vAlign w:val="bottom"/>
            <w:gridSpan w:val="4"/>
          </w:tcPr>
          <w:p>
            <w:pPr>
              <w:ind w:left="280"/>
              <w:spacing w:after="0"/>
              <w:rPr>
                <w:sz w:val="20"/>
                <w:szCs w:val="20"/>
                <w:color w:val="auto"/>
              </w:rPr>
            </w:pPr>
            <w:r>
              <w:rPr>
                <w:rFonts w:ascii="Arial" w:cs="Arial" w:eastAsia="Arial" w:hAnsi="Arial"/>
                <w:sz w:val="12"/>
                <w:szCs w:val="12"/>
                <w:b w:val="1"/>
                <w:bCs w:val="1"/>
                <w:color w:val="auto"/>
              </w:rPr>
              <w:t>Three Months Ended</w:t>
            </w:r>
          </w:p>
        </w:tc>
        <w:tc>
          <w:tcPr>
            <w:tcW w:w="1140" w:type="dxa"/>
            <w:vAlign w:val="bottom"/>
          </w:tcPr>
          <w:p>
            <w:pPr>
              <w:spacing w:after="0"/>
              <w:rPr>
                <w:sz w:val="12"/>
                <w:szCs w:val="12"/>
                <w:color w:val="auto"/>
              </w:rPr>
            </w:pPr>
          </w:p>
        </w:tc>
      </w:tr>
      <w:tr>
        <w:trPr>
          <w:trHeight w:val="161"/>
        </w:trPr>
        <w:tc>
          <w:tcPr>
            <w:tcW w:w="590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280"/>
              <w:spacing w:after="0"/>
              <w:rPr>
                <w:sz w:val="20"/>
                <w:szCs w:val="20"/>
                <w:color w:val="auto"/>
              </w:rPr>
            </w:pPr>
            <w:r>
              <w:rPr>
                <w:rFonts w:ascii="Arial" w:cs="Arial" w:eastAsia="Arial" w:hAnsi="Arial"/>
                <w:sz w:val="12"/>
                <w:szCs w:val="12"/>
                <w:b w:val="1"/>
                <w:bCs w:val="1"/>
                <w:color w:val="auto"/>
                <w:w w:val="92"/>
              </w:rPr>
              <w:t>September 30,</w:t>
            </w: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1"/>
        </w:trPr>
        <w:tc>
          <w:tcPr>
            <w:tcW w:w="5900" w:type="dxa"/>
            <w:vAlign w:val="bottom"/>
          </w:tcPr>
          <w:p>
            <w:pPr>
              <w:spacing w:after="0"/>
              <w:rPr>
                <w:sz w:val="13"/>
                <w:szCs w:val="13"/>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2021</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2020</w:t>
            </w:r>
          </w:p>
        </w:tc>
      </w:tr>
      <w:tr>
        <w:trPr>
          <w:trHeight w:val="155"/>
        </w:trPr>
        <w:tc>
          <w:tcPr>
            <w:tcW w:w="5900" w:type="dxa"/>
            <w:vAlign w:val="bottom"/>
          </w:tcPr>
          <w:p>
            <w:pPr>
              <w:ind w:left="380"/>
              <w:spacing w:after="0"/>
              <w:rPr>
                <w:sz w:val="20"/>
                <w:szCs w:val="20"/>
                <w:color w:val="auto"/>
              </w:rPr>
            </w:pPr>
            <w:r>
              <w:rPr>
                <w:rFonts w:ascii="Arial" w:cs="Arial" w:eastAsia="Arial" w:hAnsi="Arial"/>
                <w:sz w:val="12"/>
                <w:szCs w:val="12"/>
                <w:b w:val="1"/>
                <w:bCs w:val="1"/>
                <w:color w:val="auto"/>
              </w:rPr>
              <w:t>Reconciliation:</w:t>
            </w:r>
          </w:p>
        </w:tc>
        <w:tc>
          <w:tcPr>
            <w:tcW w:w="1420" w:type="dxa"/>
            <w:vAlign w:val="bottom"/>
          </w:tcPr>
          <w:p>
            <w:pPr>
              <w:spacing w:after="0"/>
              <w:rPr>
                <w:sz w:val="13"/>
                <w:szCs w:val="13"/>
                <w:color w:val="auto"/>
              </w:rPr>
            </w:pPr>
          </w:p>
        </w:tc>
        <w:tc>
          <w:tcPr>
            <w:tcW w:w="1600" w:type="dxa"/>
            <w:vAlign w:val="bottom"/>
            <w:gridSpan w:val="4"/>
          </w:tcPr>
          <w:p>
            <w:pPr>
              <w:ind w:left="500"/>
              <w:spacing w:after="0"/>
              <w:rPr>
                <w:sz w:val="20"/>
                <w:szCs w:val="20"/>
                <w:color w:val="auto"/>
              </w:rPr>
            </w:pPr>
            <w:r>
              <w:rPr>
                <w:rFonts w:ascii="Arial" w:cs="Arial" w:eastAsia="Arial" w:hAnsi="Arial"/>
                <w:sz w:val="12"/>
                <w:szCs w:val="12"/>
                <w:color w:val="auto"/>
              </w:rPr>
              <w:t>(In thousands)</w:t>
            </w:r>
          </w:p>
        </w:tc>
        <w:tc>
          <w:tcPr>
            <w:tcW w:w="1140" w:type="dxa"/>
            <w:vAlign w:val="bottom"/>
          </w:tcPr>
          <w:p>
            <w:pPr>
              <w:spacing w:after="0"/>
              <w:rPr>
                <w:sz w:val="13"/>
                <w:szCs w:val="13"/>
                <w:color w:val="auto"/>
              </w:rPr>
            </w:pPr>
          </w:p>
        </w:tc>
      </w:tr>
      <w:tr>
        <w:trPr>
          <w:trHeight w:val="166"/>
        </w:trPr>
        <w:tc>
          <w:tcPr>
            <w:tcW w:w="59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Operating expenses</w:t>
            </w:r>
          </w:p>
        </w:tc>
        <w:tc>
          <w:tcPr>
            <w:tcW w:w="1420" w:type="dxa"/>
            <w:vAlign w:val="bottom"/>
            <w:shd w:val="clear" w:color="auto" w:fill="CCEEFF"/>
          </w:tcPr>
          <w:p>
            <w:pPr>
              <w:jc w:val="right"/>
              <w:ind w:right="919"/>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596,960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343,144</w:t>
            </w:r>
          </w:p>
        </w:tc>
      </w:tr>
      <w:tr>
        <w:trPr>
          <w:trHeight w:val="161"/>
        </w:trPr>
        <w:tc>
          <w:tcPr>
            <w:tcW w:w="5900" w:type="dxa"/>
            <w:vAlign w:val="bottom"/>
          </w:tcPr>
          <w:p>
            <w:pPr>
              <w:ind w:left="380"/>
              <w:spacing w:after="0"/>
              <w:rPr>
                <w:sz w:val="20"/>
                <w:szCs w:val="20"/>
                <w:color w:val="auto"/>
              </w:rPr>
            </w:pPr>
            <w:r>
              <w:rPr>
                <w:rFonts w:ascii="Arial" w:cs="Arial" w:eastAsia="Arial" w:hAnsi="Arial"/>
                <w:sz w:val="12"/>
                <w:szCs w:val="12"/>
                <w:color w:val="auto"/>
              </w:rPr>
              <w:t>Non-GAAP adjustments:</w:t>
            </w:r>
          </w:p>
        </w:tc>
        <w:tc>
          <w:tcPr>
            <w:tcW w:w="1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6"/>
        </w:trPr>
        <w:tc>
          <w:tcPr>
            <w:tcW w:w="59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Stock-based compensation</w:t>
            </w:r>
          </w:p>
        </w:tc>
        <w:tc>
          <w:tcPr>
            <w:tcW w:w="1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(160,323)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(87,173)</w:t>
            </w:r>
          </w:p>
        </w:tc>
      </w:tr>
      <w:tr>
        <w:trPr>
          <w:trHeight w:val="161"/>
        </w:trPr>
        <w:tc>
          <w:tcPr>
            <w:tcW w:w="5900" w:type="dxa"/>
            <w:vAlign w:val="bottom"/>
          </w:tcPr>
          <w:p>
            <w:pPr>
              <w:ind w:left="520"/>
              <w:spacing w:after="0"/>
              <w:rPr>
                <w:sz w:val="20"/>
                <w:szCs w:val="20"/>
                <w:color w:val="auto"/>
              </w:rPr>
            </w:pPr>
            <w:r>
              <w:rPr>
                <w:rFonts w:ascii="Arial" w:cs="Arial" w:eastAsia="Arial" w:hAnsi="Arial"/>
                <w:sz w:val="12"/>
                <w:szCs w:val="12"/>
                <w:color w:val="auto"/>
              </w:rPr>
              <w:t>Amortization of acquired intangibles</w:t>
            </w:r>
          </w:p>
        </w:tc>
        <w:tc>
          <w:tcPr>
            <w:tcW w:w="14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(24,203)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(7,886)</w:t>
            </w:r>
          </w:p>
        </w:tc>
      </w:tr>
      <w:tr>
        <w:trPr>
          <w:trHeight w:val="166"/>
        </w:trPr>
        <w:tc>
          <w:tcPr>
            <w:tcW w:w="59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Acquisition-related expenses</w:t>
            </w:r>
          </w:p>
        </w:tc>
        <w:tc>
          <w:tcPr>
            <w:tcW w:w="1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(791)</w:t>
            </w:r>
          </w:p>
        </w:tc>
      </w:tr>
      <w:tr>
        <w:trPr>
          <w:trHeight w:val="161"/>
        </w:trPr>
        <w:tc>
          <w:tcPr>
            <w:tcW w:w="5900" w:type="dxa"/>
            <w:vAlign w:val="bottom"/>
          </w:tcPr>
          <w:p>
            <w:pPr>
              <w:ind w:left="520"/>
              <w:spacing w:after="0"/>
              <w:rPr>
                <w:sz w:val="20"/>
                <w:szCs w:val="20"/>
                <w:color w:val="auto"/>
              </w:rPr>
            </w:pPr>
            <w:r>
              <w:rPr>
                <w:rFonts w:ascii="Arial" w:cs="Arial" w:eastAsia="Arial" w:hAnsi="Arial"/>
                <w:sz w:val="12"/>
                <w:szCs w:val="12"/>
                <w:color w:val="auto"/>
              </w:rPr>
              <w:t>Charitable contributions</w:t>
            </w:r>
          </w:p>
        </w:tc>
        <w:tc>
          <w:tcPr>
            <w:tcW w:w="14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(8,389)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(5,757)</w:t>
            </w:r>
          </w:p>
        </w:tc>
      </w:tr>
      <w:tr>
        <w:trPr>
          <w:trHeight w:val="163"/>
        </w:trPr>
        <w:tc>
          <w:tcPr>
            <w:tcW w:w="59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Payroll taxes related to stock-based compensation</w:t>
            </w:r>
          </w:p>
        </w:tc>
        <w:tc>
          <w:tcPr>
            <w:tcW w:w="14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(10,734)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(3,179)</w:t>
            </w:r>
          </w:p>
        </w:tc>
      </w:tr>
      <w:tr>
        <w:trPr>
          <w:trHeight w:val="156"/>
        </w:trPr>
        <w:tc>
          <w:tcPr>
            <w:tcW w:w="5900" w:type="dxa"/>
            <w:vAlign w:val="bottom"/>
          </w:tcPr>
          <w:p>
            <w:pPr>
              <w:ind w:left="620"/>
              <w:spacing w:after="0"/>
              <w:rPr>
                <w:sz w:val="20"/>
                <w:szCs w:val="20"/>
                <w:color w:val="auto"/>
              </w:rPr>
            </w:pPr>
            <w:r>
              <w:rPr>
                <w:rFonts w:ascii="Arial" w:cs="Arial" w:eastAsia="Arial" w:hAnsi="Arial"/>
                <w:sz w:val="12"/>
                <w:szCs w:val="12"/>
                <w:color w:val="auto"/>
              </w:rPr>
              <w:t>Non-GAAP operating expenses</w:t>
            </w:r>
          </w:p>
        </w:tc>
        <w:tc>
          <w:tcPr>
            <w:tcW w:w="1420" w:type="dxa"/>
            <w:vAlign w:val="bottom"/>
            <w:tcBorders>
              <w:bottom w:val="single" w:sz="8" w:color="auto"/>
            </w:tcBorders>
          </w:tcPr>
          <w:p>
            <w:pPr>
              <w:jc w:val="right"/>
              <w:ind w:right="919"/>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391,691</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238,358</w:t>
            </w:r>
          </w:p>
        </w:tc>
      </w:tr>
      <w:tr>
        <w:trPr>
          <w:trHeight w:val="20"/>
        </w:trPr>
        <w:tc>
          <w:tcPr>
            <w:tcW w:w="59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firstLine="367"/>
        <w:spacing w:after="0" w:line="170"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GAAP Income from Operations and 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GAAP Operating Margin</w:t>
      </w:r>
      <w:r>
        <w:rPr>
          <w:rFonts w:ascii="Arial" w:cs="Arial" w:eastAsia="Arial" w:hAnsi="Arial"/>
          <w:sz w:val="14"/>
          <w:szCs w:val="14"/>
          <w:color w:val="auto"/>
        </w:rPr>
        <w:t>. For the periods presented, we define non</w:t>
      </w:r>
      <w:r>
        <w:rPr>
          <w:rFonts w:ascii="MS PGothic" w:cs="MS PGothic" w:eastAsia="MS PGothic" w:hAnsi="MS PGothic"/>
          <w:sz w:val="14"/>
          <w:szCs w:val="14"/>
          <w:color w:val="auto"/>
        </w:rPr>
        <w:t>‑</w:t>
      </w:r>
      <w:r>
        <w:rPr>
          <w:rFonts w:ascii="Arial" w:cs="Arial" w:eastAsia="Arial" w:hAnsi="Arial"/>
          <w:sz w:val="14"/>
          <w:szCs w:val="14"/>
          <w:color w:val="auto"/>
        </w:rPr>
        <w:t>GAAP income from operations and non</w:t>
      </w:r>
      <w:r>
        <w:rPr>
          <w:rFonts w:ascii="MS PGothic" w:cs="MS PGothic" w:eastAsia="MS PGothic" w:hAnsi="MS PGothic"/>
          <w:sz w:val="14"/>
          <w:szCs w:val="14"/>
          <w:color w:val="auto"/>
        </w:rPr>
        <w:t>‑</w:t>
      </w:r>
      <w:r>
        <w:rPr>
          <w:rFonts w:ascii="Arial" w:cs="Arial" w:eastAsia="Arial" w:hAnsi="Arial"/>
          <w:sz w:val="14"/>
          <w:szCs w:val="14"/>
          <w:color w:val="auto"/>
        </w:rPr>
        <w:t>GAAP operating margin as GAAP loss</w:t>
      </w:r>
      <w:r>
        <w:rPr>
          <w:rFonts w:ascii="Arial" w:cs="Arial" w:eastAsia="Arial" w:hAnsi="Arial"/>
          <w:sz w:val="14"/>
          <w:szCs w:val="14"/>
          <w:b w:val="1"/>
          <w:bCs w:val="1"/>
          <w:color w:val="auto"/>
        </w:rPr>
        <w:t xml:space="preserve"> </w:t>
      </w:r>
      <w:r>
        <w:rPr>
          <w:rFonts w:ascii="Arial" w:cs="Arial" w:eastAsia="Arial" w:hAnsi="Arial"/>
          <w:sz w:val="14"/>
          <w:szCs w:val="14"/>
          <w:color w:val="auto"/>
        </w:rPr>
        <w:t>from operations and GAAP operating margin, respectively, adjusted to exclude, as applicable, certain expenses as presented in the table below:</w:t>
      </w:r>
    </w:p>
    <w:p>
      <w:pPr>
        <w:spacing w:after="0" w:line="241"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5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20" w:type="dxa"/>
            <w:vAlign w:val="bottom"/>
            <w:gridSpan w:val="4"/>
          </w:tcPr>
          <w:p>
            <w:pPr>
              <w:jc w:val="right"/>
              <w:ind w:right="180"/>
              <w:spacing w:after="0"/>
              <w:rPr>
                <w:sz w:val="20"/>
                <w:szCs w:val="20"/>
                <w:color w:val="auto"/>
              </w:rPr>
            </w:pPr>
            <w:r>
              <w:rPr>
                <w:rFonts w:ascii="Arial" w:cs="Arial" w:eastAsia="Arial" w:hAnsi="Arial"/>
                <w:sz w:val="12"/>
                <w:szCs w:val="12"/>
                <w:b w:val="1"/>
                <w:bCs w:val="1"/>
                <w:color w:val="auto"/>
              </w:rPr>
              <w:t>Three Months Ended</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2"/>
                <w:szCs w:val="12"/>
                <w:b w:val="1"/>
                <w:bCs w:val="1"/>
                <w:color w:val="auto"/>
              </w:rPr>
              <w:t>September 30,</w:t>
            </w: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960" w:type="dxa"/>
            <w:vAlign w:val="bottom"/>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9"/>
              <w:spacing w:after="0"/>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60" w:type="dxa"/>
            <w:vAlign w:val="bottom"/>
          </w:tcPr>
          <w:p>
            <w:pPr>
              <w:ind w:left="120"/>
              <w:spacing w:after="0"/>
              <w:rPr>
                <w:sz w:val="20"/>
                <w:szCs w:val="20"/>
                <w:color w:val="auto"/>
              </w:rPr>
            </w:pPr>
            <w:r>
              <w:rPr>
                <w:rFonts w:ascii="Arial" w:cs="Arial" w:eastAsia="Arial" w:hAnsi="Arial"/>
                <w:sz w:val="12"/>
                <w:szCs w:val="12"/>
                <w:b w:val="1"/>
                <w:bCs w:val="1"/>
                <w:color w:val="auto"/>
              </w:rPr>
              <w:t>Reconciliation:</w:t>
            </w:r>
          </w:p>
        </w:tc>
        <w:tc>
          <w:tcPr>
            <w:tcW w:w="1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2"/>
                <w:szCs w:val="12"/>
                <w:color w:val="auto"/>
                <w:w w:val="91"/>
              </w:rPr>
              <w:t>(In thousands)</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Loss from operations</w:t>
            </w:r>
          </w:p>
        </w:tc>
        <w:tc>
          <w:tcPr>
            <w:tcW w:w="1220" w:type="dxa"/>
            <w:vAlign w:val="bottom"/>
            <w:shd w:val="clear" w:color="auto" w:fill="CCEEFF"/>
          </w:tcPr>
          <w:p>
            <w:pPr>
              <w:jc w:val="right"/>
              <w:ind w:right="979"/>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(232,345)</w:t>
            </w: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(112,270)</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60" w:type="dxa"/>
            <w:vAlign w:val="bottom"/>
          </w:tcPr>
          <w:p>
            <w:pPr>
              <w:ind w:left="120"/>
              <w:spacing w:after="0"/>
              <w:rPr>
                <w:sz w:val="20"/>
                <w:szCs w:val="20"/>
                <w:color w:val="auto"/>
              </w:rPr>
            </w:pPr>
            <w:r>
              <w:rPr>
                <w:rFonts w:ascii="Arial" w:cs="Arial" w:eastAsia="Arial" w:hAnsi="Arial"/>
                <w:sz w:val="12"/>
                <w:szCs w:val="12"/>
                <w:color w:val="auto"/>
              </w:rPr>
              <w:t>Operating margin</w:t>
            </w:r>
          </w:p>
        </w:tc>
        <w:tc>
          <w:tcPr>
            <w:tcW w:w="1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(31)</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(25)</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5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Non-GAAP adjustments:</w:t>
            </w:r>
          </w:p>
        </w:tc>
        <w:tc>
          <w:tcPr>
            <w:tcW w:w="1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60" w:type="dxa"/>
            <w:vAlign w:val="bottom"/>
          </w:tcPr>
          <w:p>
            <w:pPr>
              <w:ind w:left="280"/>
              <w:spacing w:after="0"/>
              <w:rPr>
                <w:sz w:val="20"/>
                <w:szCs w:val="20"/>
                <w:color w:val="auto"/>
              </w:rPr>
            </w:pPr>
            <w:r>
              <w:rPr>
                <w:rFonts w:ascii="Arial" w:cs="Arial" w:eastAsia="Arial" w:hAnsi="Arial"/>
                <w:sz w:val="12"/>
                <w:szCs w:val="12"/>
                <w:color w:val="auto"/>
              </w:rPr>
              <w:t>Stock-based compensation</w:t>
            </w:r>
          </w:p>
        </w:tc>
        <w:tc>
          <w:tcPr>
            <w:tcW w:w="1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164,043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jc w:val="right"/>
              <w:ind w:right="39"/>
              <w:spacing w:after="0"/>
              <w:rPr>
                <w:sz w:val="20"/>
                <w:szCs w:val="20"/>
                <w:color w:val="auto"/>
              </w:rPr>
            </w:pPr>
            <w:r>
              <w:rPr>
                <w:rFonts w:ascii="Arial" w:cs="Arial" w:eastAsia="Arial" w:hAnsi="Arial"/>
                <w:sz w:val="12"/>
                <w:szCs w:val="12"/>
                <w:color w:val="auto"/>
              </w:rPr>
              <w:t>89,410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9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Amortization of acquired intangibles</w:t>
            </w:r>
          </w:p>
        </w:tc>
        <w:tc>
          <w:tcPr>
            <w:tcW w:w="1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55,761</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20,426</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60" w:type="dxa"/>
            <w:vAlign w:val="bottom"/>
          </w:tcPr>
          <w:p>
            <w:pPr>
              <w:ind w:left="280"/>
              <w:spacing w:after="0"/>
              <w:rPr>
                <w:sz w:val="20"/>
                <w:szCs w:val="20"/>
                <w:color w:val="auto"/>
              </w:rPr>
            </w:pPr>
            <w:r>
              <w:rPr>
                <w:rFonts w:ascii="Arial" w:cs="Arial" w:eastAsia="Arial" w:hAnsi="Arial"/>
                <w:sz w:val="12"/>
                <w:szCs w:val="12"/>
                <w:color w:val="auto"/>
              </w:rPr>
              <w:t>Acquisition-related expenses</w:t>
            </w:r>
          </w:p>
        </w:tc>
        <w:tc>
          <w:tcPr>
            <w:tcW w:w="1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1,620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jc w:val="right"/>
              <w:ind w:right="39"/>
              <w:spacing w:after="0"/>
              <w:rPr>
                <w:sz w:val="20"/>
                <w:szCs w:val="20"/>
                <w:color w:val="auto"/>
              </w:rPr>
            </w:pPr>
            <w:r>
              <w:rPr>
                <w:rFonts w:ascii="Arial" w:cs="Arial" w:eastAsia="Arial" w:hAnsi="Arial"/>
                <w:sz w:val="12"/>
                <w:szCs w:val="12"/>
                <w:color w:val="auto"/>
              </w:rPr>
              <w:t>791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9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Charitable contributions</w:t>
            </w:r>
          </w:p>
        </w:tc>
        <w:tc>
          <w:tcPr>
            <w:tcW w:w="1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8,389</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5,757</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6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Payroll taxes related to stock-based compensation</w:t>
            </w:r>
          </w:p>
        </w:tc>
        <w:tc>
          <w:tcPr>
            <w:tcW w:w="1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10,734</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3,179</w:t>
            </w: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9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Non-GAAP income from operations</w:t>
            </w:r>
          </w:p>
        </w:tc>
        <w:tc>
          <w:tcPr>
            <w:tcW w:w="1220" w:type="dxa"/>
            <w:vAlign w:val="bottom"/>
            <w:shd w:val="clear" w:color="auto" w:fill="CCEEFF"/>
          </w:tcPr>
          <w:p>
            <w:pPr>
              <w:jc w:val="right"/>
              <w:ind w:right="979"/>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8,202</w:t>
            </w: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7,293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2"/>
                <w:szCs w:val="12"/>
                <w:color w:val="auto"/>
              </w:rPr>
              <w:t>Non-GAAP operating margin</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596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Arial" w:cs="Arial" w:eastAsia="Arial" w:hAnsi="Arial"/>
                <w:sz w:val="12"/>
                <w:szCs w:val="12"/>
                <w:color w:val="auto"/>
              </w:rPr>
              <w:t>1</w:t>
            </w:r>
          </w:p>
        </w:tc>
        <w:tc>
          <w:tcPr>
            <w:tcW w:w="26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jc w:val="right"/>
              <w:ind w:right="39"/>
              <w:spacing w:after="0" w:line="120" w:lineRule="exact"/>
              <w:rPr>
                <w:sz w:val="20"/>
                <w:szCs w:val="20"/>
                <w:color w:val="auto"/>
              </w:rPr>
            </w:pPr>
            <w:r>
              <w:rPr>
                <w:rFonts w:ascii="Arial" w:cs="Arial" w:eastAsia="Arial" w:hAnsi="Arial"/>
                <w:sz w:val="12"/>
                <w:szCs w:val="12"/>
                <w:color w:val="auto"/>
              </w:rPr>
              <w:t>2</w:t>
            </w:r>
          </w:p>
        </w:tc>
        <w:tc>
          <w:tcPr>
            <w:tcW w:w="18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Results of Operations</w:t>
      </w:r>
    </w:p>
    <w:p>
      <w:pPr>
        <w:spacing w:after="0" w:line="168" w:lineRule="exact"/>
        <w:rPr>
          <w:sz w:val="20"/>
          <w:szCs w:val="20"/>
          <w:color w:val="auto"/>
        </w:rPr>
      </w:pPr>
    </w:p>
    <w:p>
      <w:pPr>
        <w:ind w:right="140" w:firstLine="367"/>
        <w:spacing w:after="0" w:line="261" w:lineRule="auto"/>
        <w:rPr>
          <w:sz w:val="20"/>
          <w:szCs w:val="20"/>
          <w:color w:val="auto"/>
        </w:rPr>
      </w:pPr>
      <w:r>
        <w:rPr>
          <w:rFonts w:ascii="Arial" w:cs="Arial" w:eastAsia="Arial" w:hAnsi="Arial"/>
          <w:sz w:val="14"/>
          <w:szCs w:val="14"/>
          <w:color w:val="auto"/>
        </w:rPr>
        <w:t>The following tables set forth our results of operations for the periods presented and as a percentage of our total revenue for those periods. The period-to-period comparison of our historical results are not necessarily indicative of the results that may be expected in the future.</w:t>
      </w:r>
    </w:p>
    <w:p>
      <w:pPr>
        <w:spacing w:after="0" w:line="155"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4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80" w:type="dxa"/>
            <w:vAlign w:val="bottom"/>
            <w:gridSpan w:val="4"/>
          </w:tcPr>
          <w:p>
            <w:pPr>
              <w:ind w:left="680"/>
              <w:spacing w:after="0"/>
              <w:rPr>
                <w:sz w:val="20"/>
                <w:szCs w:val="20"/>
                <w:color w:val="auto"/>
              </w:rPr>
            </w:pPr>
            <w:r>
              <w:rPr>
                <w:rFonts w:ascii="Arial" w:cs="Arial" w:eastAsia="Arial" w:hAnsi="Arial"/>
                <w:sz w:val="12"/>
                <w:szCs w:val="12"/>
                <w:b w:val="1"/>
                <w:bCs w:val="1"/>
                <w:color w:val="auto"/>
                <w:w w:val="99"/>
              </w:rPr>
              <w:t>Three Months Ended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60" w:type="dxa"/>
            <w:vAlign w:val="bottom"/>
            <w:gridSpan w:val="4"/>
          </w:tcPr>
          <w:p>
            <w:pPr>
              <w:jc w:val="right"/>
              <w:ind w:right="59"/>
              <w:spacing w:after="0"/>
              <w:rPr>
                <w:sz w:val="20"/>
                <w:szCs w:val="20"/>
                <w:color w:val="auto"/>
              </w:rPr>
            </w:pPr>
            <w:r>
              <w:rPr>
                <w:rFonts w:ascii="Arial" w:cs="Arial" w:eastAsia="Arial" w:hAnsi="Arial"/>
                <w:sz w:val="12"/>
                <w:szCs w:val="12"/>
                <w:b w:val="1"/>
                <w:bCs w:val="1"/>
                <w:color w:val="auto"/>
              </w:rPr>
              <w:t>Nine Months Ended</w:t>
            </w:r>
          </w:p>
        </w:tc>
        <w:tc>
          <w:tcPr>
            <w:tcW w:w="600" w:type="dxa"/>
            <w:vAlign w:val="bottom"/>
          </w:tcPr>
          <w:p>
            <w:pPr>
              <w:spacing w:after="0"/>
              <w:rPr>
                <w:sz w:val="12"/>
                <w:szCs w:val="12"/>
                <w:color w:val="auto"/>
              </w:rPr>
            </w:pPr>
          </w:p>
        </w:tc>
      </w:tr>
      <w:tr>
        <w:trPr>
          <w:trHeight w:val="161"/>
        </w:trPr>
        <w:tc>
          <w:tcPr>
            <w:tcW w:w="4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2"/>
                <w:szCs w:val="12"/>
                <w:b w:val="1"/>
                <w:bCs w:val="1"/>
                <w:color w:val="auto"/>
                <w:w w:val="92"/>
              </w:rPr>
              <w:t>September 30,</w:t>
            </w: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660"/>
              <w:spacing w:after="0"/>
              <w:rPr>
                <w:sz w:val="20"/>
                <w:szCs w:val="20"/>
                <w:color w:val="auto"/>
              </w:rPr>
            </w:pPr>
            <w:r>
              <w:rPr>
                <w:rFonts w:ascii="Arial" w:cs="Arial" w:eastAsia="Arial" w:hAnsi="Arial"/>
                <w:sz w:val="12"/>
                <w:szCs w:val="12"/>
                <w:b w:val="1"/>
                <w:bCs w:val="1"/>
                <w:color w:val="auto"/>
                <w:w w:val="90"/>
              </w:rPr>
              <w:t>September 30,</w:t>
            </w: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51"/>
        </w:trPr>
        <w:tc>
          <w:tcPr>
            <w:tcW w:w="43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2020</w:t>
            </w:r>
          </w:p>
        </w:tc>
      </w:tr>
      <w:tr>
        <w:trPr>
          <w:trHeight w:val="155"/>
        </w:trPr>
        <w:tc>
          <w:tcPr>
            <w:tcW w:w="4300" w:type="dxa"/>
            <w:vAlign w:val="bottom"/>
          </w:tcPr>
          <w:p>
            <w:pPr>
              <w:ind w:left="380"/>
              <w:spacing w:after="0"/>
              <w:rPr>
                <w:sz w:val="20"/>
                <w:szCs w:val="20"/>
                <w:color w:val="auto"/>
              </w:rPr>
            </w:pPr>
            <w:r>
              <w:rPr>
                <w:rFonts w:ascii="Arial" w:cs="Arial" w:eastAsia="Arial" w:hAnsi="Arial"/>
                <w:sz w:val="12"/>
                <w:szCs w:val="12"/>
                <w:b w:val="1"/>
                <w:bCs w:val="1"/>
                <w:color w:val="auto"/>
              </w:rPr>
              <w:t>Condensed Consolidated Statements of Operations Data:</w:t>
            </w: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3"/>
          </w:tcPr>
          <w:p>
            <w:pPr>
              <w:jc w:val="right"/>
              <w:ind w:right="139"/>
              <w:spacing w:after="0"/>
              <w:rPr>
                <w:sz w:val="20"/>
                <w:szCs w:val="20"/>
                <w:color w:val="auto"/>
              </w:rPr>
            </w:pPr>
            <w:r>
              <w:rPr>
                <w:rFonts w:ascii="Arial" w:cs="Arial" w:eastAsia="Arial" w:hAnsi="Arial"/>
                <w:sz w:val="12"/>
                <w:szCs w:val="12"/>
                <w:color w:val="auto"/>
              </w:rPr>
              <w:t>(In thousands)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6"/>
        </w:trPr>
        <w:tc>
          <w:tcPr>
            <w:tcW w:w="43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Revenue</w:t>
            </w:r>
          </w:p>
        </w:tc>
        <w:tc>
          <w:tcPr>
            <w:tcW w:w="68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740,176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447,969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1,999,095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1,213</w:t>
            </w:r>
          </w:p>
        </w:tc>
      </w:tr>
      <w:tr>
        <w:trPr>
          <w:trHeight w:val="163"/>
        </w:trPr>
        <w:tc>
          <w:tcPr>
            <w:tcW w:w="4300" w:type="dxa"/>
            <w:vAlign w:val="bottom"/>
            <w:tcBorders>
              <w:bottom w:val="single" w:sz="8" w:color="CCEEFF"/>
            </w:tcBorders>
          </w:tcPr>
          <w:p>
            <w:pPr>
              <w:ind w:left="380"/>
              <w:spacing w:after="0" w:line="164" w:lineRule="exact"/>
              <w:rPr>
                <w:sz w:val="20"/>
                <w:szCs w:val="20"/>
                <w:color w:val="auto"/>
              </w:rPr>
            </w:pPr>
            <w:r>
              <w:rPr>
                <w:rFonts w:ascii="Arial" w:cs="Arial" w:eastAsia="Arial" w:hAnsi="Arial"/>
                <w:sz w:val="12"/>
                <w:szCs w:val="12"/>
                <w:color w:val="auto"/>
              </w:rPr>
              <w:t xml:space="preserve">Cost of revenue </w:t>
            </w:r>
            <w:r>
              <w:rPr>
                <w:rFonts w:ascii="Arial" w:cs="Arial" w:eastAsia="Arial" w:hAnsi="Arial"/>
                <w:sz w:val="15"/>
                <w:szCs w:val="15"/>
                <w:color w:val="auto"/>
                <w:vertAlign w:val="superscript"/>
              </w:rPr>
              <w:t>(1) (2)</w:t>
            </w: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375,561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217,095</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1,004,929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580</w:t>
            </w:r>
          </w:p>
        </w:tc>
      </w:tr>
      <w:tr>
        <w:trPr>
          <w:trHeight w:val="153"/>
        </w:trPr>
        <w:tc>
          <w:tcPr>
            <w:tcW w:w="4300" w:type="dxa"/>
            <w:vAlign w:val="bottom"/>
            <w:shd w:val="clear" w:color="auto" w:fill="CCEEFF"/>
          </w:tcPr>
          <w:p>
            <w:pPr>
              <w:ind w:left="540"/>
              <w:spacing w:after="0"/>
              <w:rPr>
                <w:sz w:val="20"/>
                <w:szCs w:val="20"/>
                <w:color w:val="auto"/>
              </w:rPr>
            </w:pPr>
            <w:r>
              <w:rPr>
                <w:rFonts w:ascii="Arial" w:cs="Arial" w:eastAsia="Arial" w:hAnsi="Arial"/>
                <w:sz w:val="12"/>
                <w:szCs w:val="12"/>
                <w:color w:val="auto"/>
              </w:rPr>
              <w:t>Gross profit</w:t>
            </w:r>
          </w:p>
        </w:tc>
        <w:tc>
          <w:tcPr>
            <w:tcW w:w="6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364,615</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230,874</w:t>
            </w:r>
          </w:p>
        </w:tc>
        <w:tc>
          <w:tcPr>
            <w:tcW w:w="1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994,166</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633</w:t>
            </w:r>
          </w:p>
        </w:tc>
      </w:tr>
      <w:tr>
        <w:trPr>
          <w:trHeight w:val="141"/>
        </w:trPr>
        <w:tc>
          <w:tcPr>
            <w:tcW w:w="4300" w:type="dxa"/>
            <w:vAlign w:val="bottom"/>
          </w:tcPr>
          <w:p>
            <w:pPr>
              <w:ind w:left="380"/>
              <w:spacing w:after="0"/>
              <w:rPr>
                <w:sz w:val="20"/>
                <w:szCs w:val="20"/>
                <w:color w:val="auto"/>
              </w:rPr>
            </w:pPr>
            <w:r>
              <w:rPr>
                <w:rFonts w:ascii="Arial" w:cs="Arial" w:eastAsia="Arial" w:hAnsi="Arial"/>
                <w:sz w:val="12"/>
                <w:szCs w:val="12"/>
                <w:color w:val="auto"/>
              </w:rPr>
              <w:t>Operating expenses:</w:t>
            </w: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66"/>
        </w:trPr>
        <w:tc>
          <w:tcPr>
            <w:tcW w:w="4300" w:type="dxa"/>
            <w:vAlign w:val="bottom"/>
            <w:shd w:val="clear" w:color="auto" w:fill="CCEEFF"/>
          </w:tcPr>
          <w:p>
            <w:pPr>
              <w:ind w:left="540"/>
              <w:spacing w:after="0" w:line="166" w:lineRule="exact"/>
              <w:rPr>
                <w:sz w:val="20"/>
                <w:szCs w:val="20"/>
                <w:color w:val="auto"/>
              </w:rPr>
            </w:pPr>
            <w:r>
              <w:rPr>
                <w:rFonts w:ascii="Arial" w:cs="Arial" w:eastAsia="Arial" w:hAnsi="Arial"/>
                <w:sz w:val="12"/>
                <w:szCs w:val="12"/>
                <w:color w:val="auto"/>
              </w:rPr>
              <w:t xml:space="preserve">Research and development </w:t>
            </w:r>
            <w:r>
              <w:rPr>
                <w:rFonts w:ascii="Arial" w:cs="Arial" w:eastAsia="Arial" w:hAnsi="Arial"/>
                <w:sz w:val="15"/>
                <w:szCs w:val="15"/>
                <w:color w:val="auto"/>
                <w:vertAlign w:val="superscript"/>
              </w:rPr>
              <w:t>(1) (2)</w:t>
            </w: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209,890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136,652</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565,970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w:t>
            </w:r>
          </w:p>
        </w:tc>
      </w:tr>
      <w:tr>
        <w:trPr>
          <w:trHeight w:val="163"/>
        </w:trPr>
        <w:tc>
          <w:tcPr>
            <w:tcW w:w="4300" w:type="dxa"/>
            <w:vAlign w:val="bottom"/>
          </w:tcPr>
          <w:p>
            <w:pPr>
              <w:ind w:left="540"/>
              <w:spacing w:after="0" w:line="164" w:lineRule="exact"/>
              <w:rPr>
                <w:sz w:val="20"/>
                <w:szCs w:val="20"/>
                <w:color w:val="auto"/>
              </w:rPr>
            </w:pPr>
            <w:r>
              <w:rPr>
                <w:rFonts w:ascii="Arial" w:cs="Arial" w:eastAsia="Arial" w:hAnsi="Arial"/>
                <w:sz w:val="12"/>
                <w:szCs w:val="12"/>
                <w:color w:val="auto"/>
              </w:rPr>
              <w:t xml:space="preserve">Sales and marketing </w:t>
            </w:r>
            <w:r>
              <w:rPr>
                <w:rFonts w:ascii="Arial" w:cs="Arial" w:eastAsia="Arial" w:hAnsi="Arial"/>
                <w:sz w:val="15"/>
                <w:szCs w:val="15"/>
                <w:color w:val="auto"/>
                <w:vertAlign w:val="superscript"/>
              </w:rPr>
              <w:t>(1) (2)</w:t>
            </w: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264,548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140,875</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713,196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387</w:t>
            </w:r>
          </w:p>
        </w:tc>
      </w:tr>
      <w:tr>
        <w:trPr>
          <w:trHeight w:val="163"/>
        </w:trPr>
        <w:tc>
          <w:tcPr>
            <w:tcW w:w="4300" w:type="dxa"/>
            <w:vAlign w:val="bottom"/>
            <w:shd w:val="clear" w:color="auto" w:fill="CCEEFF"/>
          </w:tcPr>
          <w:p>
            <w:pPr>
              <w:ind w:left="540"/>
              <w:spacing w:after="0" w:line="164" w:lineRule="exact"/>
              <w:rPr>
                <w:sz w:val="20"/>
                <w:szCs w:val="20"/>
                <w:color w:val="auto"/>
              </w:rPr>
            </w:pPr>
            <w:r>
              <w:rPr>
                <w:rFonts w:ascii="Arial" w:cs="Arial" w:eastAsia="Arial" w:hAnsi="Arial"/>
                <w:sz w:val="12"/>
                <w:szCs w:val="12"/>
                <w:color w:val="auto"/>
              </w:rPr>
              <w:t xml:space="preserve">General and administrative </w:t>
            </w:r>
            <w:r>
              <w:rPr>
                <w:rFonts w:ascii="Arial" w:cs="Arial" w:eastAsia="Arial" w:hAnsi="Arial"/>
                <w:sz w:val="15"/>
                <w:szCs w:val="15"/>
                <w:color w:val="auto"/>
                <w:vertAlign w:val="superscript"/>
              </w:rPr>
              <w:t>(1) (2)</w:t>
            </w:r>
          </w:p>
        </w:tc>
        <w:tc>
          <w:tcPr>
            <w:tcW w:w="6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122,522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65,617</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346,958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w:t>
            </w:r>
          </w:p>
        </w:tc>
      </w:tr>
      <w:tr>
        <w:trPr>
          <w:trHeight w:val="151"/>
        </w:trPr>
        <w:tc>
          <w:tcPr>
            <w:tcW w:w="4300" w:type="dxa"/>
            <w:vAlign w:val="bottom"/>
            <w:tcBorders>
              <w:bottom w:val="single" w:sz="8" w:color="CCEEFF"/>
            </w:tcBorders>
          </w:tcPr>
          <w:p>
            <w:pPr>
              <w:ind w:left="720"/>
              <w:spacing w:after="0"/>
              <w:rPr>
                <w:sz w:val="20"/>
                <w:szCs w:val="20"/>
                <w:color w:val="auto"/>
              </w:rPr>
            </w:pPr>
            <w:r>
              <w:rPr>
                <w:rFonts w:ascii="Arial" w:cs="Arial" w:eastAsia="Arial" w:hAnsi="Arial"/>
                <w:sz w:val="12"/>
                <w:szCs w:val="12"/>
                <w:color w:val="auto"/>
              </w:rPr>
              <w:t>Total operating expenses</w:t>
            </w: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596,960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343,144</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1,626,124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941</w:t>
            </w:r>
          </w:p>
        </w:tc>
      </w:tr>
      <w:tr>
        <w:trPr>
          <w:trHeight w:val="156"/>
        </w:trPr>
        <w:tc>
          <w:tcPr>
            <w:tcW w:w="4300" w:type="dxa"/>
            <w:vAlign w:val="bottom"/>
            <w:shd w:val="clear" w:color="auto" w:fill="CCEEFF"/>
          </w:tcPr>
          <w:p>
            <w:pPr>
              <w:ind w:left="640"/>
              <w:spacing w:after="0"/>
              <w:rPr>
                <w:sz w:val="20"/>
                <w:szCs w:val="20"/>
                <w:color w:val="auto"/>
              </w:rPr>
            </w:pPr>
            <w:r>
              <w:rPr>
                <w:rFonts w:ascii="Arial" w:cs="Arial" w:eastAsia="Arial" w:hAnsi="Arial"/>
                <w:sz w:val="12"/>
                <w:szCs w:val="12"/>
                <w:color w:val="auto"/>
              </w:rPr>
              <w:t>Loss from operations</w:t>
            </w:r>
          </w:p>
        </w:tc>
        <w:tc>
          <w:tcPr>
            <w:tcW w:w="6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(232,345)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(112,270)</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(631,958)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w:t>
            </w:r>
          </w:p>
        </w:tc>
      </w:tr>
      <w:tr>
        <w:trPr>
          <w:trHeight w:val="161"/>
        </w:trPr>
        <w:tc>
          <w:tcPr>
            <w:tcW w:w="430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Other expenses, net</w:t>
            </w: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(6,613)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(3,996)</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(39,219)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r>
      <w:tr>
        <w:trPr>
          <w:trHeight w:val="156"/>
        </w:trPr>
        <w:tc>
          <w:tcPr>
            <w:tcW w:w="4300" w:type="dxa"/>
            <w:vAlign w:val="bottom"/>
            <w:shd w:val="clear" w:color="auto" w:fill="CCEEFF"/>
          </w:tcPr>
          <w:p>
            <w:pPr>
              <w:ind w:left="640"/>
              <w:spacing w:after="0"/>
              <w:rPr>
                <w:sz w:val="20"/>
                <w:szCs w:val="20"/>
                <w:color w:val="auto"/>
              </w:rPr>
            </w:pPr>
            <w:r>
              <w:rPr>
                <w:rFonts w:ascii="Arial" w:cs="Arial" w:eastAsia="Arial" w:hAnsi="Arial"/>
                <w:sz w:val="12"/>
                <w:szCs w:val="12"/>
                <w:color w:val="auto"/>
              </w:rPr>
              <w:t>Loss before benefit (provision) for income taxes</w:t>
            </w:r>
          </w:p>
        </w:tc>
        <w:tc>
          <w:tcPr>
            <w:tcW w:w="6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(238,958)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(116,266)</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(671,177)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w:t>
            </w:r>
          </w:p>
        </w:tc>
      </w:tr>
      <w:tr>
        <w:trPr>
          <w:trHeight w:val="161"/>
        </w:trPr>
        <w:tc>
          <w:tcPr>
            <w:tcW w:w="430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Benefit (provision) for income taxes</w:t>
            </w: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14,849</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(648)</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12,673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r>
      <w:tr>
        <w:trPr>
          <w:trHeight w:val="181"/>
        </w:trPr>
        <w:tc>
          <w:tcPr>
            <w:tcW w:w="43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2"/>
                <w:szCs w:val="12"/>
                <w:color w:val="auto"/>
              </w:rPr>
              <w:t>Net loss attributable to common stockholders</w:t>
            </w:r>
          </w:p>
        </w:tc>
        <w:tc>
          <w:tcPr>
            <w:tcW w:w="6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(224,109)</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(116,914)</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(658,504)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(311</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____________________________________</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 xml:space="preserve"> Includes stock-based compensation expense as follows:</w:t>
      </w:r>
    </w:p>
    <w:p>
      <w:pPr>
        <w:spacing w:after="0" w:line="148"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4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80" w:type="dxa"/>
            <w:vAlign w:val="bottom"/>
            <w:gridSpan w:val="4"/>
          </w:tcPr>
          <w:p>
            <w:pPr>
              <w:ind w:left="160"/>
              <w:spacing w:after="0"/>
              <w:rPr>
                <w:sz w:val="20"/>
                <w:szCs w:val="20"/>
                <w:color w:val="auto"/>
              </w:rPr>
            </w:pPr>
            <w:r>
              <w:rPr>
                <w:rFonts w:ascii="Arial" w:cs="Arial" w:eastAsia="Arial" w:hAnsi="Arial"/>
                <w:sz w:val="12"/>
                <w:szCs w:val="12"/>
                <w:b w:val="1"/>
                <w:bCs w:val="1"/>
                <w:color w:val="auto"/>
              </w:rPr>
              <w:t>Three Months Ended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40" w:type="dxa"/>
            <w:vAlign w:val="bottom"/>
            <w:gridSpan w:val="4"/>
          </w:tcPr>
          <w:p>
            <w:pPr>
              <w:jc w:val="right"/>
              <w:ind w:right="59"/>
              <w:spacing w:after="0"/>
              <w:rPr>
                <w:sz w:val="20"/>
                <w:szCs w:val="20"/>
                <w:color w:val="auto"/>
              </w:rPr>
            </w:pPr>
            <w:r>
              <w:rPr>
                <w:rFonts w:ascii="Arial" w:cs="Arial" w:eastAsia="Arial" w:hAnsi="Arial"/>
                <w:sz w:val="12"/>
                <w:szCs w:val="12"/>
                <w:b w:val="1"/>
                <w:bCs w:val="1"/>
                <w:color w:val="auto"/>
              </w:rPr>
              <w:t>Nine Months Ended</w:t>
            </w:r>
          </w:p>
        </w:tc>
        <w:tc>
          <w:tcPr>
            <w:tcW w:w="600" w:type="dxa"/>
            <w:vAlign w:val="bottom"/>
          </w:tcPr>
          <w:p>
            <w:pPr>
              <w:spacing w:after="0"/>
              <w:rPr>
                <w:sz w:val="12"/>
                <w:szCs w:val="12"/>
                <w:color w:val="auto"/>
              </w:rPr>
            </w:pPr>
          </w:p>
        </w:tc>
      </w:tr>
      <w:tr>
        <w:trPr>
          <w:trHeight w:val="161"/>
        </w:trPr>
        <w:tc>
          <w:tcPr>
            <w:tcW w:w="43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w w:val="92"/>
              </w:rPr>
              <w:t>September 30,</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640"/>
              <w:spacing w:after="0"/>
              <w:rPr>
                <w:sz w:val="20"/>
                <w:szCs w:val="20"/>
                <w:color w:val="auto"/>
              </w:rPr>
            </w:pPr>
            <w:r>
              <w:rPr>
                <w:rFonts w:ascii="Arial" w:cs="Arial" w:eastAsia="Arial" w:hAnsi="Arial"/>
                <w:sz w:val="12"/>
                <w:szCs w:val="12"/>
                <w:b w:val="1"/>
                <w:bCs w:val="1"/>
                <w:color w:val="auto"/>
                <w:w w:val="92"/>
              </w:rPr>
              <w:t>September 30,</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53"/>
        </w:trPr>
        <w:tc>
          <w:tcPr>
            <w:tcW w:w="4340" w:type="dxa"/>
            <w:vAlign w:val="bottom"/>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2020</w:t>
            </w:r>
          </w:p>
        </w:tc>
      </w:tr>
      <w:tr>
        <w:trPr>
          <w:trHeight w:val="153"/>
        </w:trPr>
        <w:tc>
          <w:tcPr>
            <w:tcW w:w="4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60" w:type="dxa"/>
            <w:vAlign w:val="bottom"/>
            <w:gridSpan w:val="3"/>
          </w:tcPr>
          <w:p>
            <w:pPr>
              <w:jc w:val="right"/>
              <w:ind w:right="139"/>
              <w:spacing w:after="0"/>
              <w:rPr>
                <w:sz w:val="20"/>
                <w:szCs w:val="20"/>
                <w:color w:val="auto"/>
              </w:rPr>
            </w:pPr>
            <w:r>
              <w:rPr>
                <w:rFonts w:ascii="Arial" w:cs="Arial" w:eastAsia="Arial" w:hAnsi="Arial"/>
                <w:sz w:val="12"/>
                <w:szCs w:val="12"/>
                <w:color w:val="auto"/>
              </w:rPr>
              <w:t>(In thousands)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6"/>
        </w:trPr>
        <w:tc>
          <w:tcPr>
            <w:tcW w:w="43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Cost of revenue</w:t>
            </w:r>
          </w:p>
        </w:tc>
        <w:tc>
          <w:tcPr>
            <w:tcW w:w="1180" w:type="dxa"/>
            <w:vAlign w:val="bottom"/>
            <w:shd w:val="clear" w:color="auto" w:fill="CCEEFF"/>
          </w:tcPr>
          <w:p>
            <w:pPr>
              <w:jc w:val="right"/>
              <w:ind w:right="679"/>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2,237</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9,461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r>
      <w:tr>
        <w:trPr>
          <w:trHeight w:val="161"/>
        </w:trPr>
        <w:tc>
          <w:tcPr>
            <w:tcW w:w="4340" w:type="dxa"/>
            <w:vAlign w:val="bottom"/>
          </w:tcPr>
          <w:p>
            <w:pPr>
              <w:ind w:left="380"/>
              <w:spacing w:after="0"/>
              <w:rPr>
                <w:sz w:val="20"/>
                <w:szCs w:val="20"/>
                <w:color w:val="auto"/>
              </w:rPr>
            </w:pPr>
            <w:r>
              <w:rPr>
                <w:rFonts w:ascii="Arial" w:cs="Arial" w:eastAsia="Arial" w:hAnsi="Arial"/>
                <w:sz w:val="12"/>
                <w:szCs w:val="12"/>
                <w:color w:val="auto"/>
              </w:rPr>
              <w:t>Research and development</w:t>
            </w: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69,242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46,294</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185,072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119</w:t>
            </w:r>
          </w:p>
        </w:tc>
      </w:tr>
      <w:tr>
        <w:trPr>
          <w:trHeight w:val="166"/>
        </w:trPr>
        <w:tc>
          <w:tcPr>
            <w:tcW w:w="43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Sales and marketing</w:t>
            </w:r>
          </w:p>
        </w:tc>
        <w:tc>
          <w:tcPr>
            <w:tcW w:w="11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53,843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26,573</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143,419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w:t>
            </w:r>
          </w:p>
        </w:tc>
      </w:tr>
      <w:tr>
        <w:trPr>
          <w:trHeight w:val="161"/>
        </w:trPr>
        <w:tc>
          <w:tcPr>
            <w:tcW w:w="434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General and administrative</w:t>
            </w:r>
          </w:p>
        </w:tc>
        <w:tc>
          <w:tcPr>
            <w:tcW w:w="1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37,238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14,306</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107,414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w:t>
            </w:r>
          </w:p>
        </w:tc>
      </w:tr>
      <w:tr>
        <w:trPr>
          <w:trHeight w:val="181"/>
        </w:trPr>
        <w:tc>
          <w:tcPr>
            <w:tcW w:w="4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Total</w:t>
            </w:r>
          </w:p>
        </w:tc>
        <w:tc>
          <w:tcPr>
            <w:tcW w:w="11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164,043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89,410</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445,366</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237</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____________________________________</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5"/>
          <w:szCs w:val="15"/>
          <w:color w:val="auto"/>
          <w:vertAlign w:val="superscript"/>
        </w:rPr>
        <w:t>(2)</w:t>
      </w:r>
      <w:r>
        <w:rPr>
          <w:rFonts w:ascii="Arial" w:cs="Arial" w:eastAsia="Arial" w:hAnsi="Arial"/>
          <w:sz w:val="12"/>
          <w:szCs w:val="12"/>
          <w:color w:val="auto"/>
        </w:rPr>
        <w:t xml:space="preserve"> Includes amortization of acquired intangibles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gridSpan w:val="3"/>
          </w:tcPr>
          <w:p>
            <w:pPr>
              <w:jc w:val="right"/>
              <w:ind w:right="379"/>
              <w:spacing w:after="0"/>
              <w:rPr>
                <w:sz w:val="20"/>
                <w:szCs w:val="20"/>
                <w:color w:val="auto"/>
              </w:rPr>
            </w:pPr>
            <w:r>
              <w:rPr>
                <w:rFonts w:ascii="Arial" w:cs="Arial" w:eastAsia="Arial" w:hAnsi="Arial"/>
                <w:sz w:val="12"/>
                <w:szCs w:val="12"/>
                <w:b w:val="1"/>
                <w:bCs w:val="1"/>
                <w:color w:val="auto"/>
                <w:w w:val="96"/>
              </w:rPr>
              <w:t>Three Months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900" w:type="dxa"/>
            <w:vAlign w:val="bottom"/>
          </w:tcPr>
          <w:p>
            <w:pPr>
              <w:spacing w:after="0"/>
              <w:rPr>
                <w:sz w:val="12"/>
                <w:szCs w:val="12"/>
                <w:color w:val="auto"/>
              </w:rPr>
            </w:pPr>
          </w:p>
        </w:tc>
      </w:tr>
      <w:tr>
        <w:trPr>
          <w:trHeight w:val="161"/>
        </w:trPr>
        <w:tc>
          <w:tcPr>
            <w:tcW w:w="52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2"/>
                <w:szCs w:val="12"/>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2"/>
                <w:szCs w:val="12"/>
                <w:b w:val="1"/>
                <w:bCs w:val="1"/>
                <w:color w:val="auto"/>
              </w:rPr>
              <w:t>September 30,</w:t>
            </w:r>
          </w:p>
        </w:tc>
        <w:tc>
          <w:tcPr>
            <w:tcW w:w="900" w:type="dxa"/>
            <w:vAlign w:val="bottom"/>
            <w:tcBorders>
              <w:bottom w:val="single" w:sz="8" w:color="auto"/>
            </w:tcBorders>
          </w:tcPr>
          <w:p>
            <w:pPr>
              <w:spacing w:after="0"/>
              <w:rPr>
                <w:sz w:val="14"/>
                <w:szCs w:val="14"/>
                <w:color w:val="auto"/>
              </w:rPr>
            </w:pPr>
          </w:p>
        </w:tc>
      </w:tr>
      <w:tr>
        <w:trPr>
          <w:trHeight w:val="153"/>
        </w:trPr>
        <w:tc>
          <w:tcPr>
            <w:tcW w:w="526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2020</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2020</w:t>
            </w:r>
          </w:p>
        </w:tc>
      </w:tr>
      <w:tr>
        <w:trPr>
          <w:trHeight w:val="153"/>
        </w:trPr>
        <w:tc>
          <w:tcPr>
            <w:tcW w:w="5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3"/>
          </w:tcPr>
          <w:p>
            <w:pPr>
              <w:jc w:val="right"/>
              <w:ind w:right="79"/>
              <w:spacing w:after="0"/>
              <w:rPr>
                <w:sz w:val="20"/>
                <w:szCs w:val="20"/>
                <w:color w:val="auto"/>
              </w:rPr>
            </w:pPr>
            <w:r>
              <w:rPr>
                <w:rFonts w:ascii="Arial" w:cs="Arial" w:eastAsia="Arial" w:hAnsi="Arial"/>
                <w:sz w:val="12"/>
                <w:szCs w:val="12"/>
                <w:color w:val="auto"/>
              </w:rPr>
              <w:t>(In thousands)</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6"/>
        </w:trPr>
        <w:tc>
          <w:tcPr>
            <w:tcW w:w="5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Cost of revenue</w:t>
            </w:r>
          </w:p>
        </w:tc>
        <w:tc>
          <w:tcPr>
            <w:tcW w:w="880" w:type="dxa"/>
            <w:vAlign w:val="bottom"/>
            <w:shd w:val="clear" w:color="auto" w:fill="CCEEFF"/>
          </w:tcPr>
          <w:p>
            <w:pPr>
              <w:jc w:val="right"/>
              <w:ind w:right="739"/>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31,558</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12,540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84,104</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9"/>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37,616</w:t>
            </w:r>
          </w:p>
        </w:tc>
      </w:tr>
      <w:tr>
        <w:trPr>
          <w:trHeight w:val="161"/>
        </w:trPr>
        <w:tc>
          <w:tcPr>
            <w:tcW w:w="5260" w:type="dxa"/>
            <w:vAlign w:val="bottom"/>
          </w:tcPr>
          <w:p>
            <w:pPr>
              <w:ind w:left="20"/>
              <w:spacing w:after="0"/>
              <w:rPr>
                <w:sz w:val="20"/>
                <w:szCs w:val="20"/>
                <w:color w:val="auto"/>
              </w:rPr>
            </w:pPr>
            <w:r>
              <w:rPr>
                <w:rFonts w:ascii="Arial" w:cs="Arial" w:eastAsia="Arial" w:hAnsi="Arial"/>
                <w:sz w:val="12"/>
                <w:szCs w:val="12"/>
                <w:color w:val="auto"/>
              </w:rPr>
              <w:t>Research and development</w:t>
            </w:r>
          </w:p>
        </w:tc>
        <w:tc>
          <w:tcPr>
            <w:tcW w:w="8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462</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840</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5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Sales and marketing</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23,741</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7,876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61,197</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23,629</w:t>
            </w:r>
          </w:p>
        </w:tc>
      </w:tr>
      <w:tr>
        <w:trPr>
          <w:trHeight w:val="161"/>
        </w:trPr>
        <w:tc>
          <w:tcPr>
            <w:tcW w:w="5260" w:type="dxa"/>
            <w:vAlign w:val="bottom"/>
          </w:tcPr>
          <w:p>
            <w:pPr>
              <w:ind w:left="20"/>
              <w:spacing w:after="0"/>
              <w:rPr>
                <w:sz w:val="20"/>
                <w:szCs w:val="20"/>
                <w:color w:val="auto"/>
              </w:rPr>
            </w:pPr>
            <w:r>
              <w:rPr>
                <w:rFonts w:ascii="Arial" w:cs="Arial" w:eastAsia="Arial" w:hAnsi="Arial"/>
                <w:sz w:val="12"/>
                <w:szCs w:val="12"/>
                <w:color w:val="auto"/>
              </w:rPr>
              <w:t>General and administrative</w:t>
            </w:r>
          </w:p>
        </w:tc>
        <w:tc>
          <w:tcPr>
            <w:tcW w:w="8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125</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181"/>
        </w:trPr>
        <w:tc>
          <w:tcPr>
            <w:tcW w:w="52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Total</w:t>
            </w:r>
          </w:p>
        </w:tc>
        <w:tc>
          <w:tcPr>
            <w:tcW w:w="88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55,761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20,426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146,266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61,313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80" w:type="dxa"/>
            <w:vAlign w:val="bottom"/>
            <w:gridSpan w:val="3"/>
          </w:tcPr>
          <w:p>
            <w:pPr>
              <w:ind w:left="180"/>
              <w:spacing w:after="0"/>
              <w:rPr>
                <w:sz w:val="20"/>
                <w:szCs w:val="20"/>
                <w:color w:val="auto"/>
              </w:rPr>
            </w:pPr>
            <w:r>
              <w:rPr>
                <w:rFonts w:ascii="Arial" w:cs="Arial" w:eastAsia="Arial" w:hAnsi="Arial"/>
                <w:sz w:val="12"/>
                <w:szCs w:val="12"/>
                <w:b w:val="1"/>
                <w:bCs w:val="1"/>
                <w:color w:val="auto"/>
                <w:w w:val="99"/>
              </w:rPr>
              <w:t>Three Months Ended</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60" w:type="dxa"/>
            <w:vAlign w:val="bottom"/>
            <w:gridSpan w:val="3"/>
          </w:tcPr>
          <w:p>
            <w:pPr>
              <w:ind w:left="200"/>
              <w:spacing w:after="0"/>
              <w:rPr>
                <w:sz w:val="20"/>
                <w:szCs w:val="20"/>
                <w:color w:val="auto"/>
              </w:rPr>
            </w:pPr>
            <w:r>
              <w:rPr>
                <w:rFonts w:ascii="Arial" w:cs="Arial" w:eastAsia="Arial" w:hAnsi="Arial"/>
                <w:sz w:val="12"/>
                <w:szCs w:val="12"/>
                <w:b w:val="1"/>
                <w:bCs w:val="1"/>
                <w:color w:val="auto"/>
              </w:rPr>
              <w:t>Nine Months Ended</w:t>
            </w:r>
          </w:p>
        </w:tc>
        <w:tc>
          <w:tcPr>
            <w:tcW w:w="560" w:type="dxa"/>
            <w:vAlign w:val="bottom"/>
          </w:tcPr>
          <w:p>
            <w:pPr>
              <w:spacing w:after="0"/>
              <w:rPr>
                <w:sz w:val="12"/>
                <w:szCs w:val="12"/>
                <w:color w:val="auto"/>
              </w:rPr>
            </w:pPr>
          </w:p>
        </w:tc>
      </w:tr>
      <w:tr>
        <w:trPr>
          <w:trHeight w:val="161"/>
        </w:trPr>
        <w:tc>
          <w:tcPr>
            <w:tcW w:w="376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rPr>
              <w:t>September 30,</w:t>
            </w:r>
          </w:p>
        </w:tc>
        <w:tc>
          <w:tcPr>
            <w:tcW w:w="560" w:type="dxa"/>
            <w:vAlign w:val="bottom"/>
            <w:tcBorders>
              <w:bottom w:val="single" w:sz="8" w:color="auto"/>
            </w:tcBorders>
          </w:tcPr>
          <w:p>
            <w:pPr>
              <w:spacing w:after="0"/>
              <w:rPr>
                <w:sz w:val="14"/>
                <w:szCs w:val="14"/>
                <w:color w:val="auto"/>
              </w:rPr>
            </w:pPr>
          </w:p>
        </w:tc>
      </w:tr>
      <w:tr>
        <w:trPr>
          <w:trHeight w:val="151"/>
        </w:trPr>
        <w:tc>
          <w:tcPr>
            <w:tcW w:w="3760" w:type="dxa"/>
            <w:vAlign w:val="bottom"/>
          </w:tcPr>
          <w:p>
            <w:pPr>
              <w:spacing w:after="0"/>
              <w:rPr>
                <w:sz w:val="13"/>
                <w:szCs w:val="13"/>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2020</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2020</w:t>
            </w:r>
          </w:p>
        </w:tc>
      </w:tr>
      <w:tr>
        <w:trPr>
          <w:trHeight w:val="107"/>
        </w:trPr>
        <w:tc>
          <w:tcPr>
            <w:tcW w:w="3760" w:type="dxa"/>
            <w:vAlign w:val="bottom"/>
          </w:tcPr>
          <w:p>
            <w:pPr>
              <w:ind w:left="500"/>
              <w:spacing w:after="0" w:line="107" w:lineRule="exact"/>
              <w:rPr>
                <w:sz w:val="20"/>
                <w:szCs w:val="20"/>
                <w:color w:val="auto"/>
              </w:rPr>
            </w:pPr>
            <w:r>
              <w:rPr>
                <w:rFonts w:ascii="Arial" w:cs="Arial" w:eastAsia="Arial" w:hAnsi="Arial"/>
                <w:sz w:val="12"/>
                <w:szCs w:val="12"/>
                <w:b w:val="1"/>
                <w:bCs w:val="1"/>
                <w:color w:val="auto"/>
                <w:w w:val="99"/>
              </w:rPr>
              <w:t>Condensed Consolidated Statements of Operations, as a</w:t>
            </w: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61"/>
        </w:trPr>
        <w:tc>
          <w:tcPr>
            <w:tcW w:w="3760" w:type="dxa"/>
            <w:vAlign w:val="bottom"/>
          </w:tcPr>
          <w:p>
            <w:pPr>
              <w:spacing w:after="0"/>
              <w:rPr>
                <w:sz w:val="20"/>
                <w:szCs w:val="20"/>
                <w:color w:val="auto"/>
              </w:rPr>
            </w:pPr>
            <w:r>
              <w:rPr>
                <w:rFonts w:ascii="Arial" w:cs="Arial" w:eastAsia="Arial" w:hAnsi="Arial"/>
                <w:sz w:val="12"/>
                <w:szCs w:val="12"/>
                <w:b w:val="1"/>
                <w:bCs w:val="1"/>
                <w:color w:val="auto"/>
              </w:rPr>
              <w:t>percentage of revenue: **</w:t>
            </w: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5"/>
        </w:trPr>
        <w:tc>
          <w:tcPr>
            <w:tcW w:w="3760" w:type="dxa"/>
            <w:vAlign w:val="bottom"/>
            <w:shd w:val="clear" w:color="auto" w:fill="CCEEFF"/>
          </w:tcPr>
          <w:p>
            <w:pPr>
              <w:ind w:left="500"/>
              <w:spacing w:after="0"/>
              <w:rPr>
                <w:sz w:val="20"/>
                <w:szCs w:val="20"/>
                <w:color w:val="auto"/>
              </w:rPr>
            </w:pPr>
            <w:r>
              <w:rPr>
                <w:rFonts w:ascii="Arial" w:cs="Arial" w:eastAsia="Arial" w:hAnsi="Arial"/>
                <w:sz w:val="12"/>
                <w:szCs w:val="12"/>
                <w:color w:val="auto"/>
              </w:rPr>
              <w:t>Revenue</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100</w:t>
            </w:r>
          </w:p>
        </w:tc>
        <w:tc>
          <w:tcPr>
            <w:tcW w:w="4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100</w:t>
            </w:r>
          </w:p>
        </w:tc>
        <w:tc>
          <w:tcPr>
            <w:tcW w:w="3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100</w:t>
            </w:r>
          </w:p>
        </w:tc>
        <w:tc>
          <w:tcPr>
            <w:tcW w:w="4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100</w:t>
            </w:r>
          </w:p>
        </w:tc>
      </w:tr>
      <w:tr>
        <w:trPr>
          <w:trHeight w:val="161"/>
        </w:trPr>
        <w:tc>
          <w:tcPr>
            <w:tcW w:w="3760" w:type="dxa"/>
            <w:vAlign w:val="bottom"/>
            <w:tcBorders>
              <w:bottom w:val="single" w:sz="8" w:color="CCEEFF"/>
            </w:tcBorders>
          </w:tcPr>
          <w:p>
            <w:pPr>
              <w:ind w:left="500"/>
              <w:spacing w:after="0"/>
              <w:rPr>
                <w:sz w:val="20"/>
                <w:szCs w:val="20"/>
                <w:color w:val="auto"/>
              </w:rPr>
            </w:pPr>
            <w:r>
              <w:rPr>
                <w:rFonts w:ascii="Arial" w:cs="Arial" w:eastAsia="Arial" w:hAnsi="Arial"/>
                <w:sz w:val="12"/>
                <w:szCs w:val="12"/>
                <w:color w:val="auto"/>
              </w:rPr>
              <w:t>Cost of revenue</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51</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48</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50</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48</w:t>
            </w:r>
          </w:p>
        </w:tc>
      </w:tr>
      <w:tr>
        <w:trPr>
          <w:trHeight w:val="156"/>
        </w:trPr>
        <w:tc>
          <w:tcPr>
            <w:tcW w:w="3760" w:type="dxa"/>
            <w:vAlign w:val="bottom"/>
            <w:shd w:val="clear" w:color="auto" w:fill="CCEEFF"/>
          </w:tcPr>
          <w:p>
            <w:pPr>
              <w:ind w:left="640"/>
              <w:spacing w:after="0"/>
              <w:rPr>
                <w:sz w:val="20"/>
                <w:szCs w:val="20"/>
                <w:color w:val="auto"/>
              </w:rPr>
            </w:pPr>
            <w:r>
              <w:rPr>
                <w:rFonts w:ascii="Arial" w:cs="Arial" w:eastAsia="Arial" w:hAnsi="Arial"/>
                <w:sz w:val="12"/>
                <w:szCs w:val="12"/>
                <w:color w:val="auto"/>
              </w:rPr>
              <w:t>Gross profit</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49</w:t>
            </w:r>
          </w:p>
        </w:tc>
        <w:tc>
          <w:tcPr>
            <w:tcW w:w="4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52</w:t>
            </w:r>
          </w:p>
        </w:tc>
        <w:tc>
          <w:tcPr>
            <w:tcW w:w="3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50</w:t>
            </w:r>
          </w:p>
        </w:tc>
        <w:tc>
          <w:tcPr>
            <w:tcW w:w="4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52</w:t>
            </w:r>
          </w:p>
        </w:tc>
      </w:tr>
      <w:tr>
        <w:trPr>
          <w:trHeight w:val="141"/>
        </w:trPr>
        <w:tc>
          <w:tcPr>
            <w:tcW w:w="3760" w:type="dxa"/>
            <w:vAlign w:val="bottom"/>
          </w:tcPr>
          <w:p>
            <w:pPr>
              <w:ind w:left="500"/>
              <w:spacing w:after="0"/>
              <w:rPr>
                <w:sz w:val="20"/>
                <w:szCs w:val="20"/>
                <w:color w:val="auto"/>
              </w:rPr>
            </w:pPr>
            <w:r>
              <w:rPr>
                <w:rFonts w:ascii="Arial" w:cs="Arial" w:eastAsia="Arial" w:hAnsi="Arial"/>
                <w:sz w:val="12"/>
                <w:szCs w:val="12"/>
                <w:color w:val="auto"/>
              </w:rPr>
              <w:t>Operating expenses:</w:t>
            </w: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6"/>
        </w:trPr>
        <w:tc>
          <w:tcPr>
            <w:tcW w:w="3760" w:type="dxa"/>
            <w:vAlign w:val="bottom"/>
            <w:shd w:val="clear" w:color="auto" w:fill="CCEEFF"/>
          </w:tcPr>
          <w:p>
            <w:pPr>
              <w:ind w:left="640"/>
              <w:spacing w:after="0"/>
              <w:rPr>
                <w:sz w:val="20"/>
                <w:szCs w:val="20"/>
                <w:color w:val="auto"/>
              </w:rPr>
            </w:pPr>
            <w:r>
              <w:rPr>
                <w:rFonts w:ascii="Arial" w:cs="Arial" w:eastAsia="Arial" w:hAnsi="Arial"/>
                <w:sz w:val="12"/>
                <w:szCs w:val="12"/>
                <w:color w:val="auto"/>
              </w:rPr>
              <w:t>Research and development</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28</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31</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28</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31</w:t>
            </w:r>
          </w:p>
        </w:tc>
      </w:tr>
      <w:tr>
        <w:trPr>
          <w:trHeight w:val="161"/>
        </w:trPr>
        <w:tc>
          <w:tcPr>
            <w:tcW w:w="3760" w:type="dxa"/>
            <w:vAlign w:val="bottom"/>
          </w:tcPr>
          <w:p>
            <w:pPr>
              <w:ind w:left="640"/>
              <w:spacing w:after="0"/>
              <w:rPr>
                <w:sz w:val="20"/>
                <w:szCs w:val="20"/>
                <w:color w:val="auto"/>
              </w:rPr>
            </w:pPr>
            <w:r>
              <w:rPr>
                <w:rFonts w:ascii="Arial" w:cs="Arial" w:eastAsia="Arial" w:hAnsi="Arial"/>
                <w:sz w:val="12"/>
                <w:szCs w:val="12"/>
                <w:color w:val="auto"/>
              </w:rPr>
              <w:t>Sales and marketing</w:t>
            </w:r>
          </w:p>
        </w:tc>
        <w:tc>
          <w:tcPr>
            <w:tcW w:w="1380" w:type="dxa"/>
            <w:vAlign w:val="bottom"/>
          </w:tcPr>
          <w:p>
            <w:pPr>
              <w:jc w:val="right"/>
              <w:ind w:right="179"/>
              <w:spacing w:after="0"/>
              <w:rPr>
                <w:sz w:val="20"/>
                <w:szCs w:val="20"/>
                <w:color w:val="auto"/>
              </w:rPr>
            </w:pPr>
            <w:r>
              <w:rPr>
                <w:rFonts w:ascii="Arial" w:cs="Arial" w:eastAsia="Arial" w:hAnsi="Arial"/>
                <w:sz w:val="12"/>
                <w:szCs w:val="12"/>
                <w:color w:val="auto"/>
              </w:rPr>
              <w:t>36</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jc w:val="right"/>
              <w:ind w:right="259"/>
              <w:spacing w:after="0"/>
              <w:rPr>
                <w:sz w:val="20"/>
                <w:szCs w:val="20"/>
                <w:color w:val="auto"/>
              </w:rPr>
            </w:pPr>
            <w:r>
              <w:rPr>
                <w:rFonts w:ascii="Arial" w:cs="Arial" w:eastAsia="Arial" w:hAnsi="Arial"/>
                <w:sz w:val="12"/>
                <w:szCs w:val="12"/>
                <w:color w:val="auto"/>
              </w:rPr>
              <w:t>31</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ind w:right="179"/>
              <w:spacing w:after="0"/>
              <w:rPr>
                <w:sz w:val="20"/>
                <w:szCs w:val="20"/>
                <w:color w:val="auto"/>
              </w:rPr>
            </w:pPr>
            <w:r>
              <w:rPr>
                <w:rFonts w:ascii="Arial" w:cs="Arial" w:eastAsia="Arial" w:hAnsi="Arial"/>
                <w:sz w:val="12"/>
                <w:szCs w:val="12"/>
                <w:color w:val="auto"/>
              </w:rPr>
              <w:t>36</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jc w:val="right"/>
              <w:ind w:right="199"/>
              <w:spacing w:after="0"/>
              <w:rPr>
                <w:sz w:val="20"/>
                <w:szCs w:val="20"/>
                <w:color w:val="auto"/>
              </w:rPr>
            </w:pPr>
            <w:r>
              <w:rPr>
                <w:rFonts w:ascii="Arial" w:cs="Arial" w:eastAsia="Arial" w:hAnsi="Arial"/>
                <w:sz w:val="12"/>
                <w:szCs w:val="12"/>
                <w:color w:val="auto"/>
              </w:rPr>
              <w:t>32</w:t>
            </w:r>
          </w:p>
        </w:tc>
      </w:tr>
      <w:tr>
        <w:trPr>
          <w:trHeight w:val="166"/>
        </w:trPr>
        <w:tc>
          <w:tcPr>
            <w:tcW w:w="3760" w:type="dxa"/>
            <w:vAlign w:val="bottom"/>
            <w:shd w:val="clear" w:color="auto" w:fill="CCEEFF"/>
          </w:tcPr>
          <w:p>
            <w:pPr>
              <w:ind w:left="640"/>
              <w:spacing w:after="0"/>
              <w:rPr>
                <w:sz w:val="20"/>
                <w:szCs w:val="20"/>
                <w:color w:val="auto"/>
              </w:rPr>
            </w:pPr>
            <w:r>
              <w:rPr>
                <w:rFonts w:ascii="Arial" w:cs="Arial" w:eastAsia="Arial" w:hAnsi="Arial"/>
                <w:sz w:val="12"/>
                <w:szCs w:val="12"/>
                <w:color w:val="auto"/>
              </w:rPr>
              <w:t>General and administrative</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17</w:t>
            </w:r>
          </w:p>
        </w:tc>
        <w:tc>
          <w:tcPr>
            <w:tcW w:w="4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15</w:t>
            </w:r>
          </w:p>
        </w:tc>
        <w:tc>
          <w:tcPr>
            <w:tcW w:w="3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17</w:t>
            </w:r>
          </w:p>
        </w:tc>
        <w:tc>
          <w:tcPr>
            <w:tcW w:w="4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15</w:t>
            </w:r>
          </w:p>
        </w:tc>
      </w:tr>
      <w:tr>
        <w:trPr>
          <w:trHeight w:val="151"/>
        </w:trPr>
        <w:tc>
          <w:tcPr>
            <w:tcW w:w="3760" w:type="dxa"/>
            <w:vAlign w:val="bottom"/>
            <w:tcBorders>
              <w:bottom w:val="single" w:sz="8" w:color="CCEEFF"/>
            </w:tcBorders>
          </w:tcPr>
          <w:p>
            <w:pPr>
              <w:ind w:left="840"/>
              <w:spacing w:after="0"/>
              <w:rPr>
                <w:sz w:val="20"/>
                <w:szCs w:val="20"/>
                <w:color w:val="auto"/>
              </w:rPr>
            </w:pPr>
            <w:r>
              <w:rPr>
                <w:rFonts w:ascii="Arial" w:cs="Arial" w:eastAsia="Arial" w:hAnsi="Arial"/>
                <w:sz w:val="12"/>
                <w:szCs w:val="12"/>
                <w:color w:val="auto"/>
              </w:rPr>
              <w:t>Total operating expenses</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81</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77</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81</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78</w:t>
            </w:r>
          </w:p>
        </w:tc>
      </w:tr>
      <w:tr>
        <w:trPr>
          <w:trHeight w:val="156"/>
        </w:trPr>
        <w:tc>
          <w:tcPr>
            <w:tcW w:w="3760" w:type="dxa"/>
            <w:vAlign w:val="bottom"/>
            <w:shd w:val="clear" w:color="auto" w:fill="CCEEFF"/>
          </w:tcPr>
          <w:p>
            <w:pPr>
              <w:ind w:left="740"/>
              <w:spacing w:after="0"/>
              <w:rPr>
                <w:sz w:val="20"/>
                <w:szCs w:val="20"/>
                <w:color w:val="auto"/>
              </w:rPr>
            </w:pPr>
            <w:r>
              <w:rPr>
                <w:rFonts w:ascii="Arial" w:cs="Arial" w:eastAsia="Arial" w:hAnsi="Arial"/>
                <w:sz w:val="12"/>
                <w:szCs w:val="12"/>
                <w:color w:val="auto"/>
              </w:rPr>
              <w:t>Loss from operations</w:t>
            </w:r>
          </w:p>
        </w:tc>
        <w:tc>
          <w:tcPr>
            <w:tcW w:w="138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(31)</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(25)</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(32)</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(25)</w:t>
            </w:r>
          </w:p>
        </w:tc>
      </w:tr>
      <w:tr>
        <w:trPr>
          <w:trHeight w:val="161"/>
        </w:trPr>
        <w:tc>
          <w:tcPr>
            <w:tcW w:w="3760" w:type="dxa"/>
            <w:vAlign w:val="bottom"/>
            <w:tcBorders>
              <w:bottom w:val="single" w:sz="8" w:color="CCEEFF"/>
            </w:tcBorders>
          </w:tcPr>
          <w:p>
            <w:pPr>
              <w:ind w:left="500"/>
              <w:spacing w:after="0"/>
              <w:rPr>
                <w:sz w:val="20"/>
                <w:szCs w:val="20"/>
                <w:color w:val="auto"/>
              </w:rPr>
            </w:pPr>
            <w:r>
              <w:rPr>
                <w:rFonts w:ascii="Arial" w:cs="Arial" w:eastAsia="Arial" w:hAnsi="Arial"/>
                <w:sz w:val="12"/>
                <w:szCs w:val="12"/>
                <w:color w:val="auto"/>
              </w:rPr>
              <w:t>Other expenses, net</w:t>
            </w:r>
          </w:p>
        </w:tc>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(1)</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auto"/>
              </w:rPr>
              <w:t>(1)</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(2)</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r>
      <w:tr>
        <w:trPr>
          <w:trHeight w:val="156"/>
        </w:trPr>
        <w:tc>
          <w:tcPr>
            <w:tcW w:w="3760" w:type="dxa"/>
            <w:vAlign w:val="bottom"/>
            <w:shd w:val="clear" w:color="auto" w:fill="CCEEFF"/>
          </w:tcPr>
          <w:p>
            <w:pPr>
              <w:ind w:left="740"/>
              <w:spacing w:after="0"/>
              <w:rPr>
                <w:sz w:val="20"/>
                <w:szCs w:val="20"/>
                <w:color w:val="auto"/>
              </w:rPr>
            </w:pPr>
            <w:r>
              <w:rPr>
                <w:rFonts w:ascii="Arial" w:cs="Arial" w:eastAsia="Arial" w:hAnsi="Arial"/>
                <w:sz w:val="12"/>
                <w:szCs w:val="12"/>
                <w:color w:val="auto"/>
              </w:rPr>
              <w:t>Loss before benefit (provision) for income taxes</w:t>
            </w:r>
          </w:p>
        </w:tc>
        <w:tc>
          <w:tcPr>
            <w:tcW w:w="138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(32)</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(26)</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(34)</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(26)</w:t>
            </w:r>
          </w:p>
        </w:tc>
      </w:tr>
      <w:tr>
        <w:trPr>
          <w:trHeight w:val="161"/>
        </w:trPr>
        <w:tc>
          <w:tcPr>
            <w:tcW w:w="3760" w:type="dxa"/>
            <w:vAlign w:val="bottom"/>
            <w:tcBorders>
              <w:bottom w:val="single" w:sz="8" w:color="CCEEFF"/>
            </w:tcBorders>
          </w:tcPr>
          <w:p>
            <w:pPr>
              <w:ind w:left="500"/>
              <w:spacing w:after="0"/>
              <w:rPr>
                <w:sz w:val="20"/>
                <w:szCs w:val="20"/>
                <w:color w:val="auto"/>
              </w:rPr>
            </w:pPr>
            <w:r>
              <w:rPr>
                <w:rFonts w:ascii="Arial" w:cs="Arial" w:eastAsia="Arial" w:hAnsi="Arial"/>
                <w:sz w:val="12"/>
                <w:szCs w:val="12"/>
                <w:color w:val="auto"/>
              </w:rPr>
              <w:t>Benefit (provision) for income taxes</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2</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1</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r>
      <w:tr>
        <w:trPr>
          <w:trHeight w:val="181"/>
        </w:trPr>
        <w:tc>
          <w:tcPr>
            <w:tcW w:w="37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2"/>
                <w:szCs w:val="12"/>
                <w:color w:val="auto"/>
              </w:rPr>
              <w:t>Net loss attributable to common stockholders</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(30</w:t>
            </w:r>
          </w:p>
        </w:tc>
        <w:tc>
          <w:tcPr>
            <w:tcW w:w="4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2"/>
                <w:szCs w:val="12"/>
                <w:color w:val="auto"/>
                <w:w w:val="95"/>
              </w:rPr>
              <w:t>%)</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(26</w:t>
            </w:r>
          </w:p>
        </w:tc>
        <w:tc>
          <w:tcPr>
            <w:tcW w:w="3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w w:val="95"/>
              </w:rPr>
              <w:t>%)</w:t>
            </w:r>
          </w:p>
        </w:tc>
        <w:tc>
          <w:tcPr>
            <w:tcW w:w="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(33</w:t>
            </w:r>
          </w:p>
        </w:tc>
        <w:tc>
          <w:tcPr>
            <w:tcW w:w="4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2"/>
                <w:szCs w:val="12"/>
                <w:color w:val="auto"/>
                <w:w w:val="95"/>
              </w:rPr>
              <w:t>%)</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(26</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____________________________________</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2"/>
          <w:szCs w:val="12"/>
          <w:color w:val="auto"/>
        </w:rPr>
        <w:t>* Less than 0.5% of revenue.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 Columns may not add up to 100% due to rounding.</w:t>
      </w:r>
    </w:p>
    <w:p>
      <w:pPr>
        <w:spacing w:after="0" w:line="15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Comparison of the Three Months Ended September 30, 2021 and 2020</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Revenue</w:t>
      </w:r>
    </w:p>
    <w:p>
      <w:pPr>
        <w:spacing w:after="0" w:line="256"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Three Months Ended</w:t>
      </w:r>
    </w:p>
    <w:tbl>
      <w:tblPr>
        <w:tblLayout w:type="fixed"/>
        <w:tblInd w:w="900" w:type="dxa"/>
        <w:tblCellMar>
          <w:top w:w="0" w:type="dxa"/>
          <w:left w:w="0" w:type="dxa"/>
          <w:bottom w:w="0" w:type="dxa"/>
          <w:right w:w="0" w:type="dxa"/>
        </w:tblCellMar>
      </w:tblPr>
      <w:tr>
        <w:trPr>
          <w:trHeight w:val="150"/>
        </w:trPr>
        <w:tc>
          <w:tcPr>
            <w:tcW w:w="34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September 30,</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51"/>
        </w:trPr>
        <w:tc>
          <w:tcPr>
            <w:tcW w:w="34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919"/>
              <w:spacing w:after="0"/>
              <w:rPr>
                <w:sz w:val="20"/>
                <w:szCs w:val="20"/>
                <w:color w:val="auto"/>
              </w:rPr>
            </w:pPr>
            <w:r>
              <w:rPr>
                <w:rFonts w:ascii="Arial" w:cs="Arial" w:eastAsia="Arial" w:hAnsi="Arial"/>
                <w:sz w:val="12"/>
                <w:szCs w:val="12"/>
                <w:b w:val="1"/>
                <w:bCs w:val="1"/>
                <w:color w:val="auto"/>
              </w:rPr>
              <w:t>2021</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2020</w:t>
            </w:r>
          </w:p>
        </w:tc>
        <w:tc>
          <w:tcPr>
            <w:tcW w:w="9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Change</w:t>
            </w:r>
          </w:p>
        </w:tc>
        <w:tc>
          <w:tcPr>
            <w:tcW w:w="5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r>
      <w:tr>
        <w:trPr>
          <w:trHeight w:val="153"/>
        </w:trPr>
        <w:tc>
          <w:tcPr>
            <w:tcW w:w="3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00" w:type="dxa"/>
            <w:vAlign w:val="bottom"/>
            <w:gridSpan w:val="2"/>
          </w:tcPr>
          <w:p>
            <w:pPr>
              <w:jc w:val="right"/>
              <w:ind w:right="299"/>
              <w:spacing w:after="0"/>
              <w:rPr>
                <w:sz w:val="20"/>
                <w:szCs w:val="20"/>
                <w:color w:val="auto"/>
              </w:rPr>
            </w:pPr>
            <w:r>
              <w:rPr>
                <w:rFonts w:ascii="Arial" w:cs="Arial" w:eastAsia="Arial" w:hAnsi="Arial"/>
                <w:sz w:val="12"/>
                <w:szCs w:val="12"/>
                <w:color w:val="auto"/>
              </w:rPr>
              <w:t>(Dollars in thousands)</w:t>
            </w: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66"/>
        </w:trPr>
        <w:tc>
          <w:tcPr>
            <w:tcW w:w="3420" w:type="dxa"/>
            <w:vAlign w:val="bottom"/>
            <w:shd w:val="clear" w:color="auto" w:fill="CCEEFF"/>
          </w:tcPr>
          <w:p>
            <w:pPr>
              <w:ind w:left="500"/>
              <w:spacing w:after="0"/>
              <w:rPr>
                <w:sz w:val="20"/>
                <w:szCs w:val="20"/>
                <w:color w:val="auto"/>
              </w:rPr>
            </w:pPr>
            <w:r>
              <w:rPr>
                <w:rFonts w:ascii="Arial" w:cs="Arial" w:eastAsia="Arial" w:hAnsi="Arial"/>
                <w:sz w:val="12"/>
                <w:szCs w:val="12"/>
                <w:color w:val="auto"/>
              </w:rPr>
              <w:t>Total Revenue</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rPr>
              <w:t>740,176</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447,969</w:t>
            </w:r>
          </w:p>
        </w:tc>
        <w:tc>
          <w:tcPr>
            <w:tcW w:w="98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292,207</w:t>
            </w:r>
          </w:p>
        </w:tc>
        <w:tc>
          <w:tcPr>
            <w:tcW w:w="5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65</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224" w:lineRule="exact"/>
        <w:rPr>
          <w:sz w:val="20"/>
          <w:szCs w:val="20"/>
          <w:color w:val="auto"/>
        </w:rPr>
      </w:pPr>
    </w:p>
    <w:p>
      <w:pPr>
        <w:ind w:right="160" w:firstLine="367"/>
        <w:spacing w:after="0" w:line="166" w:lineRule="exact"/>
        <w:rPr>
          <w:sz w:val="20"/>
          <w:szCs w:val="20"/>
          <w:color w:val="auto"/>
        </w:rPr>
      </w:pPr>
      <w:r>
        <w:rPr>
          <w:rFonts w:ascii="Arial" w:cs="Arial" w:eastAsia="Arial" w:hAnsi="Arial"/>
          <w:sz w:val="14"/>
          <w:szCs w:val="14"/>
          <w:color w:val="auto"/>
        </w:rPr>
        <w:t>In the three months ended September 30, 2021, total revenue increased by $292.2 million, or 65%, compared to the same period last year. This increase was primarily attributable to an increase in the usage of our products, particularly our Programmable Messaging products and Programmable Voice products, the adoption of additional products by our existing customers, the additional A2P fees imposed by certain carriers and revenue contribution from the acquisitions of the Twilio Segment business, ValueFirst business and Zipwhip business. The change in usage was reflected in our Dollar</w:t>
      </w:r>
      <w:r>
        <w:rPr>
          <w:rFonts w:ascii="MS PGothic" w:cs="MS PGothic" w:eastAsia="MS PGothic" w:hAnsi="MS PGothic"/>
          <w:sz w:val="14"/>
          <w:szCs w:val="14"/>
          <w:color w:val="auto"/>
        </w:rPr>
        <w:t>‑</w:t>
      </w:r>
      <w:r>
        <w:rPr>
          <w:rFonts w:ascii="Arial" w:cs="Arial" w:eastAsia="Arial" w:hAnsi="Arial"/>
          <w:sz w:val="14"/>
          <w:szCs w:val="14"/>
          <w:color w:val="auto"/>
        </w:rPr>
        <w:t>Based Net Expansion Rate of 131% for the three months ended September 30, 2021. The increase in usage was also attributable to a 20% increase in the number of Active Customer Accounts, from over 208,000 as of September 30, 2020, to over 250,000 as of September 30, 2021.</w:t>
      </w:r>
    </w:p>
    <w:p>
      <w:pPr>
        <w:spacing w:after="0" w:line="154" w:lineRule="exact"/>
        <w:rPr>
          <w:sz w:val="20"/>
          <w:szCs w:val="20"/>
          <w:color w:val="auto"/>
        </w:rPr>
      </w:pPr>
    </w:p>
    <w:p>
      <w:pPr>
        <w:ind w:right="320" w:firstLine="367"/>
        <w:spacing w:after="0" w:line="247" w:lineRule="auto"/>
        <w:rPr>
          <w:sz w:val="20"/>
          <w:szCs w:val="20"/>
          <w:color w:val="auto"/>
        </w:rPr>
      </w:pPr>
      <w:r>
        <w:rPr>
          <w:rFonts w:ascii="Arial" w:cs="Arial" w:eastAsia="Arial" w:hAnsi="Arial"/>
          <w:sz w:val="14"/>
          <w:szCs w:val="14"/>
          <w:color w:val="auto"/>
        </w:rPr>
        <w:t>In the three months ended September 30, 2021, U.S. revenue and international revenue represented $498.0 million or 67%, and $242.2 million, or 33%, respectively, of total revenue. In the three months ended September 30, 2020, U.S. revenue and international revenue represented $328.1 million, or 73%, and $119.9 million, or 27%, respectively, of total revenue. The increase in international revenue was attributable to the growth in usage of our products, particularly our Programmable Messaging products and Programmable Voice products, by our existing international Active Customer Accounts; a 19% increase in the number of international Active Customer Accounts driven in part by our focus on expanding our sales to customers outside of the United States; and revenue contribution from our recent acquisitions.</w:t>
      </w:r>
    </w:p>
    <w:p>
      <w:pPr>
        <w:spacing w:after="0" w:line="222"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Cost of Revenue and Gross Margin</w:t>
      </w:r>
    </w:p>
    <w:p>
      <w:pPr>
        <w:spacing w:after="0" w:line="266" w:lineRule="exact"/>
        <w:rPr>
          <w:sz w:val="20"/>
          <w:szCs w:val="20"/>
          <w:color w:val="auto"/>
        </w:rPr>
      </w:pPr>
    </w:p>
    <w:p>
      <w:pPr>
        <w:jc w:val="center"/>
        <w:ind w:left="380"/>
        <w:spacing w:after="0"/>
        <w:rPr>
          <w:sz w:val="20"/>
          <w:szCs w:val="20"/>
          <w:color w:val="auto"/>
        </w:rPr>
      </w:pPr>
      <w:r>
        <w:rPr>
          <w:rFonts w:ascii="Arial" w:cs="Arial" w:eastAsia="Arial" w:hAnsi="Arial"/>
          <w:sz w:val="12"/>
          <w:szCs w:val="12"/>
          <w:b w:val="1"/>
          <w:bCs w:val="1"/>
          <w:color w:val="auto"/>
        </w:rPr>
        <w:t>Three Months Ended</w:t>
      </w:r>
    </w:p>
    <w:tbl>
      <w:tblPr>
        <w:tblLayout w:type="fixed"/>
        <w:tblInd w:w="860" w:type="dxa"/>
        <w:tblCellMar>
          <w:top w:w="0" w:type="dxa"/>
          <w:left w:w="0" w:type="dxa"/>
          <w:bottom w:w="0" w:type="dxa"/>
          <w:right w:w="0" w:type="dxa"/>
        </w:tblCellMar>
      </w:tblPr>
      <w:tr>
        <w:trPr>
          <w:trHeight w:val="150"/>
        </w:trPr>
        <w:tc>
          <w:tcPr>
            <w:tcW w:w="24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September 30,</w:t>
            </w: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51"/>
        </w:trPr>
        <w:tc>
          <w:tcPr>
            <w:tcW w:w="24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b w:val="1"/>
                <w:bCs w:val="1"/>
                <w:color w:val="auto"/>
              </w:rPr>
              <w:t>2021</w:t>
            </w:r>
          </w:p>
        </w:tc>
        <w:tc>
          <w:tcPr>
            <w:tcW w:w="1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b w:val="1"/>
                <w:bCs w:val="1"/>
                <w:color w:val="auto"/>
              </w:rPr>
              <w:t>2020</w:t>
            </w: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Change</w:t>
            </w:r>
          </w:p>
        </w:tc>
        <w:tc>
          <w:tcPr>
            <w:tcW w:w="5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r>
      <w:tr>
        <w:trPr>
          <w:trHeight w:val="153"/>
        </w:trPr>
        <w:tc>
          <w:tcPr>
            <w:tcW w:w="2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80" w:type="dxa"/>
            <w:vAlign w:val="bottom"/>
            <w:gridSpan w:val="3"/>
          </w:tcPr>
          <w:p>
            <w:pPr>
              <w:jc w:val="right"/>
              <w:ind w:right="880"/>
              <w:spacing w:after="0"/>
              <w:rPr>
                <w:sz w:val="20"/>
                <w:szCs w:val="20"/>
                <w:color w:val="auto"/>
              </w:rPr>
            </w:pPr>
            <w:r>
              <w:rPr>
                <w:rFonts w:ascii="Arial" w:cs="Arial" w:eastAsia="Arial" w:hAnsi="Arial"/>
                <w:sz w:val="12"/>
                <w:szCs w:val="12"/>
                <w:color w:val="auto"/>
              </w:rPr>
              <w:t>(Dollars in thousands)</w:t>
            </w: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66"/>
        </w:trPr>
        <w:tc>
          <w:tcPr>
            <w:tcW w:w="2480" w:type="dxa"/>
            <w:vAlign w:val="bottom"/>
            <w:shd w:val="clear" w:color="auto" w:fill="CCEEFF"/>
          </w:tcPr>
          <w:p>
            <w:pPr>
              <w:ind w:left="520"/>
              <w:spacing w:after="0"/>
              <w:rPr>
                <w:sz w:val="20"/>
                <w:szCs w:val="20"/>
                <w:color w:val="auto"/>
              </w:rPr>
            </w:pPr>
            <w:r>
              <w:rPr>
                <w:rFonts w:ascii="Arial" w:cs="Arial" w:eastAsia="Arial" w:hAnsi="Arial"/>
                <w:sz w:val="12"/>
                <w:szCs w:val="12"/>
                <w:color w:val="auto"/>
              </w:rPr>
              <w:t>Cost of revenue</w:t>
            </w:r>
          </w:p>
        </w:tc>
        <w:tc>
          <w:tcPr>
            <w:tcW w:w="88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375,561</w:t>
            </w: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217,095</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158,466</w:t>
            </w:r>
          </w:p>
        </w:tc>
        <w:tc>
          <w:tcPr>
            <w:tcW w:w="54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73</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2480" w:type="dxa"/>
            <w:vAlign w:val="bottom"/>
          </w:tcPr>
          <w:p>
            <w:pPr>
              <w:ind w:left="520"/>
              <w:spacing w:after="0"/>
              <w:rPr>
                <w:sz w:val="20"/>
                <w:szCs w:val="20"/>
                <w:color w:val="auto"/>
              </w:rPr>
            </w:pPr>
            <w:r>
              <w:rPr>
                <w:rFonts w:ascii="Arial" w:cs="Arial" w:eastAsia="Arial" w:hAnsi="Arial"/>
                <w:sz w:val="12"/>
                <w:szCs w:val="12"/>
                <w:color w:val="auto"/>
              </w:rPr>
              <w:t>Gross margin</w:t>
            </w:r>
          </w:p>
        </w:tc>
        <w:tc>
          <w:tcPr>
            <w:tcW w:w="880" w:type="dxa"/>
            <w:vAlign w:val="bottom"/>
          </w:tcPr>
          <w:p>
            <w:pPr>
              <w:spacing w:after="0"/>
              <w:rPr>
                <w:sz w:val="13"/>
                <w:szCs w:val="13"/>
                <w:color w:val="auto"/>
              </w:rPr>
            </w:pPr>
          </w:p>
        </w:tc>
        <w:tc>
          <w:tcPr>
            <w:tcW w:w="860" w:type="dxa"/>
            <w:vAlign w:val="bottom"/>
          </w:tcPr>
          <w:p>
            <w:pPr>
              <w:jc w:val="right"/>
              <w:ind w:right="99"/>
              <w:spacing w:after="0"/>
              <w:rPr>
                <w:sz w:val="20"/>
                <w:szCs w:val="20"/>
                <w:color w:val="auto"/>
              </w:rPr>
            </w:pPr>
            <w:r>
              <w:rPr>
                <w:rFonts w:ascii="Arial" w:cs="Arial" w:eastAsia="Arial" w:hAnsi="Arial"/>
                <w:sz w:val="12"/>
                <w:szCs w:val="12"/>
                <w:color w:val="auto"/>
              </w:rPr>
              <w:t>49</w:t>
            </w:r>
          </w:p>
        </w:tc>
        <w:tc>
          <w:tcPr>
            <w:tcW w:w="1440" w:type="dxa"/>
            <w:vAlign w:val="bottom"/>
          </w:tcPr>
          <w:p>
            <w:pPr>
              <w:jc w:val="right"/>
              <w:ind w:right="919"/>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99"/>
              <w:spacing w:after="0"/>
              <w:rPr>
                <w:sz w:val="20"/>
                <w:szCs w:val="20"/>
                <w:color w:val="auto"/>
              </w:rPr>
            </w:pPr>
            <w:r>
              <w:rPr>
                <w:rFonts w:ascii="Arial" w:cs="Arial" w:eastAsia="Arial" w:hAnsi="Arial"/>
                <w:sz w:val="12"/>
                <w:szCs w:val="12"/>
                <w:color w:val="auto"/>
              </w:rPr>
              <w:t>52</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bl>
    <w:p>
      <w:pPr>
        <w:spacing w:after="0" w:line="219" w:lineRule="exact"/>
        <w:rPr>
          <w:sz w:val="20"/>
          <w:szCs w:val="20"/>
          <w:color w:val="auto"/>
        </w:rPr>
      </w:pPr>
    </w:p>
    <w:p>
      <w:pPr>
        <w:ind w:firstLine="367"/>
        <w:spacing w:after="0" w:line="252" w:lineRule="auto"/>
        <w:rPr>
          <w:sz w:val="20"/>
          <w:szCs w:val="20"/>
          <w:color w:val="auto"/>
        </w:rPr>
      </w:pPr>
      <w:r>
        <w:rPr>
          <w:rFonts w:ascii="Arial" w:cs="Arial" w:eastAsia="Arial" w:hAnsi="Arial"/>
          <w:sz w:val="14"/>
          <w:szCs w:val="14"/>
          <w:color w:val="auto"/>
        </w:rPr>
        <w:t>In the three months ended September 30, 2021, cost of revenue increased by $158.5 million, or 73%, compared to the same period last year. The increase in cost of revenue was primarily attributable to a $130.6 million increase in network service providers’ costs and a $19.0 million increase in the amortization expense of intangible assets that we acquired through business combinations. In addition, the three month ended September 30, 2021, included cost of revenue from our recent acquisitions.</w:t>
      </w:r>
    </w:p>
    <w:p>
      <w:pPr>
        <w:spacing w:after="0" w:line="146" w:lineRule="exact"/>
        <w:rPr>
          <w:sz w:val="20"/>
          <w:szCs w:val="20"/>
          <w:color w:val="auto"/>
        </w:rPr>
      </w:pPr>
    </w:p>
    <w:p>
      <w:pPr>
        <w:ind w:right="280" w:firstLine="367"/>
        <w:spacing w:after="0" w:line="249" w:lineRule="auto"/>
        <w:rPr>
          <w:sz w:val="20"/>
          <w:szCs w:val="20"/>
          <w:color w:val="auto"/>
        </w:rPr>
      </w:pPr>
      <w:r>
        <w:rPr>
          <w:rFonts w:ascii="Arial" w:cs="Arial" w:eastAsia="Arial" w:hAnsi="Arial"/>
          <w:sz w:val="14"/>
          <w:szCs w:val="14"/>
          <w:color w:val="auto"/>
        </w:rPr>
        <w:t>In the three months ended September 30, 2021, gross margin percentage declined compared to the same period last year. This decline was primarily driven by a re-acceleration in growth of our messaging business, an increase in amortization expense related to acquired intangible assets, the additional A2P fees imposed by certain carriers, the impact of an increasing mix of international product usage and an increase in network service provider fees in certain geographies. These declines were partially offset by the impact of the acquisition of the Twilio Segment business and certain operational improvements.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66"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Three Months Ended</w:t>
      </w:r>
    </w:p>
    <w:tbl>
      <w:tblPr>
        <w:tblLayout w:type="fixed"/>
        <w:tblInd w:w="860" w:type="dxa"/>
        <w:tblCellMar>
          <w:top w:w="0" w:type="dxa"/>
          <w:left w:w="0" w:type="dxa"/>
          <w:bottom w:w="0" w:type="dxa"/>
          <w:right w:w="0" w:type="dxa"/>
        </w:tblCellMar>
      </w:tblPr>
      <w:tr>
        <w:trPr>
          <w:trHeight w:val="150"/>
        </w:trPr>
        <w:tc>
          <w:tcPr>
            <w:tcW w:w="346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w w:val="97"/>
              </w:rPr>
              <w:t>September 30,</w:t>
            </w: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51"/>
        </w:trPr>
        <w:tc>
          <w:tcPr>
            <w:tcW w:w="3460" w:type="dxa"/>
            <w:vAlign w:val="bottom"/>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ind w:left="680"/>
              <w:spacing w:after="0"/>
              <w:rPr>
                <w:sz w:val="20"/>
                <w:szCs w:val="20"/>
                <w:color w:val="auto"/>
              </w:rPr>
            </w:pPr>
            <w:r>
              <w:rPr>
                <w:rFonts w:ascii="Arial" w:cs="Arial" w:eastAsia="Arial" w:hAnsi="Arial"/>
                <w:sz w:val="12"/>
                <w:szCs w:val="12"/>
                <w:b w:val="1"/>
                <w:bCs w:val="1"/>
                <w:color w:val="auto"/>
              </w:rPr>
              <w:t>Change</w:t>
            </w:r>
          </w:p>
        </w:tc>
        <w:tc>
          <w:tcPr>
            <w:tcW w:w="5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r>
      <w:tr>
        <w:trPr>
          <w:trHeight w:val="153"/>
        </w:trPr>
        <w:tc>
          <w:tcPr>
            <w:tcW w:w="3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3"/>
          </w:tcPr>
          <w:p>
            <w:pPr>
              <w:jc w:val="right"/>
              <w:ind w:right="299"/>
              <w:spacing w:after="0"/>
              <w:rPr>
                <w:sz w:val="20"/>
                <w:szCs w:val="20"/>
                <w:color w:val="auto"/>
              </w:rPr>
            </w:pPr>
            <w:r>
              <w:rPr>
                <w:rFonts w:ascii="Arial" w:cs="Arial" w:eastAsia="Arial" w:hAnsi="Arial"/>
                <w:sz w:val="12"/>
                <w:szCs w:val="12"/>
                <w:color w:val="auto"/>
              </w:rPr>
              <w:t>(Dollars in thousands)</w:t>
            </w: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66"/>
        </w:trPr>
        <w:tc>
          <w:tcPr>
            <w:tcW w:w="34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Research and development</w:t>
            </w:r>
          </w:p>
        </w:tc>
        <w:tc>
          <w:tcPr>
            <w:tcW w:w="1220" w:type="dxa"/>
            <w:vAlign w:val="bottom"/>
            <w:shd w:val="clear" w:color="auto" w:fill="CCEEFF"/>
          </w:tcPr>
          <w:p>
            <w:pPr>
              <w:jc w:val="right"/>
              <w:ind w:right="599"/>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209,890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136,652</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73,238</w:t>
            </w: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54</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3460" w:type="dxa"/>
            <w:vAlign w:val="bottom"/>
          </w:tcPr>
          <w:p>
            <w:pPr>
              <w:ind w:left="520"/>
              <w:spacing w:after="0"/>
              <w:rPr>
                <w:sz w:val="20"/>
                <w:szCs w:val="20"/>
                <w:color w:val="auto"/>
              </w:rPr>
            </w:pPr>
            <w:r>
              <w:rPr>
                <w:rFonts w:ascii="Arial" w:cs="Arial" w:eastAsia="Arial" w:hAnsi="Arial"/>
                <w:sz w:val="12"/>
                <w:szCs w:val="12"/>
                <w:color w:val="auto"/>
              </w:rPr>
              <w:t>Sales and marketing</w:t>
            </w:r>
          </w:p>
        </w:tc>
        <w:tc>
          <w:tcPr>
            <w:tcW w:w="12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92"/>
              </w:rPr>
              <w:t>264,548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140,875</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123,673</w:t>
            </w:r>
          </w:p>
        </w:tc>
        <w:tc>
          <w:tcPr>
            <w:tcW w:w="440" w:type="dxa"/>
            <w:vAlign w:val="bottom"/>
          </w:tcPr>
          <w:p>
            <w:pPr>
              <w:spacing w:after="0"/>
              <w:rPr>
                <w:sz w:val="13"/>
                <w:szCs w:val="13"/>
                <w:color w:val="auto"/>
              </w:rPr>
            </w:pPr>
          </w:p>
        </w:tc>
        <w:tc>
          <w:tcPr>
            <w:tcW w:w="540" w:type="dxa"/>
            <w:vAlign w:val="bottom"/>
          </w:tcPr>
          <w:p>
            <w:pPr>
              <w:jc w:val="right"/>
              <w:ind w:right="219"/>
              <w:spacing w:after="0"/>
              <w:rPr>
                <w:sz w:val="20"/>
                <w:szCs w:val="20"/>
                <w:color w:val="auto"/>
              </w:rPr>
            </w:pPr>
            <w:r>
              <w:rPr>
                <w:rFonts w:ascii="Arial" w:cs="Arial" w:eastAsia="Arial" w:hAnsi="Arial"/>
                <w:sz w:val="12"/>
                <w:szCs w:val="12"/>
                <w:color w:val="auto"/>
              </w:rPr>
              <w:t>88</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3"/>
        </w:trPr>
        <w:tc>
          <w:tcPr>
            <w:tcW w:w="34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General and administrative</w:t>
            </w:r>
          </w:p>
        </w:tc>
        <w:tc>
          <w:tcPr>
            <w:tcW w:w="12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122,522</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65,617</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56,905</w:t>
            </w: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87</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3460" w:type="dxa"/>
            <w:vAlign w:val="bottom"/>
          </w:tcPr>
          <w:p>
            <w:pPr>
              <w:ind w:left="660"/>
              <w:spacing w:after="0"/>
              <w:rPr>
                <w:sz w:val="20"/>
                <w:szCs w:val="20"/>
                <w:color w:val="auto"/>
              </w:rPr>
            </w:pPr>
            <w:r>
              <w:rPr>
                <w:rFonts w:ascii="Arial" w:cs="Arial" w:eastAsia="Arial" w:hAnsi="Arial"/>
                <w:sz w:val="12"/>
                <w:szCs w:val="12"/>
                <w:color w:val="auto"/>
              </w:rPr>
              <w:t>Total operating expenses</w:t>
            </w:r>
          </w:p>
        </w:tc>
        <w:tc>
          <w:tcPr>
            <w:tcW w:w="1220" w:type="dxa"/>
            <w:vAlign w:val="bottom"/>
            <w:tcBorders>
              <w:bottom w:val="single" w:sz="8" w:color="auto"/>
            </w:tcBorders>
          </w:tcPr>
          <w:p>
            <w:pPr>
              <w:jc w:val="right"/>
              <w:ind w:right="599"/>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596,960</w:t>
            </w: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343,144</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253,816</w:t>
            </w:r>
          </w:p>
        </w:tc>
        <w:tc>
          <w:tcPr>
            <w:tcW w:w="440" w:type="dxa"/>
            <w:vAlign w:val="bottom"/>
          </w:tcPr>
          <w:p>
            <w:pPr>
              <w:spacing w:after="0"/>
              <w:rPr>
                <w:sz w:val="13"/>
                <w:szCs w:val="13"/>
                <w:color w:val="auto"/>
              </w:rPr>
            </w:pPr>
          </w:p>
        </w:tc>
        <w:tc>
          <w:tcPr>
            <w:tcW w:w="540" w:type="dxa"/>
            <w:vAlign w:val="bottom"/>
          </w:tcPr>
          <w:p>
            <w:pPr>
              <w:jc w:val="right"/>
              <w:ind w:right="219"/>
              <w:spacing w:after="0"/>
              <w:rPr>
                <w:sz w:val="20"/>
                <w:szCs w:val="20"/>
                <w:color w:val="auto"/>
              </w:rPr>
            </w:pPr>
            <w:r>
              <w:rPr>
                <w:rFonts w:ascii="Arial" w:cs="Arial" w:eastAsia="Arial" w:hAnsi="Arial"/>
                <w:sz w:val="12"/>
                <w:szCs w:val="12"/>
                <w:color w:val="auto"/>
              </w:rPr>
              <w:t>74</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34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2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In the three months ended September 30, 2021, research and development expenses increased by $73.2 million, or 54%, compared to the same period last year. The increase was primarily attributable</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to a $61.3 million increase in personnel costs, net of a $5.1 million increase in capitalized software development costs, largely as a result of a 73% average increase in our research and development</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headcount, as we continued to focus on enhancing our existing products, introducing new products as well as enhancing product management and other technical functions. The increase was also due to a</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$3.3 million increase in our software subscriptions fees supporting development of our products. In addition, the three months ended September 30, 2021 included research and development expenses and the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impact of growth in our headcount from our recent acquisitions.</w:t>
      </w:r>
    </w:p>
    <w:p>
      <w:pPr>
        <w:spacing w:after="0" w:line="156" w:lineRule="exact"/>
        <w:rPr>
          <w:sz w:val="20"/>
          <w:szCs w:val="20"/>
          <w:color w:val="auto"/>
        </w:rPr>
      </w:pPr>
    </w:p>
    <w:p>
      <w:pPr>
        <w:ind w:right="120" w:firstLine="367"/>
        <w:spacing w:after="0" w:line="304" w:lineRule="auto"/>
        <w:rPr>
          <w:sz w:val="20"/>
          <w:szCs w:val="20"/>
          <w:color w:val="auto"/>
        </w:rPr>
      </w:pPr>
      <w:r>
        <w:rPr>
          <w:rFonts w:ascii="Arial" w:cs="Arial" w:eastAsia="Arial" w:hAnsi="Arial"/>
          <w:sz w:val="12"/>
          <w:szCs w:val="12"/>
          <w:color w:val="auto"/>
        </w:rPr>
        <w:t>In the three months ended September 30, 2021, sales and marketing expenses increased by $123.7 million, or 88%, compared to the same period last year. The increase was primarily attributable to a $87.6 million increase in personnel costs, largely as a result of a 114% average increase in sales and marketing headcount, as we continued to expand our sales efforts in the United States and abroad. The increase was also due to a $15.9 million increase related to the amortization of acquired intangible assets and a $7.0 million increase in advertising expenses. In addition, the three months ended September 30, 2021 included sales and marketing expenses and the impact of growth in the headcount from our recent acquisitions.</w:t>
      </w:r>
    </w:p>
    <w:p>
      <w:pPr>
        <w:spacing w:after="0" w:line="117" w:lineRule="exact"/>
        <w:rPr>
          <w:sz w:val="20"/>
          <w:szCs w:val="20"/>
          <w:color w:val="auto"/>
        </w:rPr>
      </w:pPr>
    </w:p>
    <w:p>
      <w:pPr>
        <w:ind w:right="60" w:firstLine="367"/>
        <w:spacing w:after="0" w:line="304" w:lineRule="auto"/>
        <w:rPr>
          <w:sz w:val="20"/>
          <w:szCs w:val="20"/>
          <w:color w:val="auto"/>
        </w:rPr>
      </w:pPr>
      <w:r>
        <w:rPr>
          <w:rFonts w:ascii="Arial" w:cs="Arial" w:eastAsia="Arial" w:hAnsi="Arial"/>
          <w:sz w:val="12"/>
          <w:szCs w:val="12"/>
          <w:color w:val="auto"/>
        </w:rPr>
        <w:t>In the three months ended September 30, 2021, general and administrative expenses increased by $56.9 million, or 87%, compared to the same period last year. The increase was primarily attributable to a $46.8 million increase in personnel costs, largely as a result of a 126% average increase in general and administrative headcount, to support the growth of our business domestically and internationally. The increase was also due to a $2.6 million increase in charitable contributions and a $0.9 million increase in professional services fees related to our acquisitions of other businesses. Further, the three months ended September 30, 2021 included general and administrative expenses and the impact of growth in the headcount from our recent acquisitions.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Comparison of the Nine Months Ended September 30, 2021 and 2020</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Revenue</w:t>
      </w:r>
    </w:p>
    <w:p>
      <w:pPr>
        <w:spacing w:after="0" w:line="266" w:lineRule="exact"/>
        <w:rPr>
          <w:sz w:val="20"/>
          <w:szCs w:val="20"/>
          <w:color w:val="auto"/>
        </w:rPr>
      </w:pPr>
    </w:p>
    <w:p>
      <w:pPr>
        <w:ind w:left="5720"/>
        <w:spacing w:after="0"/>
        <w:rPr>
          <w:sz w:val="20"/>
          <w:szCs w:val="20"/>
          <w:color w:val="auto"/>
        </w:rPr>
      </w:pPr>
      <w:r>
        <w:rPr>
          <w:rFonts w:ascii="Arial" w:cs="Arial" w:eastAsia="Arial" w:hAnsi="Arial"/>
          <w:sz w:val="12"/>
          <w:szCs w:val="12"/>
          <w:b w:val="1"/>
          <w:bCs w:val="1"/>
          <w:color w:val="auto"/>
        </w:rPr>
        <w:t>Nine Months Ended</w:t>
      </w:r>
    </w:p>
    <w:tbl>
      <w:tblPr>
        <w:tblLayout w:type="fixed"/>
        <w:tblInd w:w="900" w:type="dxa"/>
        <w:tblCellMar>
          <w:top w:w="0" w:type="dxa"/>
          <w:left w:w="0" w:type="dxa"/>
          <w:bottom w:w="0" w:type="dxa"/>
          <w:right w:w="0" w:type="dxa"/>
        </w:tblCellMar>
      </w:tblPr>
      <w:tr>
        <w:trPr>
          <w:trHeight w:val="150"/>
        </w:trPr>
        <w:tc>
          <w:tcPr>
            <w:tcW w:w="33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September 30,</w:t>
            </w: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51"/>
        </w:trPr>
        <w:tc>
          <w:tcPr>
            <w:tcW w:w="33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919"/>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b w:val="1"/>
                <w:bCs w:val="1"/>
                <w:color w:val="auto"/>
              </w:rPr>
              <w:t>2020</w:t>
            </w:r>
          </w:p>
        </w:tc>
        <w:tc>
          <w:tcPr>
            <w:tcW w:w="6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Change</w:t>
            </w:r>
          </w:p>
        </w:tc>
        <w:tc>
          <w:tcPr>
            <w:tcW w:w="5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r>
      <w:tr>
        <w:trPr>
          <w:trHeight w:val="153"/>
        </w:trPr>
        <w:tc>
          <w:tcPr>
            <w:tcW w:w="3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gridSpan w:val="2"/>
          </w:tcPr>
          <w:p>
            <w:pPr>
              <w:ind w:left="440"/>
              <w:spacing w:after="0"/>
              <w:rPr>
                <w:sz w:val="20"/>
                <w:szCs w:val="20"/>
                <w:color w:val="auto"/>
              </w:rPr>
            </w:pPr>
            <w:r>
              <w:rPr>
                <w:rFonts w:ascii="Arial" w:cs="Arial" w:eastAsia="Arial" w:hAnsi="Arial"/>
                <w:sz w:val="12"/>
                <w:szCs w:val="12"/>
                <w:color w:val="auto"/>
                <w:w w:val="92"/>
              </w:rPr>
              <w:t>(Dollars in thousands)</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66"/>
        </w:trPr>
        <w:tc>
          <w:tcPr>
            <w:tcW w:w="33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Total Revenue</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499"/>
              <w:spacing w:after="0"/>
              <w:rPr>
                <w:sz w:val="20"/>
                <w:szCs w:val="20"/>
                <w:color w:val="auto"/>
              </w:rPr>
            </w:pPr>
            <w:r>
              <w:rPr>
                <w:rFonts w:ascii="Arial" w:cs="Arial" w:eastAsia="Arial" w:hAnsi="Arial"/>
                <w:sz w:val="12"/>
                <w:szCs w:val="12"/>
                <w:color w:val="auto"/>
              </w:rPr>
              <w:t>1,999,095</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1,213,686</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785,409</w:t>
            </w:r>
          </w:p>
        </w:tc>
        <w:tc>
          <w:tcPr>
            <w:tcW w:w="5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65</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214" w:lineRule="exact"/>
        <w:rPr>
          <w:sz w:val="20"/>
          <w:szCs w:val="20"/>
          <w:color w:val="auto"/>
        </w:rPr>
      </w:pPr>
    </w:p>
    <w:p>
      <w:pPr>
        <w:ind w:right="40" w:firstLine="367"/>
        <w:spacing w:after="0" w:line="166" w:lineRule="exact"/>
        <w:rPr>
          <w:sz w:val="20"/>
          <w:szCs w:val="20"/>
          <w:color w:val="auto"/>
        </w:rPr>
      </w:pPr>
      <w:r>
        <w:rPr>
          <w:rFonts w:ascii="Arial" w:cs="Arial" w:eastAsia="Arial" w:hAnsi="Arial"/>
          <w:sz w:val="14"/>
          <w:szCs w:val="14"/>
          <w:color w:val="auto"/>
        </w:rPr>
        <w:t>In the nine months ended September 30, 2021, total revenue increased by $785.4 million, or 65%, compared to the same period last year. This increase was primarily attributable to an increase in the usage of our products, particularly our Programmable Messaging products and Programmable Voice products, the adoption of additional products by our existing customers, the additional A2P fees imposed by certain carriers and revenue contribution from the acquisition of our Twilio Segment business,ValueFirst business and Zipwhip business. The change in usage was reflected in our Dollar</w:t>
      </w:r>
      <w:r>
        <w:rPr>
          <w:rFonts w:ascii="MS PGothic" w:cs="MS PGothic" w:eastAsia="MS PGothic" w:hAnsi="MS PGothic"/>
          <w:sz w:val="14"/>
          <w:szCs w:val="14"/>
          <w:color w:val="auto"/>
        </w:rPr>
        <w:t>‑</w:t>
      </w:r>
      <w:r>
        <w:rPr>
          <w:rFonts w:ascii="Arial" w:cs="Arial" w:eastAsia="Arial" w:hAnsi="Arial"/>
          <w:sz w:val="14"/>
          <w:szCs w:val="14"/>
          <w:color w:val="auto"/>
        </w:rPr>
        <w:t>Based Net Expansion Rate of 133% for the nine months ended September 30, 2021. The increase in usage was also attributable to a 20% increase in the number of Active Customer Accounts, from over 208,000 as of September 30, 2020, to over 250,000 as of September 30, 2021.</w:t>
      </w:r>
    </w:p>
    <w:p>
      <w:pPr>
        <w:spacing w:after="0" w:line="154" w:lineRule="exact"/>
        <w:rPr>
          <w:sz w:val="20"/>
          <w:szCs w:val="20"/>
          <w:color w:val="auto"/>
        </w:rPr>
      </w:pPr>
    </w:p>
    <w:p>
      <w:pPr>
        <w:ind w:right="200" w:firstLine="367"/>
        <w:spacing w:after="0" w:line="247" w:lineRule="auto"/>
        <w:rPr>
          <w:sz w:val="20"/>
          <w:szCs w:val="20"/>
          <w:color w:val="auto"/>
        </w:rPr>
      </w:pPr>
      <w:r>
        <w:rPr>
          <w:rFonts w:ascii="Arial" w:cs="Arial" w:eastAsia="Arial" w:hAnsi="Arial"/>
          <w:sz w:val="14"/>
          <w:szCs w:val="14"/>
          <w:color w:val="auto"/>
        </w:rPr>
        <w:t>In the nine months ended September 30, 2021, U.S. revenue and international revenue represented $1,372.4 million or 69%, and $626.7 million, or 31%, respectively, of total revenue. In the nine months ended September 30, 2020, U.S. revenue and international revenue represented $882.0 million, or 73%, and $331.7 million, or 27%, respectively, of total revenue. The increase in international revenue was attributable to the growth in usage of our products, particularly our Programmable Messaging products and Programmable Voice products, by our existing international Active Customer Accounts; a 20% increase in the number of international Active Customer Accounts driven in part by our focus on expanding our sales to customers outside of the United States; and revenue contribution from our recent acquisitions.</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Cost of Revenue and Gross Margin</w:t>
      </w:r>
    </w:p>
    <w:p>
      <w:pPr>
        <w:spacing w:after="0" w:line="266" w:lineRule="exact"/>
        <w:rPr>
          <w:sz w:val="20"/>
          <w:szCs w:val="20"/>
          <w:color w:val="auto"/>
        </w:rPr>
      </w:pPr>
    </w:p>
    <w:p>
      <w:pPr>
        <w:jc w:val="center"/>
        <w:ind w:left="340"/>
        <w:spacing w:after="0"/>
        <w:rPr>
          <w:sz w:val="20"/>
          <w:szCs w:val="20"/>
          <w:color w:val="auto"/>
        </w:rPr>
      </w:pPr>
      <w:r>
        <w:rPr>
          <w:rFonts w:ascii="Arial" w:cs="Arial" w:eastAsia="Arial" w:hAnsi="Arial"/>
          <w:sz w:val="12"/>
          <w:szCs w:val="12"/>
          <w:b w:val="1"/>
          <w:bCs w:val="1"/>
          <w:color w:val="auto"/>
        </w:rPr>
        <w:t>Nine Months Ended</w:t>
      </w:r>
    </w:p>
    <w:tbl>
      <w:tblPr>
        <w:tblLayout w:type="fixed"/>
        <w:tblInd w:w="860" w:type="dxa"/>
        <w:tblCellMar>
          <w:top w:w="0" w:type="dxa"/>
          <w:left w:w="0" w:type="dxa"/>
          <w:bottom w:w="0" w:type="dxa"/>
          <w:right w:w="0" w:type="dxa"/>
        </w:tblCellMar>
      </w:tblPr>
      <w:tr>
        <w:trPr>
          <w:trHeight w:val="150"/>
        </w:trPr>
        <w:tc>
          <w:tcPr>
            <w:tcW w:w="24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September 30,</w:t>
            </w: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51"/>
        </w:trPr>
        <w:tc>
          <w:tcPr>
            <w:tcW w:w="24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b w:val="1"/>
                <w:bCs w:val="1"/>
                <w:color w:val="auto"/>
              </w:rPr>
              <w:t>2021</w:t>
            </w:r>
          </w:p>
        </w:tc>
        <w:tc>
          <w:tcPr>
            <w:tcW w:w="1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b w:val="1"/>
                <w:bCs w:val="1"/>
                <w:color w:val="auto"/>
              </w:rPr>
              <w:t>2020</w:t>
            </w: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Change</w:t>
            </w:r>
          </w:p>
        </w:tc>
        <w:tc>
          <w:tcPr>
            <w:tcW w:w="5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r>
      <w:tr>
        <w:trPr>
          <w:trHeight w:val="153"/>
        </w:trPr>
        <w:tc>
          <w:tcPr>
            <w:tcW w:w="2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300" w:type="dxa"/>
            <w:vAlign w:val="bottom"/>
            <w:gridSpan w:val="3"/>
          </w:tcPr>
          <w:p>
            <w:pPr>
              <w:jc w:val="right"/>
              <w:ind w:right="900"/>
              <w:spacing w:after="0"/>
              <w:rPr>
                <w:sz w:val="20"/>
                <w:szCs w:val="20"/>
                <w:color w:val="auto"/>
              </w:rPr>
            </w:pPr>
            <w:r>
              <w:rPr>
                <w:rFonts w:ascii="Arial" w:cs="Arial" w:eastAsia="Arial" w:hAnsi="Arial"/>
                <w:sz w:val="12"/>
                <w:szCs w:val="12"/>
                <w:color w:val="auto"/>
              </w:rPr>
              <w:t>(Dollars in thousands)</w:t>
            </w: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66"/>
        </w:trPr>
        <w:tc>
          <w:tcPr>
            <w:tcW w:w="2440" w:type="dxa"/>
            <w:vAlign w:val="bottom"/>
            <w:shd w:val="clear" w:color="auto" w:fill="CCEEFF"/>
          </w:tcPr>
          <w:p>
            <w:pPr>
              <w:ind w:left="520"/>
              <w:spacing w:after="0"/>
              <w:rPr>
                <w:sz w:val="20"/>
                <w:szCs w:val="20"/>
                <w:color w:val="auto"/>
              </w:rPr>
            </w:pPr>
            <w:r>
              <w:rPr>
                <w:rFonts w:ascii="Arial" w:cs="Arial" w:eastAsia="Arial" w:hAnsi="Arial"/>
                <w:sz w:val="12"/>
                <w:szCs w:val="12"/>
                <w:color w:val="auto"/>
              </w:rPr>
              <w:t>Cost of revenue</w:t>
            </w: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1,004,929</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580,146</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424,783</w:t>
            </w:r>
          </w:p>
        </w:tc>
        <w:tc>
          <w:tcPr>
            <w:tcW w:w="54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73</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2440" w:type="dxa"/>
            <w:vAlign w:val="bottom"/>
          </w:tcPr>
          <w:p>
            <w:pPr>
              <w:ind w:left="520"/>
              <w:spacing w:after="0"/>
              <w:rPr>
                <w:sz w:val="20"/>
                <w:szCs w:val="20"/>
                <w:color w:val="auto"/>
              </w:rPr>
            </w:pPr>
            <w:r>
              <w:rPr>
                <w:rFonts w:ascii="Arial" w:cs="Arial" w:eastAsia="Arial" w:hAnsi="Arial"/>
                <w:sz w:val="12"/>
                <w:szCs w:val="12"/>
                <w:color w:val="auto"/>
              </w:rPr>
              <w:t>Gross margin</w:t>
            </w:r>
          </w:p>
        </w:tc>
        <w:tc>
          <w:tcPr>
            <w:tcW w:w="840" w:type="dxa"/>
            <w:vAlign w:val="bottom"/>
          </w:tcPr>
          <w:p>
            <w:pPr>
              <w:spacing w:after="0"/>
              <w:rPr>
                <w:sz w:val="13"/>
                <w:szCs w:val="13"/>
                <w:color w:val="auto"/>
              </w:rPr>
            </w:pPr>
          </w:p>
        </w:tc>
        <w:tc>
          <w:tcPr>
            <w:tcW w:w="920" w:type="dxa"/>
            <w:vAlign w:val="bottom"/>
          </w:tcPr>
          <w:p>
            <w:pPr>
              <w:jc w:val="right"/>
              <w:ind w:right="79"/>
              <w:spacing w:after="0"/>
              <w:rPr>
                <w:sz w:val="20"/>
                <w:szCs w:val="20"/>
                <w:color w:val="auto"/>
              </w:rPr>
            </w:pPr>
            <w:r>
              <w:rPr>
                <w:rFonts w:ascii="Arial" w:cs="Arial" w:eastAsia="Arial" w:hAnsi="Arial"/>
                <w:sz w:val="12"/>
                <w:szCs w:val="12"/>
                <w:color w:val="auto"/>
              </w:rPr>
              <w:t>50</w:t>
            </w:r>
          </w:p>
        </w:tc>
        <w:tc>
          <w:tcPr>
            <w:tcW w:w="1440" w:type="dxa"/>
            <w:vAlign w:val="bottom"/>
          </w:tcPr>
          <w:p>
            <w:pPr>
              <w:jc w:val="right"/>
              <w:ind w:right="899"/>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99"/>
              <w:spacing w:after="0"/>
              <w:rPr>
                <w:sz w:val="20"/>
                <w:szCs w:val="20"/>
                <w:color w:val="auto"/>
              </w:rPr>
            </w:pPr>
            <w:r>
              <w:rPr>
                <w:rFonts w:ascii="Arial" w:cs="Arial" w:eastAsia="Arial" w:hAnsi="Arial"/>
                <w:sz w:val="12"/>
                <w:szCs w:val="12"/>
                <w:color w:val="auto"/>
              </w:rPr>
              <w:t>52</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bl>
    <w:p>
      <w:pPr>
        <w:spacing w:after="0" w:line="22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In the nine months ended September 30, 2021, cost of revenue increased by $424.8 million, or 73%, compared to the same period last year. The increase in cost of revenue was primarily attributable to</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a $297.3 million increase in network service providers’ costs and a $35.4 million increase in cloud infrastructure fees, both to support the growth in usage of our products. The increase was also due to a</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$46.5 million increase in the amortization expense of intangible assets that we acquired through business combinations. In addition, the nine month ended September 30, 2021, included cost of revenue from</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our recent acquisitions.</w:t>
      </w:r>
    </w:p>
    <w:p>
      <w:pPr>
        <w:spacing w:after="0" w:line="156" w:lineRule="exact"/>
        <w:rPr>
          <w:sz w:val="20"/>
          <w:szCs w:val="20"/>
          <w:color w:val="auto"/>
        </w:rPr>
      </w:pPr>
    </w:p>
    <w:p>
      <w:pPr>
        <w:ind w:right="240" w:firstLine="367"/>
        <w:spacing w:after="0" w:line="249" w:lineRule="auto"/>
        <w:rPr>
          <w:sz w:val="20"/>
          <w:szCs w:val="20"/>
          <w:color w:val="auto"/>
        </w:rPr>
      </w:pPr>
      <w:r>
        <w:rPr>
          <w:rFonts w:ascii="Arial" w:cs="Arial" w:eastAsia="Arial" w:hAnsi="Arial"/>
          <w:sz w:val="14"/>
          <w:szCs w:val="14"/>
          <w:color w:val="auto"/>
        </w:rPr>
        <w:t>In the nine months ended September 30, 2021, gross margin percentage declined compared to the same period last year. This decline was primarily driven by a re-acceleration in growth of our messaging business, an increase in amortization expense related to acquired intangible assets, the additional A2P fees imposed by certain carriers, the impact of an increasing mix of international product usage and an increase in network service provider fees in certain geographies. These declines were partially offset by the impact of the acquisition of the Twilio Segment business and certain operational improvements.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66" w:lineRule="exact"/>
        <w:rPr>
          <w:sz w:val="20"/>
          <w:szCs w:val="20"/>
          <w:color w:val="auto"/>
        </w:rPr>
      </w:pPr>
    </w:p>
    <w:p>
      <w:pPr>
        <w:ind w:left="5760"/>
        <w:spacing w:after="0"/>
        <w:rPr>
          <w:sz w:val="20"/>
          <w:szCs w:val="20"/>
          <w:color w:val="auto"/>
        </w:rPr>
      </w:pPr>
      <w:r>
        <w:rPr>
          <w:rFonts w:ascii="Arial" w:cs="Arial" w:eastAsia="Arial" w:hAnsi="Arial"/>
          <w:sz w:val="12"/>
          <w:szCs w:val="12"/>
          <w:b w:val="1"/>
          <w:bCs w:val="1"/>
          <w:color w:val="auto"/>
        </w:rPr>
        <w:t>Nine Months Ended</w:t>
      </w:r>
    </w:p>
    <w:tbl>
      <w:tblPr>
        <w:tblLayout w:type="fixed"/>
        <w:tblInd w:w="860" w:type="dxa"/>
        <w:tblCellMar>
          <w:top w:w="0" w:type="dxa"/>
          <w:left w:w="0" w:type="dxa"/>
          <w:bottom w:w="0" w:type="dxa"/>
          <w:right w:w="0" w:type="dxa"/>
        </w:tblCellMar>
      </w:tblPr>
      <w:tr>
        <w:trPr>
          <w:trHeight w:val="150"/>
        </w:trPr>
        <w:tc>
          <w:tcPr>
            <w:tcW w:w="34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600"/>
              <w:spacing w:after="0"/>
              <w:rPr>
                <w:sz w:val="20"/>
                <w:szCs w:val="20"/>
                <w:color w:val="auto"/>
              </w:rPr>
            </w:pPr>
            <w:r>
              <w:rPr>
                <w:rFonts w:ascii="Arial" w:cs="Arial" w:eastAsia="Arial" w:hAnsi="Arial"/>
                <w:sz w:val="12"/>
                <w:szCs w:val="12"/>
                <w:b w:val="1"/>
                <w:bCs w:val="1"/>
                <w:color w:val="auto"/>
                <w:w w:val="99"/>
              </w:rPr>
              <w:t>September 30,</w:t>
            </w: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51"/>
        </w:trPr>
        <w:tc>
          <w:tcPr>
            <w:tcW w:w="34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ind w:left="680"/>
              <w:spacing w:after="0"/>
              <w:rPr>
                <w:sz w:val="20"/>
                <w:szCs w:val="20"/>
                <w:color w:val="auto"/>
              </w:rPr>
            </w:pPr>
            <w:r>
              <w:rPr>
                <w:rFonts w:ascii="Arial" w:cs="Arial" w:eastAsia="Arial" w:hAnsi="Arial"/>
                <w:sz w:val="12"/>
                <w:szCs w:val="12"/>
                <w:b w:val="1"/>
                <w:bCs w:val="1"/>
                <w:color w:val="auto"/>
              </w:rPr>
              <w:t>Change</w:t>
            </w:r>
          </w:p>
        </w:tc>
        <w:tc>
          <w:tcPr>
            <w:tcW w:w="5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r>
      <w:tr>
        <w:trPr>
          <w:trHeight w:val="153"/>
        </w:trPr>
        <w:tc>
          <w:tcPr>
            <w:tcW w:w="3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3"/>
          </w:tcPr>
          <w:p>
            <w:pPr>
              <w:jc w:val="right"/>
              <w:ind w:right="319"/>
              <w:spacing w:after="0"/>
              <w:rPr>
                <w:sz w:val="20"/>
                <w:szCs w:val="20"/>
                <w:color w:val="auto"/>
              </w:rPr>
            </w:pPr>
            <w:r>
              <w:rPr>
                <w:rFonts w:ascii="Arial" w:cs="Arial" w:eastAsia="Arial" w:hAnsi="Arial"/>
                <w:sz w:val="12"/>
                <w:szCs w:val="12"/>
                <w:color w:val="auto"/>
              </w:rPr>
              <w:t>(Dollars in thousands)</w:t>
            </w: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66"/>
        </w:trPr>
        <w:tc>
          <w:tcPr>
            <w:tcW w:w="3420" w:type="dxa"/>
            <w:vAlign w:val="bottom"/>
            <w:shd w:val="clear" w:color="auto" w:fill="CCEEFF"/>
          </w:tcPr>
          <w:p>
            <w:pPr>
              <w:ind w:left="520"/>
              <w:spacing w:after="0"/>
              <w:rPr>
                <w:sz w:val="20"/>
                <w:szCs w:val="20"/>
                <w:color w:val="auto"/>
              </w:rPr>
            </w:pPr>
            <w:r>
              <w:rPr>
                <w:rFonts w:ascii="Arial" w:cs="Arial" w:eastAsia="Arial" w:hAnsi="Arial"/>
                <w:sz w:val="12"/>
                <w:szCs w:val="12"/>
                <w:color w:val="auto"/>
              </w:rPr>
              <w:t>Research and development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565,970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371,692</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194,278</w:t>
            </w: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52</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3420" w:type="dxa"/>
            <w:vAlign w:val="bottom"/>
          </w:tcPr>
          <w:p>
            <w:pPr>
              <w:ind w:left="520"/>
              <w:spacing w:after="0"/>
              <w:rPr>
                <w:sz w:val="20"/>
                <w:szCs w:val="20"/>
                <w:color w:val="auto"/>
              </w:rPr>
            </w:pPr>
            <w:r>
              <w:rPr>
                <w:rFonts w:ascii="Arial" w:cs="Arial" w:eastAsia="Arial" w:hAnsi="Arial"/>
                <w:sz w:val="12"/>
                <w:szCs w:val="12"/>
                <w:color w:val="auto"/>
              </w:rPr>
              <w:t>Sales and marketing</w:t>
            </w:r>
          </w:p>
        </w:tc>
        <w:tc>
          <w:tcPr>
            <w:tcW w:w="7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713,196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387,420</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325,776</w:t>
            </w:r>
          </w:p>
        </w:tc>
        <w:tc>
          <w:tcPr>
            <w:tcW w:w="440" w:type="dxa"/>
            <w:vAlign w:val="bottom"/>
          </w:tcPr>
          <w:p>
            <w:pPr>
              <w:spacing w:after="0"/>
              <w:rPr>
                <w:sz w:val="13"/>
                <w:szCs w:val="13"/>
                <w:color w:val="auto"/>
              </w:rPr>
            </w:pPr>
          </w:p>
        </w:tc>
        <w:tc>
          <w:tcPr>
            <w:tcW w:w="540" w:type="dxa"/>
            <w:vAlign w:val="bottom"/>
          </w:tcPr>
          <w:p>
            <w:pPr>
              <w:jc w:val="right"/>
              <w:ind w:right="219"/>
              <w:spacing w:after="0"/>
              <w:rPr>
                <w:sz w:val="20"/>
                <w:szCs w:val="20"/>
                <w:color w:val="auto"/>
              </w:rPr>
            </w:pPr>
            <w:r>
              <w:rPr>
                <w:rFonts w:ascii="Arial" w:cs="Arial" w:eastAsia="Arial" w:hAnsi="Arial"/>
                <w:sz w:val="12"/>
                <w:szCs w:val="12"/>
                <w:color w:val="auto"/>
              </w:rPr>
              <w:t>84</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3"/>
        </w:trPr>
        <w:tc>
          <w:tcPr>
            <w:tcW w:w="3420" w:type="dxa"/>
            <w:vAlign w:val="bottom"/>
            <w:shd w:val="clear" w:color="auto" w:fill="CCEEFF"/>
          </w:tcPr>
          <w:p>
            <w:pPr>
              <w:ind w:left="520"/>
              <w:spacing w:after="0"/>
              <w:rPr>
                <w:sz w:val="20"/>
                <w:szCs w:val="20"/>
                <w:color w:val="auto"/>
              </w:rPr>
            </w:pPr>
            <w:r>
              <w:rPr>
                <w:rFonts w:ascii="Arial" w:cs="Arial" w:eastAsia="Arial" w:hAnsi="Arial"/>
                <w:sz w:val="12"/>
                <w:szCs w:val="12"/>
                <w:color w:val="auto"/>
              </w:rPr>
              <w:t>General and administrative</w:t>
            </w:r>
          </w:p>
        </w:tc>
        <w:tc>
          <w:tcPr>
            <w:tcW w:w="7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346,958</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182,038</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164,920</w:t>
            </w: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91</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3420" w:type="dxa"/>
            <w:vAlign w:val="bottom"/>
          </w:tcPr>
          <w:p>
            <w:pPr>
              <w:ind w:left="660"/>
              <w:spacing w:after="0"/>
              <w:rPr>
                <w:sz w:val="20"/>
                <w:szCs w:val="20"/>
                <w:color w:val="auto"/>
              </w:rPr>
            </w:pPr>
            <w:r>
              <w:rPr>
                <w:rFonts w:ascii="Arial" w:cs="Arial" w:eastAsia="Arial" w:hAnsi="Arial"/>
                <w:sz w:val="12"/>
                <w:szCs w:val="12"/>
                <w:color w:val="auto"/>
              </w:rPr>
              <w:t>Total operating expenses</w:t>
            </w: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1,626,124</w:t>
            </w: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941,150</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684,974</w:t>
            </w:r>
          </w:p>
        </w:tc>
        <w:tc>
          <w:tcPr>
            <w:tcW w:w="440" w:type="dxa"/>
            <w:vAlign w:val="bottom"/>
          </w:tcPr>
          <w:p>
            <w:pPr>
              <w:spacing w:after="0"/>
              <w:rPr>
                <w:sz w:val="13"/>
                <w:szCs w:val="13"/>
                <w:color w:val="auto"/>
              </w:rPr>
            </w:pPr>
          </w:p>
        </w:tc>
        <w:tc>
          <w:tcPr>
            <w:tcW w:w="540" w:type="dxa"/>
            <w:vAlign w:val="bottom"/>
          </w:tcPr>
          <w:p>
            <w:pPr>
              <w:jc w:val="right"/>
              <w:ind w:right="219"/>
              <w:spacing w:after="0"/>
              <w:rPr>
                <w:sz w:val="20"/>
                <w:szCs w:val="20"/>
                <w:color w:val="auto"/>
              </w:rPr>
            </w:pPr>
            <w:r>
              <w:rPr>
                <w:rFonts w:ascii="Arial" w:cs="Arial" w:eastAsia="Arial" w:hAnsi="Arial"/>
                <w:sz w:val="12"/>
                <w:szCs w:val="12"/>
                <w:color w:val="auto"/>
              </w:rPr>
              <w:t>73</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3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14" w:lineRule="exact"/>
        <w:rPr>
          <w:sz w:val="20"/>
          <w:szCs w:val="20"/>
          <w:color w:val="auto"/>
        </w:rPr>
      </w:pPr>
    </w:p>
    <w:p>
      <w:pPr>
        <w:ind w:firstLine="367"/>
        <w:spacing w:after="0" w:line="304" w:lineRule="auto"/>
        <w:rPr>
          <w:sz w:val="20"/>
          <w:szCs w:val="20"/>
          <w:color w:val="auto"/>
        </w:rPr>
      </w:pPr>
      <w:r>
        <w:rPr>
          <w:rFonts w:ascii="Arial" w:cs="Arial" w:eastAsia="Arial" w:hAnsi="Arial"/>
          <w:sz w:val="12"/>
          <w:szCs w:val="12"/>
          <w:color w:val="auto"/>
        </w:rPr>
        <w:t>In the nine months ended September 30, 2021, research and development expenses increased by $194.3 million, or 52%, compared to the same period last year. The increase was primarily attributable to a $166.8 million increase in personnel costs, net of a $12.0 million increase in capitalized software development costs, largely as a result of a 62% average increase in our research and development headcount, as we continued to focus on enhancing our existing products, introducing new products as well as enhancing product management and other technical functions. In addition, the nine months ended September 30, 2021 included research and development expenses and the impact of growth in the headcount, from our recent acquisitions.</w:t>
      </w:r>
    </w:p>
    <w:p>
      <w:pPr>
        <w:spacing w:after="0" w:line="117" w:lineRule="exact"/>
        <w:rPr>
          <w:sz w:val="20"/>
          <w:szCs w:val="20"/>
          <w:color w:val="auto"/>
        </w:rPr>
      </w:pPr>
    </w:p>
    <w:p>
      <w:pPr>
        <w:ind w:right="160" w:firstLine="367"/>
        <w:spacing w:after="0" w:line="304" w:lineRule="auto"/>
        <w:rPr>
          <w:sz w:val="20"/>
          <w:szCs w:val="20"/>
          <w:color w:val="auto"/>
        </w:rPr>
      </w:pPr>
      <w:r>
        <w:rPr>
          <w:rFonts w:ascii="Arial" w:cs="Arial" w:eastAsia="Arial" w:hAnsi="Arial"/>
          <w:sz w:val="12"/>
          <w:szCs w:val="12"/>
          <w:color w:val="auto"/>
        </w:rPr>
        <w:t>In the nine months ended September 30, 2021, sales and marketing expenses increased by $325.8 million, or 84%, compared to the same period last year. The increase was primarily attributable to a $229.9 million increase in personnel costs, largely as a result of a 100% average increase in sales and marketing headcount, as we continued to expand our sales efforts in the United States and abroad. The increase was also due to a $37.6 million increase related to the amortization of acquired intangible assets and a $22.6 million increase in advertising expenses. In addition, the nine months ended September 30, 2021 included sales and marketing expenses and the impact of growth in the headcount from our recent acquisitions.</w:t>
      </w:r>
    </w:p>
    <w:p>
      <w:pPr>
        <w:spacing w:after="0" w:line="117" w:lineRule="exact"/>
        <w:rPr>
          <w:sz w:val="20"/>
          <w:szCs w:val="20"/>
          <w:color w:val="auto"/>
        </w:rPr>
      </w:pPr>
    </w:p>
    <w:p>
      <w:pPr>
        <w:ind w:right="40" w:firstLine="367"/>
        <w:spacing w:after="0" w:line="247" w:lineRule="auto"/>
        <w:rPr>
          <w:sz w:val="20"/>
          <w:szCs w:val="20"/>
          <w:color w:val="auto"/>
        </w:rPr>
      </w:pPr>
      <w:r>
        <w:rPr>
          <w:rFonts w:ascii="Arial" w:cs="Arial" w:eastAsia="Arial" w:hAnsi="Arial"/>
          <w:sz w:val="14"/>
          <w:szCs w:val="14"/>
          <w:color w:val="auto"/>
        </w:rPr>
        <w:t>In the nine months ended September 30, 2021, general and administrative expenses increased by $164.9 million, or 91%, compared to the same period last year. The increase was primarily attributable to a $115.7 million increase in personnel costs, largely as a result of a 103% average increase in general and administrative headcount, to support the growth of our business domestically and internationally. The increase was also due to a $12.2 million increase in charitable contributions, a $6.2 million increase in professional service fees related to our acquisitions of other businesses and a $8.3 million increase in other professional services fees incurred in the ordinary course of business. Further, the nine months ended September 30, 2021 included general and administrative expenses and the impact of growth in the headcount from our recent acquisitions.</w:t>
      </w:r>
    </w:p>
    <w:p>
      <w:pPr>
        <w:spacing w:after="0" w:line="149"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Liquidity and Capital Resources</w:t>
      </w:r>
    </w:p>
    <w:p>
      <w:pPr>
        <w:spacing w:after="0" w:line="168" w:lineRule="exact"/>
        <w:rPr>
          <w:sz w:val="20"/>
          <w:szCs w:val="20"/>
          <w:color w:val="auto"/>
        </w:rPr>
      </w:pPr>
    </w:p>
    <w:p>
      <w:pPr>
        <w:jc w:val="both"/>
        <w:ind w:right="80" w:firstLine="367"/>
        <w:spacing w:after="0" w:line="304" w:lineRule="auto"/>
        <w:rPr>
          <w:sz w:val="20"/>
          <w:szCs w:val="20"/>
          <w:color w:val="auto"/>
        </w:rPr>
      </w:pPr>
      <w:r>
        <w:rPr>
          <w:rFonts w:ascii="Arial" w:cs="Arial" w:eastAsia="Arial" w:hAnsi="Arial"/>
          <w:sz w:val="12"/>
          <w:szCs w:val="12"/>
          <w:color w:val="auto"/>
        </w:rPr>
        <w:t>Our principal sources of liquidity have been (i) the net proceeds of $979.0 million, $1.4 billion and $1.8 billion, net of underwriting discounts and offering expenses paid by us, from our public equity offerings in June 2019, August 2020 and February 2021, respectively; (ii) the net proceeds of approximately $537.0 million, after deducting purchaser discounts and debt issuance costs paid by us, from the issuance of our convertible senior notes due 2023 in May 2018; (iii) the aggregate net proceeds of approximately $985.1 million, after deducting purchaser discounts and debt issuance costs paid or payable by us, from the issuance of our 2029 Notes and 2031 Notes in March 2021; and (iv) the payments received from customers using our products.</w:t>
      </w:r>
    </w:p>
    <w:p>
      <w:pPr>
        <w:spacing w:after="0" w:line="117" w:lineRule="exact"/>
        <w:rPr>
          <w:sz w:val="20"/>
          <w:szCs w:val="20"/>
          <w:color w:val="auto"/>
        </w:rPr>
      </w:pPr>
    </w:p>
    <w:p>
      <w:pPr>
        <w:ind w:firstLine="367"/>
        <w:spacing w:after="0" w:line="296" w:lineRule="auto"/>
        <w:rPr>
          <w:sz w:val="20"/>
          <w:szCs w:val="20"/>
          <w:color w:val="auto"/>
        </w:rPr>
      </w:pPr>
      <w:r>
        <w:rPr>
          <w:rFonts w:ascii="Arial" w:cs="Arial" w:eastAsia="Arial" w:hAnsi="Arial"/>
          <w:sz w:val="12"/>
          <w:szCs w:val="12"/>
          <w:color w:val="auto"/>
        </w:rPr>
        <w:t>We believe that our cash, cash equivalents and marketable securities balances, as well as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Part II, Item 1A,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Additionally, cash from operations could also be affected by various risks and uncertainties in connection with the COVID-19 pandemic, including timing and ability to collect payments from our customers and other risks detailed in Part II, Item 1A, “Risk Factors.”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Cash Flows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summarizes our cash flows:</w:t>
      </w:r>
    </w:p>
    <w:p>
      <w:pPr>
        <w:spacing w:after="0" w:line="181" w:lineRule="exact"/>
        <w:rPr>
          <w:sz w:val="20"/>
          <w:szCs w:val="20"/>
          <w:color w:val="auto"/>
        </w:rPr>
      </w:pPr>
    </w:p>
    <w:tbl>
      <w:tblPr>
        <w:tblLayout w:type="fixed"/>
        <w:tblInd w:w="800" w:type="dxa"/>
        <w:tblCellMar>
          <w:top w:w="0" w:type="dxa"/>
          <w:left w:w="0" w:type="dxa"/>
          <w:bottom w:w="0" w:type="dxa"/>
          <w:right w:w="0" w:type="dxa"/>
        </w:tblCellMar>
      </w:tblPr>
      <w:tr>
        <w:trPr>
          <w:trHeight w:val="138"/>
        </w:trPr>
        <w:tc>
          <w:tcPr>
            <w:tcW w:w="6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80" w:type="dxa"/>
            <w:vAlign w:val="bottom"/>
            <w:gridSpan w:val="4"/>
          </w:tcPr>
          <w:p>
            <w:pPr>
              <w:jc w:val="right"/>
              <w:ind w:right="139"/>
              <w:spacing w:after="0"/>
              <w:rPr>
                <w:sz w:val="20"/>
                <w:szCs w:val="20"/>
                <w:color w:val="auto"/>
              </w:rPr>
            </w:pPr>
            <w:r>
              <w:rPr>
                <w:rFonts w:ascii="Arial" w:cs="Arial" w:eastAsia="Arial" w:hAnsi="Arial"/>
                <w:sz w:val="12"/>
                <w:szCs w:val="12"/>
                <w:b w:val="1"/>
                <w:bCs w:val="1"/>
                <w:color w:val="auto"/>
              </w:rPr>
              <w:t>Nine Months Ended</w:t>
            </w:r>
          </w:p>
        </w:tc>
        <w:tc>
          <w:tcPr>
            <w:tcW w:w="1080" w:type="dxa"/>
            <w:vAlign w:val="bottom"/>
          </w:tcPr>
          <w:p>
            <w:pPr>
              <w:spacing w:after="0"/>
              <w:rPr>
                <w:sz w:val="12"/>
                <w:szCs w:val="12"/>
                <w:color w:val="auto"/>
              </w:rPr>
            </w:pPr>
          </w:p>
        </w:tc>
      </w:tr>
      <w:tr>
        <w:trPr>
          <w:trHeight w:val="161"/>
        </w:trPr>
        <w:tc>
          <w:tcPr>
            <w:tcW w:w="6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300"/>
              <w:spacing w:after="0"/>
              <w:rPr>
                <w:sz w:val="20"/>
                <w:szCs w:val="20"/>
                <w:color w:val="auto"/>
              </w:rPr>
            </w:pPr>
            <w:r>
              <w:rPr>
                <w:rFonts w:ascii="Arial" w:cs="Arial" w:eastAsia="Arial" w:hAnsi="Arial"/>
                <w:sz w:val="12"/>
                <w:szCs w:val="12"/>
                <w:b w:val="1"/>
                <w:bCs w:val="1"/>
                <w:color w:val="auto"/>
                <w:w w:val="92"/>
              </w:rPr>
              <w:t>September 30,</w:t>
            </w: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53"/>
        </w:trPr>
        <w:tc>
          <w:tcPr>
            <w:tcW w:w="6100" w:type="dxa"/>
            <w:vAlign w:val="bottom"/>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9"/>
              <w:spacing w:after="0"/>
              <w:rPr>
                <w:sz w:val="20"/>
                <w:szCs w:val="20"/>
                <w:color w:val="auto"/>
              </w:rPr>
            </w:pPr>
            <w:r>
              <w:rPr>
                <w:rFonts w:ascii="Arial" w:cs="Arial" w:eastAsia="Arial" w:hAnsi="Arial"/>
                <w:sz w:val="12"/>
                <w:szCs w:val="12"/>
                <w:b w:val="1"/>
                <w:bCs w:val="1"/>
                <w:color w:val="auto"/>
              </w:rPr>
              <w:t>2020</w:t>
            </w:r>
          </w:p>
        </w:tc>
      </w:tr>
      <w:tr>
        <w:trPr>
          <w:trHeight w:val="153"/>
        </w:trPr>
        <w:tc>
          <w:tcPr>
            <w:tcW w:w="6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80" w:type="dxa"/>
            <w:vAlign w:val="bottom"/>
            <w:gridSpan w:val="4"/>
          </w:tcPr>
          <w:p>
            <w:pPr>
              <w:jc w:val="right"/>
              <w:ind w:right="299"/>
              <w:spacing w:after="0"/>
              <w:rPr>
                <w:sz w:val="20"/>
                <w:szCs w:val="20"/>
                <w:color w:val="auto"/>
              </w:rPr>
            </w:pPr>
            <w:r>
              <w:rPr>
                <w:rFonts w:ascii="Arial" w:cs="Arial" w:eastAsia="Arial" w:hAnsi="Arial"/>
                <w:sz w:val="12"/>
                <w:szCs w:val="12"/>
                <w:color w:val="auto"/>
              </w:rPr>
              <w:t>(In thousands)</w:t>
            </w:r>
          </w:p>
        </w:tc>
        <w:tc>
          <w:tcPr>
            <w:tcW w:w="1080" w:type="dxa"/>
            <w:vAlign w:val="bottom"/>
          </w:tcPr>
          <w:p>
            <w:pPr>
              <w:spacing w:after="0"/>
              <w:rPr>
                <w:sz w:val="13"/>
                <w:szCs w:val="13"/>
                <w:color w:val="auto"/>
              </w:rPr>
            </w:pPr>
          </w:p>
        </w:tc>
      </w:tr>
      <w:tr>
        <w:trPr>
          <w:trHeight w:val="166"/>
        </w:trPr>
        <w:tc>
          <w:tcPr>
            <w:tcW w:w="61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Net cash (used in) provided by operating activities</w:t>
            </w:r>
          </w:p>
        </w:tc>
        <w:tc>
          <w:tcPr>
            <w:tcW w:w="1300" w:type="dxa"/>
            <w:vAlign w:val="bottom"/>
            <w:shd w:val="clear" w:color="auto" w:fill="CCEEFF"/>
          </w:tcPr>
          <w:p>
            <w:pPr>
              <w:jc w:val="right"/>
              <w:ind w:right="799"/>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(19,949)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17,753</w:t>
            </w:r>
          </w:p>
        </w:tc>
      </w:tr>
      <w:tr>
        <w:trPr>
          <w:trHeight w:val="161"/>
        </w:trPr>
        <w:tc>
          <w:tcPr>
            <w:tcW w:w="6100" w:type="dxa"/>
            <w:vAlign w:val="bottom"/>
          </w:tcPr>
          <w:p>
            <w:pPr>
              <w:ind w:left="380"/>
              <w:spacing w:after="0"/>
              <w:rPr>
                <w:sz w:val="20"/>
                <w:szCs w:val="20"/>
                <w:color w:val="auto"/>
              </w:rPr>
            </w:pPr>
            <w:r>
              <w:rPr>
                <w:rFonts w:ascii="Arial" w:cs="Arial" w:eastAsia="Arial" w:hAnsi="Arial"/>
                <w:sz w:val="12"/>
                <w:szCs w:val="12"/>
                <w:color w:val="auto"/>
              </w:rPr>
              <w:t>Net cash used in investing activities</w:t>
            </w:r>
          </w:p>
        </w:tc>
        <w:tc>
          <w:tcPr>
            <w:tcW w:w="13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4"/>
              </w:rPr>
              <w:t>(2,451,736)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(620,945)</w:t>
            </w:r>
          </w:p>
        </w:tc>
      </w:tr>
      <w:tr>
        <w:trPr>
          <w:trHeight w:val="166"/>
        </w:trPr>
        <w:tc>
          <w:tcPr>
            <w:tcW w:w="61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Net cash provided by financing activities</w:t>
            </w:r>
          </w:p>
        </w:tc>
        <w:tc>
          <w:tcPr>
            <w:tcW w:w="1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3,039,300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1,476,559</w:t>
            </w:r>
          </w:p>
        </w:tc>
      </w:tr>
      <w:tr>
        <w:trPr>
          <w:trHeight w:val="161"/>
        </w:trPr>
        <w:tc>
          <w:tcPr>
            <w:tcW w:w="610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Effect of exchange rate changes on cash, cash equivalents and restricted cash</w:t>
            </w:r>
          </w:p>
        </w:tc>
        <w:tc>
          <w:tcPr>
            <w:tcW w:w="1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81"/>
        </w:trPr>
        <w:tc>
          <w:tcPr>
            <w:tcW w:w="6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Net increase in cash, cash equivalents and restricted cash</w:t>
            </w:r>
          </w:p>
        </w:tc>
        <w:tc>
          <w:tcPr>
            <w:tcW w:w="13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567,458</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873,367</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Cash Flows from Operating Activities</w:t>
      </w:r>
    </w:p>
    <w:p>
      <w:pPr>
        <w:spacing w:after="0" w:line="166" w:lineRule="exact"/>
        <w:rPr>
          <w:sz w:val="20"/>
          <w:szCs w:val="20"/>
          <w:color w:val="auto"/>
        </w:rPr>
      </w:pPr>
    </w:p>
    <w:p>
      <w:pPr>
        <w:ind w:right="40" w:firstLine="367"/>
        <w:spacing w:after="0" w:line="294" w:lineRule="auto"/>
        <w:rPr>
          <w:sz w:val="20"/>
          <w:szCs w:val="20"/>
          <w:color w:val="auto"/>
        </w:rPr>
      </w:pPr>
      <w:r>
        <w:rPr>
          <w:rFonts w:ascii="Arial" w:cs="Arial" w:eastAsia="Arial" w:hAnsi="Arial"/>
          <w:sz w:val="12"/>
          <w:szCs w:val="12"/>
          <w:color w:val="auto"/>
        </w:rPr>
        <w:t>In the nine months ended September 30, 2021, cash used in operating activities consisted primarily of our net loss of $658.5 million adjusted for non-cash items, including $445.4 million of stock-based compensation expense, $189.7 million of depreciation and amortization expense, $36.2 million of non-cash reduction to our operating right-of-use asset, $24.6 million of donated common stock, $20.8 million amortization of deferred commissions, $15.6 million of tax benefit related to our Zipwhip and prior acquisitions, a $11.4 million increase in our allowance for credit losses, $5.5 million amortization of debt discount and issuance costs, and $141.8 million of cumulative changes in operating assets and liabilities. With respect to changes in operating assets and liabilities, accounts receivable and prepaid expenses increased $141.1 million primarily due to the timing of cash receipts from certain of our larger customers, pre-payments for cloud infrastructure fees and certain operating expenses. Accounts payable and other current liabilities increased $76.1 million primarily due to increases in transaction volumes. Operating lease liability decreased $36.3 million due to payments made against our operating lease obligations. Other long-term assets increased $66.5 million primarily due to an increase in the sales commissions balances related to the growth of our business.</w:t>
      </w:r>
    </w:p>
    <w:p>
      <w:pPr>
        <w:spacing w:after="0" w:line="123" w:lineRule="exact"/>
        <w:rPr>
          <w:sz w:val="20"/>
          <w:szCs w:val="20"/>
          <w:color w:val="auto"/>
        </w:rPr>
      </w:pPr>
    </w:p>
    <w:p>
      <w:pPr>
        <w:ind w:firstLine="367"/>
        <w:spacing w:after="0" w:line="295" w:lineRule="auto"/>
        <w:rPr>
          <w:sz w:val="20"/>
          <w:szCs w:val="20"/>
          <w:color w:val="auto"/>
        </w:rPr>
      </w:pPr>
      <w:r>
        <w:rPr>
          <w:rFonts w:ascii="Arial" w:cs="Arial" w:eastAsia="Arial" w:hAnsi="Arial"/>
          <w:sz w:val="12"/>
          <w:szCs w:val="12"/>
          <w:color w:val="auto"/>
        </w:rPr>
        <w:t>In the nine months ended September 30, 2020, cash provided by operating activities consisted primarily of our net loss of $311.6 million adjusted for non-cash items, including $237.8 million of stock-based compensation expense, $98.1 million of depreciation and amortization expense, $27.2 million of reduction to our operating right-of-use asset, $18.4 million in amortization of debt discount and issuance costs, a $8.4 million increase in allowance for credit losses, $8.6 million of amortization of our deferred sales commissions and $86.8 million of cumulative changes in operating assets and liabilities. With respect to changes in operating assets and liabilities, accounts receivable and prepaid expenses increased $67.1 million primarily due to the timing of cash receipts from our customers, pre-payments for cloud infrastructure fees and certain operating expenses. Accounts payable and other current liabilities increased $59.7 million primarily due to increases in transaction volumes. Operating right-of-use liability decreased $25.2 million due to payments made against our operating lease obligations. Long-term assets increased $64.8 million primarily due to an increase in the sales commissions balances related to the growth of our business.</w:t>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Cash Flows from Investing Activities</w:t>
      </w:r>
    </w:p>
    <w:p>
      <w:pPr>
        <w:spacing w:after="0" w:line="166" w:lineRule="exact"/>
        <w:rPr>
          <w:sz w:val="20"/>
          <w:szCs w:val="20"/>
          <w:color w:val="auto"/>
        </w:rPr>
      </w:pPr>
    </w:p>
    <w:p>
      <w:pPr>
        <w:ind w:right="200" w:firstLine="367"/>
        <w:spacing w:after="0" w:line="345" w:lineRule="auto"/>
        <w:rPr>
          <w:sz w:val="20"/>
          <w:szCs w:val="20"/>
          <w:color w:val="auto"/>
        </w:rPr>
      </w:pPr>
      <w:r>
        <w:rPr>
          <w:rFonts w:ascii="Arial" w:cs="Arial" w:eastAsia="Arial" w:hAnsi="Arial"/>
          <w:sz w:val="12"/>
          <w:szCs w:val="12"/>
          <w:color w:val="auto"/>
        </w:rPr>
        <w:t>In the nine months ended September 30, 2021, cash used in investing activities was $2.5 billion primarily consisting of $1.9 billion purchases of marketable securities and other investments, net of maturities and sales, $490.9 million of net cash paid to acquire other businesses, $33.6 million related to purchases of long-lived assets and $35.9 million related to capitalized software development costs.</w:t>
      </w:r>
    </w:p>
    <w:p>
      <w:pPr>
        <w:spacing w:after="0" w:line="93" w:lineRule="exact"/>
        <w:rPr>
          <w:sz w:val="20"/>
          <w:szCs w:val="20"/>
          <w:color w:val="auto"/>
        </w:rPr>
      </w:pPr>
    </w:p>
    <w:p>
      <w:pPr>
        <w:ind w:right="220" w:firstLine="367"/>
        <w:spacing w:after="0" w:line="261" w:lineRule="auto"/>
        <w:rPr>
          <w:sz w:val="20"/>
          <w:szCs w:val="20"/>
          <w:color w:val="auto"/>
        </w:rPr>
      </w:pPr>
      <w:r>
        <w:rPr>
          <w:rFonts w:ascii="Arial" w:cs="Arial" w:eastAsia="Arial" w:hAnsi="Arial"/>
          <w:sz w:val="14"/>
          <w:szCs w:val="14"/>
          <w:color w:val="auto"/>
        </w:rPr>
        <w:t>In the nine months ended September 30, 2020, cash used in investing activities was $620.9 million primarily consisting of $572.8 million of purchases of marketable securities net of maturities and sales, $26.1 million related to capitalized software development costs and $19.3 million related to purchases of long-lived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Cash Flows from Financing Activities</w:t>
      </w:r>
    </w:p>
    <w:p>
      <w:pPr>
        <w:spacing w:after="0" w:line="166" w:lineRule="exact"/>
        <w:rPr>
          <w:sz w:val="20"/>
          <w:szCs w:val="20"/>
          <w:color w:val="auto"/>
        </w:rPr>
      </w:pPr>
    </w:p>
    <w:p>
      <w:pPr>
        <w:ind w:right="20" w:firstLine="367"/>
        <w:spacing w:after="0" w:line="247" w:lineRule="auto"/>
        <w:rPr>
          <w:sz w:val="20"/>
          <w:szCs w:val="20"/>
          <w:color w:val="auto"/>
        </w:rPr>
      </w:pPr>
      <w:r>
        <w:rPr>
          <w:rFonts w:ascii="Arial" w:cs="Arial" w:eastAsia="Arial" w:hAnsi="Arial"/>
          <w:sz w:val="14"/>
          <w:szCs w:val="14"/>
          <w:color w:val="auto"/>
        </w:rPr>
        <w:t>In the nine months ended September 30, 2021, cash provided by financing activities was $3.0 billion primarily consisting of $1.8 billion in net proceeds from our public equity offering, $984.7 million in net proceeds from the issuance of our 2029 Notes and 2031 Notes, as described in Note 10 to our condensed consolidated financial statements included elsewhere in this Quarterly Report on Form 10-Q, $228.4 million in net proceeds from the settlement of the capped call transactions related to our convertible notes fully redeemed in the second quarter of 2021, and $71.6 million in proceeds from stock options exercised by our employees and shares issued under our employee stock purchase plan. This was offset by $4.9 million in principal payments made on finance leases and $6.6 million related to the value of equity awards withheld to settle tax liabilities.</w:t>
      </w:r>
    </w:p>
    <w:p>
      <w:pPr>
        <w:spacing w:after="0" w:line="151" w:lineRule="exact"/>
        <w:rPr>
          <w:sz w:val="20"/>
          <w:szCs w:val="20"/>
          <w:color w:val="auto"/>
        </w:rPr>
      </w:pPr>
    </w:p>
    <w:p>
      <w:pPr>
        <w:ind w:right="180" w:firstLine="367"/>
        <w:spacing w:after="0" w:line="252" w:lineRule="auto"/>
        <w:rPr>
          <w:sz w:val="20"/>
          <w:szCs w:val="20"/>
          <w:color w:val="auto"/>
        </w:rPr>
      </w:pPr>
      <w:r>
        <w:rPr>
          <w:rFonts w:ascii="Arial" w:cs="Arial" w:eastAsia="Arial" w:hAnsi="Arial"/>
          <w:sz w:val="14"/>
          <w:szCs w:val="14"/>
          <w:color w:val="auto"/>
        </w:rPr>
        <w:t>In the nine months ended September 30, 2020, cash provided by financing activities was $1.5 billion primarily consisting of $1.4 billion in net proceeds from our public equity offering, and $79.2 million in proceeds from stock options exercised by our employees and shares issued under our employee stock purchase plan. These inflows were partially offset by $6.7 million in principal payments on our convertible notes and financing leases and $4.2 million related to the value of equity awards withheld to settle tax liabilities.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68" w:lineRule="exact"/>
        <w:rPr>
          <w:sz w:val="20"/>
          <w:szCs w:val="20"/>
          <w:color w:val="auto"/>
        </w:rPr>
      </w:pPr>
    </w:p>
    <w:p>
      <w:pPr>
        <w:ind w:right="220" w:firstLine="367"/>
        <w:spacing w:after="0" w:line="249" w:lineRule="auto"/>
        <w:rPr>
          <w:sz w:val="20"/>
          <w:szCs w:val="20"/>
          <w:color w:val="auto"/>
        </w:rPr>
      </w:pPr>
      <w:r>
        <w:rPr>
          <w:rFonts w:ascii="Arial" w:cs="Arial" w:eastAsia="Arial" w:hAnsi="Arial"/>
          <w:sz w:val="14"/>
          <w:szCs w:val="14"/>
          <w:color w:val="auto"/>
        </w:rPr>
        <w:t>Our unaudited condensed consolidated financial statements are prepared in accordance with generally accepted accounting principles in the United States of America.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48" w:lineRule="exact"/>
        <w:rPr>
          <w:sz w:val="20"/>
          <w:szCs w:val="20"/>
          <w:color w:val="auto"/>
        </w:rPr>
      </w:pPr>
    </w:p>
    <w:p>
      <w:pPr>
        <w:jc w:val="both"/>
        <w:ind w:right="160" w:firstLine="367"/>
        <w:spacing w:after="0" w:line="345" w:lineRule="auto"/>
        <w:rPr>
          <w:sz w:val="20"/>
          <w:szCs w:val="20"/>
          <w:color w:val="auto"/>
        </w:rPr>
      </w:pPr>
      <w:r>
        <w:rPr>
          <w:rFonts w:ascii="Arial" w:cs="Arial" w:eastAsia="Arial" w:hAnsi="Arial"/>
          <w:sz w:val="12"/>
          <w:szCs w:val="12"/>
          <w:color w:val="auto"/>
        </w:rPr>
        <w:t>Other than the adoption of our derivatives and hedging policy in the second quarter of 2021, as further described in Note 2(e) to our unaudited condensed consolidated financial statements included elsewhere in this Quarterly Report on Form 10-Q, there have been no changes to our critical accounting policies as described in our Annual Report on Form 10-K filed with the SEC on February 26, 2021.</w:t>
      </w:r>
    </w:p>
    <w:p>
      <w:pPr>
        <w:spacing w:after="0" w:line="91" w:lineRule="exact"/>
        <w:rPr>
          <w:sz w:val="20"/>
          <w:szCs w:val="20"/>
          <w:color w:val="auto"/>
        </w:rPr>
      </w:pPr>
    </w:p>
    <w:p>
      <w:pPr>
        <w:ind w:left="4300"/>
        <w:spacing w:after="0"/>
        <w:rPr>
          <w:sz w:val="20"/>
          <w:szCs w:val="20"/>
          <w:color w:val="auto"/>
        </w:rPr>
      </w:pPr>
      <w:r>
        <w:rPr>
          <w:rFonts w:ascii="Arial" w:cs="Arial" w:eastAsia="Arial" w:hAnsi="Arial"/>
          <w:sz w:val="14"/>
          <w:szCs w:val="14"/>
          <w:b w:val="1"/>
          <w:bCs w:val="1"/>
          <w:color w:val="auto"/>
        </w:rPr>
        <w:t>Accounting Pronouncements Not Yet Adopted</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There are no material recent accounting pronouncements not yet adopted.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Off-Balance Sheet Arrangements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have not entered into any off-balance sheet arrangements and do not have any holdings in variable interest entities.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Contractual Obligations and Other Commitments</w:t>
      </w:r>
    </w:p>
    <w:p>
      <w:pPr>
        <w:spacing w:after="0" w:line="168" w:lineRule="exact"/>
        <w:rPr>
          <w:sz w:val="20"/>
          <w:szCs w:val="20"/>
          <w:color w:val="auto"/>
        </w:rPr>
      </w:pPr>
    </w:p>
    <w:p>
      <w:pPr>
        <w:ind w:right="20" w:firstLine="367"/>
        <w:spacing w:after="0" w:line="252" w:lineRule="auto"/>
        <w:rPr>
          <w:sz w:val="20"/>
          <w:szCs w:val="20"/>
          <w:color w:val="auto"/>
        </w:rPr>
      </w:pPr>
      <w:r>
        <w:rPr>
          <w:rFonts w:ascii="Arial" w:cs="Arial" w:eastAsia="Arial" w:hAnsi="Arial"/>
          <w:sz w:val="14"/>
          <w:szCs w:val="14"/>
          <w:color w:val="auto"/>
        </w:rPr>
        <w:t>Our principal commitments consist of obligations under our 2029 Notes and 2031 Notes, our operating leases for office space and our contractual commitments to our cloud infrastructure and network service providers. In the three and nine months ended September 30, 2021, we entered into several non-cancelable vendor agreements with terms up to four years for a total purchase commitment of $9.0 million and $447.0 million, respectively.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Available Information</w:t>
      </w:r>
    </w:p>
    <w:p>
      <w:pPr>
        <w:spacing w:after="0" w:line="168" w:lineRule="exact"/>
        <w:rPr>
          <w:sz w:val="20"/>
          <w:szCs w:val="20"/>
          <w:color w:val="auto"/>
        </w:rPr>
      </w:pPr>
    </w:p>
    <w:p>
      <w:pPr>
        <w:ind w:right="20" w:firstLine="367"/>
        <w:spacing w:after="0" w:line="314" w:lineRule="auto"/>
        <w:rPr>
          <w:sz w:val="20"/>
          <w:szCs w:val="20"/>
          <w:color w:val="auto"/>
        </w:rPr>
      </w:pPr>
      <w:r>
        <w:rPr>
          <w:rFonts w:ascii="Arial" w:cs="Arial" w:eastAsia="Arial" w:hAnsi="Arial"/>
          <w:sz w:val="12"/>
          <w:szCs w:val="12"/>
          <w:color w:val="auto"/>
        </w:rPr>
        <w:t>The following filings are available for download free of charge through our investor relations website after we file them with the Securities and Exchange Commission (“SEC”): Annual Report on Form 10-K, Quarterly Reports on Form 10-Q and our Proxy Statement for our annual meeting of stockholders. Our investor relations website is located at http://investors.twilio.com. The SEC also maintains an Internet website that contains reports, proxy statements and other information about issuers, like us, that file electronically with the SEC. The address of that website is www.sec.gov.</w:t>
      </w:r>
    </w:p>
    <w:p>
      <w:pPr>
        <w:spacing w:after="0" w:line="111" w:lineRule="exact"/>
        <w:rPr>
          <w:sz w:val="20"/>
          <w:szCs w:val="20"/>
          <w:color w:val="auto"/>
        </w:rPr>
      </w:pPr>
    </w:p>
    <w:p>
      <w:pPr>
        <w:ind w:firstLine="367"/>
        <w:spacing w:after="0" w:line="304" w:lineRule="auto"/>
        <w:rPr>
          <w:sz w:val="20"/>
          <w:szCs w:val="20"/>
          <w:color w:val="auto"/>
        </w:rPr>
      </w:pPr>
      <w:r>
        <w:rPr>
          <w:rFonts w:ascii="Arial" w:cs="Arial" w:eastAsia="Arial" w:hAnsi="Arial"/>
          <w:sz w:val="12"/>
          <w:szCs w:val="12"/>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(https://investors.twilio.com). We also use our Twitter Account (https://twitter.com/twilio) and the Twitter account of our Chief Executive Officer, Jeff Lawson (https://twitter.com/jeffiel) as a means of disclosing information about our Company, our services and other matters and for complying with our disclosure obligations under Regulation FD.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both"/>
        <w:ind w:firstLine="367"/>
        <w:spacing w:after="0" w:line="314" w:lineRule="auto"/>
        <w:rPr>
          <w:sz w:val="20"/>
          <w:szCs w:val="20"/>
          <w:color w:val="auto"/>
        </w:rPr>
      </w:pPr>
      <w:r>
        <w:rPr>
          <w:rFonts w:ascii="Arial" w:cs="Arial" w:eastAsia="Arial" w:hAnsi="Arial"/>
          <w:sz w:val="12"/>
          <w:szCs w:val="12"/>
          <w:color w:val="auto"/>
        </w:rPr>
        <w:t>Further corporate governance information, including our corporate governance guidelines and code of business conduct and ethics, is also available on our investor relations website under the heading “Corporate Governance.” The contents of our websites and the social media channels identified above are not intended to be incorporated by reference into this Quarterly Report on Form 10-Q or in any other report or document we file with the SEC, and any references to our websites are intended to be inactive textual references only.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3. </w:t>
      </w:r>
      <w:r>
        <w:rPr>
          <w:rFonts w:ascii="Arial" w:cs="Arial" w:eastAsia="Arial" w:hAnsi="Arial"/>
          <w:sz w:val="14"/>
          <w:szCs w:val="14"/>
          <w:b w:val="1"/>
          <w:bCs w:val="1"/>
          <w:i w:val="1"/>
          <w:iCs w:val="1"/>
          <w:color w:val="auto"/>
        </w:rPr>
        <w:t>Quantitative and Qualitative Disclosures about Market Risk</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are exposed to certain market risks in the ordinary course of our business, including sensitivities as follows: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66" w:lineRule="exact"/>
        <w:rPr>
          <w:sz w:val="20"/>
          <w:szCs w:val="20"/>
          <w:color w:val="auto"/>
        </w:rPr>
      </w:pPr>
    </w:p>
    <w:p>
      <w:pPr>
        <w:ind w:right="60" w:firstLine="367"/>
        <w:spacing w:after="0" w:line="165" w:lineRule="exact"/>
        <w:rPr>
          <w:sz w:val="20"/>
          <w:szCs w:val="20"/>
          <w:color w:val="auto"/>
        </w:rPr>
      </w:pPr>
      <w:r>
        <w:rPr>
          <w:rFonts w:ascii="Arial" w:cs="Arial" w:eastAsia="Arial" w:hAnsi="Arial"/>
          <w:sz w:val="12"/>
          <w:szCs w:val="12"/>
          <w:color w:val="auto"/>
        </w:rPr>
        <w:t>We had cash, cash equivalents and restricted cash of $1.5 billion and marketable securities of $3.9 billion as of September 30, 2021. Cash, cash equivalents and restricted cash consist of bank deposits and money market funds. Marketable securities consist primarily of U.S. treasury securities and high credit quality corporate debt securities. The cash and cash equivalents and marketable securities are held for working capital purposes. Such interest</w:t>
      </w:r>
      <w:r>
        <w:rPr>
          <w:rFonts w:ascii="MS PGothic" w:cs="MS PGothic" w:eastAsia="MS PGothic" w:hAnsi="MS PGothic"/>
          <w:sz w:val="12"/>
          <w:szCs w:val="12"/>
          <w:color w:val="auto"/>
        </w:rPr>
        <w:t>‑</w:t>
      </w:r>
      <w:r>
        <w:rPr>
          <w:rFonts w:ascii="Arial" w:cs="Arial" w:eastAsia="Arial" w:hAnsi="Arial"/>
          <w:sz w:val="12"/>
          <w:szCs w:val="12"/>
          <w:color w:val="auto"/>
        </w:rPr>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w:t>
      </w:r>
      <w:r>
        <w:rPr>
          <w:rFonts w:ascii="MS PGothic" w:cs="MS PGothic" w:eastAsia="MS PGothic" w:hAnsi="MS PGothic"/>
          <w:sz w:val="12"/>
          <w:szCs w:val="12"/>
          <w:color w:val="auto"/>
        </w:rPr>
        <w:t>‑</w:t>
      </w:r>
      <w:r>
        <w:rPr>
          <w:rFonts w:ascii="Arial" w:cs="Arial" w:eastAsia="Arial" w:hAnsi="Arial"/>
          <w:sz w:val="12"/>
          <w:szCs w:val="12"/>
          <w:color w:val="auto"/>
        </w:rPr>
        <w:t>term nature of our investments, we have not been exposed to, nor do we anticipate being exposed to, material risks due to changes in interest rates. A hypothetical 10% change in interest rates during any of the periods presented would not have had a material impact on our unaudited condensed consolidated financial statements.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May 2018, we issued $550.0 million aggregate principal amount of Convertible Notes, which were fully redeemed as of June 2, 2021.</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March 2021, we issued and sold $1.0 billion aggregate principal amount of our 2029 Notes and 2031 Notes carrying fixed interest rates of 3.625% and 3.875%, respectively.</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Currency Exchange Risks</w:t>
      </w:r>
    </w:p>
    <w:p>
      <w:pPr>
        <w:spacing w:after="0" w:line="166" w:lineRule="exact"/>
        <w:rPr>
          <w:sz w:val="20"/>
          <w:szCs w:val="20"/>
          <w:color w:val="auto"/>
        </w:rPr>
      </w:pPr>
    </w:p>
    <w:p>
      <w:pPr>
        <w:ind w:right="20" w:firstLine="367"/>
        <w:spacing w:after="0" w:line="252" w:lineRule="auto"/>
        <w:rPr>
          <w:sz w:val="20"/>
          <w:szCs w:val="20"/>
          <w:color w:val="auto"/>
        </w:rPr>
      </w:pPr>
      <w:r>
        <w:rPr>
          <w:rFonts w:ascii="Arial" w:cs="Arial" w:eastAsia="Arial" w:hAnsi="Arial"/>
          <w:sz w:val="14"/>
          <w:szCs w:val="14"/>
          <w:color w:val="auto"/>
        </w:rPr>
        <w:t>The functional currency of most of our foreign subsidiaries is the U.S. dollar. The local currencies of our foreign subsidiaries are the Australian dollar, the Bermuda dollar, the Brazilian real, the British pound, the Canadian dollar, the Columbian peso, the Czech Republic koruna, the Euro, the Hong Kong dollar, the Indian rupee, the Japanese yen, the Mexican Peso, the Polish Zloty, the Serbian dinar, the Singapore dollar and the Swedish krona.</w:t>
      </w:r>
    </w:p>
    <w:p>
      <w:pPr>
        <w:spacing w:after="0" w:line="146" w:lineRule="exact"/>
        <w:rPr>
          <w:sz w:val="20"/>
          <w:szCs w:val="20"/>
          <w:color w:val="auto"/>
        </w:rPr>
      </w:pPr>
    </w:p>
    <w:p>
      <w:pPr>
        <w:jc w:val="both"/>
        <w:ind w:right="100" w:firstLine="367"/>
        <w:spacing w:after="0" w:line="252" w:lineRule="auto"/>
        <w:rPr>
          <w:sz w:val="20"/>
          <w:szCs w:val="20"/>
          <w:color w:val="auto"/>
        </w:rPr>
      </w:pPr>
      <w:r>
        <w:rPr>
          <w:rFonts w:ascii="Arial" w:cs="Arial" w:eastAsia="Arial" w:hAnsi="Arial"/>
          <w:sz w:val="14"/>
          <w:szCs w:val="14"/>
          <w:color w:val="auto"/>
        </w:rPr>
        <w:t>Our subsidiaries remeasure monetary assets and liabilities at period-end exchange rates, while non-monetary items are remeasured at historical rates. Revenue and expense accounts are remeasured at the average exchange rate in effect during the year. If there is a change in foreign currency exchange rates, the conversion of our foreign subsidiaries’ financial statements into U.S. dollars would result in a realized gain or loss which is recorded in our unaudited condensed consolidated statements of operations.</w:t>
      </w:r>
    </w:p>
    <w:p>
      <w:pPr>
        <w:spacing w:after="0" w:line="146" w:lineRule="exact"/>
        <w:rPr>
          <w:sz w:val="20"/>
          <w:szCs w:val="20"/>
          <w:color w:val="auto"/>
        </w:rPr>
      </w:pPr>
    </w:p>
    <w:p>
      <w:pPr>
        <w:jc w:val="both"/>
        <w:ind w:right="100" w:firstLine="367"/>
        <w:spacing w:after="0" w:line="345" w:lineRule="auto"/>
        <w:rPr>
          <w:sz w:val="20"/>
          <w:szCs w:val="20"/>
          <w:color w:val="auto"/>
        </w:rPr>
      </w:pPr>
      <w:r>
        <w:rPr>
          <w:rFonts w:ascii="Arial" w:cs="Arial" w:eastAsia="Arial" w:hAnsi="Arial"/>
          <w:sz w:val="12"/>
          <w:szCs w:val="12"/>
          <w:color w:val="auto"/>
        </w:rPr>
        <w:t>Due to our exposure to market risks that may result from changes in foreign currency exchange rates, we enter into foreign currency derivative hedging transactions to mitigate these risks. For further information, refer to Note 2(e) and Note 4 to our condensed consolidated financial statements included elsewhere in this Quarterly Report on Form 10-Q.</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 hypothetical 10% change in foreign exchange rates during any of the periods presented would not have had a material impact on our unaudited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4. </w:t>
      </w:r>
      <w:r>
        <w:rPr>
          <w:rFonts w:ascii="Arial" w:cs="Arial" w:eastAsia="Arial" w:hAnsi="Arial"/>
          <w:sz w:val="14"/>
          <w:szCs w:val="14"/>
          <w:b w:val="1"/>
          <w:bCs w:val="1"/>
          <w:i w:val="1"/>
          <w:iCs w:val="1"/>
          <w:color w:val="auto"/>
        </w:rPr>
        <w:t>Controls and Procedures</w:t>
      </w:r>
    </w:p>
    <w:p>
      <w:pPr>
        <w:spacing w:after="0" w:line="166" w:lineRule="exact"/>
        <w:rPr>
          <w:sz w:val="20"/>
          <w:szCs w:val="20"/>
          <w:color w:val="auto"/>
        </w:rPr>
      </w:pPr>
    </w:p>
    <w:p>
      <w:pPr>
        <w:ind w:left="360"/>
        <w:spacing w:after="0"/>
        <w:tabs>
          <w:tab w:leader="none" w:pos="640" w:val="left"/>
        </w:tabs>
        <w:rPr>
          <w:sz w:val="20"/>
          <w:szCs w:val="20"/>
          <w:color w:val="auto"/>
        </w:rPr>
      </w:pPr>
      <w:r>
        <w:rPr>
          <w:rFonts w:ascii="Arial" w:cs="Arial" w:eastAsia="Arial" w:hAnsi="Arial"/>
          <w:sz w:val="14"/>
          <w:szCs w:val="14"/>
          <w:b w:val="1"/>
          <w:bCs w:val="1"/>
          <w:color w:val="auto"/>
        </w:rPr>
        <w:t>(a)</w:t>
      </w:r>
      <w:r>
        <w:rPr>
          <w:sz w:val="20"/>
          <w:szCs w:val="20"/>
          <w:color w:val="auto"/>
        </w:rPr>
        <w:tab/>
      </w:r>
      <w:r>
        <w:rPr>
          <w:rFonts w:ascii="Arial" w:cs="Arial" w:eastAsia="Arial" w:hAnsi="Arial"/>
          <w:sz w:val="12"/>
          <w:szCs w:val="12"/>
          <w:b w:val="1"/>
          <w:bCs w:val="1"/>
          <w:color w:val="auto"/>
        </w:rPr>
        <w:t>Evaluation of Disclosure Controls and Procedures</w:t>
      </w:r>
    </w:p>
    <w:p>
      <w:pPr>
        <w:spacing w:after="0" w:line="168" w:lineRule="exact"/>
        <w:rPr>
          <w:sz w:val="20"/>
          <w:szCs w:val="20"/>
          <w:color w:val="auto"/>
        </w:rPr>
      </w:pPr>
    </w:p>
    <w:p>
      <w:pPr>
        <w:ind w:right="520" w:firstLine="367"/>
        <w:spacing w:after="0" w:line="261" w:lineRule="auto"/>
        <w:rPr>
          <w:sz w:val="20"/>
          <w:szCs w:val="20"/>
          <w:color w:val="auto"/>
        </w:rPr>
      </w:pPr>
      <w:r>
        <w:rPr>
          <w:rFonts w:ascii="Arial" w:cs="Arial" w:eastAsia="Arial" w:hAnsi="Arial"/>
          <w:sz w:val="14"/>
          <w:szCs w:val="14"/>
          <w:color w:val="auto"/>
        </w:rPr>
        <w:t>Our management, with the participation of our Chief Executive Officer and Principal Financial Officer, has evaluated the effectiveness of our disclosure controls and procedures (as defined in Rules 13a-15(e) and 15d-15(e) under the Exchange Act), as of the end of the period covered by this Quarterly Report on Form 10-Q.</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20" w:firstLine="367"/>
        <w:spacing w:after="0" w:line="249" w:lineRule="auto"/>
        <w:rPr>
          <w:sz w:val="20"/>
          <w:szCs w:val="20"/>
          <w:color w:val="auto"/>
        </w:rPr>
      </w:pPr>
      <w:r>
        <w:rPr>
          <w:rFonts w:ascii="Arial" w:cs="Arial" w:eastAsia="Arial" w:hAnsi="Arial"/>
          <w:sz w:val="14"/>
          <w:szCs w:val="14"/>
          <w:color w:val="auto"/>
        </w:rPr>
        <w:t>Based on this evaluation, our Chief Executive Officer and Principal Financial Officer concluded that, as of September 30, 2021,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Principal Financial Officer, as appropriate, to allow timely decisions regarding required disclosures.</w:t>
      </w:r>
    </w:p>
    <w:p>
      <w:pPr>
        <w:spacing w:after="0" w:line="146" w:lineRule="exact"/>
        <w:rPr>
          <w:sz w:val="20"/>
          <w:szCs w:val="20"/>
          <w:color w:val="auto"/>
        </w:rPr>
      </w:pPr>
    </w:p>
    <w:p>
      <w:pPr>
        <w:ind w:left="360"/>
        <w:spacing w:after="0"/>
        <w:tabs>
          <w:tab w:leader="none" w:pos="660" w:val="left"/>
        </w:tabs>
        <w:rPr>
          <w:sz w:val="20"/>
          <w:szCs w:val="20"/>
          <w:color w:val="auto"/>
        </w:rPr>
      </w:pPr>
      <w:r>
        <w:rPr>
          <w:rFonts w:ascii="Arial" w:cs="Arial" w:eastAsia="Arial" w:hAnsi="Arial"/>
          <w:sz w:val="14"/>
          <w:szCs w:val="14"/>
          <w:b w:val="1"/>
          <w:bCs w:val="1"/>
          <w:color w:val="auto"/>
        </w:rPr>
        <w:t>(b)</w:t>
      </w:r>
      <w:r>
        <w:rPr>
          <w:sz w:val="20"/>
          <w:szCs w:val="20"/>
          <w:color w:val="auto"/>
        </w:rPr>
        <w:tab/>
      </w:r>
      <w:r>
        <w:rPr>
          <w:rFonts w:ascii="Arial" w:cs="Arial" w:eastAsia="Arial" w:hAnsi="Arial"/>
          <w:sz w:val="12"/>
          <w:szCs w:val="12"/>
          <w:b w:val="1"/>
          <w:bCs w:val="1"/>
          <w:color w:val="auto"/>
        </w:rPr>
        <w:t>Changes in Internal Control</w:t>
      </w:r>
    </w:p>
    <w:p>
      <w:pPr>
        <w:spacing w:after="0" w:line="168" w:lineRule="exact"/>
        <w:rPr>
          <w:sz w:val="20"/>
          <w:szCs w:val="20"/>
          <w:color w:val="auto"/>
        </w:rPr>
      </w:pPr>
    </w:p>
    <w:p>
      <w:pPr>
        <w:ind w:right="340" w:firstLine="367"/>
        <w:spacing w:after="0" w:line="261" w:lineRule="auto"/>
        <w:rPr>
          <w:sz w:val="20"/>
          <w:szCs w:val="20"/>
          <w:color w:val="auto"/>
        </w:rPr>
      </w:pPr>
      <w:r>
        <w:rPr>
          <w:rFonts w:ascii="Arial" w:cs="Arial" w:eastAsia="Arial" w:hAnsi="Arial"/>
          <w:sz w:val="14"/>
          <w:szCs w:val="14"/>
          <w:color w:val="auto"/>
        </w:rPr>
        <w:t>There were no changes in our internal control over financial reporting in connection with the evaluation required by Rule 13a-15 (d) and 15d-15 (d) of the Exchange Act that occurred during the quarter ended September 30, 2021 that materially affected, or are reasonably likely to materially affect, our internal control over financial reporting.</w:t>
      </w:r>
    </w:p>
    <w:p>
      <w:pPr>
        <w:spacing w:after="0" w:line="138" w:lineRule="exact"/>
        <w:rPr>
          <w:sz w:val="20"/>
          <w:szCs w:val="20"/>
          <w:color w:val="auto"/>
        </w:rPr>
      </w:pPr>
    </w:p>
    <w:p>
      <w:pPr>
        <w:ind w:left="360"/>
        <w:spacing w:after="0"/>
        <w:tabs>
          <w:tab w:leader="none" w:pos="640" w:val="left"/>
        </w:tabs>
        <w:rPr>
          <w:sz w:val="20"/>
          <w:szCs w:val="20"/>
          <w:color w:val="auto"/>
        </w:rPr>
      </w:pPr>
      <w:r>
        <w:rPr>
          <w:rFonts w:ascii="Arial" w:cs="Arial" w:eastAsia="Arial" w:hAnsi="Arial"/>
          <w:sz w:val="14"/>
          <w:szCs w:val="14"/>
          <w:b w:val="1"/>
          <w:bCs w:val="1"/>
          <w:color w:val="auto"/>
        </w:rPr>
        <w:t>(c)</w:t>
      </w:r>
      <w:r>
        <w:rPr>
          <w:sz w:val="20"/>
          <w:szCs w:val="20"/>
          <w:color w:val="auto"/>
        </w:rPr>
        <w:tab/>
      </w:r>
      <w:r>
        <w:rPr>
          <w:rFonts w:ascii="Arial" w:cs="Arial" w:eastAsia="Arial" w:hAnsi="Arial"/>
          <w:sz w:val="12"/>
          <w:szCs w:val="12"/>
          <w:b w:val="1"/>
          <w:bCs w:val="1"/>
          <w:color w:val="auto"/>
        </w:rPr>
        <w:t>Inherent Limitations on Effectiveness of Controls</w:t>
      </w:r>
    </w:p>
    <w:p>
      <w:pPr>
        <w:spacing w:after="0" w:line="168" w:lineRule="exact"/>
        <w:rPr>
          <w:sz w:val="20"/>
          <w:szCs w:val="20"/>
          <w:color w:val="auto"/>
        </w:rPr>
      </w:pPr>
    </w:p>
    <w:p>
      <w:pPr>
        <w:ind w:firstLine="367"/>
        <w:spacing w:after="0" w:line="165" w:lineRule="exact"/>
        <w:rPr>
          <w:sz w:val="20"/>
          <w:szCs w:val="20"/>
          <w:color w:val="auto"/>
        </w:rPr>
      </w:pPr>
      <w:r>
        <w:rPr>
          <w:rFonts w:ascii="Arial" w:cs="Arial" w:eastAsia="Arial" w:hAnsi="Arial"/>
          <w:sz w:val="12"/>
          <w:szCs w:val="12"/>
          <w:color w:val="auto"/>
        </w:rPr>
        <w:t>Our management, including our Chief Executive Officer and Principal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r>
      <w:r>
        <w:rPr>
          <w:rFonts w:ascii="MS PGothic" w:cs="MS PGothic" w:eastAsia="MS PGothic" w:hAnsi="MS PGothic"/>
          <w:sz w:val="12"/>
          <w:szCs w:val="12"/>
          <w:color w:val="auto"/>
        </w:rPr>
        <w:t>‑</w:t>
      </w:r>
      <w:r>
        <w:rPr>
          <w:rFonts w:ascii="Arial" w:cs="Arial" w:eastAsia="Arial" w:hAnsi="Arial"/>
          <w:sz w:val="12"/>
          <w:szCs w:val="12"/>
          <w:color w:val="auto"/>
        </w:rPr>
        <w:t>effective control system, misstatements due to error or fraud may occur and not be detected.</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 </w:t>
      </w:r>
      <w:r>
        <w:rPr>
          <w:rFonts w:ascii="Arial" w:cs="Arial" w:eastAsia="Arial" w:hAnsi="Arial"/>
          <w:sz w:val="14"/>
          <w:szCs w:val="14"/>
          <w:b w:val="1"/>
          <w:bCs w:val="1"/>
          <w:i w:val="1"/>
          <w:iCs w:val="1"/>
          <w:color w:val="auto"/>
        </w:rPr>
        <w:t>Legal Proceedings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Refer to Note 13(b) of our unaudited condensed consolidated financial statements included elsewhere in this Quarterly Report on Form 10-Q for a description of our current material legal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1A. </w:t>
      </w:r>
      <w:r>
        <w:rPr>
          <w:rFonts w:ascii="Arial" w:cs="Arial" w:eastAsia="Arial" w:hAnsi="Arial"/>
          <w:sz w:val="14"/>
          <w:szCs w:val="14"/>
          <w:b w:val="1"/>
          <w:bCs w:val="1"/>
          <w:i w:val="1"/>
          <w:iCs w:val="1"/>
          <w:color w:val="auto"/>
        </w:rPr>
        <w:t>Risk Factors</w:t>
      </w:r>
    </w:p>
    <w:p>
      <w:pPr>
        <w:spacing w:after="0" w:line="168" w:lineRule="exact"/>
        <w:rPr>
          <w:sz w:val="20"/>
          <w:szCs w:val="20"/>
          <w:color w:val="auto"/>
        </w:rPr>
      </w:pPr>
    </w:p>
    <w:p>
      <w:pPr>
        <w:ind w:right="100" w:firstLine="367"/>
        <w:spacing w:after="0" w:line="247" w:lineRule="auto"/>
        <w:rPr>
          <w:sz w:val="20"/>
          <w:szCs w:val="20"/>
          <w:color w:val="auto"/>
        </w:rPr>
      </w:pPr>
      <w:r>
        <w:rPr>
          <w:rFonts w:ascii="Arial" w:cs="Arial" w:eastAsia="Arial" w:hAnsi="Arial"/>
          <w:sz w:val="14"/>
          <w:szCs w:val="14"/>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Part I, Item 2, “Management’s Discussion and Analysis of Financial Condition and Results of Operations” and our unaudited condensed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149" w:lineRule="exact"/>
        <w:rPr>
          <w:sz w:val="20"/>
          <w:szCs w:val="20"/>
          <w:color w:val="auto"/>
        </w:rPr>
      </w:pPr>
    </w:p>
    <w:p>
      <w:pPr>
        <w:jc w:val="center"/>
        <w:ind w:left="340"/>
        <w:spacing w:after="0"/>
        <w:rPr>
          <w:sz w:val="20"/>
          <w:szCs w:val="20"/>
          <w:color w:val="auto"/>
        </w:rPr>
      </w:pPr>
      <w:r>
        <w:rPr>
          <w:rFonts w:ascii="Arial" w:cs="Arial" w:eastAsia="Arial" w:hAnsi="Arial"/>
          <w:sz w:val="14"/>
          <w:szCs w:val="14"/>
          <w:b w:val="1"/>
          <w:bCs w:val="1"/>
          <w:color w:val="auto"/>
        </w:rPr>
        <w:t>Summary of Risk Factors and Uncertainties Associated with Our Business</w:t>
      </w:r>
    </w:p>
    <w:p>
      <w:pPr>
        <w:spacing w:after="0" w:line="168" w:lineRule="exact"/>
        <w:rPr>
          <w:sz w:val="20"/>
          <w:szCs w:val="20"/>
          <w:color w:val="auto"/>
        </w:rPr>
      </w:pPr>
    </w:p>
    <w:p>
      <w:pPr>
        <w:ind w:right="20" w:firstLine="367"/>
        <w:spacing w:after="0" w:line="252" w:lineRule="auto"/>
        <w:rPr>
          <w:sz w:val="20"/>
          <w:szCs w:val="20"/>
          <w:color w:val="auto"/>
        </w:rPr>
      </w:pPr>
      <w:r>
        <w:rPr>
          <w:rFonts w:ascii="Arial" w:cs="Arial" w:eastAsia="Arial" w:hAnsi="Arial"/>
          <w:sz w:val="14"/>
          <w:szCs w:val="14"/>
          <w:color w:val="auto"/>
        </w:rPr>
        <w:t>Our business is subject to numerous risks and uncertainties outside of our control. One, or a combination, of these risks and uncertainties could materially affect any of those matters as to which we have made forward-looking statements and cause our actual results or an actual event or occurrence to differ materially from those results or an event or occurrence described in a forward-looking statement. Some of the principal risks associated with our business include the following:</w:t>
      </w:r>
    </w:p>
    <w:p>
      <w:pPr>
        <w:spacing w:after="0" w:line="84" w:lineRule="exact"/>
        <w:rPr>
          <w:sz w:val="20"/>
          <w:szCs w:val="20"/>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the impact of the global COVID-19 pandemic;</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new and unproven markets for our products and platform;</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our ability to effectively manage our rapid growth;</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fluctuations in our quarterly results and our ability to meet securities analysts’ and investors’ expectations;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our ability to maintain and enhance our brand and increase market awareness of our company and products;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limitations on the use and adoption of our solutions due to privacy laws, data collection and transfer restrictions and related domestic or foreign regulations;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any loss of customers or decline in their use of our products;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our ability to attract new customers in a cost-effective manner;</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our ability to develop enhancements to our products and introduce new products that achieve market acceptance;</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our ability to compete effectively in the markets in which we participate;</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our history of losses and uncertainty about our future profitability;</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our ability to increase adoption of our products by enterprises;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our ability to expand our relationships with existing technology partner customers and add new technology partner customers;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significant risks associated with expansion of our international operations;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compliance with applicable laws and regulations;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telecommunications-related regulations and future legislative or regulatory actions;</w:t>
      </w:r>
    </w:p>
    <w:p>
      <w:pPr>
        <w:spacing w:after="0" w:line="20" w:lineRule="exact"/>
        <w:rPr>
          <w:rFonts w:ascii="Arial" w:cs="Arial" w:eastAsia="Arial" w:hAnsi="Arial"/>
          <w:sz w:val="16"/>
          <w:szCs w:val="16"/>
          <w:color w:val="auto"/>
        </w:rPr>
      </w:pPr>
    </w:p>
    <w:p>
      <w:pPr>
        <w:ind w:left="480" w:hanging="233"/>
        <w:spacing w:after="0"/>
        <w:tabs>
          <w:tab w:leader="none" w:pos="480" w:val="left"/>
        </w:tabs>
        <w:numPr>
          <w:ilvl w:val="0"/>
          <w:numId w:val="23"/>
        </w:numPr>
        <w:rPr>
          <w:rFonts w:ascii="Arial" w:cs="Arial" w:eastAsia="Arial" w:hAnsi="Arial"/>
          <w:sz w:val="14"/>
          <w:szCs w:val="14"/>
          <w:color w:val="auto"/>
        </w:rPr>
      </w:pPr>
      <w:r>
        <w:rPr>
          <w:rFonts w:ascii="Arial" w:cs="Arial" w:eastAsia="Arial" w:hAnsi="Arial"/>
          <w:sz w:val="12"/>
          <w:szCs w:val="12"/>
          <w:i w:val="1"/>
          <w:iCs w:val="1"/>
          <w:color w:val="auto"/>
        </w:rPr>
        <w:t>our ability to obtain or retain geographical, mobile, regional, local or toll-free numbers and to effectively process requests to port such numbers in a timely manner due to industry regulations;</w:t>
      </w:r>
    </w:p>
    <w:p>
      <w:pPr>
        <w:spacing w:after="0" w:line="32" w:lineRule="exact"/>
        <w:rPr>
          <w:rFonts w:ascii="Arial" w:cs="Arial" w:eastAsia="Arial" w:hAnsi="Arial"/>
          <w:sz w:val="14"/>
          <w:szCs w:val="14"/>
          <w:color w:val="auto"/>
        </w:rPr>
      </w:pPr>
    </w:p>
    <w:p>
      <w:pPr>
        <w:ind w:left="480" w:hanging="233"/>
        <w:spacing w:after="0"/>
        <w:tabs>
          <w:tab w:leader="none" w:pos="480" w:val="left"/>
        </w:tabs>
        <w:numPr>
          <w:ilvl w:val="0"/>
          <w:numId w:val="23"/>
        </w:numPr>
        <w:rPr>
          <w:rFonts w:ascii="Arial" w:cs="Arial" w:eastAsia="Arial" w:hAnsi="Arial"/>
          <w:sz w:val="15"/>
          <w:szCs w:val="15"/>
          <w:color w:val="auto"/>
        </w:rPr>
      </w:pPr>
      <w:r>
        <w:rPr>
          <w:rFonts w:ascii="Arial" w:cs="Arial" w:eastAsia="Arial" w:hAnsi="Arial"/>
          <w:sz w:val="13"/>
          <w:szCs w:val="13"/>
          <w:i w:val="1"/>
          <w:iCs w:val="1"/>
          <w:color w:val="auto"/>
        </w:rPr>
        <w:t>our ability to adapt and respond effectively to rapidly changing technology, evolving industry standards, changing regulations, and changing customer needs, requirements or preferences;</w:t>
      </w:r>
    </w:p>
    <w:p>
      <w:pPr>
        <w:spacing w:after="0" w:line="10" w:lineRule="exact"/>
        <w:rPr>
          <w:rFonts w:ascii="Arial" w:cs="Arial" w:eastAsia="Arial" w:hAnsi="Arial"/>
          <w:sz w:val="15"/>
          <w:szCs w:val="15"/>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our ability to provide monthly uptime service level commitments of a minimum of 99.95% under our agreements with customers;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any breaches of our networks or systems, or those of AWS or our service providers;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defects or errors in our products;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any loss or decline in revenue from our largest customers;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4"/>
          <w:szCs w:val="14"/>
          <w:i w:val="1"/>
          <w:iCs w:val="1"/>
          <w:color w:val="auto"/>
        </w:rPr>
        <w:t>litigation by third parties for alleged infringement of their proprietary rights;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exposure to substantial liability for intellectual property infringement and other losses from indemnity provisions in various agreements;</w:t>
      </w:r>
    </w:p>
    <w:p>
      <w:pPr>
        <w:spacing w:after="0" w:line="20" w:lineRule="exact"/>
        <w:rPr>
          <w:rFonts w:ascii="Arial" w:cs="Arial" w:eastAsia="Arial" w:hAnsi="Arial"/>
          <w:sz w:val="16"/>
          <w:szCs w:val="16"/>
          <w:color w:val="auto"/>
        </w:rPr>
      </w:pPr>
    </w:p>
    <w:p>
      <w:pPr>
        <w:ind w:left="500" w:hanging="253"/>
        <w:spacing w:after="0" w:line="234" w:lineRule="auto"/>
        <w:tabs>
          <w:tab w:leader="none" w:pos="496"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our ability to realize the potential benefits from our recent acquisitions, partnerships and investments due to our ability to integrate acquired businesses and technologies successfully or to achieve the expected benefits of such acquisitions, partnerships and investments;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the loss of our senior management and other key employees;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our use of open source software;</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our reliance on SaaS technologies from third parties;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potentially adverse tax consequences on our global operations and structure;</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excessive credit card or fraudulent activity;</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unfavorable conditions in our industry or the global economy;</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requirement of additional capital to support our business and its availability on acceptable terms, if at all;</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exposure to foreign currency exchange rate fluctuations;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our ability to use our net operating losses to offset future taxable income;</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our failure to maintain an effective system of disclosure controls and internal control over financial reporting;</w:t>
      </w:r>
    </w:p>
    <w:p>
      <w:pPr>
        <w:spacing w:after="0" w:line="20" w:lineRule="exact"/>
        <w:rPr>
          <w:rFonts w:ascii="Arial" w:cs="Arial" w:eastAsia="Arial" w:hAnsi="Arial"/>
          <w:sz w:val="16"/>
          <w:szCs w:val="16"/>
          <w:color w:val="auto"/>
        </w:rPr>
      </w:pPr>
    </w:p>
    <w:p>
      <w:pPr>
        <w:ind w:left="500" w:right="380" w:hanging="253"/>
        <w:spacing w:after="0" w:line="234" w:lineRule="auto"/>
        <w:tabs>
          <w:tab w:leader="none" w:pos="496"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the risks of pandemics, earthquakes, fire, floods and other natural catastrophic events and to interruption by man-made problems such as power disruptions, computer viruses, data security breaches or terrorism;</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volatility of the trading price of our Class A common stock;</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potential decline in the market price of our Class A common stock due to substantial future sales of shares;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requirement of a significant amount of cash to service our future debt; and</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our ability to raise the funds necessary for the repayment of the 2029 Notes and 2031 Notes for cash.</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140"/>
          </w:cols>
          <w:pgMar w:left="300" w:top="129" w:right="45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ind w:left="4240"/>
        <w:spacing w:after="0"/>
        <w:rPr>
          <w:sz w:val="20"/>
          <w:szCs w:val="20"/>
          <w:color w:val="auto"/>
        </w:rPr>
      </w:pPr>
      <w:r>
        <w:rPr>
          <w:rFonts w:ascii="Arial" w:cs="Arial" w:eastAsia="Arial" w:hAnsi="Arial"/>
          <w:sz w:val="14"/>
          <w:szCs w:val="14"/>
          <w:b w:val="1"/>
          <w:bCs w:val="1"/>
          <w:color w:val="auto"/>
        </w:rPr>
        <w:t>Risks Related to Our Business and Our Industry</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global COVID-19 pandemic may adversely impact our business, results of operations and financial performance.</w:t>
      </w:r>
    </w:p>
    <w:p>
      <w:pPr>
        <w:spacing w:after="0" w:line="176" w:lineRule="exact"/>
        <w:rPr>
          <w:sz w:val="20"/>
          <w:szCs w:val="20"/>
          <w:color w:val="auto"/>
        </w:rPr>
      </w:pPr>
    </w:p>
    <w:p>
      <w:pPr>
        <w:ind w:right="40" w:firstLine="367"/>
        <w:spacing w:after="0" w:line="256" w:lineRule="auto"/>
        <w:rPr>
          <w:sz w:val="20"/>
          <w:szCs w:val="20"/>
          <w:color w:val="auto"/>
        </w:rPr>
      </w:pPr>
      <w:r>
        <w:rPr>
          <w:rFonts w:ascii="Arial" w:cs="Arial" w:eastAsia="Arial" w:hAnsi="Arial"/>
          <w:sz w:val="12"/>
          <w:szCs w:val="12"/>
          <w:color w:val="auto"/>
        </w:rPr>
        <w:t>The rapid spread of COVID-19 globally has in the past disrupted, and may continue to disrupt, our day-to-day operations and the operations of our customers, partners and service providers for an indefinite period of time, including as a result of changing public health recommendations, travel restrictions and limitations, the duration, spread and severity and potential recurrence of the virus and its variants, as well as the efficacy of vaccines and vaccine distribution and the timing and trajectory of the economic recovery, all of which could negatively impact our business and results of operations and financial condition. While the global economy is reopening in various parts of the world, some countries and locations are reinstating lockdowns and other restrictions that make a recovery difficult to predict. This may result in differing levels of demand for our products as the priorities, resources, financial conditions and economic outlook of our customers, partners and service providers change, which could adversely affect or increase the volatility of our financial results. For example, certain industries such as travel, hospitality and ridesharing were initially more impacted by COVID-19 than others, and have recovered at varying rates. It has been and, until the COVID-19 pandemic is contained, will continue to be more difficult for us to forecast usage levels and predict revenue trends for the more adversely impacted industries. Any prolonged contractions in the travel and hospitality industries, along with any effects on supply chain or on other industries in which our customers, partners and service providers operate, could adversely impact our business, results of operations and financial condition.</w:t>
      </w:r>
    </w:p>
    <w:p>
      <w:pPr>
        <w:spacing w:after="0" w:line="145" w:lineRule="exact"/>
        <w:rPr>
          <w:sz w:val="20"/>
          <w:szCs w:val="20"/>
          <w:color w:val="auto"/>
        </w:rPr>
      </w:pPr>
    </w:p>
    <w:p>
      <w:pPr>
        <w:ind w:right="20" w:firstLine="367"/>
        <w:spacing w:after="0" w:line="257" w:lineRule="auto"/>
        <w:rPr>
          <w:sz w:val="20"/>
          <w:szCs w:val="20"/>
          <w:color w:val="auto"/>
        </w:rPr>
      </w:pPr>
      <w:r>
        <w:rPr>
          <w:rFonts w:ascii="Arial" w:cs="Arial" w:eastAsia="Arial" w:hAnsi="Arial"/>
          <w:sz w:val="12"/>
          <w:szCs w:val="12"/>
          <w:color w:val="auto"/>
        </w:rPr>
        <w:t>Additionally the COVID-19 pandemic has adversely affected global economic and market conditions, which are likely to continue for an extended period, and which could result in decreased business spending by our customers and prospective customers and business partners and third-party business partners, reduced demand for our solutions, lower renewal rates by our customers, longer or delayed sales cycles, including customers and prospective customers delaying contract signing or contract renewals, or reducing budgets or minimum commitments related to the product and services that we offer, all of which could have an adverse impact on our business operations and financial condition. Specifically, we often enter into annual or multi-year, minimum commitment arrangements with our customers. If customers fail to pay us or reduce their spending with us, we may be adversely affected by an inability to collect amounts due, the cost of enforcing the terms of our contracts, including litigation, or a reduction in revenue. The continuing pandemic could also result in constrained supply or reduced customer demand and willingness to enter into or renew contracts with us, any of which could adversely impact our business, results of operations and overall financial performance in future periods. While we have developed and continue to develop plans to help mitigate the potential negative impact of the pandemic on our business, these efforts may not be effective, and a protracted economic downturn may limit the effectiveness of our mitigation efforts.</w:t>
      </w:r>
    </w:p>
    <w:p>
      <w:pPr>
        <w:spacing w:after="0" w:line="134" w:lineRule="exact"/>
        <w:rPr>
          <w:sz w:val="20"/>
          <w:szCs w:val="20"/>
          <w:color w:val="auto"/>
        </w:rPr>
      </w:pPr>
    </w:p>
    <w:p>
      <w:pPr>
        <w:ind w:right="20" w:firstLine="367"/>
        <w:spacing w:after="0" w:line="292" w:lineRule="auto"/>
        <w:rPr>
          <w:sz w:val="20"/>
          <w:szCs w:val="20"/>
          <w:color w:val="auto"/>
        </w:rPr>
      </w:pPr>
      <w:r>
        <w:rPr>
          <w:rFonts w:ascii="Arial" w:cs="Arial" w:eastAsia="Arial" w:hAnsi="Arial"/>
          <w:sz w:val="12"/>
          <w:szCs w:val="12"/>
          <w:color w:val="auto"/>
        </w:rPr>
        <w:t>In addition, as companies continue to support a fully remote workforce, and begin to adapt to hybrid work environments, and as individuals increasingly utilize voice, video and messaging for their communication needs, there will be increased strain and demand for telecommunications infrastructure, including our voice, video and messaging products. Supporting increased demand will require us to make additional investments to increase network capacity, the availability of which may be limited. For example, if the data centers that we rely on for our cloud infrastructure and the network service providers that we interconnect with are unable to keep up with capacity needs or if governmental or regulatory authorities determine to limit our bandwidth, customers may experience delays, interruptions or outages in service. From time to time, including during the COVID-19 pandemic, our data center suppliers and our network service providers have had some outages which resulted in disruptions to service for some of our customers. Such traffic management measures could result in customers experiencing delays, interruptions or outages in services. Any of these events could harm our reputation, erode customer trust, cause customers to stop using our products,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47"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color w:val="auto"/>
        </w:rPr>
        <w:t>The duration and extent of the impact from the COVID-19 pandemic depends on future developments that cannot be accurately predicted at this time. To the extent that the COVID-19 pandemic harms our business, results of operations and financial condition, many of the other risks described in this “Risk Factors” section will be exacerbated.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220" w:firstLine="367"/>
        <w:spacing w:after="0" w:line="261" w:lineRule="auto"/>
        <w:rPr>
          <w:sz w:val="20"/>
          <w:szCs w:val="20"/>
          <w:color w:val="auto"/>
        </w:rPr>
      </w:pPr>
      <w:r>
        <w:rPr>
          <w:rFonts w:ascii="Arial" w:cs="Arial" w:eastAsia="Arial" w:hAnsi="Arial"/>
          <w:sz w:val="14"/>
          <w:szCs w:val="14"/>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140" w:lineRule="exact"/>
        <w:rPr>
          <w:sz w:val="20"/>
          <w:szCs w:val="20"/>
          <w:color w:val="auto"/>
        </w:rPr>
      </w:pPr>
    </w:p>
    <w:p>
      <w:pPr>
        <w:ind w:right="180" w:firstLine="367"/>
        <w:spacing w:after="0" w:line="299" w:lineRule="auto"/>
        <w:rPr>
          <w:sz w:val="20"/>
          <w:szCs w:val="20"/>
          <w:color w:val="auto"/>
        </w:rPr>
      </w:pPr>
      <w:r>
        <w:rPr>
          <w:rFonts w:ascii="Arial" w:cs="Arial" w:eastAsia="Arial" w:hAnsi="Arial"/>
          <w:sz w:val="12"/>
          <w:szCs w:val="12"/>
          <w:color w:val="auto"/>
        </w:rPr>
        <w:t>We have experienced substantial growth in our business since inception. For example, our headcount has grown from 3,664 employees on September 30, 2020 to 7,381 employees on September 30, 2021. We have moved to a virtual on-boarding process since the imposition of COVID-19 restrictions on certain business activities. In addition, we are rapidly expanding our international operations. Our international headcount grew from 1,108 employees as of September 30, 2020 to 2,701 employees as of September 30, 2021. We expect to continue to expand our international operations in the future. We have also experienced significant growth in the number of customers, usage and amount of data that our platform and associated infrastructure support. This growth has placed and may continue to place significant demands on our corporate culture, operational infrastructure and management, particularly in light of virtual on-boarding and limited connectivity.</w:t>
      </w:r>
    </w:p>
    <w:p>
      <w:pPr>
        <w:spacing w:after="0" w:line="120" w:lineRule="exact"/>
        <w:rPr>
          <w:sz w:val="20"/>
          <w:szCs w:val="20"/>
          <w:color w:val="auto"/>
        </w:rPr>
      </w:pPr>
    </w:p>
    <w:p>
      <w:pPr>
        <w:ind w:firstLine="367"/>
        <w:spacing w:after="0" w:line="292" w:lineRule="auto"/>
        <w:rPr>
          <w:sz w:val="20"/>
          <w:szCs w:val="20"/>
          <w:color w:val="auto"/>
        </w:rPr>
      </w:pPr>
      <w:r>
        <w:rPr>
          <w:rFonts w:ascii="Arial" w:cs="Arial" w:eastAsia="Arial" w:hAnsi="Arial"/>
          <w:sz w:val="12"/>
          <w:szCs w:val="12"/>
          <w:color w:val="auto"/>
        </w:rPr>
        <w:t>We believe that our corporate culture has been a critical component of our success. We have invested substantial time and resources in building our team and nurturing our culture. As we expand our business in the U.S. and non-U.S. regions and mature as a public company, we may find it difficult to maintain our corporate culture while managing this growth. In addition, in February 2021, we announced a new Open Work hybrid work approach, under which most employees will have a choice about where and how they work. We face uncertainty as to whether Open Work, and any adjustments we may make to our model, will meet the needs and expectations of our workforce. Our employees generally continue to work from home, and we have begun allowing certain business critical travel. We have continued to monitor the progress of vaccination efforts around the world. In the third quarter of 2021, as COVID-19 related restrictions have eased in some geographies, we commenced a phased reopening for certain offices. In these cases, reopening includes limited capacity and social distancing, is voluntary, and is only available to fully-vaccinated employees, unless they have a medical or other protected exception. Any failure to manage our anticipated growth and organizational changes, including Open Work and our reopening approach, in a manner that preserves the key aspects of our culture could hurt our chance for future success, including our ability to recruit and retain employees, and effectively focus on and pursue our corporate objectives. This, in turn, could adversely affect our business, results of operations and financial condition.</w:t>
      </w:r>
    </w:p>
    <w:p>
      <w:pPr>
        <w:spacing w:after="0" w:line="289" w:lineRule="exact"/>
        <w:rPr>
          <w:sz w:val="20"/>
          <w:szCs w:val="20"/>
          <w:color w:val="auto"/>
        </w:rPr>
      </w:pPr>
    </w:p>
    <w:p>
      <w:pPr>
        <w:ind w:right="120" w:firstLine="367"/>
        <w:spacing w:after="0" w:line="252" w:lineRule="auto"/>
        <w:rPr>
          <w:sz w:val="20"/>
          <w:szCs w:val="20"/>
          <w:color w:val="auto"/>
        </w:rPr>
      </w:pPr>
      <w:r>
        <w:rPr>
          <w:rFonts w:ascii="Arial" w:cs="Arial" w:eastAsia="Arial" w:hAnsi="Arial"/>
          <w:sz w:val="14"/>
          <w:szCs w:val="14"/>
          <w:color w:val="auto"/>
        </w:rPr>
        <w:t>In addition, as we have rapidly grown,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46" w:lineRule="exact"/>
        <w:rPr>
          <w:sz w:val="20"/>
          <w:szCs w:val="20"/>
          <w:color w:val="auto"/>
        </w:rPr>
      </w:pPr>
    </w:p>
    <w:p>
      <w:pPr>
        <w:ind w:right="220" w:firstLine="367"/>
        <w:spacing w:after="0" w:line="261" w:lineRule="auto"/>
        <w:rPr>
          <w:sz w:val="20"/>
          <w:szCs w:val="20"/>
          <w:color w:val="auto"/>
        </w:rPr>
      </w:pPr>
      <w:r>
        <w:rPr>
          <w:rFonts w:ascii="Arial" w:cs="Arial" w:eastAsia="Arial" w:hAnsi="Arial"/>
          <w:sz w:val="14"/>
          <w:szCs w:val="14"/>
          <w:color w:val="auto"/>
        </w:rPr>
        <w:t>Finally, if this growth continues, it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140" w:lineRule="exact"/>
        <w:rPr>
          <w:sz w:val="20"/>
          <w:szCs w:val="20"/>
          <w:color w:val="auto"/>
        </w:rPr>
      </w:pPr>
    </w:p>
    <w:p>
      <w:pPr>
        <w:ind w:right="220" w:firstLine="367"/>
        <w:spacing w:after="0" w:line="261" w:lineRule="auto"/>
        <w:rPr>
          <w:sz w:val="20"/>
          <w:szCs w:val="20"/>
          <w:color w:val="auto"/>
        </w:rPr>
      </w:pPr>
      <w:r>
        <w:rPr>
          <w:rFonts w:ascii="Arial" w:cs="Arial" w:eastAsia="Arial" w:hAnsi="Arial"/>
          <w:sz w:val="14"/>
          <w:szCs w:val="14"/>
          <w:b w:val="1"/>
          <w:bCs w:val="1"/>
          <w:i w:val="1"/>
          <w:iCs w:val="1"/>
          <w:color w:val="auto"/>
        </w:rPr>
        <w:t>Our quarterly results may fluctuate, and if we fail to meet securities analysts’ and investors’ expectations, then the trading price of our Class A common stock and the value of your investment could decline substantially.</w:t>
      </w:r>
    </w:p>
    <w:p>
      <w:pPr>
        <w:spacing w:after="0" w:line="140" w:lineRule="exact"/>
        <w:rPr>
          <w:sz w:val="20"/>
          <w:szCs w:val="20"/>
          <w:color w:val="auto"/>
        </w:rPr>
      </w:pPr>
    </w:p>
    <w:p>
      <w:pPr>
        <w:ind w:right="180" w:firstLine="367"/>
        <w:spacing w:after="0" w:line="304" w:lineRule="auto"/>
        <w:rPr>
          <w:sz w:val="20"/>
          <w:szCs w:val="20"/>
          <w:color w:val="auto"/>
        </w:rPr>
      </w:pPr>
      <w:r>
        <w:rPr>
          <w:rFonts w:ascii="Arial" w:cs="Arial" w:eastAsia="Arial" w:hAnsi="Arial"/>
          <w:sz w:val="12"/>
          <w:szCs w:val="12"/>
          <w:color w:val="auto"/>
        </w:rPr>
        <w:t>Our results of operations, including the levels of our revenue, cost of revenue, gross margin and operating expenses, have fluctuated from quarter to quarter in the past and may continue to vary significantly in the future. These fluctuations are a result of a variety of factors, many of which are outside of our control, and may be difficult to predict and may or may not fully reflect the underlying performance of our business. If our quarterly results of operations or forward-looking quarterly and annual financial guidance fall below the expectations of investors or securities analysts, then the trading price of our Class A common stock could decline substantially. Some of the important factors that may cause our results of operations to fluctuate from quarter to quarter include:</w:t>
      </w:r>
    </w:p>
    <w:p>
      <w:pPr>
        <w:spacing w:after="0" w:line="127" w:lineRule="exact"/>
        <w:rPr>
          <w:sz w:val="20"/>
          <w:szCs w:val="20"/>
          <w:color w:val="auto"/>
        </w:rPr>
      </w:pPr>
    </w:p>
    <w:p>
      <w:pPr>
        <w:ind w:left="740" w:hanging="249"/>
        <w:spacing w:after="0"/>
        <w:tabs>
          <w:tab w:leader="none" w:pos="7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impact of COVID-19 on our customers, partners and service providers, our pace of hiring and the global economy in general;</w:t>
      </w:r>
    </w:p>
    <w:p>
      <w:pPr>
        <w:spacing w:after="0" w:line="155" w:lineRule="exact"/>
        <w:rPr>
          <w:rFonts w:ascii="Arial" w:cs="Arial" w:eastAsia="Arial" w:hAnsi="Arial"/>
          <w:sz w:val="14"/>
          <w:szCs w:val="14"/>
          <w:color w:val="auto"/>
        </w:rPr>
      </w:pPr>
    </w:p>
    <w:p>
      <w:pPr>
        <w:ind w:left="740" w:hanging="249"/>
        <w:spacing w:after="0"/>
        <w:tabs>
          <w:tab w:leader="none" w:pos="7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retain and increase revenue from existing customers and attract new customers;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fluctuations in the amount of revenue from our Active Customer Accounts;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attract and retain enterprises and international organizations as customers;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introduce new products and enhance existing products;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competition and the actions of our competitors, including pricing changes and the introduction of new products, services and geographies;</w:t>
      </w:r>
    </w:p>
    <w:p>
      <w:pPr>
        <w:spacing w:after="0" w:line="165" w:lineRule="exact"/>
        <w:rPr>
          <w:rFonts w:ascii="Arial" w:cs="Arial" w:eastAsia="Arial" w:hAnsi="Arial"/>
          <w:sz w:val="14"/>
          <w:szCs w:val="14"/>
          <w:color w:val="auto"/>
        </w:rPr>
      </w:pPr>
    </w:p>
    <w:p>
      <w:pPr>
        <w:ind w:left="740" w:hanging="249"/>
        <w:spacing w:after="0" w:line="249" w:lineRule="auto"/>
        <w:tabs>
          <w:tab w:leader="none" w:pos="737"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laws, industry standards, regulations or regulatory enforcement in the United States or internationally, such as the invalidation of the EU-U.S. Privacy Shield by the Court of Justice of the European Union, the implementation and enforcement of new global privacy laws, such as the General Data Protection Regulation (“GDPR”), the California Consumer Privacy Act of 2018 (“CCPA”) and Brazil's General Data Protection Law (Lei Geral de Proteção de Dados Pessoais) (Law No. 13,709/2018), and the adoption of SHAKEN/STIR and other robocalling prevention and anti-spam standards, all of which increase compliance costs;</w:t>
      </w:r>
    </w:p>
    <w:p>
      <w:pPr>
        <w:spacing w:after="0" w:line="148" w:lineRule="exact"/>
        <w:rPr>
          <w:rFonts w:ascii="Arial" w:cs="Arial" w:eastAsia="Arial" w:hAnsi="Arial"/>
          <w:sz w:val="14"/>
          <w:szCs w:val="14"/>
          <w:color w:val="auto"/>
        </w:rPr>
      </w:pPr>
    </w:p>
    <w:p>
      <w:pPr>
        <w:ind w:left="740" w:hanging="249"/>
        <w:spacing w:after="0" w:line="261" w:lineRule="auto"/>
        <w:tabs>
          <w:tab w:leader="none" w:pos="737"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to the policies or practices of third-party platforms, such as the Apple App Store and the Google Play Store, including with respect to Apple’s Identifier for Advertisers (IDFA), which helps advertisers assess the effectiveness of their advertising efforts, and with respect to transparency regarding data processing;</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number of new employee hires during a particular period;</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network service provider fees that we pay in connection with the delivery of communications on our platform;</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cloud infrastructure fees that we pay in connection with the operation of our platform;</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our pricing as a result of our optimization efforts or otherwise;</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reductions in pricing as a result of negotiations with our larger customers;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rate of expansion and productivity of our sales force, including our enterprise sales force, which has been a focus of our recent expansion efforts;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the size and complexity of our customer relationships;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length and complexity of the sales cycle for our services, especially for sales to larger enterprises, government and regulated organizations;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 in the mix of products that our customers use during a particular period;</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 in the revenue mix of U.S. and international products;</w:t>
      </w:r>
    </w:p>
    <w:p>
      <w:pPr>
        <w:spacing w:after="0" w:line="165" w:lineRule="exact"/>
        <w:rPr>
          <w:rFonts w:ascii="Arial" w:cs="Arial" w:eastAsia="Arial" w:hAnsi="Arial"/>
          <w:sz w:val="14"/>
          <w:szCs w:val="14"/>
          <w:color w:val="auto"/>
        </w:rPr>
      </w:pPr>
    </w:p>
    <w:p>
      <w:pPr>
        <w:ind w:left="740" w:right="260" w:hanging="249"/>
        <w:spacing w:after="0" w:line="261" w:lineRule="auto"/>
        <w:tabs>
          <w:tab w:leader="none" w:pos="737"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amount and timing of operating costs and capital expenditures related to the operations and expansion of our business, including investments in our international expansion, additional systems and processes and research and development of new products and services;</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significant security breaches of, technical difficulties with, or interruptions to, the delivery and use of our products on our platform;</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expenses in connection with mergers, acquisitions or other strategic transactions and the follow-on costs of integration;</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timing of customer payments and any difficulty in collecting accounts receivable from customers;</w:t>
      </w:r>
    </w:p>
    <w:p>
      <w:pPr>
        <w:spacing w:after="0" w:line="165" w:lineRule="exact"/>
        <w:rPr>
          <w:rFonts w:ascii="Arial" w:cs="Arial" w:eastAsia="Arial" w:hAnsi="Arial"/>
          <w:sz w:val="14"/>
          <w:szCs w:val="14"/>
          <w:color w:val="auto"/>
        </w:rPr>
      </w:pPr>
    </w:p>
    <w:p>
      <w:pPr>
        <w:ind w:left="740" w:right="300" w:hanging="249"/>
        <w:spacing w:after="0" w:line="261" w:lineRule="auto"/>
        <w:tabs>
          <w:tab w:leader="none" w:pos="737" w:val="left"/>
        </w:tabs>
        <w:numPr>
          <w:ilvl w:val="0"/>
          <w:numId w:val="26"/>
        </w:numPr>
        <w:rPr>
          <w:rFonts w:ascii="Arial" w:cs="Arial" w:eastAsia="Arial" w:hAnsi="Arial"/>
          <w:sz w:val="14"/>
          <w:szCs w:val="14"/>
          <w:color w:val="auto"/>
        </w:rPr>
      </w:pPr>
      <w:r>
        <w:rPr>
          <w:rFonts w:ascii="Arial" w:cs="Arial" w:eastAsia="Arial" w:hAnsi="Arial"/>
          <w:sz w:val="14"/>
          <w:szCs w:val="14"/>
          <w:color w:val="auto"/>
        </w:rPr>
        <w:t>general economic conditions that may adversely affect a prospective customer’s ability or willingness to adopt our products, delay a prospective customer’s adoption decision, reduce the revenue that we generate from the use of our products or affect customer retention;</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rising inflation and our ability to control costs, including our operating expenses;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foreign currency exchange rates and our ability to effectively hedge our foreign currency exposure;</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extraordinary expenses such as litigation or other dispute-related settlement payments;</w:t>
      </w: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140"/>
          </w:cols>
          <w:pgMar w:left="300" w:top="129" w:right="45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740" w:hanging="249"/>
        <w:spacing w:after="0"/>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sales tax and other tax determinations by authorities in the jurisdictions in which we conduct business;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impact of new accounting pronouncements; and</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fluctuations in stock-based compensation expense.</w:t>
      </w:r>
    </w:p>
    <w:p>
      <w:pPr>
        <w:spacing w:after="0" w:line="166" w:lineRule="exact"/>
        <w:rPr>
          <w:sz w:val="20"/>
          <w:szCs w:val="20"/>
          <w:color w:val="auto"/>
        </w:rPr>
      </w:pPr>
    </w:p>
    <w:p>
      <w:pPr>
        <w:ind w:right="60" w:firstLine="367"/>
        <w:spacing w:after="0" w:line="304" w:lineRule="auto"/>
        <w:rPr>
          <w:sz w:val="20"/>
          <w:szCs w:val="20"/>
          <w:color w:val="auto"/>
        </w:rPr>
      </w:pPr>
      <w:r>
        <w:rPr>
          <w:rFonts w:ascii="Arial" w:cs="Arial" w:eastAsia="Arial" w:hAnsi="Arial"/>
          <w:sz w:val="12"/>
          <w:szCs w:val="12"/>
          <w:color w:val="auto"/>
        </w:rPr>
        <w:t>The occurrence of one or more of the foregoing and other factors may cause our results of operations to vary significantly. As such, we believe that quarter-to-quarter comparisons of our results of operations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income (loss) and margins in the short term. If we fail to meet or exceed the expectations of investors or securities analysts, then the trading price of our Class A common stock could fall substantially, and we could face costly lawsuits, including securities class action suits.</w:t>
      </w:r>
    </w:p>
    <w:p>
      <w:pPr>
        <w:spacing w:after="0" w:line="117" w:lineRule="exact"/>
        <w:rPr>
          <w:sz w:val="20"/>
          <w:szCs w:val="20"/>
          <w:color w:val="auto"/>
        </w:rPr>
      </w:pPr>
    </w:p>
    <w:p>
      <w:pPr>
        <w:ind w:firstLine="367"/>
        <w:spacing w:after="0" w:line="304" w:lineRule="auto"/>
        <w:rPr>
          <w:sz w:val="20"/>
          <w:szCs w:val="20"/>
          <w:color w:val="auto"/>
        </w:rPr>
      </w:pPr>
      <w:r>
        <w:rPr>
          <w:rFonts w:ascii="Arial" w:cs="Arial" w:eastAsia="Arial" w:hAnsi="Arial"/>
          <w:sz w:val="12"/>
          <w:szCs w:val="12"/>
          <w:color w:val="auto"/>
        </w:rPr>
        <w:t>Additionally, global pandemics such as COVID-19 as well as certain large scale events, such as major elections and sporting events, can significantly impact usage levels on our platform, which could cause fluctuations in our results of operations. We expect that significantly increased usage of all communications platforms, including ours, during certain seasonal and one-time events could impact delivery and quality of our products during those events. We also tend to experience increased expenses in connection with the hosting of SIGNAL, which we plan to continue to host annually. Such annual and one-time events may cause fluctuations in our results of operations and may impact both our revenue and operating expenses.</w:t>
      </w:r>
    </w:p>
    <w:p>
      <w:pPr>
        <w:spacing w:after="0" w:line="117" w:lineRule="exact"/>
        <w:rPr>
          <w:sz w:val="20"/>
          <w:szCs w:val="20"/>
          <w:color w:val="auto"/>
        </w:rPr>
      </w:pPr>
    </w:p>
    <w:p>
      <w:pPr>
        <w:ind w:right="380" w:firstLine="367"/>
        <w:spacing w:after="0" w:line="261" w:lineRule="auto"/>
        <w:rPr>
          <w:sz w:val="20"/>
          <w:szCs w:val="20"/>
          <w:color w:val="auto"/>
        </w:rPr>
      </w:pPr>
      <w:r>
        <w:rPr>
          <w:rFonts w:ascii="Arial" w:cs="Arial" w:eastAsia="Arial" w:hAnsi="Arial"/>
          <w:sz w:val="14"/>
          <w:szCs w:val="14"/>
          <w:b w:val="1"/>
          <w:bCs w:val="1"/>
          <w:i w:val="1"/>
          <w:iCs w:val="1"/>
          <w:color w:val="auto"/>
        </w:rPr>
        <w:t>If we are not able to maintain and enhance our brand and increase market awareness of our company and products, then our business, results of operations and financial condition may be adversely affected.</w:t>
      </w:r>
    </w:p>
    <w:p>
      <w:pPr>
        <w:spacing w:after="0" w:line="140" w:lineRule="exact"/>
        <w:rPr>
          <w:sz w:val="20"/>
          <w:szCs w:val="20"/>
          <w:color w:val="auto"/>
        </w:rPr>
      </w:pPr>
    </w:p>
    <w:p>
      <w:pPr>
        <w:ind w:right="100" w:firstLine="367"/>
        <w:spacing w:after="0" w:line="296" w:lineRule="auto"/>
        <w:rPr>
          <w:sz w:val="20"/>
          <w:szCs w:val="20"/>
          <w:color w:val="auto"/>
        </w:rPr>
      </w:pPr>
      <w:r>
        <w:rPr>
          <w:rFonts w:ascii="Arial" w:cs="Arial" w:eastAsia="Arial" w:hAnsi="Arial"/>
          <w:sz w:val="12"/>
          <w:szCs w:val="12"/>
          <w:color w:val="auto"/>
        </w:rPr>
        <w:t>We believe that maintaining and enhancing the “Twilio” brand identity and increasing market awareness of our company and products, particularly among developers, is critical to achieving widespread acceptance of our platform, to strengthen our relationships with our existing customers and to our ability to attract new customers. The successful promotion of our brand will depend largely on our continued marketing efforts, our ability to continue to offer high quality products, our ability to be thought leaders in the cloud communications market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spacing w:after="0" w:line="122" w:lineRule="exact"/>
        <w:rPr>
          <w:sz w:val="20"/>
          <w:szCs w:val="20"/>
          <w:color w:val="auto"/>
        </w:rPr>
      </w:pPr>
    </w:p>
    <w:p>
      <w:pPr>
        <w:ind w:firstLine="367"/>
        <w:spacing w:after="0" w:line="246" w:lineRule="auto"/>
        <w:rPr>
          <w:sz w:val="20"/>
          <w:szCs w:val="20"/>
          <w:color w:val="auto"/>
        </w:rPr>
      </w:pPr>
      <w:r>
        <w:rPr>
          <w:rFonts w:ascii="Arial" w:cs="Arial" w:eastAsia="Arial" w:hAnsi="Arial"/>
          <w:sz w:val="14"/>
          <w:szCs w:val="14"/>
          <w:color w:val="auto"/>
        </w:rPr>
        <w:t>From time to time, our customers have complained about our products, such as complaints about our pricing and customer support. If we do not handle customer complaints effectively, then our brand and reputation may suffer, our customers may lose confidence in us and they may reduce or cease their use of our products. In addition, many of our customers post and discuss on social media about Internet-based products and services, including our products and platform. Our success depends, in part, on our ability to generate positive customer feedback and minimize negative feedback on social media channels where existing and potential customers seek and share information. If actions we take or changes we make to our products or platform upset these customers, then their online commentary could negatively affect our brand, reputation and customer trust. Complaints or negative publicity about us, our products or our platform could adversely impact our ability to attract and retain customers, our business, results of operations and financial condition.</w:t>
      </w:r>
    </w:p>
    <w:p>
      <w:pPr>
        <w:spacing w:after="0" w:line="153" w:lineRule="exact"/>
        <w:rPr>
          <w:sz w:val="20"/>
          <w:szCs w:val="20"/>
          <w:color w:val="auto"/>
        </w:rPr>
      </w:pPr>
    </w:p>
    <w:p>
      <w:pPr>
        <w:ind w:right="40" w:firstLine="367"/>
        <w:spacing w:after="0" w:line="294" w:lineRule="auto"/>
        <w:rPr>
          <w:sz w:val="20"/>
          <w:szCs w:val="20"/>
          <w:color w:val="auto"/>
        </w:rPr>
      </w:pPr>
      <w:r>
        <w:rPr>
          <w:rFonts w:ascii="Arial" w:cs="Arial" w:eastAsia="Arial" w:hAnsi="Arial"/>
          <w:sz w:val="12"/>
          <w:szCs w:val="12"/>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In addition, due to restrictions on travel and in-person meetings as a result of the ongoing COVID-19 pandemic, we have limited ability to host in-person events, which have been a significant source of our customer pipeline in prior years. It is likely that we will have a mix of virtual and in-person customer, employee or industry events in the near future and overall a smaller number of in-person events than we hosted prior to the COVID-19 pandemic. We have typically relied on marketing and promotional events such as SIGNAL and in-person meetings to facilitate customer sign-ups and generate leads for potential customers, and we cannot predict how long or the extent to which the COVID-19 pandemic may continue to constrain our marketing, promotional and sales activities.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320" w:firstLine="367"/>
        <w:spacing w:after="0" w:line="261" w:lineRule="auto"/>
        <w:rPr>
          <w:sz w:val="20"/>
          <w:szCs w:val="20"/>
          <w:color w:val="auto"/>
        </w:rPr>
      </w:pPr>
      <w:r>
        <w:rPr>
          <w:rFonts w:ascii="Arial" w:cs="Arial" w:eastAsia="Arial" w:hAnsi="Arial"/>
          <w:sz w:val="14"/>
          <w:szCs w:val="14"/>
          <w:b w:val="1"/>
          <w:bCs w:val="1"/>
          <w:i w:val="1"/>
          <w:iCs w:val="1"/>
          <w:color w:val="auto"/>
        </w:rPr>
        <w:t>The market for our products and platform continues to evolve, may decline or experience limited growth and is dependent in part on developers continuing to adopt our platform and use our products.</w:t>
      </w:r>
    </w:p>
    <w:p>
      <w:pPr>
        <w:spacing w:after="0" w:line="140" w:lineRule="exact"/>
        <w:rPr>
          <w:sz w:val="20"/>
          <w:szCs w:val="20"/>
          <w:color w:val="auto"/>
        </w:rPr>
      </w:pPr>
    </w:p>
    <w:p>
      <w:pPr>
        <w:ind w:right="60" w:firstLine="367"/>
        <w:spacing w:after="0" w:line="168" w:lineRule="exact"/>
        <w:rPr>
          <w:sz w:val="20"/>
          <w:szCs w:val="20"/>
          <w:color w:val="auto"/>
        </w:rPr>
      </w:pPr>
      <w:r>
        <w:rPr>
          <w:rFonts w:ascii="Arial" w:cs="Arial" w:eastAsia="Arial" w:hAnsi="Arial"/>
          <w:sz w:val="12"/>
          <w:szCs w:val="12"/>
          <w:color w:val="auto"/>
        </w:rPr>
        <w:t>We were founded in 2008, and we have been developing and providing a cloud</w:t>
      </w:r>
      <w:r>
        <w:rPr>
          <w:rFonts w:ascii="MS PGothic" w:cs="MS PGothic" w:eastAsia="MS PGothic" w:hAnsi="MS PGothic"/>
          <w:sz w:val="12"/>
          <w:szCs w:val="12"/>
          <w:color w:val="auto"/>
        </w:rPr>
        <w:t>‑</w:t>
      </w:r>
      <w:r>
        <w:rPr>
          <w:rFonts w:ascii="Arial" w:cs="Arial" w:eastAsia="Arial" w:hAnsi="Arial"/>
          <w:sz w:val="12"/>
          <w:szCs w:val="12"/>
          <w:color w:val="auto"/>
        </w:rPr>
        <w:t>based platform that enables developers and organizations to integrate voice, messaging, video and email communications capabilities into their software applications. This market continues to evolve and is subject to a number of risks and uncertainties. We believe that our revenue currently constitutes a significant portion of the total revenue in this market, and therefore, we believe that our future success will depend in large part on the growth, if any, and evolution of this market. If developers and organizations do not recognize the need for and benefits of our products and platform, they may decide to adopt alternative products and services to satisfy some portion of their business needs. In order to grow our business and extend our market position, we intend to focus on educating developers and other potential customers about the benefits of our products and platform, expanding the functionality of our products and bringing new technologies to market to increase market acceptance and use of our platform. Our ability to expand the market that our products and platform address depends upon a number of factors, including the cost, performance and perceived value associated with such products and platform. The market for our products and platform could fail to grow significantly or there could be a reduction in demand for our products as a result of a lack of developer acceptance, technological challenges, competing products and services, decreases in spending by current and prospective customers, weakening economic conditions and other causes. If our market does not experience significant growth or demand for our products decreases, then our business, results of operations and financial condition could be adversely affected.</w:t>
      </w:r>
    </w:p>
    <w:p>
      <w:pPr>
        <w:spacing w:after="0" w:line="290" w:lineRule="exact"/>
        <w:rPr>
          <w:sz w:val="20"/>
          <w:szCs w:val="20"/>
          <w:color w:val="auto"/>
        </w:rPr>
      </w:pPr>
    </w:p>
    <w:p>
      <w:pPr>
        <w:ind w:right="20" w:firstLine="367"/>
        <w:spacing w:after="0" w:line="261" w:lineRule="auto"/>
        <w:rPr>
          <w:sz w:val="20"/>
          <w:szCs w:val="20"/>
          <w:color w:val="auto"/>
        </w:rPr>
      </w:pPr>
      <w:r>
        <w:rPr>
          <w:rFonts w:ascii="Arial" w:cs="Arial" w:eastAsia="Arial" w:hAnsi="Arial"/>
          <w:sz w:val="14"/>
          <w:szCs w:val="14"/>
          <w:b w:val="1"/>
          <w:bCs w:val="1"/>
          <w:i w:val="1"/>
          <w:iCs w:val="1"/>
          <w:color w:val="auto"/>
        </w:rPr>
        <w:t>Our actual or perceived failure to comply with increasingly stringent laws, regulations and contractual obligations relating to privacy, data protection and data security could harm our reputation and subject us to significant fines and liability.</w:t>
      </w:r>
    </w:p>
    <w:p>
      <w:pPr>
        <w:spacing w:after="0" w:line="140"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We and our customers are subject to numerous domestic and foreign privacy, data protection and data security laws and regulations that restrict the collection, use, disclosure and processing of personal information, including financial and health data. These laws and regulations are evolving, are being tested in courts, may result in increasing regulatory and public scrutiny of our practices relating to personal information and may increase our exposure to regulatory enforcement action, sanctions and litigation.</w:t>
      </w:r>
    </w:p>
    <w:p>
      <w:pPr>
        <w:spacing w:after="0" w:line="146" w:lineRule="exact"/>
        <w:rPr>
          <w:sz w:val="20"/>
          <w:szCs w:val="20"/>
          <w:color w:val="auto"/>
        </w:rPr>
      </w:pPr>
    </w:p>
    <w:p>
      <w:pPr>
        <w:jc w:val="both"/>
        <w:ind w:right="320" w:firstLine="367"/>
        <w:spacing w:after="0" w:line="252" w:lineRule="auto"/>
        <w:rPr>
          <w:sz w:val="20"/>
          <w:szCs w:val="20"/>
          <w:color w:val="auto"/>
        </w:rPr>
      </w:pPr>
      <w:r>
        <w:rPr>
          <w:rFonts w:ascii="Arial" w:cs="Arial" w:eastAsia="Arial" w:hAnsi="Arial"/>
          <w:sz w:val="14"/>
          <w:szCs w:val="14"/>
          <w:color w:val="auto"/>
        </w:rPr>
        <w:t>Further, the interpretation and application of new domestic and foreign laws and regulations in many cases is uncertain, and our legal and regulatory obligations in such jurisdictions are subject to frequent and unexpected changes, including the potential for various regulatory or other governmental bodies to enact new or additional laws or regulations, to issue rulings that invalidate prior laws or regulations, or to increase penalties significantly.</w:t>
      </w:r>
    </w:p>
    <w:p>
      <w:pPr>
        <w:spacing w:after="0" w:line="156" w:lineRule="exact"/>
        <w:rPr>
          <w:sz w:val="20"/>
          <w:szCs w:val="20"/>
          <w:color w:val="auto"/>
        </w:rPr>
      </w:pPr>
    </w:p>
    <w:p>
      <w:pPr>
        <w:ind w:right="20" w:firstLine="367"/>
        <w:spacing w:after="0" w:line="258" w:lineRule="auto"/>
        <w:rPr>
          <w:sz w:val="20"/>
          <w:szCs w:val="20"/>
          <w:color w:val="auto"/>
        </w:rPr>
      </w:pPr>
      <w:r>
        <w:rPr>
          <w:rFonts w:ascii="Arial" w:cs="Arial" w:eastAsia="Arial" w:hAnsi="Arial"/>
          <w:sz w:val="12"/>
          <w:szCs w:val="12"/>
          <w:color w:val="auto"/>
        </w:rPr>
        <w:t>For example, the European Union (“EU”) adopted the GDPR, which took effect on May 25, 2018, and imposes stringent penalties for noncompliance. Companies that violate the GDPR can face private litigation, restrictions or prohibitions on data processing, and fines of up to the greater of €20 million or 4% of global annual revenues. The GDPR imposes comprehensive privacy, data protection and data security obligations on businesses and requires service providers (data processors) processing personal information on behalf of customers to, among other things, make contractual privacy, data protection and data security commitments, cooperate with European data protection authorities, implement security measures, give data breach notifications, and keep records of personal information processing activities. EU member states also have national laws restricting direct marketing communications and the use of cookies and similar technologies. If our efforts to comply with GDPR or other applicable EU laws and regulations are not successful, we may be subject to significant fines and restrictions on our ability to process personal information as needed to provide our product and services, which could impede our ability to conduct business in the EU, reduce demand for our services and adversely impact our business and results of operations.</w:t>
      </w:r>
    </w:p>
    <w:p>
      <w:pPr>
        <w:spacing w:after="0" w:line="135" w:lineRule="exact"/>
        <w:rPr>
          <w:sz w:val="20"/>
          <w:szCs w:val="20"/>
          <w:color w:val="auto"/>
        </w:rPr>
      </w:pPr>
    </w:p>
    <w:p>
      <w:pPr>
        <w:ind w:right="80" w:firstLine="367"/>
        <w:spacing w:after="0" w:line="247" w:lineRule="auto"/>
        <w:rPr>
          <w:sz w:val="20"/>
          <w:szCs w:val="20"/>
          <w:color w:val="auto"/>
        </w:rPr>
      </w:pPr>
      <w:r>
        <w:rPr>
          <w:rFonts w:ascii="Arial" w:cs="Arial" w:eastAsia="Arial" w:hAnsi="Arial"/>
          <w:sz w:val="14"/>
          <w:szCs w:val="14"/>
          <w:color w:val="auto"/>
        </w:rPr>
        <w:t>We have in the past relied on various transfer safeguards, including the EU-U.S. and the Swiss-U.S. Privacy Shield frameworks, to legitimize data transfers from the European Economic Area (“EEA”). However, on July 16, 2020, the Court of Justice of the European Union, in a decision known as “Schrems II”, invalidated the EU-U.S. Privacy Shield and raised questions about whether one of the primary alternatives to the EU-U.S. Privacy Shield, the European Commission's Standard Contractual Clauses, can lawfully be used for personal information transfers from Europe to the United States or most other countries. At present, there are few viable alternatives to the Standard Contractual Clauses and there is uncertainty as to how personal information can be transferred from the EEA to the U.S. in compliance with the GDPR.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firstLine="367"/>
        <w:spacing w:after="0" w:line="291" w:lineRule="auto"/>
        <w:rPr>
          <w:sz w:val="20"/>
          <w:szCs w:val="20"/>
          <w:color w:val="auto"/>
        </w:rPr>
      </w:pPr>
      <w:r>
        <w:rPr>
          <w:rFonts w:ascii="Arial" w:cs="Arial" w:eastAsia="Arial" w:hAnsi="Arial"/>
          <w:sz w:val="12"/>
          <w:szCs w:val="12"/>
          <w:color w:val="auto"/>
        </w:rPr>
        <w:t>Though Twilio relies on its Binding Corporate Rules to serve as the primary mechanism to legitimize data transfers from the EEA to other jurisdictions, including the U.S., subsequent approval of new Standard Contractual Clauses by the European Commission on June 4, 2021 and guidance provided by the European Data Protection Board (“EDPB”) obligate Twilio to adopt supplemental security measures and to conduct transfer impact assessments for cross-border data transfers. There is no guarantee that our customers will be satisfied with our assessments or supplemental measures. Because our primary data processing facilities are currently in the U.S., we have experienced hesitancy, reluctance, or refusal by European or multinational customers to continue to use our services due to the potential risk posed to such customers as a result of the Court of Justice ruling and subsequent interpretive guidance from the EDPB. We and our customers are at risk of enforcement actions taken by an EU data protection authority until such time that we are able to ensure that all data transfers to us from the EEA are legitimized. Similarly, the Swiss data protection authority determined the Swiss-U.S. Privacy Shield was no longer sufficient for the U.S. to be deemed adequate as a data transfer party and also raised questions about the viability of the Standard Contractual Clauses as a mechanism for transferring personal information out of Switzerland. Israel, which had allowed transfers of Israeli personal information to the U.S. based on the EU-U.S. Privacy Shield, has also declared that it is no longer a valid basis for transfer of personal information from Israel to the U.S.</w:t>
      </w:r>
    </w:p>
    <w:p>
      <w:pPr>
        <w:spacing w:after="0" w:line="127" w:lineRule="exact"/>
        <w:rPr>
          <w:sz w:val="20"/>
          <w:szCs w:val="20"/>
          <w:color w:val="auto"/>
        </w:rPr>
      </w:pPr>
    </w:p>
    <w:p>
      <w:pPr>
        <w:ind w:right="60" w:firstLine="367"/>
        <w:spacing w:after="0" w:line="304" w:lineRule="auto"/>
        <w:rPr>
          <w:sz w:val="20"/>
          <w:szCs w:val="20"/>
          <w:color w:val="auto"/>
        </w:rPr>
      </w:pPr>
      <w:r>
        <w:rPr>
          <w:rFonts w:ascii="Arial" w:cs="Arial" w:eastAsia="Arial" w:hAnsi="Arial"/>
          <w:sz w:val="12"/>
          <w:szCs w:val="12"/>
          <w:color w:val="auto"/>
        </w:rPr>
        <w:t>While we are actively working to increase our data processing capabilities in Europe and other countries, if we are unable to increase those capabilities fast enough and other valid solutions for personal information transfers to the United States or other countries are not available or are difficult to implement in the interim, we will likely face continuing reluctance from European and multinational customers to use our services and increased exposure to regulatory actions, substantial fines and injunctions against processing or transferring personal information from Europe. Inability to transfer personal information from Europe or other countries has decreased and may continue to decrease demand for our products and services if affected customers seek alternatives that do not involve such transfers.</w:t>
      </w:r>
    </w:p>
    <w:p>
      <w:pPr>
        <w:spacing w:after="0" w:line="117" w:lineRule="exact"/>
        <w:rPr>
          <w:sz w:val="20"/>
          <w:szCs w:val="20"/>
          <w:color w:val="auto"/>
        </w:rPr>
      </w:pPr>
    </w:p>
    <w:p>
      <w:pPr>
        <w:ind w:right="80" w:firstLine="367"/>
        <w:spacing w:after="0" w:line="291" w:lineRule="auto"/>
        <w:rPr>
          <w:sz w:val="20"/>
          <w:szCs w:val="20"/>
          <w:color w:val="auto"/>
        </w:rPr>
      </w:pPr>
      <w:r>
        <w:rPr>
          <w:rFonts w:ascii="Arial" w:cs="Arial" w:eastAsia="Arial" w:hAnsi="Arial"/>
          <w:sz w:val="12"/>
          <w:szCs w:val="12"/>
          <w:color w:val="auto"/>
        </w:rPr>
        <w:t>Regulation of privacy, data protection and data security has also become more stringent in the United States. For example, the CCPA, which took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state privacy, data protection and data security legislation in the U.S., which could increase our potential liability and adversely affect our business. The CCPA will be expanded substantially on January 1, 2023, when the California Privacy Rights Act of 2020 (“CPRA”) becomes fully operative.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law. In addition, both Virginia and Colorado passed new privacy legislation in the form of the Virginia Consumer Data Protection Act, effective on January 1, 2023, and the Colorado Privacy Act, effective on July 1, 2023, respectively.</w:t>
      </w:r>
    </w:p>
    <w:p>
      <w:pPr>
        <w:spacing w:after="0" w:line="127" w:lineRule="exact"/>
        <w:rPr>
          <w:sz w:val="20"/>
          <w:szCs w:val="20"/>
          <w:color w:val="auto"/>
        </w:rPr>
      </w:pPr>
    </w:p>
    <w:p>
      <w:pPr>
        <w:ind w:right="600" w:firstLine="367"/>
        <w:spacing w:after="0" w:line="261" w:lineRule="auto"/>
        <w:rPr>
          <w:sz w:val="20"/>
          <w:szCs w:val="20"/>
          <w:color w:val="auto"/>
        </w:rPr>
      </w:pPr>
      <w:r>
        <w:rPr>
          <w:rFonts w:ascii="Arial" w:cs="Arial" w:eastAsia="Arial" w:hAnsi="Arial"/>
          <w:sz w:val="14"/>
          <w:szCs w:val="14"/>
          <w:color w:val="auto"/>
        </w:rPr>
        <w:t>As additional individual U.S. states pass privacy, data protection and data security laws, these laws may place different obligations or limitations on the processing of personal information of individuals in those states, and it will become more complex to comply with these laws and our compliance costs and potential liability may increase.</w:t>
      </w:r>
    </w:p>
    <w:p>
      <w:pPr>
        <w:spacing w:after="0" w:line="140" w:lineRule="exact"/>
        <w:rPr>
          <w:sz w:val="20"/>
          <w:szCs w:val="20"/>
          <w:color w:val="auto"/>
        </w:rPr>
      </w:pPr>
    </w:p>
    <w:p>
      <w:pPr>
        <w:ind w:right="20" w:firstLine="367"/>
        <w:spacing w:after="0" w:line="252" w:lineRule="auto"/>
        <w:rPr>
          <w:sz w:val="20"/>
          <w:szCs w:val="20"/>
          <w:color w:val="auto"/>
        </w:rPr>
      </w:pPr>
      <w:r>
        <w:rPr>
          <w:rFonts w:ascii="Arial" w:cs="Arial" w:eastAsia="Arial" w:hAnsi="Arial"/>
          <w:sz w:val="14"/>
          <w:szCs w:val="14"/>
          <w:color w:val="auto"/>
        </w:rPr>
        <w:t>In addition, with our registration as an interconnected VoIP provider with the FCC, we also must comply with privacy laws associated with customer proprietary network information (“CPNI”) rules in the U.S. If we fail to maintain compliance with these requirements, we could be subject to regulatory audits, civil and criminal penalties, fines and breach of contract claims, as well as reputational damage, which could impact the willingness of customers to do business with us.</w:t>
      </w:r>
    </w:p>
    <w:p>
      <w:pPr>
        <w:spacing w:after="0" w:line="146" w:lineRule="exact"/>
        <w:rPr>
          <w:sz w:val="20"/>
          <w:szCs w:val="20"/>
          <w:color w:val="auto"/>
        </w:rPr>
      </w:pPr>
    </w:p>
    <w:p>
      <w:pPr>
        <w:ind w:right="120" w:firstLine="367"/>
        <w:spacing w:after="0" w:line="314" w:lineRule="auto"/>
        <w:rPr>
          <w:sz w:val="20"/>
          <w:szCs w:val="20"/>
          <w:color w:val="auto"/>
        </w:rPr>
      </w:pPr>
      <w:r>
        <w:rPr>
          <w:rFonts w:ascii="Arial" w:cs="Arial" w:eastAsia="Arial" w:hAnsi="Arial"/>
          <w:sz w:val="12"/>
          <w:szCs w:val="12"/>
          <w:color w:val="auto"/>
        </w:rPr>
        <w:t>Jurisdictions outside of the United States and the EU are also passing more stringent privacy, data protection and data security laws. For example, on July 8, 2019, Brazil enacted the General Data Protection Law (Lei Geral de Proteção de Dados Pessoais) (Law No. 13,709/2018) (“LGPD”), and on June 5, 2020, Japan passed amendments to its Act on the Protection of Personal Information (“APPI”). Both laws broadly regulate the processing of personal information in a manner comparable to the GDPR, and violators of the LGPD and APPI face substantial penalties.</w:t>
      </w:r>
    </w:p>
    <w:p>
      <w:pPr>
        <w:spacing w:after="0" w:line="111" w:lineRule="exact"/>
        <w:rPr>
          <w:sz w:val="20"/>
          <w:szCs w:val="20"/>
          <w:color w:val="auto"/>
        </w:rPr>
      </w:pPr>
    </w:p>
    <w:p>
      <w:pPr>
        <w:ind w:right="160" w:firstLine="367"/>
        <w:spacing w:after="0" w:line="345" w:lineRule="auto"/>
        <w:rPr>
          <w:sz w:val="20"/>
          <w:szCs w:val="20"/>
          <w:color w:val="auto"/>
        </w:rPr>
      </w:pPr>
      <w:r>
        <w:rPr>
          <w:rFonts w:ascii="Arial" w:cs="Arial" w:eastAsia="Arial" w:hAnsi="Arial"/>
          <w:sz w:val="12"/>
          <w:szCs w:val="12"/>
          <w:color w:val="auto"/>
        </w:rPr>
        <w:t>We continue to see jurisdictions imposing data localization laws, which require personal information, or certain subcategories of personal information, to be stored in the jurisdiction of origin. These regulations may inhibit our ability to expand into those markets or prohibit us from continuing to offer services in those markets without significant additional costs.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160" w:firstLine="367"/>
        <w:spacing w:after="0" w:line="299" w:lineRule="auto"/>
        <w:rPr>
          <w:sz w:val="20"/>
          <w:szCs w:val="20"/>
          <w:color w:val="auto"/>
        </w:rPr>
      </w:pPr>
      <w:r>
        <w:rPr>
          <w:rFonts w:ascii="Arial" w:cs="Arial" w:eastAsia="Arial" w:hAnsi="Arial"/>
          <w:sz w:val="12"/>
          <w:szCs w:val="12"/>
          <w:color w:val="auto"/>
        </w:rPr>
        <w:t>In addition to our legal obligations, our contractual obligations relating to privacy, data protection and data security have become increasingly stringent due to changes in privacy, data protection and data security and the expansion of our service offerings. Certain privacy, data protection and data security laws, such as the GDPR and the CCPA, require our customers to impose specific contractual restrictions on their service providers. In addition, we have begun to support customer workloads that involve the processing of protected health information and are therefore required to sign business associate agreements (“BAAs”) with customers that subject us to the privacy and security requirements under the U.S. Health Insurance Portability and Accountability Act of 1996 and the U.S. Health Information Technology for Economic and Clinical Health Act as well as state laws that govern the privacy and security of health information.</w:t>
      </w:r>
    </w:p>
    <w:p>
      <w:pPr>
        <w:spacing w:after="0" w:line="120" w:lineRule="exact"/>
        <w:rPr>
          <w:sz w:val="20"/>
          <w:szCs w:val="20"/>
          <w:color w:val="auto"/>
        </w:rPr>
      </w:pPr>
    </w:p>
    <w:p>
      <w:pPr>
        <w:ind w:right="140" w:firstLine="367"/>
        <w:spacing w:after="0" w:line="247" w:lineRule="auto"/>
        <w:rPr>
          <w:sz w:val="20"/>
          <w:szCs w:val="20"/>
          <w:color w:val="auto"/>
        </w:rPr>
      </w:pPr>
      <w:r>
        <w:rPr>
          <w:rFonts w:ascii="Arial" w:cs="Arial" w:eastAsia="Arial" w:hAnsi="Arial"/>
          <w:sz w:val="14"/>
          <w:szCs w:val="14"/>
          <w:color w:val="auto"/>
        </w:rPr>
        <w:t>Our actual or perceived failure to comply with laws, regulations or contractual commitments regarding privacy, data protection and data security could lead to costly legal action, adverse publicity, significant liability, and decreased demand for our services, which could adversely affect our business, results of operations and financial condition. For example, in February 2016, a putative class action complaint was filed in the Alameda County Superior Court in California and alleged that our products permitted the interception, recording and disclosure of communications at certain of our customers' request in a manner that violated the California Invasion of Privacy Act. This litigation has settled, but actions in the future could lead to similar claims and include damages and related penalties that could divert management’s attention and resources, and harm our business.</w:t>
      </w:r>
    </w:p>
    <w:p>
      <w:pPr>
        <w:spacing w:after="0" w:line="151"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b w:val="1"/>
          <w:bCs w:val="1"/>
          <w:i w:val="1"/>
          <w:iCs w:val="1"/>
          <w:color w:val="auto"/>
        </w:rPr>
        <w:t>Our business depends on customers increasing their use of our products, and any loss of customers or decline in their use of our products could adversely affect our business, results of operations and financial condition.</w:t>
      </w:r>
    </w:p>
    <w:p>
      <w:pPr>
        <w:spacing w:after="0" w:line="150" w:lineRule="exact"/>
        <w:rPr>
          <w:sz w:val="20"/>
          <w:szCs w:val="20"/>
          <w:color w:val="auto"/>
        </w:rPr>
      </w:pPr>
    </w:p>
    <w:p>
      <w:pPr>
        <w:ind w:firstLine="367"/>
        <w:spacing w:after="0" w:line="254" w:lineRule="auto"/>
        <w:rPr>
          <w:sz w:val="20"/>
          <w:szCs w:val="20"/>
          <w:color w:val="auto"/>
        </w:rPr>
      </w:pPr>
      <w:r>
        <w:rPr>
          <w:rFonts w:ascii="Arial" w:cs="Arial" w:eastAsia="Arial" w:hAnsi="Arial"/>
          <w:sz w:val="12"/>
          <w:szCs w:val="12"/>
          <w:color w:val="auto"/>
        </w:rPr>
        <w:t>Our ability to grow and generate incremental revenue depends, in part, on our ability to maintain and grow our relationships with existing customers (including any customers acquired in connection with our acquisitions) and to have them increase their usage of our platform. If our customers do not increase their use of our products, then our revenue may decline, and our results of operations may be harmed. Customers are charged based on the usage of our products. Most of our customers do not have long-term contractual financial commitments to us and, therefore, most of our customers may reduce or cease their use of our products at any time without penalty or termination charges. Customers may terminate or reduce their use of our products for any number of reasons, including if they are not satisfied with our products, the value proposition of our products or our ability to meet their needs and expectations, or due to the introduction of new competing products by competitors. For example, on February 26, 2021, a critical feature enablement service on our platform became overloaded, which resulted in connection issues across multiple products in our cloud communications platform that affected our customers for a limited number of hours. The service disruption had a widespread impact on our customers’ ability to use several of our products. We incurred certain costs associated with offering credits to our affected customers, but the overall impact was not material to our business. We may also ultimately lose or see reduced utilization of our products by one or more customers as a result of the outage. To protect our system from similar disruptions in the near term, we have significantly increased our server capacity and added additional caching layers to accommodate usage spikes. We also intend to undertake longer term improvements to mitigate against future service disruptions, but there can be no guarantee that these actions or improvements will be effective in preventing or reducing such service disruptions.</w:t>
      </w:r>
    </w:p>
    <w:p>
      <w:pPr>
        <w:spacing w:after="0" w:line="284" w:lineRule="exact"/>
        <w:rPr>
          <w:sz w:val="20"/>
          <w:szCs w:val="20"/>
          <w:color w:val="auto"/>
        </w:rPr>
      </w:pPr>
    </w:p>
    <w:p>
      <w:pPr>
        <w:ind w:right="20" w:firstLine="367"/>
        <w:spacing w:after="0" w:line="247" w:lineRule="auto"/>
        <w:rPr>
          <w:sz w:val="20"/>
          <w:szCs w:val="20"/>
          <w:color w:val="auto"/>
        </w:rPr>
      </w:pPr>
      <w:r>
        <w:rPr>
          <w:rFonts w:ascii="Arial" w:cs="Arial" w:eastAsia="Arial" w:hAnsi="Arial"/>
          <w:sz w:val="14"/>
          <w:szCs w:val="14"/>
          <w:color w:val="auto"/>
        </w:rPr>
        <w:t>We cannot accurately predict customers’ usage levels, and the loss of customers or reductions in their usage levels of our products may each have a negative impact on our business, results of operations and financial condition and may cause our Dollar-Based Net Expansion Rate to decline in the future if customers are not satisfied with our products, the value proposition of our products or our ability to meet their needs and expectations. If a significant number of customers cease using, or reduce their usage of our products,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line="161" w:lineRule="exact"/>
        <w:rPr>
          <w:sz w:val="20"/>
          <w:szCs w:val="20"/>
          <w:color w:val="auto"/>
        </w:rPr>
      </w:pPr>
      <w:r>
        <w:rPr>
          <w:rFonts w:ascii="Arial" w:cs="Arial" w:eastAsia="Arial" w:hAnsi="Arial"/>
          <w:sz w:val="14"/>
          <w:szCs w:val="14"/>
          <w:b w:val="1"/>
          <w:bCs w:val="1"/>
          <w:i w:val="1"/>
          <w:iCs w:val="1"/>
          <w:color w:val="auto"/>
        </w:rPr>
        <w:t>If we are unable to attract new customers in a cost</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effective manner, then our business, results of operations and financial condition would be adversely affected.</w:t>
      </w:r>
    </w:p>
    <w:p>
      <w:pPr>
        <w:spacing w:after="0" w:line="166" w:lineRule="exact"/>
        <w:rPr>
          <w:sz w:val="20"/>
          <w:szCs w:val="20"/>
          <w:color w:val="auto"/>
        </w:rPr>
      </w:pPr>
    </w:p>
    <w:p>
      <w:pPr>
        <w:ind w:right="40" w:firstLine="367"/>
        <w:spacing w:after="0" w:line="292" w:lineRule="auto"/>
        <w:rPr>
          <w:sz w:val="20"/>
          <w:szCs w:val="20"/>
          <w:color w:val="auto"/>
        </w:rPr>
      </w:pPr>
      <w:r>
        <w:rPr>
          <w:rFonts w:ascii="Arial" w:cs="Arial" w:eastAsia="Arial" w:hAnsi="Arial"/>
          <w:sz w:val="12"/>
          <w:szCs w:val="12"/>
          <w:color w:val="auto"/>
        </w:rPr>
        <w:t>In order to grow our business, we must continue to attract new customers in a cost-effective manner. We use a variety of marketing channels to promote our products and platform, such as developer events and developer evangelism, as well as search engine marketing and optimization. We periodically adjust the mix of our other marketing programs such as regional customer events, email campaigns, billboard advertising and public relations initiatives.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and we cannot guarantee that any such investments will lead to the cost-effective acquisition of additional customers. If we are unable to maintain effective marketing programs, then our ability to attract new customers could be adversely affected, our advertising and marketing expenses could increase substantially, and our results of operations may suffer.</w:t>
      </w:r>
    </w:p>
    <w:p>
      <w:pPr>
        <w:spacing w:after="0" w:line="126" w:lineRule="exact"/>
        <w:rPr>
          <w:sz w:val="20"/>
          <w:szCs w:val="20"/>
          <w:color w:val="auto"/>
        </w:rPr>
      </w:pPr>
    </w:p>
    <w:p>
      <w:pPr>
        <w:ind w:right="280" w:firstLine="367"/>
        <w:spacing w:after="0" w:line="261" w:lineRule="auto"/>
        <w:rPr>
          <w:sz w:val="20"/>
          <w:szCs w:val="20"/>
          <w:color w:val="auto"/>
        </w:rPr>
      </w:pPr>
      <w:r>
        <w:rPr>
          <w:rFonts w:ascii="Arial" w:cs="Arial" w:eastAsia="Arial" w:hAnsi="Arial"/>
          <w:sz w:val="14"/>
          <w:szCs w:val="14"/>
          <w:b w:val="1"/>
          <w:bCs w:val="1"/>
          <w:i w:val="1"/>
          <w:iCs w:val="1"/>
          <w:color w:val="auto"/>
        </w:rPr>
        <w:t>If we do not develop enhancements to our products and introduce new products that achieve market acceptance, our business, results of operations and financial condition could be adversely affected.</w:t>
      </w:r>
    </w:p>
    <w:p>
      <w:pPr>
        <w:spacing w:after="0" w:line="140" w:lineRule="exact"/>
        <w:rPr>
          <w:sz w:val="20"/>
          <w:szCs w:val="20"/>
          <w:color w:val="auto"/>
        </w:rPr>
      </w:pPr>
    </w:p>
    <w:p>
      <w:pPr>
        <w:ind w:firstLine="367"/>
        <w:spacing w:after="0" w:line="290" w:lineRule="auto"/>
        <w:rPr>
          <w:sz w:val="20"/>
          <w:szCs w:val="20"/>
          <w:color w:val="auto"/>
        </w:rPr>
      </w:pPr>
      <w:r>
        <w:rPr>
          <w:rFonts w:ascii="Arial" w:cs="Arial" w:eastAsia="Arial" w:hAnsi="Arial"/>
          <w:sz w:val="12"/>
          <w:szCs w:val="12"/>
          <w:color w:val="auto"/>
        </w:rPr>
        <w:t>Our ability to attract new customers and increase revenue from existing customers depends in part on our ability to enhance and improve our existing products, increase adoption and usage of our products and introduce new products. The success of any enhancements or new products depends on several factors, including timely completion, adequate quality testing, actual performance quality, market-accepted pricing levels and overall market acceptance.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Furthermore, our ability to increase the usage of our products depends, in part, on the development of new use cases for our products, which is typically driven by our developer community and may be outside of our control. We also have invested, and may continue to invest, in the acquisition of complementary businesses, technologies, services, products and other assets that expand the products that we can offer our customers. We may make these investments without being certain that they will result in products or enhancements that will be accepted by existing or prospective customers. Our ability to generate usage of additional products by our customers may also require increasingly sophisticated and more costly sales efforts and result in a longer sales cycle. In addition, adoption of new products or enhancements may put additional strain on our customer support team, which could require us to make additional expenditures related to further hiring and training. If we are unable to successfully enhance our existing products to meet evolving customer requirements, increase adoption and usage of our products, develop new products, or if our efforts to increase the usage of our products are more expensive than we expect, then our business, results of operations and financial condition would be adversely affected.</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The market in which we participate is intensely competitive, and if we do not compete effectively, our business, results of operations and financial condition could be harmed.</w:t>
      </w:r>
    </w:p>
    <w:p>
      <w:pPr>
        <w:spacing w:after="0" w:line="189" w:lineRule="exact"/>
        <w:rPr>
          <w:sz w:val="20"/>
          <w:szCs w:val="20"/>
          <w:color w:val="auto"/>
        </w:rPr>
      </w:pPr>
    </w:p>
    <w:p>
      <w:pPr>
        <w:ind w:right="60" w:firstLine="367"/>
        <w:spacing w:after="0" w:line="249" w:lineRule="auto"/>
        <w:rPr>
          <w:sz w:val="20"/>
          <w:szCs w:val="20"/>
          <w:color w:val="auto"/>
        </w:rPr>
      </w:pPr>
      <w:r>
        <w:rPr>
          <w:rFonts w:ascii="Arial" w:cs="Arial" w:eastAsia="Arial" w:hAnsi="Arial"/>
          <w:sz w:val="14"/>
          <w:szCs w:val="14"/>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developers, global reach, ease of integration and programmability, product features, platform scalability, reliability, deliverability, security and performance, brand awareness and reputation, the strength of sales and marketing efforts, customer support, as well as the cost of deploying and using our products. Our competitors fall into four primary categories:</w:t>
      </w:r>
    </w:p>
    <w:p>
      <w:pPr>
        <w:spacing w:after="0" w:line="148" w:lineRule="exact"/>
        <w:rPr>
          <w:sz w:val="20"/>
          <w:szCs w:val="20"/>
          <w:color w:val="auto"/>
        </w:rPr>
      </w:pPr>
    </w:p>
    <w:p>
      <w:pPr>
        <w:ind w:left="740" w:hanging="249"/>
        <w:spacing w:after="0"/>
        <w:tabs>
          <w:tab w:leader="none" w:pos="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legacy on-premises vendors;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regional network service providers that offer limited developer functionality on top of their own physical infrastructure;</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smaller software companies that compete with portions of our product line; and</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software-as a-service (“SaaS”) companies and cloud platform vendors that offer prepackaged applications and platforms.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firstLine="367"/>
        <w:spacing w:after="0" w:line="256" w:lineRule="auto"/>
        <w:rPr>
          <w:sz w:val="20"/>
          <w:szCs w:val="20"/>
          <w:color w:val="auto"/>
        </w:rPr>
      </w:pPr>
      <w:r>
        <w:rPr>
          <w:rFonts w:ascii="Arial" w:cs="Arial" w:eastAsia="Arial" w:hAnsi="Arial"/>
          <w:sz w:val="12"/>
          <w:szCs w:val="12"/>
          <w:color w:val="auto"/>
        </w:rPr>
        <w:t>Some of our competitors and potential competitors are larger and have greater name recognition, longer operating histories, more established customer relationships, larger budgets and significantly greater resources than we do. In addition, they have the operating flexibility to bundle competing products and services at little or no perceived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products or services that address one or a limited number of functions at lower prices, with greater depth than our products or in different geographies. Our current and potential competitors may develop and market new products and services with comparable functionality to our products, and this could lead to us having to decrease prices in order to remain competitive. Customers utilize our products in many ways and use varying levels of functionality that our products offer or are capable of supporting or enabling within their applications. Customers that use many of the features of our products or use our products to support or enable core functionality for their applications may have difficulty or find it impractical to replace our products with a competitor’s products or services, while customers that use only limited functionality may be able to replace our products more easily with competitive offerings. Our customers also may choose to build some of the functionality our products provide or establish direct connectivity with network service providers, which may limit or eliminate their demand for our products.</w:t>
      </w:r>
    </w:p>
    <w:p>
      <w:pPr>
        <w:spacing w:after="0" w:line="134" w:lineRule="exact"/>
        <w:rPr>
          <w:sz w:val="20"/>
          <w:szCs w:val="20"/>
          <w:color w:val="auto"/>
        </w:rPr>
      </w:pPr>
    </w:p>
    <w:p>
      <w:pPr>
        <w:ind w:right="160" w:firstLine="367"/>
        <w:spacing w:after="0" w:line="345" w:lineRule="auto"/>
        <w:rPr>
          <w:sz w:val="20"/>
          <w:szCs w:val="20"/>
          <w:color w:val="auto"/>
        </w:rPr>
      </w:pPr>
      <w:r>
        <w:rPr>
          <w:rFonts w:ascii="Arial" w:cs="Arial" w:eastAsia="Arial" w:hAnsi="Arial"/>
          <w:sz w:val="12"/>
          <w:szCs w:val="12"/>
          <w:color w:val="auto"/>
        </w:rPr>
        <w:t>With the introduction of new products and services and new market entrants, we expect competition to intensify in the future. In addition, some of our customers may choose to use our products and our competitors’ products at the same time. Further, customers and consumers may choose to adopt other forms of electronic communications or alternative communication platforms.</w:t>
      </w:r>
    </w:p>
    <w:p>
      <w:pPr>
        <w:spacing w:after="0" w:line="103" w:lineRule="exact"/>
        <w:rPr>
          <w:sz w:val="20"/>
          <w:szCs w:val="20"/>
          <w:color w:val="auto"/>
        </w:rPr>
      </w:pPr>
    </w:p>
    <w:p>
      <w:pPr>
        <w:ind w:right="60" w:firstLine="367"/>
        <w:spacing w:after="0" w:line="275" w:lineRule="auto"/>
        <w:rPr>
          <w:sz w:val="20"/>
          <w:szCs w:val="20"/>
          <w:color w:val="auto"/>
        </w:rPr>
      </w:pPr>
      <w:r>
        <w:rPr>
          <w:rFonts w:ascii="Arial" w:cs="Arial" w:eastAsia="Arial" w:hAnsi="Arial"/>
          <w:sz w:val="12"/>
          <w:szCs w:val="12"/>
          <w:color w:val="auto"/>
        </w:rPr>
        <w:t>Moreover,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 competitive landscape could</w:t>
      </w:r>
    </w:p>
    <w:p>
      <w:pPr>
        <w:spacing w:after="0" w:line="221" w:lineRule="auto"/>
        <w:rPr>
          <w:sz w:val="20"/>
          <w:szCs w:val="20"/>
          <w:color w:val="auto"/>
        </w:rPr>
      </w:pPr>
      <w:r>
        <w:rPr>
          <w:rFonts w:ascii="Arial" w:cs="Arial" w:eastAsia="Arial" w:hAnsi="Arial"/>
          <w:sz w:val="14"/>
          <w:szCs w:val="14"/>
          <w:color w:val="auto"/>
        </w:rPr>
        <w:t>also adversely affect our ability to compete effectively. For example, certain of our competitors have engaged in acquisition activity in 2021 and may continue to do so in the future. In addition, some of our competitors have lower list prices than us, which may be attractive to certain customers even if those products have different or lesser functionality. If we are unable to maintain our current pricing due to competitive pressures, our margins will be reduced and our business, results of operations and financial condition would be adversely affected. In addition,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have a history of losses and we are uncertain about our future profitability.</w:t>
      </w:r>
    </w:p>
    <w:p>
      <w:pPr>
        <w:spacing w:after="0" w:line="166" w:lineRule="exact"/>
        <w:rPr>
          <w:sz w:val="20"/>
          <w:szCs w:val="20"/>
          <w:color w:val="auto"/>
        </w:rPr>
      </w:pPr>
    </w:p>
    <w:p>
      <w:pPr>
        <w:jc w:val="both"/>
        <w:ind w:right="280" w:firstLine="367"/>
        <w:spacing w:after="0" w:line="252" w:lineRule="auto"/>
        <w:rPr>
          <w:sz w:val="20"/>
          <w:szCs w:val="20"/>
          <w:color w:val="auto"/>
        </w:rPr>
      </w:pPr>
      <w:r>
        <w:rPr>
          <w:rFonts w:ascii="Arial" w:cs="Arial" w:eastAsia="Arial" w:hAnsi="Arial"/>
          <w:sz w:val="14"/>
          <w:szCs w:val="14"/>
          <w:color w:val="auto"/>
        </w:rPr>
        <w:t>We have incurred net losses in each year since our inception, including net losses of $224.1 million, $491.0 million and $307.1 million in the nine months ended September 30, 2021 and the years ended December 31, 2020 and 2019, respectively. We had an accumulated deficit of $1.8 billion as of September 30, 2021. We expect to continue to expend substantial financial and other resources on, among other things:</w:t>
      </w:r>
    </w:p>
    <w:p>
      <w:pPr>
        <w:spacing w:after="0" w:line="146" w:lineRule="exact"/>
        <w:rPr>
          <w:sz w:val="20"/>
          <w:szCs w:val="20"/>
          <w:color w:val="auto"/>
        </w:rPr>
      </w:pPr>
    </w:p>
    <w:p>
      <w:pPr>
        <w:ind w:left="740" w:hanging="249"/>
        <w:spacing w:after="0"/>
        <w:tabs>
          <w:tab w:leader="none" w:pos="7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investments in our engineering team, improvements in security and data protection, the development of new products, features and functionality and enhancements to our platform;</w:t>
      </w:r>
    </w:p>
    <w:p>
      <w:pPr>
        <w:spacing w:after="0" w:line="188" w:lineRule="exact"/>
        <w:rPr>
          <w:rFonts w:ascii="Arial" w:cs="Arial" w:eastAsia="Arial" w:hAnsi="Arial"/>
          <w:sz w:val="12"/>
          <w:szCs w:val="12"/>
          <w:color w:val="auto"/>
        </w:rPr>
      </w:pPr>
    </w:p>
    <w:p>
      <w:pPr>
        <w:ind w:left="740" w:right="20" w:hanging="249"/>
        <w:spacing w:after="0" w:line="261" w:lineRule="auto"/>
        <w:tabs>
          <w:tab w:leader="none" w:pos="737" w:val="left"/>
        </w:tabs>
        <w:numPr>
          <w:ilvl w:val="0"/>
          <w:numId w:val="29"/>
        </w:numPr>
        <w:rPr>
          <w:rFonts w:ascii="Arial" w:cs="Arial" w:eastAsia="Arial" w:hAnsi="Arial"/>
          <w:sz w:val="14"/>
          <w:szCs w:val="14"/>
          <w:color w:val="auto"/>
        </w:rPr>
      </w:pPr>
      <w:r>
        <w:rPr>
          <w:rFonts w:ascii="Arial" w:cs="Arial" w:eastAsia="Arial" w:hAnsi="Arial"/>
          <w:sz w:val="14"/>
          <w:szCs w:val="14"/>
          <w:color w:val="auto"/>
        </w:rPr>
        <w:t>sales and marketing, including the continued expansion of our direct sales organization and marketing programs, especially for enterprises and for organizations outside of the United States, and expanding our programs directed at increasing our brand awareness among current and new developers;</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expansion of our operations and infrastructure, both domestically and internationally; and</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general administration, including legal, accounting and other expenses related to being a public company.</w:t>
      </w:r>
    </w:p>
    <w:p>
      <w:pPr>
        <w:spacing w:after="0" w:line="166" w:lineRule="exact"/>
        <w:rPr>
          <w:sz w:val="20"/>
          <w:szCs w:val="20"/>
          <w:color w:val="auto"/>
        </w:rPr>
      </w:pPr>
    </w:p>
    <w:p>
      <w:pPr>
        <w:jc w:val="both"/>
        <w:ind w:right="320" w:firstLine="367"/>
        <w:spacing w:after="0" w:line="252" w:lineRule="auto"/>
        <w:rPr>
          <w:sz w:val="20"/>
          <w:szCs w:val="20"/>
          <w:color w:val="auto"/>
        </w:rPr>
      </w:pPr>
      <w:r>
        <w:rPr>
          <w:rFonts w:ascii="Arial" w:cs="Arial" w:eastAsia="Arial" w:hAnsi="Arial"/>
          <w:sz w:val="14"/>
          <w:szCs w:val="14"/>
          <w:color w:val="auto"/>
        </w:rPr>
        <w:t>These investments may not result in increased revenue or growth of our business. We also expect that our revenue growth rate will decline over time. Accordingly, we may not be able to generate sufficient revenue to offset our expected cost increases and achieve and sustain profitability. If we fail to achieve and sustain profitability, then our business, results of operations and financial condition would be adversely affected.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If we are unable to increase adoption of our products by enterprises, our business, results of operations and financial condition may be adversely affected.</w:t>
      </w:r>
    </w:p>
    <w:p>
      <w:pPr>
        <w:spacing w:after="0" w:line="166" w:lineRule="exact"/>
        <w:rPr>
          <w:sz w:val="20"/>
          <w:szCs w:val="20"/>
          <w:color w:val="auto"/>
        </w:rPr>
      </w:pPr>
    </w:p>
    <w:p>
      <w:pPr>
        <w:ind w:right="120" w:firstLine="367"/>
        <w:spacing w:after="0" w:line="345" w:lineRule="auto"/>
        <w:rPr>
          <w:sz w:val="20"/>
          <w:szCs w:val="20"/>
          <w:color w:val="auto"/>
        </w:rPr>
      </w:pPr>
      <w:r>
        <w:rPr>
          <w:rFonts w:ascii="Arial" w:cs="Arial" w:eastAsia="Arial" w:hAnsi="Arial"/>
          <w:sz w:val="12"/>
          <w:szCs w:val="12"/>
          <w:color w:val="auto"/>
        </w:rPr>
        <w:t>Historically, we have relied on the adoption of our products by software developers through our self-service model for a majority of our revenue. Our ability to increase our customer base, especially among enterprises, and achieve broader market acceptance of our products will depend, in part, on our ability to effectively organize, focus and train our sales and marketing employees.</w:t>
      </w:r>
    </w:p>
    <w:p>
      <w:pPr>
        <w:spacing w:after="0" w:line="93" w:lineRule="exact"/>
        <w:rPr>
          <w:sz w:val="20"/>
          <w:szCs w:val="20"/>
          <w:color w:val="auto"/>
        </w:rPr>
      </w:pPr>
    </w:p>
    <w:p>
      <w:pPr>
        <w:ind w:right="20" w:firstLine="367"/>
        <w:spacing w:after="0" w:line="294" w:lineRule="auto"/>
        <w:rPr>
          <w:sz w:val="20"/>
          <w:szCs w:val="20"/>
          <w:color w:val="auto"/>
        </w:rPr>
      </w:pPr>
      <w:r>
        <w:rPr>
          <w:rFonts w:ascii="Arial" w:cs="Arial" w:eastAsia="Arial" w:hAnsi="Arial"/>
          <w:sz w:val="12"/>
          <w:szCs w:val="12"/>
          <w:color w:val="auto"/>
        </w:rPr>
        <w:t>Our ability to convince enterprises to adopt our products will depend, in part, on our ability to attract and retain sales employees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employees,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 Because we do not have a long history of targeting our sales efforts at enterprises, we cannot predict whether, or to what extent, our sales will increase as we organize and train our sales force or how long it will take for sales employees to become productive.</w:t>
      </w:r>
    </w:p>
    <w:p>
      <w:pPr>
        <w:spacing w:after="0" w:line="123" w:lineRule="exact"/>
        <w:rPr>
          <w:sz w:val="20"/>
          <w:szCs w:val="20"/>
          <w:color w:val="auto"/>
        </w:rPr>
      </w:pPr>
    </w:p>
    <w:p>
      <w:pPr>
        <w:ind w:firstLine="367"/>
        <w:spacing w:after="0" w:line="291" w:lineRule="auto"/>
        <w:rPr>
          <w:sz w:val="20"/>
          <w:szCs w:val="20"/>
          <w:color w:val="auto"/>
        </w:rPr>
      </w:pPr>
      <w:r>
        <w:rPr>
          <w:rFonts w:ascii="Arial" w:cs="Arial" w:eastAsia="Arial" w:hAnsi="Arial"/>
          <w:sz w:val="12"/>
          <w:szCs w:val="12"/>
          <w:color w:val="auto"/>
        </w:rPr>
        <w:t>As we seek to increase the adoption of our products by enterprises, including products like Flex, which is primarily aimed at complex contact center implementations at larger companies, we expect to incur higher costs and longer sales cycles. In the enterprise market segment, the decision to adopt our products may require the approval of multiple technical and business decision makers, including legal, security, compliance, procurement, operations and IT. In addition, while enterprise customers may quickly deploy our products on a limited basis, before they will commit to deploying our products at scale, they often require extensive education about our products and significant customer support time, engage in protracted pricing negotiations and seek to secure readily available development resources. In addition, sales cycles for enterprises are inherently more complex and less predictable than the sales through our self-service model, and some enterprise customers may not use our products enough to generate revenue that justifies the cost to obtain such customers. In addition, these complex and resource intensive sales efforts could place additional strain on our product and engineering resources. Further, enterprises, including some of our customers, may choose to develop their own solutions that do not include our products. They also may demand reductions in pricing as their usage of our products increases, which could have an adverse impact on our gross margin. As a result of our limited experience selling and marketing to enterprises, our efforts to sell to these potential customers may not be successful. If we are unable to increase the revenue that we derive from enterprises, then our business, results of operations and financial condition may be adversely affected.</w:t>
      </w:r>
    </w:p>
    <w:p>
      <w:pPr>
        <w:spacing w:after="0" w:line="127" w:lineRule="exact"/>
        <w:rPr>
          <w:sz w:val="20"/>
          <w:szCs w:val="20"/>
          <w:color w:val="auto"/>
        </w:rPr>
      </w:pPr>
    </w:p>
    <w:p>
      <w:pPr>
        <w:ind w:right="180" w:firstLine="367"/>
        <w:spacing w:after="0" w:line="261" w:lineRule="auto"/>
        <w:rPr>
          <w:sz w:val="20"/>
          <w:szCs w:val="20"/>
          <w:color w:val="auto"/>
        </w:rPr>
      </w:pPr>
      <w:r>
        <w:rPr>
          <w:rFonts w:ascii="Arial" w:cs="Arial" w:eastAsia="Arial" w:hAnsi="Arial"/>
          <w:sz w:val="14"/>
          <w:szCs w:val="14"/>
          <w:b w:val="1"/>
          <w:bCs w:val="1"/>
          <w:i w:val="1"/>
          <w:iCs w:val="1"/>
          <w:color w:val="auto"/>
        </w:rPr>
        <w:t>If we are unable to expand our relationships with existing technology partner customers and add new technology partner customers, our business, results of operations and financial condition could be adversely affected.</w:t>
      </w:r>
    </w:p>
    <w:p>
      <w:pPr>
        <w:spacing w:after="0" w:line="140" w:lineRule="exact"/>
        <w:rPr>
          <w:sz w:val="20"/>
          <w:szCs w:val="20"/>
          <w:color w:val="auto"/>
        </w:rPr>
      </w:pPr>
    </w:p>
    <w:p>
      <w:pPr>
        <w:ind w:right="20" w:firstLine="367"/>
        <w:spacing w:after="0" w:line="304" w:lineRule="auto"/>
        <w:rPr>
          <w:sz w:val="20"/>
          <w:szCs w:val="20"/>
          <w:color w:val="auto"/>
        </w:rPr>
      </w:pPr>
      <w:r>
        <w:rPr>
          <w:rFonts w:ascii="Arial" w:cs="Arial" w:eastAsia="Arial" w:hAnsi="Arial"/>
          <w:sz w:val="12"/>
          <w:szCs w:val="12"/>
          <w:color w:val="auto"/>
        </w:rPr>
        <w:t>We believe that the continued growth of our business depends in part upon developing and expanding strategic relationships with technology partner customers. Technology partner customers embed our software products in their solutions, such as software applications for contact centers and sales force and marketing automation, and then sell such solutions to other businesses. When potential customers do not have the available developer resources to build their own applications, we refer them to either our technology partners who embed our products in the solutions that they sell to other businesses or our consulting partners who provide consulting and development services for organizations that have limited software development expertise to build our platform into their software applications.</w:t>
      </w:r>
    </w:p>
    <w:p>
      <w:pPr>
        <w:spacing w:after="0" w:line="117" w:lineRule="exact"/>
        <w:rPr>
          <w:sz w:val="20"/>
          <w:szCs w:val="20"/>
          <w:color w:val="auto"/>
        </w:rPr>
      </w:pPr>
    </w:p>
    <w:p>
      <w:pPr>
        <w:ind w:right="40" w:firstLine="367"/>
        <w:spacing w:after="0" w:line="249" w:lineRule="auto"/>
        <w:rPr>
          <w:sz w:val="20"/>
          <w:szCs w:val="20"/>
          <w:color w:val="auto"/>
        </w:rPr>
      </w:pPr>
      <w:r>
        <w:rPr>
          <w:rFonts w:ascii="Arial" w:cs="Arial" w:eastAsia="Arial" w:hAnsi="Arial"/>
          <w:sz w:val="14"/>
          <w:szCs w:val="14"/>
          <w:color w:val="auto"/>
        </w:rPr>
        <w:t>As part of our growth strategy, we intend to expand our relationships with existing technology partner customers and add new technology partner customers. If we fail to expand our relationships with existing technology partner customers or establish relationships with new technology partner customers in a timely and cost-effective manner, or at all, then our business, results of operations and financial condition could be adversely affected. Additionally, even if we are successful at building these relationships but there are problems or issues with integrating our products into the solutions of these customers, our reputation and ability to grow our business may be harmed.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20" w:firstLine="367"/>
        <w:spacing w:after="0" w:line="252" w:lineRule="auto"/>
        <w:rPr>
          <w:sz w:val="20"/>
          <w:szCs w:val="20"/>
          <w:color w:val="auto"/>
        </w:rPr>
      </w:pPr>
      <w:r>
        <w:rPr>
          <w:rFonts w:ascii="Arial" w:cs="Arial" w:eastAsia="Arial" w:hAnsi="Arial"/>
          <w:sz w:val="14"/>
          <w:szCs w:val="14"/>
          <w:b w:val="1"/>
          <w:bCs w:val="1"/>
          <w:i w:val="1"/>
          <w:iCs w:val="1"/>
          <w:color w:val="auto"/>
        </w:rPr>
        <w:t>To deliver our products, we rely on network service providers and internet service providers for our network service and connectivity, and disruption or deterioration in the quality of these services or changes in network service provider fees that we pay in connection with the delivery of communications on our platform could adversely affect our business, results of operations and financial condition.</w:t>
      </w:r>
    </w:p>
    <w:p>
      <w:pPr>
        <w:spacing w:after="0" w:line="146" w:lineRule="exact"/>
        <w:rPr>
          <w:sz w:val="20"/>
          <w:szCs w:val="20"/>
          <w:color w:val="auto"/>
        </w:rPr>
      </w:pPr>
    </w:p>
    <w:p>
      <w:pPr>
        <w:ind w:right="80" w:firstLine="367"/>
        <w:spacing w:after="0" w:line="304" w:lineRule="auto"/>
        <w:rPr>
          <w:sz w:val="20"/>
          <w:szCs w:val="20"/>
          <w:color w:val="auto"/>
        </w:rPr>
      </w:pPr>
      <w:r>
        <w:rPr>
          <w:rFonts w:ascii="Arial" w:cs="Arial" w:eastAsia="Arial" w:hAnsi="Arial"/>
          <w:sz w:val="12"/>
          <w:szCs w:val="12"/>
          <w:color w:val="auto"/>
        </w:rPr>
        <w:t>We currently interconnect with network service providers around the world to enable the use by our customers of our products over their networks. Although we are in the process of acquiring authorization in many countries for direct access to phone numbers and for the provision of voice services on the networks of network service providers, we expect that we will continue to rely on network service providers for these services. Where we don't have direct access to phone numbers, our reliance on network service providers has reduced our operating flexibility, ability to make timely service changes and control quality of service. In addition, the fees that we are charged by network service providers may change daily or weekly, while we do not typically change our customers’ pricing as rapidly.</w:t>
      </w:r>
    </w:p>
    <w:p>
      <w:pPr>
        <w:spacing w:after="0" w:line="117" w:lineRule="exact"/>
        <w:rPr>
          <w:sz w:val="20"/>
          <w:szCs w:val="20"/>
          <w:color w:val="auto"/>
        </w:rPr>
      </w:pPr>
    </w:p>
    <w:p>
      <w:pPr>
        <w:ind w:right="40" w:firstLine="367"/>
        <w:spacing w:after="0" w:line="292" w:lineRule="auto"/>
        <w:rPr>
          <w:sz w:val="20"/>
          <w:szCs w:val="20"/>
          <w:color w:val="auto"/>
        </w:rPr>
      </w:pPr>
      <w:r>
        <w:rPr>
          <w:rFonts w:ascii="Arial" w:cs="Arial" w:eastAsia="Arial" w:hAnsi="Arial"/>
          <w:sz w:val="12"/>
          <w:szCs w:val="12"/>
          <w:color w:val="auto"/>
        </w:rPr>
        <w:t>At times, network service providers have instituted additional fees due to regulatory, competitive or other industry related changes that increase our network costs. For example, in early 2020, a major U.S. mobile carrier introduced a new Application to Person (A2P) SMS service offering that adds a new fee for A2P SMS messages delivered to its subscribers, and other U.S. mobile carriers have added or are in the process of adding similar fees. While we have historically responded to these types of fee increases through a combination of further negotiating efforts with our network service providers, absorbing the increased costs or changing our prices to customers, there is no guarantee that we will continue to be able to do so in the future without a material negative impact to our business. In the case of these new carriers A2P SMS fees, after a short phase-in period where we absorbed the fees, we began on May 1, 2021 to pass these fees directly through to our customers who are sending SMS messages to these carriers' subscribers. We expect that this will increase our revenue and cost of revenue, but will not impact the gross profit dollars received for sending these messages. However, mathematically this will have a negative impact on our gross margins. Additionally, our ability to respond to any new fees may be constrained if all network service providers in a particular market impose equivalent fee structures, if the magnitude of the fees is disproportionately large when compared to the underlying prices paid by our customers, or if the market conditions limit our ability to increase the price we charge our customers.</w:t>
      </w:r>
    </w:p>
    <w:p>
      <w:pPr>
        <w:spacing w:after="0" w:line="289" w:lineRule="exact"/>
        <w:rPr>
          <w:sz w:val="20"/>
          <w:szCs w:val="20"/>
          <w:color w:val="auto"/>
        </w:rPr>
      </w:pPr>
    </w:p>
    <w:p>
      <w:pPr>
        <w:ind w:firstLine="367"/>
        <w:spacing w:after="0" w:line="296" w:lineRule="auto"/>
        <w:rPr>
          <w:sz w:val="20"/>
          <w:szCs w:val="20"/>
          <w:color w:val="auto"/>
        </w:rPr>
      </w:pPr>
      <w:r>
        <w:rPr>
          <w:rFonts w:ascii="Arial" w:cs="Arial" w:eastAsia="Arial" w:hAnsi="Arial"/>
          <w:sz w:val="12"/>
          <w:szCs w:val="12"/>
          <w:color w:val="auto"/>
        </w:rPr>
        <w:t>Furthermore, many of these network service providers do not have long-term committed contracts with us and may interrupt services or terminate their agreements with us without notice. If a significant portion of our network service providers stop providing us with access to their infrastructure, fail to provide these services to us on a cost-effective basis, cease operations, or otherwise terminate these services, the delay caused by qualifying and switching to other network service providers could be time consuming and costly and could adversely affect our business, results of operations and financial condition. Further, if problems occur with our network service providers, it may cause errors or poor quality communications with our products, and we could encounter difficulty identifying the source of the problem. The occurrence of errors or poor quality communications on our products, whether caused by our platform or a network service provider, may result in the loss of our existing customers or the delay of adoption of our products by potential customers and may adversely affect our business, results of operations and financial condition.</w:t>
      </w:r>
    </w:p>
    <w:p>
      <w:pPr>
        <w:spacing w:after="0" w:line="122" w:lineRule="exact"/>
        <w:rPr>
          <w:sz w:val="20"/>
          <w:szCs w:val="20"/>
          <w:color w:val="auto"/>
        </w:rPr>
      </w:pPr>
    </w:p>
    <w:p>
      <w:pPr>
        <w:ind w:right="20" w:firstLine="367"/>
        <w:spacing w:after="0" w:line="249" w:lineRule="auto"/>
        <w:rPr>
          <w:sz w:val="20"/>
          <w:szCs w:val="20"/>
          <w:color w:val="auto"/>
        </w:rPr>
      </w:pPr>
      <w:r>
        <w:rPr>
          <w:rFonts w:ascii="Arial" w:cs="Arial" w:eastAsia="Arial" w:hAnsi="Arial"/>
          <w:sz w:val="14"/>
          <w:szCs w:val="14"/>
          <w:color w:val="auto"/>
        </w:rPr>
        <w:t>Further, we sometimes access network services through intermediaries who have direct access to network service providers. Although we are in the process of securing direct connections with network service providers in many countries, we expect that we will continue to rely on intermediaries for these services.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spacing w:after="0" w:line="148" w:lineRule="exact"/>
        <w:rPr>
          <w:sz w:val="20"/>
          <w:szCs w:val="20"/>
          <w:color w:val="auto"/>
        </w:rPr>
      </w:pPr>
    </w:p>
    <w:p>
      <w:pPr>
        <w:ind w:firstLine="367"/>
        <w:spacing w:after="0" w:line="304" w:lineRule="auto"/>
        <w:rPr>
          <w:sz w:val="20"/>
          <w:szCs w:val="20"/>
          <w:color w:val="auto"/>
        </w:rPr>
      </w:pPr>
      <w:r>
        <w:rPr>
          <w:rFonts w:ascii="Arial" w:cs="Arial" w:eastAsia="Arial" w:hAnsi="Arial"/>
          <w:sz w:val="12"/>
          <w:szCs w:val="12"/>
          <w:color w:val="auto"/>
        </w:rPr>
        <w:t>We also interconnect with internet service providers around the world to enable the use of our email products by our customers, and we expect that we will continue to rely on internet service providers for network connectivity going forward. Our reliance on internet service providers reduces our control over quality of service and exposes us to potential service outages and rate fluctuations. If a significant portion of our internet service providers stop providing us with access to their network infrastructure, fail to provide access on a cost-effective basis, cease operations, or otherwise terminate access, the delay caused by qualifying and switching to other internet service providers could be time consuming and costly and could adversely affect our business, results of operations, and financial condition.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future success depends in part on our ability to drive the adoption of our products by international customers.</w:t>
      </w:r>
    </w:p>
    <w:p>
      <w:pPr>
        <w:spacing w:after="0" w:line="166" w:lineRule="exact"/>
        <w:rPr>
          <w:sz w:val="20"/>
          <w:szCs w:val="20"/>
          <w:color w:val="auto"/>
        </w:rPr>
      </w:pPr>
    </w:p>
    <w:p>
      <w:pPr>
        <w:ind w:right="60" w:firstLine="367"/>
        <w:spacing w:after="0" w:line="299" w:lineRule="auto"/>
        <w:rPr>
          <w:sz w:val="20"/>
          <w:szCs w:val="20"/>
          <w:color w:val="auto"/>
        </w:rPr>
      </w:pPr>
      <w:r>
        <w:rPr>
          <w:rFonts w:ascii="Arial" w:cs="Arial" w:eastAsia="Arial" w:hAnsi="Arial"/>
          <w:sz w:val="12"/>
          <w:szCs w:val="12"/>
          <w:color w:val="auto"/>
        </w:rPr>
        <w:t>In the nine months ended September 30, 2021 and the years ended December 31, 2020 and 2019, we derived 31%, 27% and 29% of our revenue, respectively, from customer accounts located outside the United States. The future success of our business will depend, in part, on our ability to expand our customer base worldwide. While we have been rapidly expanding our sales efforts internationally, our experience in selling our products outside of the United States is limited. Furthermore, our developer-first business model may not be successful or have the same traction outside the United States. As a result, our investment in marketing our products to these potential customers may not be successful. If we are unable to increase the revenue that we derive from international customers, then our business, results of operations and financial condition may be adversely affected.</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are continuing to expand our international operations, which exposes us to significant risks.</w:t>
      </w:r>
    </w:p>
    <w:p>
      <w:pPr>
        <w:spacing w:after="0" w:line="166" w:lineRule="exact"/>
        <w:rPr>
          <w:sz w:val="20"/>
          <w:szCs w:val="20"/>
          <w:color w:val="auto"/>
        </w:rPr>
      </w:pPr>
    </w:p>
    <w:p>
      <w:pPr>
        <w:ind w:firstLine="367"/>
        <w:spacing w:after="0" w:line="247" w:lineRule="auto"/>
        <w:rPr>
          <w:sz w:val="20"/>
          <w:szCs w:val="20"/>
          <w:color w:val="auto"/>
        </w:rPr>
      </w:pPr>
      <w:r>
        <w:rPr>
          <w:rFonts w:ascii="Arial" w:cs="Arial" w:eastAsia="Arial" w:hAnsi="Arial"/>
          <w:sz w:val="14"/>
          <w:szCs w:val="14"/>
          <w:color w:val="auto"/>
        </w:rPr>
        <w:t>We are continuing to expand our international operations to increase our revenue from customers outside of the United States as part of our growth strategy. Between September 30, 2020 and September 30, 2021, our international headcount grew from 1,108 employees to 2,701 employees. We expect to open additional international offices and hire employees to work at these offices in order to reach new customers and gain access to additional technical talent. Operating in international markets requires significant resources and management attention and will subject us to regulatory, economic and political risks in addition to those we already face in the United States. Because of our limited experience with international operations or with developing and managing sales in international markets, our international expansion efforts may not be successful.</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addition, we will face risks in doing business internationally that could adversely affect our business, including:</w:t>
      </w:r>
    </w:p>
    <w:p>
      <w:pPr>
        <w:spacing w:after="0" w:line="166" w:lineRule="exact"/>
        <w:rPr>
          <w:sz w:val="20"/>
          <w:szCs w:val="20"/>
          <w:color w:val="auto"/>
        </w:rPr>
      </w:pPr>
    </w:p>
    <w:p>
      <w:pPr>
        <w:ind w:left="740" w:right="40" w:hanging="249"/>
        <w:spacing w:after="0" w:line="247" w:lineRule="auto"/>
        <w:tabs>
          <w:tab w:leader="none" w:pos="737"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exposure to political developments in the United Kingdom ("U.K."), including the departure of the U.K. from the EU (“Brexit”), which has created an uncertain political and economic environment, instability for businesses, and volatility in global financial markets and the value of foreign currencies, all of which could disrupt trade, the sale of our services and the mobility of our employees and contractors between the U.K., EU and other jurisdictions. Any long–term impact from Brexit on our business and operations will depend, in part, on the outcome of the U.K.'s continuing negotiations on a number of matters not definitively addressed in the UK-EU Trade and Cooperation Agreement and may require us to expend significant time and expense to make adjustments to our business and operations;</w:t>
      </w:r>
    </w:p>
    <w:p>
      <w:pPr>
        <w:spacing w:after="0" w:line="151" w:lineRule="exact"/>
        <w:rPr>
          <w:rFonts w:ascii="Arial" w:cs="Arial" w:eastAsia="Arial" w:hAnsi="Arial"/>
          <w:sz w:val="14"/>
          <w:szCs w:val="14"/>
          <w:color w:val="auto"/>
        </w:rPr>
      </w:pPr>
    </w:p>
    <w:p>
      <w:pPr>
        <w:ind w:left="740" w:right="120" w:hanging="249"/>
        <w:spacing w:after="0" w:line="261" w:lineRule="auto"/>
        <w:tabs>
          <w:tab w:leader="none" w:pos="737"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difficulty of managing and staffing international operations and the increased operations, travel, infrastructure and legal compliance costs associated with servicing international customers and operating numerous international locations;</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ability to effectively price our products in competitive international markets;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new and different sources of competition or other changes to our current competitive landscape;</w:t>
      </w:r>
    </w:p>
    <w:p>
      <w:pPr>
        <w:spacing w:after="0" w:line="165" w:lineRule="exact"/>
        <w:rPr>
          <w:rFonts w:ascii="Arial" w:cs="Arial" w:eastAsia="Arial" w:hAnsi="Arial"/>
          <w:sz w:val="14"/>
          <w:szCs w:val="14"/>
          <w:color w:val="auto"/>
        </w:rPr>
      </w:pPr>
    </w:p>
    <w:p>
      <w:pPr>
        <w:ind w:left="740" w:right="80" w:hanging="249"/>
        <w:spacing w:after="0" w:line="261" w:lineRule="auto"/>
        <w:tabs>
          <w:tab w:leader="none" w:pos="737" w:val="left"/>
        </w:tabs>
        <w:numPr>
          <w:ilvl w:val="0"/>
          <w:numId w:val="30"/>
        </w:numPr>
        <w:rPr>
          <w:rFonts w:ascii="Arial" w:cs="Arial" w:eastAsia="Arial" w:hAnsi="Arial"/>
          <w:sz w:val="14"/>
          <w:szCs w:val="14"/>
          <w:color w:val="auto"/>
        </w:rPr>
      </w:pPr>
      <w:r>
        <w:rPr>
          <w:rFonts w:ascii="Arial" w:cs="Arial" w:eastAsia="Arial" w:hAnsi="Arial"/>
          <w:sz w:val="14"/>
          <w:szCs w:val="14"/>
          <w:color w:val="auto"/>
        </w:rPr>
        <w:t>understanding and reconciling different technical standards, data privacy and telecommunications regulations, registration and certification requirements outside the United States, which could prevent customers from deploying our products or limit their usage;</w:t>
      </w:r>
    </w:p>
    <w:p>
      <w:pPr>
        <w:spacing w:after="0" w:line="139" w:lineRule="exact"/>
        <w:rPr>
          <w:rFonts w:ascii="Arial" w:cs="Arial" w:eastAsia="Arial" w:hAnsi="Arial"/>
          <w:sz w:val="14"/>
          <w:szCs w:val="14"/>
          <w:color w:val="auto"/>
        </w:rPr>
      </w:pPr>
    </w:p>
    <w:p>
      <w:pPr>
        <w:ind w:left="740" w:right="40" w:hanging="249"/>
        <w:spacing w:after="0" w:line="345" w:lineRule="auto"/>
        <w:tabs>
          <w:tab w:leader="none" w:pos="737"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ability to comply with the GDPR and Brazil's General Data Protection Law (Lei Geral de Proteção de Dados Pessoais) (Law No. 13,709/2018), and laws, regulations and industry standards relating to data privacy, data protection, data localization and data security enacted in countries and other regions in which we operate or do business;</w:t>
      </w:r>
    </w:p>
    <w:p>
      <w:pPr>
        <w:spacing w:after="0" w:line="93" w:lineRule="exact"/>
        <w:rPr>
          <w:rFonts w:ascii="Arial" w:cs="Arial" w:eastAsia="Arial" w:hAnsi="Arial"/>
          <w:sz w:val="12"/>
          <w:szCs w:val="12"/>
          <w:color w:val="auto"/>
        </w:rPr>
      </w:pPr>
    </w:p>
    <w:p>
      <w:pPr>
        <w:ind w:left="740" w:hanging="249"/>
        <w:spacing w:after="0"/>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potentially greater difficulty collecting accounts receivable and longer payment cycles;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higher or more variable network service provider fees outside of the United States;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need to adapt and localize our products for specific countries;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need to offer customer support in various languages;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difficulties in understanding and complying with local laws, regulations and customs in non-U.S. jurisdictions;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740" w:hanging="249"/>
        <w:spacing w:after="0"/>
        <w:tabs>
          <w:tab w:leader="none" w:pos="7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export controls and economic sanctions administered by the Department of Commerce Bureau of Industry and Security and the Treasury Department’s Office of Foreign Assets Control;</w:t>
      </w:r>
    </w:p>
    <w:p>
      <w:pPr>
        <w:spacing w:after="0" w:line="188" w:lineRule="exact"/>
        <w:rPr>
          <w:rFonts w:ascii="Arial" w:cs="Arial" w:eastAsia="Arial" w:hAnsi="Arial"/>
          <w:sz w:val="12"/>
          <w:szCs w:val="12"/>
          <w:color w:val="auto"/>
        </w:rPr>
      </w:pPr>
    </w:p>
    <w:p>
      <w:pPr>
        <w:ind w:left="740" w:hanging="249"/>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compliance with various anti-bribery and anti-corruption laws such as the Foreign Corrupt Practices Act and United Kingdom Bribery Act of 2010;</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international trade policies, tariffs and other non-tariff barriers, such as quotas and local content rules;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more limited protection for intellectual property rights in some countries;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adverse tax consequences;</w:t>
      </w:r>
    </w:p>
    <w:p>
      <w:pPr>
        <w:spacing w:after="0" w:line="165" w:lineRule="exact"/>
        <w:rPr>
          <w:rFonts w:ascii="Arial" w:cs="Arial" w:eastAsia="Arial" w:hAnsi="Arial"/>
          <w:sz w:val="14"/>
          <w:szCs w:val="14"/>
          <w:color w:val="auto"/>
        </w:rPr>
      </w:pPr>
    </w:p>
    <w:p>
      <w:pPr>
        <w:ind w:left="740" w:hanging="249"/>
        <w:spacing w:after="0" w:line="261" w:lineRule="auto"/>
        <w:tabs>
          <w:tab w:leader="none" w:pos="737" w:val="left"/>
        </w:tabs>
        <w:numPr>
          <w:ilvl w:val="0"/>
          <w:numId w:val="31"/>
        </w:numPr>
        <w:rPr>
          <w:rFonts w:ascii="Arial" w:cs="Arial" w:eastAsia="Arial" w:hAnsi="Arial"/>
          <w:sz w:val="14"/>
          <w:szCs w:val="14"/>
          <w:color w:val="auto"/>
        </w:rPr>
      </w:pPr>
      <w:r>
        <w:rPr>
          <w:rFonts w:ascii="Arial" w:cs="Arial" w:eastAsia="Arial" w:hAnsi="Arial"/>
          <w:sz w:val="14"/>
          <w:szCs w:val="14"/>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currency control regulations, which might restrict or prohibit our conversion of other currencies into U.S. dollars;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restrictions on the transfer of funds;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deterioration of political relations between the United States and other countries;</w:t>
      </w:r>
    </w:p>
    <w:p>
      <w:pPr>
        <w:spacing w:after="0" w:line="165" w:lineRule="exact"/>
        <w:rPr>
          <w:rFonts w:ascii="Arial" w:cs="Arial" w:eastAsia="Arial" w:hAnsi="Arial"/>
          <w:sz w:val="14"/>
          <w:szCs w:val="14"/>
          <w:color w:val="auto"/>
        </w:rPr>
      </w:pPr>
    </w:p>
    <w:p>
      <w:pPr>
        <w:ind w:left="740" w:right="20" w:hanging="249"/>
        <w:spacing w:after="0" w:line="261" w:lineRule="auto"/>
        <w:tabs>
          <w:tab w:leader="none" w:pos="737"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impact of natural disasters and public health epidemics or pandemics such as COVID-19 on employees, contingent workers, partners, travel and the global economy and the ability to operate freely and effectively in a region that may be fully or partially on lockdown; and</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political or social unrest or economic instability in a specific country or region in which we operate, which could have an adverse impact on our operations in that location.</w:t>
      </w:r>
    </w:p>
    <w:p>
      <w:pPr>
        <w:spacing w:after="0" w:line="166" w:lineRule="exact"/>
        <w:rPr>
          <w:sz w:val="20"/>
          <w:szCs w:val="20"/>
          <w:color w:val="auto"/>
        </w:rPr>
      </w:pPr>
    </w:p>
    <w:p>
      <w:pPr>
        <w:jc w:val="both"/>
        <w:ind w:right="540" w:firstLine="367"/>
        <w:spacing w:after="0" w:line="252" w:lineRule="auto"/>
        <w:rPr>
          <w:sz w:val="20"/>
          <w:szCs w:val="20"/>
          <w:color w:val="auto"/>
        </w:rPr>
      </w:pPr>
      <w:r>
        <w:rPr>
          <w:rFonts w:ascii="Arial" w:cs="Arial" w:eastAsia="Arial" w:hAnsi="Arial"/>
          <w:sz w:val="14"/>
          <w:szCs w:val="14"/>
          <w:color w:val="auto"/>
        </w:rPr>
        <w:t>Also, due to costs from our international expansion efforts and network service provider fees outside of the United States, which generally are higher than domestic rates, our gross margin for international customers is typically lower than our gross margin for domestic customers. As a result, our gross margin may be impacted and fluctuate as we expand our operations and customer base worldwide.</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failure to manage any of these risks successfully could harm our international operations, and adversely affect our business, results of operations and financial condition.</w:t>
      </w:r>
    </w:p>
    <w:p>
      <w:pPr>
        <w:spacing w:after="0" w:line="166" w:lineRule="exact"/>
        <w:rPr>
          <w:sz w:val="20"/>
          <w:szCs w:val="20"/>
          <w:color w:val="auto"/>
        </w:rPr>
      </w:pPr>
    </w:p>
    <w:p>
      <w:pPr>
        <w:ind w:right="100" w:firstLine="367"/>
        <w:spacing w:after="0" w:line="168" w:lineRule="exact"/>
        <w:rPr>
          <w:sz w:val="20"/>
          <w:szCs w:val="20"/>
          <w:color w:val="auto"/>
        </w:rPr>
      </w:pPr>
      <w:r>
        <w:rPr>
          <w:rFonts w:ascii="Arial" w:cs="Arial" w:eastAsia="Arial" w:hAnsi="Arial"/>
          <w:sz w:val="14"/>
          <w:szCs w:val="14"/>
          <w:b w:val="1"/>
          <w:bCs w:val="1"/>
          <w:i w:val="1"/>
          <w:iCs w:val="1"/>
          <w:color w:val="auto"/>
        </w:rPr>
        <w:t>Certain of our products are subject to telecommunications</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related regulations, and future legislative or regulatory actions could adversely affect our business, results of operations and financial condition.</w:t>
      </w:r>
    </w:p>
    <w:p>
      <w:pPr>
        <w:spacing w:after="0" w:line="154" w:lineRule="exact"/>
        <w:rPr>
          <w:sz w:val="20"/>
          <w:szCs w:val="20"/>
          <w:color w:val="auto"/>
        </w:rPr>
      </w:pPr>
    </w:p>
    <w:p>
      <w:pPr>
        <w:ind w:right="20" w:firstLine="367"/>
        <w:spacing w:after="0" w:line="294" w:lineRule="auto"/>
        <w:rPr>
          <w:sz w:val="20"/>
          <w:szCs w:val="20"/>
          <w:color w:val="auto"/>
        </w:rPr>
      </w:pPr>
      <w:r>
        <w:rPr>
          <w:rFonts w:ascii="Arial" w:cs="Arial" w:eastAsia="Arial" w:hAnsi="Arial"/>
          <w:sz w:val="12"/>
          <w:szCs w:val="12"/>
          <w:color w:val="auto"/>
        </w:rPr>
        <w:t>As a provider of communications products, we are subject to existing or potential Federal Communications Commission (“FCC”) regulations relating to privacy, telecommunications, consumer protection and other requirements. In addition, the extension of telecommunications regulations to our non-interconnected VoIP services could result in additional federal and state regulatory obligations and taxes. We are also in discussions with certain jurisdictions regarding potential sales and other taxes for prior periods that we may owe. In the event any of these jurisdictions disagree with management’s assumptions and analysis, the assessment of our tax exposure could differ materially from management's current estimates, which may increase our costs of doing business and negatively affect the prices our customers pay for our services. If we do not comply with FCC rules and regulations, we could be subject to FCC enforcement actions, fines, loss of licenses and possibly restrictions on our ability to operate or offer certain of our products. Any enforcement action by the FCC, which may be a public process, would hurt our reputation in the industry, could erode customer trust, possibly impair our ability to sell our VoIP products to customers and could adversely affect our business, results of operations and financial condition.</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Certain of our products are subject to a number of FCC regulations and laws that are administered by the FCC. Among others, we must comply (in whole or in part) with:</w:t>
      </w:r>
    </w:p>
    <w:p>
      <w:pPr>
        <w:spacing w:after="0" w:line="166" w:lineRule="exact"/>
        <w:rPr>
          <w:sz w:val="20"/>
          <w:szCs w:val="20"/>
          <w:color w:val="auto"/>
        </w:rPr>
      </w:pPr>
    </w:p>
    <w:p>
      <w:pPr>
        <w:ind w:left="740" w:hanging="249"/>
        <w:spacing w:after="0"/>
        <w:tabs>
          <w:tab w:leader="none" w:pos="7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Communications Act of 1934, as amended, which regulates communications services and the provision of such services;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Telephone Consumer Protection Act, which limits the use of automatic dialing systems for calls and texts, artificial or prerecorded voice messages and fax machines;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740" w:hanging="249"/>
        <w:spacing w:after="0"/>
        <w:tabs>
          <w:tab w:leader="none" w:pos="7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Communications Assistance for Law Enforcement Act, which requires covered entities to assist law enforcement in undertaking electronic surveillance;</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requirements to safeguard the privacy of certain customer information;</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payment of annual FCC regulatory fees and taxes based on our interstate and international revenues; and</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rules pertaining to access to our services by people with disabilities and contributions to the Telecommunications Relay Services fund.</w:t>
      </w:r>
    </w:p>
    <w:p>
      <w:pPr>
        <w:spacing w:after="0" w:line="166" w:lineRule="exact"/>
        <w:rPr>
          <w:sz w:val="20"/>
          <w:szCs w:val="20"/>
          <w:color w:val="auto"/>
        </w:rPr>
      </w:pPr>
    </w:p>
    <w:p>
      <w:pPr>
        <w:ind w:right="540" w:firstLine="367"/>
        <w:spacing w:after="0" w:line="261" w:lineRule="auto"/>
        <w:rPr>
          <w:sz w:val="20"/>
          <w:szCs w:val="20"/>
          <w:color w:val="auto"/>
        </w:rPr>
      </w:pPr>
      <w:r>
        <w:rPr>
          <w:rFonts w:ascii="Arial" w:cs="Arial" w:eastAsia="Arial" w:hAnsi="Arial"/>
          <w:sz w:val="14"/>
          <w:szCs w:val="14"/>
          <w:color w:val="auto"/>
        </w:rPr>
        <w:t>In addition, Congress and the FCC are attempting to mitigate the scourge of robocalls by requiring participation in a technical standard called SHAKEN/STIR, which allows voice carriers to authenticate caller ID, prohibiting malicious spoofing.</w:t>
      </w:r>
    </w:p>
    <w:p>
      <w:pPr>
        <w:spacing w:after="0" w:line="140" w:lineRule="exact"/>
        <w:rPr>
          <w:sz w:val="20"/>
          <w:szCs w:val="20"/>
          <w:color w:val="auto"/>
        </w:rPr>
      </w:pPr>
    </w:p>
    <w:p>
      <w:pPr>
        <w:ind w:right="60" w:firstLine="367"/>
        <w:spacing w:after="0" w:line="296" w:lineRule="auto"/>
        <w:rPr>
          <w:sz w:val="20"/>
          <w:szCs w:val="20"/>
          <w:color w:val="auto"/>
        </w:rPr>
      </w:pPr>
      <w:r>
        <w:rPr>
          <w:rFonts w:ascii="Arial" w:cs="Arial" w:eastAsia="Arial" w:hAnsi="Arial"/>
          <w:sz w:val="12"/>
          <w:szCs w:val="12"/>
          <w:color w:val="auto"/>
        </w:rPr>
        <w:t>Similarly, 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the criteria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22" w:lineRule="exact"/>
        <w:rPr>
          <w:sz w:val="20"/>
          <w:szCs w:val="20"/>
          <w:color w:val="auto"/>
        </w:rPr>
      </w:pPr>
    </w:p>
    <w:p>
      <w:pPr>
        <w:jc w:val="both"/>
        <w:ind w:right="60" w:firstLine="367"/>
        <w:spacing w:after="0" w:line="252" w:lineRule="auto"/>
        <w:rPr>
          <w:sz w:val="20"/>
          <w:szCs w:val="20"/>
          <w:color w:val="auto"/>
        </w:rPr>
      </w:pPr>
      <w:r>
        <w:rPr>
          <w:rFonts w:ascii="Arial" w:cs="Arial" w:eastAsia="Arial" w:hAnsi="Arial"/>
          <w:sz w:val="14"/>
          <w:szCs w:val="14"/>
          <w:color w:val="auto"/>
        </w:rPr>
        <w:t>If we do not comply with any current or future rules or regulations that apply to our business, we could be subject to substantial fines and penalties, and we may have to restructure our offerings, exit certain markets or raise the price of our products. In addition, any uncertainty regarding whether particular regulations apply to our business, and how they apply, could increase our costs or limit our ability to grow.</w:t>
      </w:r>
    </w:p>
    <w:p>
      <w:pPr>
        <w:spacing w:after="0" w:line="146" w:lineRule="exact"/>
        <w:rPr>
          <w:sz w:val="20"/>
          <w:szCs w:val="20"/>
          <w:color w:val="auto"/>
        </w:rPr>
      </w:pPr>
    </w:p>
    <w:p>
      <w:pPr>
        <w:ind w:right="20" w:firstLine="367"/>
        <w:spacing w:after="0" w:line="261" w:lineRule="auto"/>
        <w:rPr>
          <w:sz w:val="20"/>
          <w:szCs w:val="20"/>
          <w:color w:val="auto"/>
        </w:rPr>
      </w:pPr>
      <w:r>
        <w:rPr>
          <w:rFonts w:ascii="Arial" w:cs="Arial" w:eastAsia="Arial" w:hAnsi="Arial"/>
          <w:sz w:val="14"/>
          <w:szCs w:val="14"/>
          <w:color w:val="auto"/>
        </w:rPr>
        <w:t>As we continue to expand internationally, we have become subject to telecommunications laws and regulations in the foreign countries where we offer our products. Internationally, we currently offer our products in over 180 countries.</w:t>
      </w:r>
    </w:p>
    <w:p>
      <w:pPr>
        <w:spacing w:after="0" w:line="140" w:lineRule="exact"/>
        <w:rPr>
          <w:sz w:val="20"/>
          <w:szCs w:val="20"/>
          <w:color w:val="auto"/>
        </w:rPr>
      </w:pPr>
    </w:p>
    <w:p>
      <w:pPr>
        <w:ind w:firstLine="367"/>
        <w:spacing w:after="0" w:line="290" w:lineRule="auto"/>
        <w:rPr>
          <w:sz w:val="20"/>
          <w:szCs w:val="20"/>
          <w:color w:val="auto"/>
        </w:rPr>
      </w:pPr>
      <w:r>
        <w:rPr>
          <w:rFonts w:ascii="Arial" w:cs="Arial" w:eastAsia="Arial" w:hAnsi="Arial"/>
          <w:sz w:val="12"/>
          <w:szCs w:val="12"/>
          <w:color w:val="auto"/>
        </w:rPr>
        <w:t>Our international operations are subject to country-specific governmental regulation and related actions that have increased and will continue to increase our costs or impact our products and platform or prevent us from offering or providing our products in certain countries. Moreover, the regulation of communications platform-as-a-service (“CPaaS”) companies like us is continuing to evolve internationally and many existing regulations may not fully contemplate the CPaaS business model or how they fit into the communications regulatory framework. As a result, interpretation and enforcement of regulations often involve significant uncertainties. In many countries, including those in the European Union, a number of our products or services are subject to licensing and communications regulatory requirements which increases the level of scrutiny and enforcement by regulators. Future legislative, regulatory or judicial actions impacting CPaaS services could also increase the cost and complexity of compliance and expose us to liability. For example, in some countries, some or all of the services we offer are not considered regulated telecommunications services, while in other countries they are subject to telecommunications regulations, including but not limited to payment into universal service funds, licensing fees, provision of emergency services, provision of information to support emergency services and number portability. Specifically, the Australian Communications and Media Authority in 2019 issued a formal finding against several companies, including our Company, for failure to upload data into a centralized database for emergency services and, in the future, regulatory authorities in other jurisdictions in which we operate may also determine that we are a telecommunications company subject to similar regulations. Failure to comply with these regulations could result in our Company being issued remedial directions to undertake independent audits and implement effective systems, processes and practices to ensure compliance, significant fines or being prohibited from providing telecommunications services in a jurisdiction.</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20" w:firstLine="367"/>
        <w:spacing w:after="0" w:line="246" w:lineRule="auto"/>
        <w:rPr>
          <w:sz w:val="20"/>
          <w:szCs w:val="20"/>
          <w:color w:val="auto"/>
        </w:rPr>
      </w:pPr>
      <w:r>
        <w:rPr>
          <w:rFonts w:ascii="Arial" w:cs="Arial" w:eastAsia="Arial" w:hAnsi="Arial"/>
          <w:sz w:val="14"/>
          <w:szCs w:val="14"/>
          <w:color w:val="auto"/>
        </w:rPr>
        <w:t>Moreover, certain of our products may be used by customers located in countries where voice and other forms of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consumers continue to use our products in countries where it is illegal to do so or if we use a local partner to provide services in a country and the local partner does not comply with applicable governmental regulations. Any such penalties or governmental action may be costly and may harm our business and damage our brand and reputation. We may be required to incur additional expenses to meet applicable international regulatory requirements or be required to raise the prices of services, or restructure or discontinue those services if required by law or if we cannot or will not meet those requirements. Any of the foregoing could adversely affect our business, results of operations and financial condition.</w:t>
      </w:r>
    </w:p>
    <w:p>
      <w:pPr>
        <w:spacing w:after="0" w:line="151" w:lineRule="exact"/>
        <w:rPr>
          <w:sz w:val="20"/>
          <w:szCs w:val="20"/>
          <w:color w:val="auto"/>
        </w:rPr>
      </w:pPr>
    </w:p>
    <w:p>
      <w:pPr>
        <w:ind w:right="640" w:firstLine="367"/>
        <w:spacing w:after="0" w:line="168" w:lineRule="exact"/>
        <w:rPr>
          <w:sz w:val="20"/>
          <w:szCs w:val="20"/>
          <w:color w:val="auto"/>
        </w:rPr>
      </w:pPr>
      <w:r>
        <w:rPr>
          <w:rFonts w:ascii="Arial" w:cs="Arial" w:eastAsia="Arial" w:hAnsi="Arial"/>
          <w:sz w:val="14"/>
          <w:szCs w:val="14"/>
          <w:b w:val="1"/>
          <w:bCs w:val="1"/>
          <w:i w:val="1"/>
          <w:iCs w:val="1"/>
          <w:color w:val="auto"/>
        </w:rPr>
        <w:t>If we are unable to obtain or retain geographical, mobile, regional, local or toll</w:t>
      </w:r>
      <w:r>
        <w:rPr>
          <w:rFonts w:ascii="MS PGothic" w:cs="MS PGothic" w:eastAsia="MS PGothic" w:hAnsi="MS PGothic"/>
          <w:sz w:val="14"/>
          <w:szCs w:val="14"/>
          <w:color w:val="auto"/>
        </w:rPr>
        <w:t>‑</w:t>
      </w:r>
      <w:r>
        <w:rPr>
          <w:rFonts w:ascii="Arial" w:cs="Arial" w:eastAsia="Arial" w:hAnsi="Arial"/>
          <w:sz w:val="14"/>
          <w:szCs w:val="14"/>
          <w:b w:val="1"/>
          <w:bCs w:val="1"/>
          <w:i w:val="1"/>
          <w:iCs w:val="1"/>
          <w:color w:val="auto"/>
        </w:rPr>
        <w:t>free numbers, or to effectively process requests to port such numbers in a timely manner due to industry regulations, our business and results of operations may be adversely affected.</w:t>
      </w:r>
    </w:p>
    <w:p>
      <w:pPr>
        <w:spacing w:after="0" w:line="154" w:lineRule="exact"/>
        <w:rPr>
          <w:sz w:val="20"/>
          <w:szCs w:val="20"/>
          <w:color w:val="auto"/>
        </w:rPr>
      </w:pPr>
    </w:p>
    <w:p>
      <w:pPr>
        <w:ind w:firstLine="367"/>
        <w:spacing w:after="0" w:line="299" w:lineRule="auto"/>
        <w:rPr>
          <w:sz w:val="20"/>
          <w:szCs w:val="20"/>
          <w:color w:val="auto"/>
        </w:rPr>
      </w:pPr>
      <w:r>
        <w:rPr>
          <w:rFonts w:ascii="Arial" w:cs="Arial" w:eastAsia="Arial" w:hAnsi="Arial"/>
          <w:sz w:val="12"/>
          <w:szCs w:val="12"/>
          <w:color w:val="auto"/>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or of network service providers from whom we can provision Numbering Resources, such as offering these Numbering Resources with conditional minimum volume call level requirements, the cost of these Numbering Resources and the level of overall competitive demand for new Numbering Resources.</w:t>
      </w:r>
    </w:p>
    <w:p>
      <w:pPr>
        <w:spacing w:after="0" w:line="120" w:lineRule="exact"/>
        <w:rPr>
          <w:sz w:val="20"/>
          <w:szCs w:val="20"/>
          <w:color w:val="auto"/>
        </w:rPr>
      </w:pPr>
    </w:p>
    <w:p>
      <w:pPr>
        <w:ind w:firstLine="367"/>
        <w:spacing w:after="0" w:line="290" w:lineRule="auto"/>
        <w:rPr>
          <w:sz w:val="20"/>
          <w:szCs w:val="20"/>
          <w:color w:val="auto"/>
        </w:rPr>
      </w:pPr>
      <w:r>
        <w:rPr>
          <w:rFonts w:ascii="Arial" w:cs="Arial" w:eastAsia="Arial" w:hAnsi="Arial"/>
          <w:sz w:val="12"/>
          <w:szCs w:val="12"/>
          <w:color w:val="auto"/>
        </w:rPr>
        <w:t>In addition, in order to obtain allocations of, assign and retain Numbering Resources in the EU or certain other regions, we are often required to be licensed by local telecommunications regulatory authorities, some of which have been increasingly monitoring and regulating the categories of Numbering Resources that are eligible for provisioning to our customers.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 may require changes in products or business practices that result in reduced revenue. Due to our or our customers' assignment and/or use of Numbering Resources in certain countries in a manner that violates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forced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spacing w:after="0" w:line="128" w:lineRule="exact"/>
        <w:rPr>
          <w:sz w:val="20"/>
          <w:szCs w:val="20"/>
          <w:color w:val="auto"/>
        </w:rPr>
      </w:pPr>
    </w:p>
    <w:p>
      <w:pPr>
        <w:ind w:right="60" w:firstLine="367"/>
        <w:spacing w:after="0" w:line="299" w:lineRule="auto"/>
        <w:rPr>
          <w:sz w:val="20"/>
          <w:szCs w:val="20"/>
          <w:color w:val="auto"/>
        </w:rPr>
      </w:pPr>
      <w:r>
        <w:rPr>
          <w:rFonts w:ascii="Arial" w:cs="Arial" w:eastAsia="Arial" w:hAnsi="Arial"/>
          <w:sz w:val="12"/>
          <w:szCs w:val="12"/>
          <w:color w:val="auto"/>
        </w:rPr>
        <w:t>Due to their limited availability, there are certain popular area code prefixes that we generally cannot obtain. Our inability to acquire or retain Numbering Resources for our operations may make our voice and messaging products less attractive to potential customers in the affected local geographic areas. In addition, future growth in our customer base, together with growth in the customer bases of other providers of cloud communications, has increased, which increases our dependence on needing sufficiently large quantities of Numbering Resources. It may become increasingly difficult to source larger quantities of Numbering Resources as we scale and we may need to pay higher costs for Numbering Resources, and Numbering Resources may become subject to more stringent regulation or conditions of usage such as the registration and on-going compliance requirements discussed above.</w:t>
      </w:r>
    </w:p>
    <w:p>
      <w:pPr>
        <w:spacing w:after="0" w:line="120" w:lineRule="exact"/>
        <w:rPr>
          <w:sz w:val="20"/>
          <w:szCs w:val="20"/>
          <w:color w:val="auto"/>
        </w:rPr>
      </w:pPr>
    </w:p>
    <w:p>
      <w:pPr>
        <w:ind w:right="20" w:firstLine="367"/>
        <w:spacing w:after="0" w:line="247" w:lineRule="auto"/>
        <w:rPr>
          <w:sz w:val="20"/>
          <w:szCs w:val="20"/>
          <w:color w:val="auto"/>
        </w:rPr>
      </w:pPr>
      <w:r>
        <w:rPr>
          <w:rFonts w:ascii="Arial" w:cs="Arial" w:eastAsia="Arial" w:hAnsi="Arial"/>
          <w:sz w:val="14"/>
          <w:szCs w:val="14"/>
          <w:color w:val="auto"/>
        </w:rPr>
        <w:t>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the fact that we depend on network service providers to transfer these numbers, a process that we do not control, and these network service providers may refuse or substantially delay the transfer of these numbers to us. Number portability is considered an important feature by many potential customers, and if we fail to reduce any related delays, then we may experience increased difficulty in acquiring new customers.</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Any of the foregoing factors could adversely affect our business, results of operations and financial condition.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300" w:firstLine="367"/>
        <w:spacing w:after="0" w:line="261" w:lineRule="auto"/>
        <w:rPr>
          <w:sz w:val="20"/>
          <w:szCs w:val="20"/>
          <w:color w:val="auto"/>
        </w:rPr>
      </w:pPr>
      <w:r>
        <w:rPr>
          <w:rFonts w:ascii="Arial" w:cs="Arial" w:eastAsia="Arial" w:hAnsi="Arial"/>
          <w:sz w:val="14"/>
          <w:szCs w:val="14"/>
          <w:b w:val="1"/>
          <w:bCs w:val="1"/>
          <w:i w:val="1"/>
          <w:iCs w:val="1"/>
          <w:color w:val="auto"/>
        </w:rPr>
        <w:t>If we fail to adapt and respond effectively to rapidly changing technology, evolving industry standards, changing regulations, and changing customer needs, requirements or preferences, our products may become less competitive.</w:t>
      </w:r>
    </w:p>
    <w:p>
      <w:pPr>
        <w:spacing w:after="0" w:line="140" w:lineRule="exact"/>
        <w:rPr>
          <w:sz w:val="20"/>
          <w:szCs w:val="20"/>
          <w:color w:val="auto"/>
        </w:rPr>
      </w:pPr>
    </w:p>
    <w:p>
      <w:pPr>
        <w:ind w:right="100" w:firstLine="367"/>
        <w:spacing w:after="0" w:line="299" w:lineRule="auto"/>
        <w:rPr>
          <w:sz w:val="20"/>
          <w:szCs w:val="20"/>
          <w:color w:val="auto"/>
        </w:rPr>
      </w:pPr>
      <w:r>
        <w:rPr>
          <w:rFonts w:ascii="Arial" w:cs="Arial" w:eastAsia="Arial" w:hAnsi="Arial"/>
          <w:sz w:val="12"/>
          <w:szCs w:val="12"/>
          <w:color w:val="auto"/>
        </w:rPr>
        <w:t>The market for communications in general, and cloud communications in particular, is subject to rapid technological change, evolving industry standards, changing regulations, as well as changing customer needs, requirements and preferences. The success of our business will depend, in part, on our ability to adapt and respond effectively to these changes on a timely basis. If we are unable to develop new products that satisfy our customers and provide enhancements and new features for our existing products that keep pace with rapid technological and industry change, including but not limited to SHAKEN/STIR and applicable industry standards, our business, results of operations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w:t>
      </w:r>
    </w:p>
    <w:p>
      <w:pPr>
        <w:spacing w:after="0" w:line="120" w:lineRule="exact"/>
        <w:rPr>
          <w:sz w:val="20"/>
          <w:szCs w:val="20"/>
          <w:color w:val="auto"/>
        </w:rPr>
      </w:pPr>
    </w:p>
    <w:p>
      <w:pPr>
        <w:ind w:firstLine="367"/>
        <w:spacing w:after="0" w:line="292" w:lineRule="auto"/>
        <w:rPr>
          <w:sz w:val="20"/>
          <w:szCs w:val="20"/>
          <w:color w:val="auto"/>
        </w:rPr>
      </w:pPr>
      <w:r>
        <w:rPr>
          <w:rFonts w:ascii="Arial" w:cs="Arial" w:eastAsia="Arial" w:hAnsi="Arial"/>
          <w:sz w:val="12"/>
          <w:szCs w:val="12"/>
          <w:color w:val="auto"/>
        </w:rPr>
        <w:t>Our platform must integrate with a variety of network, hardware, mobile and software platforms and technologies, and we need to continuously modify and enhance our products and platform to adapt to changes and innovation in these technologies. For example, Apple, Google and other cell-phone operating system providers or inbox service providers have developed and, may in the future develop, new applications or functions intended to filter spam and unwanted phone calls, messages or emails. Third party platforms may also implement changes to their privacy policies or practices that may impact us or our customers. In addition, our network service providers may adopt new filtering technologies in an effort to combat spam or robocalling. Such technologies may inadvertently filter desired messages or calls to or from our customers. If cell-phone operating system providers,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spacing w:after="0" w:line="289" w:lineRule="exact"/>
        <w:rPr>
          <w:sz w:val="20"/>
          <w:szCs w:val="20"/>
          <w:color w:val="auto"/>
        </w:rPr>
      </w:pPr>
    </w:p>
    <w:p>
      <w:pPr>
        <w:ind w:right="100" w:firstLine="367"/>
        <w:spacing w:after="0" w:line="261" w:lineRule="auto"/>
        <w:rPr>
          <w:sz w:val="20"/>
          <w:szCs w:val="20"/>
          <w:color w:val="auto"/>
        </w:rPr>
      </w:pPr>
      <w:r>
        <w:rPr>
          <w:rFonts w:ascii="Arial" w:cs="Arial" w:eastAsia="Arial" w:hAnsi="Arial"/>
          <w:sz w:val="14"/>
          <w:szCs w:val="14"/>
          <w:b w:val="1"/>
          <w:bCs w:val="1"/>
          <w:i w:val="1"/>
          <w:iCs w:val="1"/>
          <w:color w:val="auto"/>
        </w:rPr>
        <w:t>We substantially rely upon Amazon Web Services to operate our platform, and any disruption of or interference with our use of Amazon Web Services would adversely affect our business, results of operations and financial condition.</w:t>
      </w:r>
    </w:p>
    <w:p>
      <w:pPr>
        <w:spacing w:after="0" w:line="140" w:lineRule="exact"/>
        <w:rPr>
          <w:sz w:val="20"/>
          <w:szCs w:val="20"/>
          <w:color w:val="auto"/>
        </w:rPr>
      </w:pPr>
    </w:p>
    <w:p>
      <w:pPr>
        <w:ind w:right="20" w:firstLine="367"/>
        <w:spacing w:after="0" w:line="290" w:lineRule="auto"/>
        <w:rPr>
          <w:sz w:val="20"/>
          <w:szCs w:val="20"/>
          <w:color w:val="auto"/>
        </w:rPr>
      </w:pPr>
      <w:r>
        <w:rPr>
          <w:rFonts w:ascii="Arial" w:cs="Arial" w:eastAsia="Arial" w:hAnsi="Arial"/>
          <w:sz w:val="12"/>
          <w:szCs w:val="12"/>
          <w:color w:val="auto"/>
        </w:rPr>
        <w:t>We outsource a substantial majority of our cloud infrastructure to Amazon Web Services (“AWS”), which hosts our products and platform.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Capacity constraints could be due to a number of potential causes, including technical failures, natural disasters, pandemics such as COVID-19, fraud or security attacks. For instance, in September 2015, AWS suffered a significant outage that had a widespread impact on the ability of our customers to use several of our products and from time to time since then, we have experienced some outages which resulted in disruptions to service for some of our customers. In addition, if our security, or that of AWS, is compromised, or our products or platform are unavailable or our users are unable to use our products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products become more complex and the usage of our products increases. To the extent that we do not effectively address capacity constraints, either through AWS or alternative providers of cloud infrastructure, our business, results of operations and financial condition may be adversely affected. In addition, any changes in service levels from AWS may adversely affect our ability to meet our customers’ requirements, result in negative publicity which could harm our reputation and brand and may adversely affect the usage of our platform.</w:t>
      </w:r>
    </w:p>
    <w:p>
      <w:pPr>
        <w:spacing w:after="0" w:line="125" w:lineRule="exact"/>
        <w:rPr>
          <w:sz w:val="20"/>
          <w:szCs w:val="20"/>
          <w:color w:val="auto"/>
        </w:rPr>
      </w:pPr>
    </w:p>
    <w:p>
      <w:pPr>
        <w:ind w:right="80" w:firstLine="367"/>
        <w:spacing w:after="0" w:line="246" w:lineRule="auto"/>
        <w:rPr>
          <w:sz w:val="20"/>
          <w:szCs w:val="20"/>
          <w:color w:val="auto"/>
        </w:rPr>
      </w:pPr>
      <w:r>
        <w:rPr>
          <w:rFonts w:ascii="Arial" w:cs="Arial" w:eastAsia="Arial" w:hAnsi="Arial"/>
          <w:sz w:val="14"/>
          <w:szCs w:val="14"/>
          <w:color w:val="auto"/>
        </w:rPr>
        <w:t>The substantial majority of the services we use from AWS are for cloud-based server capacity and, to a lesser extent, storage and other optimization offerings. AWS enables us to order and reserve server capacity in varying amounts and sizes distributed across multiple regions. We access AWS infrastructure through standard IP connectivity. AWS provides us with computing and storage capacity pursuant to an agreement that continues until terminated by either party. AWS may terminate the agreement for cause upon notice and upon our failure to cure a breach within 30 days from the date of such notification and may, in some cases, suspend the agreement immediately for cause upon notice. Although we expect that we could receive similar services from other third parties, if any of our arrangements with AWS are terminated, we could experience interruptions on our platform and in our ability to make our products available to customers, as well as delays and additional expenses in arranging alternative cloud infrastructure services.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40" w:firstLine="367"/>
        <w:spacing w:after="0" w:line="345" w:lineRule="auto"/>
        <w:rPr>
          <w:sz w:val="20"/>
          <w:szCs w:val="20"/>
          <w:color w:val="auto"/>
        </w:rPr>
      </w:pPr>
      <w:r>
        <w:rPr>
          <w:rFonts w:ascii="Arial" w:cs="Arial" w:eastAsia="Arial" w:hAnsi="Arial"/>
          <w:sz w:val="12"/>
          <w:szCs w:val="12"/>
          <w:color w:val="auto"/>
        </w:rPr>
        <w:t>Any of the above circumstances or events may harm our reputation, erode customer trust, cause customers to stop using our products,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93" w:lineRule="exact"/>
        <w:rPr>
          <w:sz w:val="20"/>
          <w:szCs w:val="20"/>
          <w:color w:val="auto"/>
        </w:rPr>
      </w:pPr>
    </w:p>
    <w:p>
      <w:pPr>
        <w:ind w:right="440" w:firstLine="367"/>
        <w:spacing w:after="0" w:line="261" w:lineRule="auto"/>
        <w:rPr>
          <w:sz w:val="20"/>
          <w:szCs w:val="20"/>
          <w:color w:val="auto"/>
        </w:rPr>
      </w:pPr>
      <w:r>
        <w:rPr>
          <w:rFonts w:ascii="Arial" w:cs="Arial" w:eastAsia="Arial" w:hAnsi="Arial"/>
          <w:sz w:val="14"/>
          <w:szCs w:val="14"/>
          <w:b w:val="1"/>
          <w:bCs w:val="1"/>
          <w:i w:val="1"/>
          <w:iCs w:val="1"/>
          <w:color w:val="auto"/>
        </w:rPr>
        <w:t>We typically provide monthly uptime service level commitments of a minimum of 99.95% under our agreements with customers. If we fail to meet these contractual commitments, then our business, results of operations and financial condition could be adversely affected.</w:t>
      </w:r>
    </w:p>
    <w:p>
      <w:pPr>
        <w:spacing w:after="0" w:line="140" w:lineRule="exact"/>
        <w:rPr>
          <w:sz w:val="20"/>
          <w:szCs w:val="20"/>
          <w:color w:val="auto"/>
        </w:rPr>
      </w:pPr>
    </w:p>
    <w:p>
      <w:pPr>
        <w:ind w:firstLine="367"/>
        <w:spacing w:after="0" w:line="292" w:lineRule="auto"/>
        <w:rPr>
          <w:sz w:val="20"/>
          <w:szCs w:val="20"/>
          <w:color w:val="auto"/>
        </w:rPr>
      </w:pPr>
      <w:r>
        <w:rPr>
          <w:rFonts w:ascii="Arial" w:cs="Arial" w:eastAsia="Arial" w:hAnsi="Arial"/>
          <w:sz w:val="12"/>
          <w:szCs w:val="12"/>
          <w:color w:val="auto"/>
        </w:rPr>
        <w:t>Our agreements with customers typically provide for service level commitments. If we suffer extended periods of downtime for our products or platform and we are unable to meet these commitments, then we are contractually obligated to provide a service credit, which is typically 10% of the customer’s amounts due for the month in question. For example, on February 26, 2021, a critical feature enablement service on our platform became overloaded, which resulted in connection issues across multiple products in our cloud communications platform that affected our customers for a limited number of hours. The service disruption had a widespread impact on our customers’ ability to use several of our products. We incurred certain costs associated with offering credits to our affected customers, but the overall impact was not material to our business. We may also ultimately lose or see reduced utilization of our products by one or more customers as a result of the outage. In addition, the performance and availability of AWS or other service providers, which provides our cloud infrastructures is outside of our control and, therefore, we are not in full control of whether we meet our service level commitments. As a result, our business, results of operations and financial condition could be adversely affected if we suffer unscheduled downtime that exceeds the service level commitments we have made to our customers. Any extended service outages could adversely affect our business and reputation and erode customer trust.</w:t>
      </w:r>
    </w:p>
    <w:p>
      <w:pPr>
        <w:spacing w:after="0" w:line="126" w:lineRule="exact"/>
        <w:rPr>
          <w:sz w:val="20"/>
          <w:szCs w:val="20"/>
          <w:color w:val="auto"/>
        </w:rPr>
      </w:pPr>
    </w:p>
    <w:p>
      <w:pPr>
        <w:ind w:right="80" w:firstLine="367"/>
        <w:spacing w:after="0" w:line="252" w:lineRule="auto"/>
        <w:rPr>
          <w:sz w:val="20"/>
          <w:szCs w:val="20"/>
          <w:color w:val="auto"/>
        </w:rPr>
      </w:pPr>
      <w:r>
        <w:rPr>
          <w:rFonts w:ascii="Arial" w:cs="Arial" w:eastAsia="Arial" w:hAnsi="Arial"/>
          <w:sz w:val="14"/>
          <w:szCs w:val="14"/>
          <w:b w:val="1"/>
          <w:bCs w:val="1"/>
          <w:i w:val="1"/>
          <w:iCs w:val="1"/>
          <w:color w:val="auto"/>
        </w:rPr>
        <w:t>Breaches of our networks or systems, or those of AWS or our service providers, could degrade our ability to conduct our business, compromise the integrity of our products, platform and data,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156" w:lineRule="exact"/>
        <w:rPr>
          <w:sz w:val="20"/>
          <w:szCs w:val="20"/>
          <w:color w:val="auto"/>
        </w:rPr>
      </w:pPr>
    </w:p>
    <w:p>
      <w:pPr>
        <w:ind w:firstLine="367"/>
        <w:spacing w:after="0" w:line="251" w:lineRule="auto"/>
        <w:rPr>
          <w:sz w:val="20"/>
          <w:szCs w:val="20"/>
          <w:color w:val="auto"/>
        </w:rPr>
      </w:pPr>
      <w:r>
        <w:rPr>
          <w:rFonts w:ascii="Arial" w:cs="Arial" w:eastAsia="Arial" w:hAnsi="Arial"/>
          <w:sz w:val="12"/>
          <w:szCs w:val="12"/>
          <w:color w:val="auto"/>
        </w:rPr>
        <w:t>We depend upon our IT systems to conduct virtually all of our business operations, ranging from our internal operations and research and development activities to our marketing and sales efforts and communications with our customers and business partners. Individuals or entities may attempt to penetrate our network security, or that of our platform, and to cause harm to our business operations, including by misappropriating our proprietary information or that of our customers, employees and business partners or to cause interruptions of our products and platform. In particular, cyberattacks and other malicious internet-based activity continue to increase in frequency and in magnitude generally, and cloud-based companies have been targeted in the past. In addition to threats from traditional computer hackers, malicious code (such as malware, viruses, worms and ransomware), software vulnerabilities, supply chain attacks and vulnerabilities through our third-party partners, employees theft or misuse, password spraying, phishing, credential stuffing and denial-of-service attacks, we also face threats from sophisticated organized crime, nation-state, and nation-state supported actors who engage in attacks (including advanced persistent threat intrusions) that add to the risk to our systems (including those hosted on AWS or other cloud services), internal networks, our customers’ systems and the information that they store and process. The COVID-19 pandemic and our remote workforce also pose increased risks to our IT systems and data. While we devote significant financial and employee resources to implement and maintain security measures, because the techniques used by such individuals or entities to access, disrupt or sabotage devices, systems and networks change frequently and may not be recognized until launched against a target, we may be required to make further investments over time to protect data and infrastructure as cybersecurity threats develop, evolve and grow more complex over time. We may also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to deploy our IT resources in a safe and secure manner that does not expose our network systems to security breaches or the loss of data. We have been and expect to be subject to cybersecurity threats and incidents, including denial-of-service attacks, employee errors or individual attempts to gain unauthorized access to information systems. Any data security incidents, including internal malfeasance or inadvertent disclosures by our employees or a third party's fraudulent inducement of our employees to disclose information, unauthorized access or usage, virus or similar breach or disruption of us or our service providers, such as AWS, could result in loss of confidential information, damage to our reputation, erosion of customer trust, loss of customers, litigation, regulatory investigations, fines, penalties and other liabilities. For example, in 2020, SolarWinds Inc., one of our third party software service providers, was subject to a data security incident. We have completed our investigations of this incident and concluded that there was no adverse impact to us. Furthermore, we are required to comply with laws and regulations that require us to maintain the security of personal information and we may have contractual and other legal obligations to notify customers or other relevant stakeholders of security breaches. Such disclosures could lead to negative publicity, may cause our customers to lose confidence in the effectiveness of our security measures and require us to expend significant capital and other resources to respond to and/or mitigate the security breach. Accordingly, if our cybersecurity measures or those of AWS or our service providers, fail to protect against unauthorized access, attacks (which may include sophisticated cyberattacks),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color w:val="auto"/>
        </w:rPr>
        <w:t>compromise or the mishandling of data by our employees and contractors, then our reputation, customer trust, business, results of operations and financial condition could be adversely affected.</w:t>
      </w:r>
    </w:p>
    <w:p>
      <w:pPr>
        <w:spacing w:after="0" w:line="178" w:lineRule="exact"/>
        <w:rPr>
          <w:sz w:val="20"/>
          <w:szCs w:val="20"/>
          <w:color w:val="auto"/>
        </w:rPr>
      </w:pPr>
    </w:p>
    <w:p>
      <w:pPr>
        <w:ind w:right="40" w:firstLine="367"/>
        <w:spacing w:after="0" w:line="252" w:lineRule="auto"/>
        <w:rPr>
          <w:sz w:val="20"/>
          <w:szCs w:val="20"/>
          <w:color w:val="auto"/>
        </w:rPr>
      </w:pPr>
      <w:r>
        <w:rPr>
          <w:rFonts w:ascii="Arial" w:cs="Arial" w:eastAsia="Arial" w:hAnsi="Arial"/>
          <w:sz w:val="14"/>
          <w:szCs w:val="14"/>
          <w:color w:val="auto"/>
        </w:rPr>
        <w:t>While we maintain errors, omissions and cyber liability insurance policies covering certain security and privacy damages, we cannot be certain that our existing insurance coverage will continue to be available on acceptable terms or will be available, and in sufficient amounts, to cover the potentially significant losses that may result from a security incident or breach or that the insurer will not deny coverage as to any future claim.</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Defects or errors in our products could diminish demand for our products, harm our business and results of operations and subject us to liability.</w:t>
      </w:r>
    </w:p>
    <w:p>
      <w:pPr>
        <w:spacing w:after="0" w:line="166" w:lineRule="exact"/>
        <w:rPr>
          <w:sz w:val="20"/>
          <w:szCs w:val="20"/>
          <w:color w:val="auto"/>
        </w:rPr>
      </w:pPr>
    </w:p>
    <w:p>
      <w:pPr>
        <w:jc w:val="both"/>
        <w:ind w:right="160" w:firstLine="367"/>
        <w:spacing w:after="0" w:line="296" w:lineRule="auto"/>
        <w:rPr>
          <w:sz w:val="20"/>
          <w:szCs w:val="20"/>
          <w:color w:val="auto"/>
        </w:rPr>
      </w:pPr>
      <w:r>
        <w:rPr>
          <w:rFonts w:ascii="Arial" w:cs="Arial" w:eastAsia="Arial" w:hAnsi="Arial"/>
          <w:sz w:val="12"/>
          <w:szCs w:val="12"/>
          <w:color w:val="auto"/>
        </w:rPr>
        <w:t>Our customers use our products for important aspects of their businesses, and any errors, defects or disruptions to our products and any other performance problems with our products could damage our customers’ businesses and, in turn, hurt our brand and reputation and erode customer trust. We provide regular updates to our products, which have in the past contained, and may in the future contain, undetected errors, failures, vulnerabilities and bugs when first introduced or released. Real or perceived errors, failures or bugs in our products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to help correct the problem. In addition, we may not carry insurance sufficient to compensate us for any losses that may result from claims arising from defects or disruptions in our products. As a result, our reputation and our brand could be harmed, and our business, results of operations and financial condition may be adversely affected.</w:t>
      </w:r>
    </w:p>
    <w:p>
      <w:pPr>
        <w:spacing w:after="0" w:line="122"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b w:val="1"/>
          <w:bCs w:val="1"/>
          <w:i w:val="1"/>
          <w:iCs w:val="1"/>
          <w:color w:val="auto"/>
        </w:rPr>
        <w:t>We currently generate significant revenue from our largest customers, and the loss or decline in revenue from any of these customers could harm our business, results of operations and financial condition.</w:t>
      </w:r>
    </w:p>
    <w:p>
      <w:pPr>
        <w:spacing w:after="0" w:line="140" w:lineRule="exact"/>
        <w:rPr>
          <w:sz w:val="20"/>
          <w:szCs w:val="20"/>
          <w:color w:val="auto"/>
        </w:rPr>
      </w:pPr>
    </w:p>
    <w:p>
      <w:pPr>
        <w:ind w:right="220" w:firstLine="367"/>
        <w:spacing w:after="0" w:line="247" w:lineRule="auto"/>
        <w:rPr>
          <w:sz w:val="20"/>
          <w:szCs w:val="20"/>
          <w:color w:val="auto"/>
        </w:rPr>
      </w:pPr>
      <w:r>
        <w:rPr>
          <w:rFonts w:ascii="Arial" w:cs="Arial" w:eastAsia="Arial" w:hAnsi="Arial"/>
          <w:sz w:val="14"/>
          <w:szCs w:val="14"/>
          <w:color w:val="auto"/>
        </w:rPr>
        <w:t>In the nine months ended September 30, 2021 and the years ended December 31, 2020 and 2019, our 10 largest Active Customer Accounts generated an aggregate of 11%, 14% and 13% of our revenue, respectively. In the event that any of our large customers do not continue to use our products, use fewer of our products, or use our products in a more limited capacity, or not at all, our business, results of operations and financial condition could be adversely affected. Additionally, the usage of our products by customers that do not have long-term contracts with us may change between periods. Those with no long-term contract with us may reduce or fully terminate their usage of our products at any time without notice, penalty or termination charges, which may adversely impact our results of operations.</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If we are unable to develop and maintain successful relationships with consulting partners, our business, results of operations and financial condition could be adversely affected.</w:t>
      </w:r>
    </w:p>
    <w:p>
      <w:pPr>
        <w:spacing w:after="0" w:line="189" w:lineRule="exact"/>
        <w:rPr>
          <w:sz w:val="20"/>
          <w:szCs w:val="20"/>
          <w:color w:val="auto"/>
        </w:rPr>
      </w:pPr>
    </w:p>
    <w:p>
      <w:pPr>
        <w:ind w:firstLine="367"/>
        <w:spacing w:after="0" w:line="166" w:lineRule="exact"/>
        <w:rPr>
          <w:sz w:val="20"/>
          <w:szCs w:val="20"/>
          <w:color w:val="auto"/>
        </w:rPr>
      </w:pPr>
      <w:r>
        <w:rPr>
          <w:rFonts w:ascii="Arial" w:cs="Arial" w:eastAsia="Arial" w:hAnsi="Arial"/>
          <w:sz w:val="12"/>
          <w:szCs w:val="12"/>
          <w:color w:val="auto"/>
        </w:rPr>
        <w:t>We believe that continued growth of our business depends in part upon identifying, developing and maintaining strategic relationships with consulting partners. As part of our growth strategy, we intend to further develop partnerships and specific solution areas with consulting partners. If we fail to establish these relationships in a timely and cost</w:t>
      </w:r>
      <w:r>
        <w:rPr>
          <w:rFonts w:ascii="MS PGothic" w:cs="MS PGothic" w:eastAsia="MS PGothic" w:hAnsi="MS PGothic"/>
          <w:sz w:val="12"/>
          <w:szCs w:val="12"/>
          <w:color w:val="auto"/>
        </w:rPr>
        <w:t>‑</w:t>
      </w:r>
      <w:r>
        <w:rPr>
          <w:rFonts w:ascii="Arial" w:cs="Arial" w:eastAsia="Arial" w:hAnsi="Arial"/>
          <w:sz w:val="12"/>
          <w:szCs w:val="12"/>
          <w:color w:val="auto"/>
        </w:rPr>
        <w:t>effective manner, or at all, then our business, results of operations and financial condition could be adversely affected. Additionally, even if we are successful at developing these relationships but there are problems or issues with the integrations or enterprises are not willing to purchase through consulting partners, our reputation and ability to grow our business may be adversely affected.</w:t>
      </w:r>
    </w:p>
    <w:p>
      <w:pPr>
        <w:spacing w:after="0" w:line="154" w:lineRule="exact"/>
        <w:rPr>
          <w:sz w:val="20"/>
          <w:szCs w:val="20"/>
          <w:color w:val="auto"/>
        </w:rPr>
      </w:pPr>
    </w:p>
    <w:p>
      <w:pPr>
        <w:ind w:right="160" w:firstLine="367"/>
        <w:spacing w:after="0" w:line="261" w:lineRule="auto"/>
        <w:rPr>
          <w:sz w:val="20"/>
          <w:szCs w:val="20"/>
          <w:color w:val="auto"/>
        </w:rPr>
      </w:pPr>
      <w:r>
        <w:rPr>
          <w:rFonts w:ascii="Arial" w:cs="Arial" w:eastAsia="Arial" w:hAnsi="Arial"/>
          <w:sz w:val="14"/>
          <w:szCs w:val="14"/>
          <w:b w:val="1"/>
          <w:bCs w:val="1"/>
          <w:i w:val="1"/>
          <w:iCs w:val="1"/>
          <w:color w:val="auto"/>
        </w:rPr>
        <w:t>Any failure to offer high quality customer support may adversely affect our relationships with our customers and prospective customers, and adversely affect our business, results of operations and financial condition.</w:t>
      </w:r>
    </w:p>
    <w:p>
      <w:pPr>
        <w:spacing w:after="0" w:line="140" w:lineRule="exact"/>
        <w:rPr>
          <w:sz w:val="20"/>
          <w:szCs w:val="20"/>
          <w:color w:val="auto"/>
        </w:rPr>
      </w:pPr>
    </w:p>
    <w:p>
      <w:pPr>
        <w:ind w:right="20" w:firstLine="367"/>
        <w:spacing w:after="0" w:line="165" w:lineRule="exact"/>
        <w:rPr>
          <w:sz w:val="20"/>
          <w:szCs w:val="20"/>
          <w:color w:val="auto"/>
        </w:rPr>
      </w:pPr>
      <w:r>
        <w:rPr>
          <w:rFonts w:ascii="Arial" w:cs="Arial" w:eastAsia="Arial" w:hAnsi="Arial"/>
          <w:sz w:val="12"/>
          <w:szCs w:val="12"/>
          <w:color w:val="auto"/>
        </w:rPr>
        <w:t>Many of our customers depend on our customer support team to assist them in deploying our products effectively to help them to resolve post</w:t>
      </w:r>
      <w:r>
        <w:rPr>
          <w:rFonts w:ascii="MS PGothic" w:cs="MS PGothic" w:eastAsia="MS PGothic" w:hAnsi="MS PGothic"/>
          <w:sz w:val="12"/>
          <w:szCs w:val="12"/>
          <w:color w:val="auto"/>
        </w:rPr>
        <w:t>‑</w:t>
      </w:r>
      <w:r>
        <w:rPr>
          <w:rFonts w:ascii="Arial" w:cs="Arial" w:eastAsia="Arial" w:hAnsi="Arial"/>
          <w:sz w:val="12"/>
          <w:szCs w:val="12"/>
          <w:color w:val="auto"/>
        </w:rPr>
        <w: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products. We may be unable to respond quickly enough to accommodate short</w:t>
      </w:r>
      <w:r>
        <w:rPr>
          <w:rFonts w:ascii="MS PGothic" w:cs="MS PGothic" w:eastAsia="MS PGothic" w:hAnsi="MS PGothic"/>
          <w:sz w:val="12"/>
          <w:szCs w:val="12"/>
          <w:color w:val="auto"/>
        </w:rPr>
        <w:t>‑</w:t>
      </w:r>
      <w:r>
        <w:rPr>
          <w:rFonts w:ascii="Arial" w:cs="Arial" w:eastAsia="Arial" w:hAnsi="Arial"/>
          <w:sz w:val="12"/>
          <w:szCs w:val="12"/>
          <w:color w:val="auto"/>
        </w:rPr>
        <w: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developers. Any failure to maintain high quality customer support, or a market perception that we do not maintain high quality customer support, could erode customer trust and adversely affect our reputation, business, results of operations and financial condition.</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Failure to set optimal prices for our products could adversely impact our business, results of operations and financial condition.</w:t>
      </w:r>
    </w:p>
    <w:p>
      <w:pPr>
        <w:spacing w:after="0" w:line="166" w:lineRule="exact"/>
        <w:rPr>
          <w:sz w:val="20"/>
          <w:szCs w:val="20"/>
          <w:color w:val="auto"/>
        </w:rPr>
      </w:pPr>
    </w:p>
    <w:p>
      <w:pPr>
        <w:ind w:right="160" w:firstLine="367"/>
        <w:spacing w:after="0" w:line="166" w:lineRule="exact"/>
        <w:rPr>
          <w:sz w:val="20"/>
          <w:szCs w:val="20"/>
          <w:color w:val="auto"/>
        </w:rPr>
      </w:pPr>
      <w:r>
        <w:rPr>
          <w:rFonts w:ascii="Arial" w:cs="Arial" w:eastAsia="Arial" w:hAnsi="Arial"/>
          <w:sz w:val="12"/>
          <w:szCs w:val="12"/>
          <w:color w:val="auto"/>
        </w:rPr>
        <w:t>We charge our customers based on their use of our products. We expect that we may need to change our pricing from time to time. In the past, we have sometimes reduced our prices either for individual customers in connection with long</w:t>
      </w:r>
      <w:r>
        <w:rPr>
          <w:rFonts w:ascii="MS PGothic" w:cs="MS PGothic" w:eastAsia="MS PGothic" w:hAnsi="MS PGothic"/>
          <w:sz w:val="12"/>
          <w:szCs w:val="12"/>
          <w:color w:val="auto"/>
        </w:rPr>
        <w:t>‑</w:t>
      </w:r>
      <w:r>
        <w:rPr>
          <w:rFonts w:ascii="Arial" w:cs="Arial" w:eastAsia="Arial" w:hAnsi="Arial"/>
          <w:sz w:val="12"/>
          <w:szCs w:val="12"/>
          <w:color w:val="auto"/>
        </w:rPr>
        <w:t>term agreements or for a particular product. One of the challenges to our pricing is that the fees that we pay to network service providers over whose networks we transmit communications can vary daily or weekly and are affected by volume and other factors that may be outside of our control and difficult to predict. This can result in us incurring increased costs that we may be unable or unwilling to pass through to our customers, which could adversely impact our business, results of operations and financial condition.</w:t>
      </w:r>
    </w:p>
    <w:p>
      <w:pPr>
        <w:spacing w:after="0" w:line="154" w:lineRule="exact"/>
        <w:rPr>
          <w:sz w:val="20"/>
          <w:szCs w:val="20"/>
          <w:color w:val="auto"/>
        </w:rPr>
      </w:pPr>
    </w:p>
    <w:p>
      <w:pPr>
        <w:ind w:right="40" w:firstLine="367"/>
        <w:spacing w:after="0" w:line="166" w:lineRule="exact"/>
        <w:rPr>
          <w:sz w:val="20"/>
          <w:szCs w:val="20"/>
          <w:color w:val="auto"/>
        </w:rPr>
      </w:pPr>
      <w:r>
        <w:rPr>
          <w:rFonts w:ascii="Arial" w:cs="Arial" w:eastAsia="Arial" w:hAnsi="Arial"/>
          <w:sz w:val="12"/>
          <w:szCs w:val="12"/>
          <w:color w:val="auto"/>
        </w:rPr>
        <w:t>Further, as competitors introduce new products or services that compete with ours or reduce their prices, we may be unable to attract new customers or retain existing customers based on our historical pricing. As we expand internationally, we also must determine the appropriate price to enable us to compete effectively internationally. Moreover, enterprises, which are a primary focus for our direct sales efforts, may demand substantial price concessions. In addition, if the mix of products sold changes, including for a shift to IP</w:t>
      </w:r>
      <w:r>
        <w:rPr>
          <w:rFonts w:ascii="MS PGothic" w:cs="MS PGothic" w:eastAsia="MS PGothic" w:hAnsi="MS PGothic"/>
          <w:sz w:val="12"/>
          <w:szCs w:val="12"/>
          <w:color w:val="auto"/>
        </w:rPr>
        <w:t>‑</w:t>
      </w:r>
      <w:r>
        <w:rPr>
          <w:rFonts w:ascii="Arial" w:cs="Arial" w:eastAsia="Arial" w:hAnsi="Arial"/>
          <w:sz w:val="12"/>
          <w:szCs w:val="12"/>
          <w:color w:val="auto"/>
        </w:rPr>
        <w:t>based products, then we may need to, or choose to, revise our pricing. As a result, in the future we may be required or choose to reduce our prices or change our pricing model, which could adversely affect our business, results of operations and financial condition.</w:t>
      </w:r>
    </w:p>
    <w:p>
      <w:pPr>
        <w:spacing w:after="0" w:line="154" w:lineRule="exact"/>
        <w:rPr>
          <w:sz w:val="20"/>
          <w:szCs w:val="20"/>
          <w:color w:val="auto"/>
        </w:rPr>
      </w:pPr>
    </w:p>
    <w:p>
      <w:pPr>
        <w:ind w:right="480" w:firstLine="367"/>
        <w:spacing w:after="0" w:line="261" w:lineRule="auto"/>
        <w:rPr>
          <w:sz w:val="20"/>
          <w:szCs w:val="20"/>
          <w:color w:val="auto"/>
        </w:rPr>
      </w:pPr>
      <w:r>
        <w:rPr>
          <w:rFonts w:ascii="Arial" w:cs="Arial" w:eastAsia="Arial" w:hAnsi="Arial"/>
          <w:sz w:val="14"/>
          <w:szCs w:val="14"/>
          <w:b w:val="1"/>
          <w:bCs w:val="1"/>
          <w:i w:val="1"/>
          <w:iCs w:val="1"/>
          <w:color w:val="auto"/>
        </w:rPr>
        <w:t>We have been sued and may, in the future, be sued by third parties for alleged infringement of their proprietary rights, which could adversely affect our business, results of operations and financial condition.</w:t>
      </w:r>
    </w:p>
    <w:p>
      <w:pPr>
        <w:spacing w:after="0" w:line="140" w:lineRule="exact"/>
        <w:rPr>
          <w:sz w:val="20"/>
          <w:szCs w:val="20"/>
          <w:color w:val="auto"/>
        </w:rPr>
      </w:pPr>
    </w:p>
    <w:p>
      <w:pPr>
        <w:ind w:right="20" w:firstLine="367"/>
        <w:spacing w:after="0" w:line="165" w:lineRule="exact"/>
        <w:rPr>
          <w:sz w:val="20"/>
          <w:szCs w:val="20"/>
          <w:color w:val="auto"/>
        </w:rPr>
      </w:pPr>
      <w:r>
        <w:rPr>
          <w:rFonts w:ascii="Arial" w:cs="Arial" w:eastAsia="Arial" w:hAnsi="Arial"/>
          <w:sz w:val="12"/>
          <w:szCs w:val="12"/>
          <w:color w:val="auto"/>
        </w:rPr>
        <w:t>There is considerable patent and other intellectual property development activity in our industry. Our future success depends, in part, on not infringing the intellectual property rights of others and we may be unaware of the intellectual property rights of others that may cover some or all of our technology. Our competitors or other third parties have claimed and may, in the future, claim that our products or platform and underlying technology are infringing upon their intellectual property rights, and we may be found to be infringing upon such rights. For example, Telesign Corporation (“Telesign”) sued us in 2015 and 2016 alleging that we infringed four U.S. patents. The patent infringement allegations in the lawsuits related to our two</w:t>
      </w:r>
      <w:r>
        <w:rPr>
          <w:rFonts w:ascii="MS PGothic" w:cs="MS PGothic" w:eastAsia="MS PGothic" w:hAnsi="MS PGothic"/>
          <w:sz w:val="12"/>
          <w:szCs w:val="12"/>
          <w:color w:val="auto"/>
        </w:rPr>
        <w:t>‑</w:t>
      </w:r>
      <w:r>
        <w:rPr>
          <w:rFonts w:ascii="Arial" w:cs="Arial" w:eastAsia="Arial" w:hAnsi="Arial"/>
          <w:sz w:val="12"/>
          <w:szCs w:val="12"/>
          <w:color w:val="auto"/>
        </w:rPr>
        <w:t xml:space="preserve">factor authentication use case, </w:t>
      </w:r>
      <w:r>
        <w:rPr>
          <w:rFonts w:ascii="Arial" w:cs="Arial" w:eastAsia="Arial" w:hAnsi="Arial"/>
          <w:sz w:val="12"/>
          <w:szCs w:val="12"/>
          <w:i w:val="1"/>
          <w:iCs w:val="1"/>
          <w:color w:val="auto"/>
        </w:rPr>
        <w:t>Authy</w:t>
      </w:r>
      <w:r>
        <w:rPr>
          <w:rFonts w:ascii="Arial" w:cs="Arial" w:eastAsia="Arial" w:hAnsi="Arial"/>
          <w:sz w:val="12"/>
          <w:szCs w:val="12"/>
          <w:color w:val="auto"/>
        </w:rPr>
        <w:t>, and an API tool to find information about a phone number. On October 19, 2018, a United States District Court in the Northern District of California entered judgment in our favor on all asserted claims, which was affirmed on appeal. We intend to vigorously defend ourselves against such lawsuits. During the course of these lawsuits, there may be announcements of the results of hearings and motions and other interim developments related to the litigation. If securities analysts or investors regard these announcements as negative, the trading price of our Class A common stock may decline.</w:t>
      </w:r>
    </w:p>
    <w:p>
      <w:pPr>
        <w:spacing w:after="0" w:line="155" w:lineRule="exact"/>
        <w:rPr>
          <w:sz w:val="20"/>
          <w:szCs w:val="20"/>
          <w:color w:val="auto"/>
        </w:rPr>
      </w:pPr>
    </w:p>
    <w:p>
      <w:pPr>
        <w:ind w:right="280" w:firstLine="367"/>
        <w:spacing w:after="0" w:line="165" w:lineRule="exact"/>
        <w:rPr>
          <w:sz w:val="20"/>
          <w:szCs w:val="20"/>
          <w:color w:val="auto"/>
        </w:rPr>
      </w:pPr>
      <w:r>
        <w:rPr>
          <w:rFonts w:ascii="Arial" w:cs="Arial" w:eastAsia="Arial" w:hAnsi="Arial"/>
          <w:sz w:val="12"/>
          <w:szCs w:val="12"/>
          <w:color w:val="auto"/>
        </w:rPr>
        <w:t>In the future, we may also introduce or acquire new products or technologies, including in areas where we historically have not participated in, which could increase our exposure to intellectual property claims. Any claims or litigation could cause us to incur significant expenses and, if successfully asserted against us, could require that we pay substantial damages or ongoing royalty payments, prevent us from offering our products, or require that we comply with other unfavorable terms. We may also be obligated to indemnify our customers or business partners in connection with any such litigation and to obtain licenses or modify our products or platform, which could further exhaust our resources. Litigation is inherently uncertain and even if we were to prevail in the event of claims or litigation against us, any claim or litigation regarding intellectual property could be costly and time</w:t>
      </w:r>
      <w:r>
        <w:rPr>
          <w:rFonts w:ascii="MS PGothic" w:cs="MS PGothic" w:eastAsia="MS PGothic" w:hAnsi="MS PGothic"/>
          <w:sz w:val="12"/>
          <w:szCs w:val="12"/>
          <w:color w:val="auto"/>
        </w:rPr>
        <w:t>‑</w:t>
      </w:r>
      <w:r>
        <w:rPr>
          <w:rFonts w:ascii="Arial" w:cs="Arial" w:eastAsia="Arial" w:hAnsi="Arial"/>
          <w:sz w:val="12"/>
          <w:szCs w:val="12"/>
          <w:color w:val="auto"/>
        </w:rPr>
        <w:t>consuming and divert the attention of our management and other employees from our business. Patent infringement, trademark infringement, trade secret misappropriation and other intellectual property claims and proceedings brought against us, whether successful or not, could harm our brand, business, results of operations and financial condition.</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Indemnity provisions in various agreements potentially expose us to substantial liability for data breach, intellectual property infringement and other losses.</w:t>
      </w:r>
    </w:p>
    <w:p>
      <w:pPr>
        <w:spacing w:after="0" w:line="166" w:lineRule="exact"/>
        <w:rPr>
          <w:sz w:val="20"/>
          <w:szCs w:val="20"/>
          <w:color w:val="auto"/>
        </w:rPr>
      </w:pPr>
    </w:p>
    <w:p>
      <w:pPr>
        <w:ind w:firstLine="367"/>
        <w:spacing w:after="0" w:line="272" w:lineRule="auto"/>
        <w:rPr>
          <w:sz w:val="20"/>
          <w:szCs w:val="20"/>
          <w:color w:val="auto"/>
        </w:rPr>
      </w:pPr>
      <w:r>
        <w:rPr>
          <w:rFonts w:ascii="Arial" w:cs="Arial" w:eastAsia="Arial" w:hAnsi="Arial"/>
          <w:sz w:val="13"/>
          <w:szCs w:val="13"/>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loss or exposure of confidential or sensitive data, damages caused by us to property or persons or other liabilities relating to or arising from our products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typically we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demand for our products and adversely affect our business, results of operations and financial condition.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380" w:firstLine="367"/>
        <w:spacing w:after="0" w:line="261" w:lineRule="auto"/>
        <w:rPr>
          <w:sz w:val="20"/>
          <w:szCs w:val="20"/>
          <w:color w:val="auto"/>
        </w:rPr>
      </w:pPr>
      <w:r>
        <w:rPr>
          <w:rFonts w:ascii="Arial" w:cs="Arial" w:eastAsia="Arial" w:hAnsi="Arial"/>
          <w:sz w:val="14"/>
          <w:szCs w:val="14"/>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140" w:lineRule="exact"/>
        <w:rPr>
          <w:sz w:val="20"/>
          <w:szCs w:val="20"/>
          <w:color w:val="auto"/>
        </w:rPr>
      </w:pPr>
    </w:p>
    <w:p>
      <w:pPr>
        <w:ind w:right="60" w:firstLine="367"/>
        <w:spacing w:after="0" w:line="246" w:lineRule="auto"/>
        <w:rPr>
          <w:sz w:val="20"/>
          <w:szCs w:val="20"/>
          <w:color w:val="auto"/>
        </w:rPr>
      </w:pPr>
      <w:r>
        <w:rPr>
          <w:rFonts w:ascii="Arial" w:cs="Arial" w:eastAsia="Arial" w:hAnsi="Arial"/>
          <w:sz w:val="14"/>
          <w:szCs w:val="14"/>
          <w:color w:val="auto"/>
        </w:rPr>
        <w:t>Our success depends, in part, on our ability to protect our brand and the proprietary methods and technologies that we develop under patent and other intellectual property laws in the U.S. and in non-U.S. jurisdictions so that we can prevent others from using our inventions and proprietary information. As of December 31, 2020, in the United States, we had been issued 157 patents, which expire between 2029 and 2039. As of such date, we also had 33 issued patents in non-U.S. jurisdictions, all of which are related to U.S. patents and patent applications. We have also filed various applications for protection of certain aspects of our intellectual property in the United States and internationally. There can be no assurance that additional patents will be issued or that any patents that have been issued or that may be issued in the future will provide significant protection for our intellectual property. As of December 31, 2020, we had 41 registered trademarks in the United States and 257 registered trademarks in non-U.S. jurisdictions. If we fail to protect our intellectual property rights adequately, our competitors might gain access to our technology and our business, results of operations and financial condition may be adversely affected.</w:t>
      </w:r>
    </w:p>
    <w:p>
      <w:pPr>
        <w:spacing w:after="0" w:line="151" w:lineRule="exact"/>
        <w:rPr>
          <w:sz w:val="20"/>
          <w:szCs w:val="20"/>
          <w:color w:val="auto"/>
        </w:rPr>
      </w:pPr>
    </w:p>
    <w:p>
      <w:pPr>
        <w:ind w:right="20" w:firstLine="367"/>
        <w:spacing w:after="0" w:line="165" w:lineRule="exact"/>
        <w:rPr>
          <w:sz w:val="20"/>
          <w:szCs w:val="20"/>
          <w:color w:val="auto"/>
        </w:rPr>
      </w:pPr>
      <w:r>
        <w:rPr>
          <w:rFonts w:ascii="Arial" w:cs="Arial" w:eastAsia="Arial" w:hAnsi="Arial"/>
          <w:sz w:val="12"/>
          <w:szCs w:val="12"/>
          <w:color w:val="auto"/>
        </w:rPr>
        <w:t>There can be no assurance that the particular forms of intellectual property protection that we seek, including business decisions about when to file patent applications and trademark applications, will be adequate to protect our business. We could be required to spend significant resources to monitor and protect our intellectual property rights. Litigation may be necessary in the future to enforce our intellectual property rights, determine the validity and scope of our proprietary rights or those of others, or defend against claims of infringement or invalidity. Such litigation could be costly, time</w:t>
      </w:r>
      <w:r>
        <w:rPr>
          <w:rFonts w:ascii="MS PGothic" w:cs="MS PGothic" w:eastAsia="MS PGothic" w:hAnsi="MS PGothic"/>
          <w:sz w:val="12"/>
          <w:szCs w:val="12"/>
          <w:color w:val="auto"/>
        </w:rPr>
        <w:t>‑</w:t>
      </w:r>
      <w:r>
        <w:rPr>
          <w:rFonts w:ascii="Arial" w:cs="Arial" w:eastAsia="Arial" w:hAnsi="Arial"/>
          <w:sz w:val="12"/>
          <w:szCs w:val="12"/>
          <w:color w:val="auto"/>
        </w:rPr>
        <w:t>consuming and distracting to management, result in a diversion of significant resources, the narrowing or invalidation of portions of our intellectual property and have an adverse effect on our business, results of operations and financial condition. Our efforts to enforce our intellectual property rights may be met with defenses, counterclaims and countersuits attacking the validity and enforceability of our intellectual property rights or alleging that we infringe the counterclaimant’s own intellectual property. Any of our patents, copyrights, trademarks or other intellectual property rights could be challenged by others or invalidated through administrative process or litigation.</w:t>
      </w:r>
    </w:p>
    <w:p>
      <w:pPr>
        <w:spacing w:after="0" w:line="155" w:lineRule="exact"/>
        <w:rPr>
          <w:sz w:val="20"/>
          <w:szCs w:val="20"/>
          <w:color w:val="auto"/>
        </w:rPr>
      </w:pPr>
    </w:p>
    <w:p>
      <w:pPr>
        <w:ind w:firstLine="367"/>
        <w:spacing w:after="0" w:line="166" w:lineRule="exact"/>
        <w:rPr>
          <w:sz w:val="20"/>
          <w:szCs w:val="20"/>
          <w:color w:val="auto"/>
        </w:rPr>
      </w:pPr>
      <w:r>
        <w:rPr>
          <w:rFonts w:ascii="Arial" w:cs="Arial" w:eastAsia="Arial" w:hAnsi="Arial"/>
          <w:sz w:val="12"/>
          <w:szCs w:val="12"/>
          <w:color w:val="auto"/>
        </w:rPr>
        <w:t>We also rely, in part, on confidentiality agreements with our business partners, employees, consultants, advisors, customers and others in our efforts to protect our proprietary technology, processes and methods. These agreements may not effectively prevent disclosure of our confidential information, and it may be possible for unauthorized parties to copy our software or other proprietary technology or information, or to develop similar software independently without our having an adequate remedy for unauthorized use or disclosure of our confidential information. In addition, others may independently discover our trade secrets and proprietary information, and in these cases, we would not be able to assert any trade secret rights against those parties. Costly and time</w:t>
      </w:r>
      <w:r>
        <w:rPr>
          <w:rFonts w:ascii="MS PGothic" w:cs="MS PGothic" w:eastAsia="MS PGothic" w:hAnsi="MS PGothic"/>
          <w:sz w:val="12"/>
          <w:szCs w:val="12"/>
          <w:color w:val="auto"/>
        </w:rPr>
        <w:t>‑</w:t>
      </w:r>
      <w:r>
        <w:rPr>
          <w:rFonts w:ascii="Arial" w:cs="Arial" w:eastAsia="Arial" w:hAnsi="Arial"/>
          <w:sz w:val="12"/>
          <w:szCs w:val="12"/>
          <w:color w:val="auto"/>
        </w:rPr>
        <w:t>consuming litigation could be necessary to enforce and determine the scope of our proprietary rights, and failure to obtain or maintain trade secret protection could adversely affect our competitive business position.</w:t>
      </w:r>
    </w:p>
    <w:p>
      <w:pPr>
        <w:spacing w:after="0" w:line="154" w:lineRule="exact"/>
        <w:rPr>
          <w:sz w:val="20"/>
          <w:szCs w:val="20"/>
          <w:color w:val="auto"/>
        </w:rPr>
      </w:pPr>
    </w:p>
    <w:p>
      <w:pPr>
        <w:jc w:val="both"/>
        <w:ind w:right="240" w:firstLine="367"/>
        <w:spacing w:after="0" w:line="252" w:lineRule="auto"/>
        <w:rPr>
          <w:sz w:val="20"/>
          <w:szCs w:val="20"/>
          <w:color w:val="auto"/>
        </w:rPr>
      </w:pPr>
      <w:r>
        <w:rPr>
          <w:rFonts w:ascii="Arial" w:cs="Arial" w:eastAsia="Arial" w:hAnsi="Arial"/>
          <w:sz w:val="14"/>
          <w:szCs w:val="14"/>
          <w:color w:val="auto"/>
        </w:rPr>
        <w:t>In addition, the laws of some countries do not protect intellectual property and other proprietary rights to the same extent as the laws of the United States. To the extent we expand our international activities, whether through acquisitions, international product development, regulatory compliance of local data sovereignty, or improving our services (e.g. reducing latency or ensuring redundancy) our exposure to unauthorized copying, transfer and use of our proprietary technology or information may increase.</w:t>
      </w:r>
    </w:p>
    <w:p>
      <w:pPr>
        <w:spacing w:after="0" w:line="146" w:lineRule="exact"/>
        <w:rPr>
          <w:sz w:val="20"/>
          <w:szCs w:val="20"/>
          <w:color w:val="auto"/>
        </w:rPr>
      </w:pPr>
    </w:p>
    <w:p>
      <w:pPr>
        <w:ind w:right="100" w:firstLine="367"/>
        <w:spacing w:after="0" w:line="345" w:lineRule="auto"/>
        <w:rPr>
          <w:sz w:val="20"/>
          <w:szCs w:val="20"/>
          <w:color w:val="auto"/>
        </w:rPr>
      </w:pPr>
      <w:r>
        <w:rPr>
          <w:rFonts w:ascii="Arial" w:cs="Arial" w:eastAsia="Arial" w:hAnsi="Arial"/>
          <w:sz w:val="12"/>
          <w:szCs w:val="12"/>
          <w:color w:val="auto"/>
        </w:rPr>
        <w:t>We cannot be certain that our means of protecting our intellectual property and proprietary rights will be adequate or that our competitors will not independently develop similar technology. If we fail to meaningfully protect our intellectual property and proprietary rights, our business, results of operations and financial condition could be adversely affected.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160" w:firstLine="367"/>
        <w:spacing w:after="0" w:line="261" w:lineRule="auto"/>
        <w:rPr>
          <w:sz w:val="20"/>
          <w:szCs w:val="20"/>
          <w:color w:val="auto"/>
        </w:rPr>
      </w:pPr>
      <w:r>
        <w:rPr>
          <w:rFonts w:ascii="Arial" w:cs="Arial" w:eastAsia="Arial" w:hAnsi="Arial"/>
          <w:sz w:val="14"/>
          <w:szCs w:val="14"/>
          <w:b w:val="1"/>
          <w:bCs w:val="1"/>
          <w:i w:val="1"/>
          <w:iCs w:val="1"/>
          <w:color w:val="auto"/>
        </w:rPr>
        <w:t>We may acquire or invest in companies, which may divert our management’s attention and result in debt or dilution to our stockholders. We may be unable to integrate acquired businesses and technologies successfully or achieve the expected benefits of such acquisitions or investments.</w:t>
      </w:r>
    </w:p>
    <w:p>
      <w:pPr>
        <w:spacing w:after="0" w:line="140" w:lineRule="exact"/>
        <w:rPr>
          <w:sz w:val="20"/>
          <w:szCs w:val="20"/>
          <w:color w:val="auto"/>
        </w:rPr>
      </w:pPr>
    </w:p>
    <w:p>
      <w:pPr>
        <w:ind w:firstLine="367"/>
        <w:spacing w:after="0" w:line="246" w:lineRule="auto"/>
        <w:rPr>
          <w:sz w:val="20"/>
          <w:szCs w:val="20"/>
          <w:color w:val="auto"/>
        </w:rPr>
      </w:pPr>
      <w:r>
        <w:rPr>
          <w:rFonts w:ascii="Arial" w:cs="Arial" w:eastAsia="Arial" w:hAnsi="Arial"/>
          <w:sz w:val="14"/>
          <w:szCs w:val="14"/>
          <w:color w:val="auto"/>
        </w:rPr>
        <w:t>We actively evaluate and consider potential strategic transactions, including acquisitions of, or investments in, businesses, technologies, services, products and other assets in the future. For example, in November 2020, we acquired Segment for a total purchase price of $3.0 billion, of which approximately $2.5 billion represented the value of our Class A common stock issued at closing. The estimated transaction value of $3.2 billion, as previously announced, included certain shares of Class A common stock and assumed equity awards that are subject to future vesting. Accordingly, at closing, our stockholders incurred substantial dilution. Any future acquisitions or strategic transactions may result in additional dilution or require us to take on debt in order to finance any such transactions. For further risks related to the acquisition of Segment, please see below under “Risks Related to our Acquisitions.” We also may enter into relationships with other businesses to expand our products and platform, which could involve preferred or exclusive licenses, additional channels of distribution, discount pricing or investments in other companies, such as our recent proposed investment of up to $750.0 million in Syniverse Corporation.</w:t>
      </w:r>
    </w:p>
    <w:p>
      <w:pPr>
        <w:spacing w:after="0" w:line="151" w:lineRule="exact"/>
        <w:rPr>
          <w:sz w:val="20"/>
          <w:szCs w:val="20"/>
          <w:color w:val="auto"/>
        </w:rPr>
      </w:pPr>
    </w:p>
    <w:p>
      <w:pPr>
        <w:ind w:firstLine="367"/>
        <w:spacing w:after="0" w:line="296" w:lineRule="auto"/>
        <w:rPr>
          <w:sz w:val="20"/>
          <w:szCs w:val="20"/>
          <w:color w:val="auto"/>
        </w:rPr>
      </w:pPr>
      <w:r>
        <w:rPr>
          <w:rFonts w:ascii="Arial" w:cs="Arial" w:eastAsia="Arial" w:hAnsi="Arial"/>
          <w:sz w:val="12"/>
          <w:szCs w:val="12"/>
          <w:color w:val="auto"/>
        </w:rPr>
        <w:t>Any acquisition, investment or business relationship may result in unforeseen operating difficulties and expenditures. In particular, we may encounter difficulties or delays in assimilating or integrating the businesses, technologies, products, employees or operations of the acquired companies, particularly if the key employees of the acquired company choose not to work for us, their products or services are not easily adapted to work with our platform, or we have difficulty retaining the customers of any acquired business due to changes in ownership, management or otherwise. In addition, we may discover liabilities or deficiencies associated with the assets or companies we acquire or ineffective or inadequate controls, procedures or policies at an acquired business that were not identified in advance, any of which could result in significant unanticipated costs. Acquisitions also may disrupt our business, divert our resources or require significant management attention that would otherwise be available for development of our existing business. Moreover, the anticipated benefits of any acquisition, investment or business relationship may not be realized or we may be exposed to unknown risks or liabilities.</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2"/>
          <w:szCs w:val="12"/>
          <w:color w:val="auto"/>
        </w:rPr>
        <w:t>Negotiating these transactions can be time consuming, difficult and expensive, and our ability to complete these transactions may often be subject to approvals that are beyond our control.</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Consequently, these transactions, even if announced, may not be completed. For one or more of those transactions, we may:</w:t>
      </w:r>
    </w:p>
    <w:p>
      <w:pPr>
        <w:spacing w:after="0" w:line="156" w:lineRule="exact"/>
        <w:rPr>
          <w:sz w:val="20"/>
          <w:szCs w:val="20"/>
          <w:color w:val="auto"/>
        </w:rPr>
      </w:pPr>
    </w:p>
    <w:p>
      <w:pPr>
        <w:ind w:left="740" w:hanging="249"/>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issue additional equity securities that would dilute our existing stockholders;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use cash that we may need in the future to operate our business;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incur large charges or substantial liabilities;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incur debt on terms unfavorable to us or that we are unable to repay;</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encounter difficulties retaining key employees of the acquired company or integrating diverse software codes or business cultures;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invest in securities that are illiquid or decline in value;</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encounter difficulties retaining the acquired company's customers; or</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become subject to adverse tax consequences, substantial depreciation, or deferred compensation charges.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occurrence of any of these foregoing could adversely affect our business, results of operations and financial condition.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140" w:firstLine="367"/>
        <w:spacing w:after="0" w:line="261" w:lineRule="auto"/>
        <w:rPr>
          <w:sz w:val="20"/>
          <w:szCs w:val="20"/>
          <w:color w:val="auto"/>
        </w:rPr>
      </w:pPr>
      <w:r>
        <w:rPr>
          <w:rFonts w:ascii="Arial" w:cs="Arial" w:eastAsia="Arial" w:hAnsi="Arial"/>
          <w:sz w:val="14"/>
          <w:szCs w:val="14"/>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140" w:lineRule="exact"/>
        <w:rPr>
          <w:sz w:val="20"/>
          <w:szCs w:val="20"/>
          <w:color w:val="auto"/>
        </w:rPr>
      </w:pPr>
    </w:p>
    <w:p>
      <w:pPr>
        <w:ind w:right="40" w:firstLine="367"/>
        <w:spacing w:after="0" w:line="165" w:lineRule="exact"/>
        <w:rPr>
          <w:sz w:val="20"/>
          <w:szCs w:val="20"/>
          <w:color w:val="auto"/>
        </w:rPr>
      </w:pPr>
      <w:r>
        <w:rPr>
          <w:rFonts w:ascii="Arial" w:cs="Arial" w:eastAsia="Arial" w:hAnsi="Arial"/>
          <w:sz w:val="12"/>
          <w:szCs w:val="12"/>
          <w:color w:val="auto"/>
        </w:rPr>
        <w:t>Our future performance depends on the continued services and contributions of our senior management and other key employees to execute on our business plan, to develop our products and platform, to deliver our products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w:t>
      </w:r>
      <w:r>
        <w:rPr>
          <w:rFonts w:ascii="MS PGothic" w:cs="MS PGothic" w:eastAsia="MS PGothic" w:hAnsi="MS PGothic"/>
          <w:sz w:val="12"/>
          <w:szCs w:val="12"/>
          <w:color w:val="auto"/>
        </w:rPr>
        <w:t>‑</w:t>
      </w:r>
      <w:r>
        <w:rPr>
          <w:rFonts w:ascii="Arial" w:cs="Arial" w:eastAsia="Arial" w:hAnsi="Arial"/>
          <w:sz w:val="12"/>
          <w:szCs w:val="12"/>
          <w:color w:val="auto"/>
        </w:rPr>
        <w:t>founder and Chief Executive Officer, Jeff Lawson. None of our executive officers or other senior management are bound by a written employment agreement and any of them may terminate employment with us at any time with no advance notice. The replacement of any of our senior management would likely involve significant time and costs, and such loss could significantly delay or prevent the achievement of our business objectives. The loss of the services of any of our senior management or other key employees for any reason could adversely affect our business, results of operations and financial condition.</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If we are unable to hire, retain and motivate qualified employees, our business will suffer.</w:t>
      </w:r>
    </w:p>
    <w:p>
      <w:pPr>
        <w:spacing w:after="0" w:line="166" w:lineRule="exact"/>
        <w:rPr>
          <w:sz w:val="20"/>
          <w:szCs w:val="20"/>
          <w:color w:val="auto"/>
        </w:rPr>
      </w:pPr>
    </w:p>
    <w:p>
      <w:pPr>
        <w:ind w:right="60" w:firstLine="367"/>
        <w:spacing w:after="0" w:line="296" w:lineRule="auto"/>
        <w:rPr>
          <w:sz w:val="20"/>
          <w:szCs w:val="20"/>
          <w:color w:val="auto"/>
        </w:rPr>
      </w:pPr>
      <w:r>
        <w:rPr>
          <w:rFonts w:ascii="Arial" w:cs="Arial" w:eastAsia="Arial" w:hAnsi="Arial"/>
          <w:sz w:val="12"/>
          <w:szCs w:val="12"/>
          <w:color w:val="auto"/>
        </w:rPr>
        <w:t>Our future success depends, in part, on our ability to continue to attract and retain highly skilled employees. We believe that there is, and will continue to be, intense competition for highly skilled management, technical, sales and other employees with experience in our industry in the San Francisco Bay Area, where our headquarters are located, and in other locations where we hire talent. In addition, our new Open Work hybrid approach to work, announced in February 2021, may not meet the expectations of our workforce. We must provide competitive compensation packages and a high quality work environment to hire, retain and motivate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 To the extent we hire employees from competitors, we also may be subject to allegations that they have been improperly solicited or divulged proprietary or other confidential information.</w:t>
      </w:r>
    </w:p>
    <w:p>
      <w:pPr>
        <w:spacing w:after="0" w:line="122" w:lineRule="exact"/>
        <w:rPr>
          <w:sz w:val="20"/>
          <w:szCs w:val="20"/>
          <w:color w:val="auto"/>
        </w:rPr>
      </w:pPr>
    </w:p>
    <w:p>
      <w:pPr>
        <w:ind w:firstLine="367"/>
        <w:spacing w:after="0" w:line="304" w:lineRule="auto"/>
        <w:rPr>
          <w:sz w:val="20"/>
          <w:szCs w:val="20"/>
          <w:color w:val="auto"/>
        </w:rPr>
      </w:pPr>
      <w:r>
        <w:rPr>
          <w:rFonts w:ascii="Arial" w:cs="Arial" w:eastAsia="Arial" w:hAnsi="Arial"/>
          <w:sz w:val="12"/>
          <w:szCs w:val="12"/>
          <w:color w:val="auto"/>
        </w:rPr>
        <w:t>Volatility in, or lack of performance of, our stock price may also affect our ability to attract and retain key employees. Many of our key employees are, or will soon be, vested in a substantial number of shares of Class A common stock or stock options. Employees may be more likely to terminate their employment with us if the shares they own or the shares underlying their vested options have significantly appreciated in value relative to the original purchase prices of the shares or the exercise prices of the options, or, conversely, if the exercise prices of the options that they hold are significantly above the trading price of our Class A common stock. If we are unable to retain our employees, our business, results of operations and financial condition could be adversely affected.</w:t>
      </w:r>
    </w:p>
    <w:p>
      <w:pPr>
        <w:spacing w:after="0" w:line="117"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b w:val="1"/>
          <w:bCs w:val="1"/>
          <w:i w:val="1"/>
          <w:iCs w:val="1"/>
          <w:color w:val="auto"/>
        </w:rPr>
        <w:t>United States federal legislation and international laws impose certain obligations on the senders of commercial emails, which could minimize the effectiveness of our platform, and establish financial penalties for non-compliance, which could increase the costs of our business.</w:t>
      </w:r>
    </w:p>
    <w:p>
      <w:pPr>
        <w:spacing w:after="0" w:line="140" w:lineRule="exact"/>
        <w:rPr>
          <w:sz w:val="20"/>
          <w:szCs w:val="20"/>
          <w:color w:val="auto"/>
        </w:rPr>
      </w:pPr>
    </w:p>
    <w:p>
      <w:pPr>
        <w:ind w:right="60" w:firstLine="367"/>
        <w:spacing w:after="0" w:line="289" w:lineRule="auto"/>
        <w:rPr>
          <w:sz w:val="20"/>
          <w:szCs w:val="20"/>
          <w:color w:val="auto"/>
        </w:rPr>
      </w:pPr>
      <w:r>
        <w:rPr>
          <w:rFonts w:ascii="Arial" w:cs="Arial" w:eastAsia="Arial" w:hAnsi="Arial"/>
          <w:sz w:val="12"/>
          <w:szCs w:val="12"/>
          <w:color w:val="auto"/>
        </w:rPr>
        <w:t>The Federal Controlling the Assault of Non-Solicited Pornography and Marketing Act of 2003, or the CAN-SPAM Act, establishes certain requirements for commercial email messages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Utah and Michigan prohibit the sending of email messages that advertise products or services that minors are prohibited by law from purchasing (e.g., alcoholic beverages, tobacco products, illegal drugs) or that contain content harmful to minors (e.g., pornography) to email addresses listed on specified child protection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to receipt of such email, or in other words has “opted-in” to receiving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b w:val="1"/>
          <w:bCs w:val="1"/>
          <w:i w:val="1"/>
          <w:iCs w:val="1"/>
          <w:color w:val="auto"/>
        </w:rPr>
        <w:t>Our customers’ and other users’ violation of our policies or other misuse of our platform to transmit unauthorized, offensive or illegal messages, spam, phishing scams, and website links to harmful applications or for other fraudulent or illegal activity could damage our reputation, and we may face a risk of litigation and liability for illegal activities on our platform and unauthorized, inaccurate, or fraudulent information distributed via our platform.</w:t>
      </w:r>
    </w:p>
    <w:p>
      <w:pPr>
        <w:spacing w:after="0" w:line="146" w:lineRule="exact"/>
        <w:rPr>
          <w:sz w:val="20"/>
          <w:szCs w:val="20"/>
          <w:color w:val="auto"/>
        </w:rPr>
      </w:pPr>
    </w:p>
    <w:p>
      <w:pPr>
        <w:ind w:right="20" w:firstLine="367"/>
        <w:spacing w:after="0" w:line="166" w:lineRule="exact"/>
        <w:rPr>
          <w:sz w:val="20"/>
          <w:szCs w:val="20"/>
          <w:color w:val="auto"/>
        </w:rPr>
      </w:pPr>
      <w:r>
        <w:rPr>
          <w:rFonts w:ascii="Arial" w:cs="Arial" w:eastAsia="Arial" w:hAnsi="Arial"/>
          <w:sz w:val="14"/>
          <w:szCs w:val="14"/>
          <w:color w:val="auto"/>
        </w:rPr>
        <w:t>The actual or perceived improper sending of text messages or voice calls may subject us to potential risks, including liabilities or claims relating to consumer protection laws and regulatory enforcement, including fines. For example, the Telephone Consumer Protection Act of 1991 restricts telemarketing and the use of automatic SMS text messages without explicit customer consent. This has resulted in civil claims against our company and requests for information through third</w:t>
      </w:r>
      <w:r>
        <w:rPr>
          <w:rFonts w:ascii="MS PGothic" w:cs="MS PGothic" w:eastAsia="MS PGothic" w:hAnsi="MS PGothic"/>
          <w:sz w:val="14"/>
          <w:szCs w:val="14"/>
          <w:color w:val="auto"/>
        </w:rPr>
        <w:t>‑</w:t>
      </w:r>
      <w:r>
        <w:rPr>
          <w:rFonts w:ascii="Arial" w:cs="Arial" w:eastAsia="Arial" w:hAnsi="Arial"/>
          <w:sz w:val="14"/>
          <w:szCs w:val="14"/>
          <w:color w:val="auto"/>
        </w:rPr>
        <w:t>party subpoenas. The scope and interpretation of the laws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by obtaining proper consent, we could face direct liability.</w:t>
      </w:r>
    </w:p>
    <w:p>
      <w:pPr>
        <w:spacing w:after="0" w:line="154" w:lineRule="exact"/>
        <w:rPr>
          <w:sz w:val="20"/>
          <w:szCs w:val="20"/>
          <w:color w:val="auto"/>
        </w:rPr>
      </w:pPr>
    </w:p>
    <w:p>
      <w:pPr>
        <w:ind w:firstLine="367"/>
        <w:spacing w:after="0" w:line="287" w:lineRule="auto"/>
        <w:rPr>
          <w:sz w:val="20"/>
          <w:szCs w:val="20"/>
          <w:color w:val="auto"/>
        </w:rPr>
      </w:pPr>
      <w:r>
        <w:rPr>
          <w:rFonts w:ascii="Arial" w:cs="Arial" w:eastAsia="Arial" w:hAnsi="Arial"/>
          <w:sz w:val="12"/>
          <w:szCs w:val="12"/>
          <w:color w:val="auto"/>
        </w:rPr>
        <w:t>Moreover, despite our ongoing and substantial efforts to limit such use, certain customers may use our platform to transmit unauthorized, offensive or illegal messages, calls, spam, phishing scams, and website links to harmful applications, reproduce and distribute copyrighted material or the trademarks of others without permission, and report inaccurate or fraudulent data or information. These issues also arise with respect to a portion of those users who use our platform on a free trial basis or upon initial use. These actions are in violation of our policies, in particular, our Acceptable Use Policy. However, our efforts to defeat spamming attacks, illegal robocalls and other fraudulent activity will not prevent all such attacks and activity. Such use of our platform could damage our reputation and we could face claims for damages, regulatory enforcement, copyright or trademark infringement, defamation, negligence, or fraud. Moreover, our customers’ and other users’ promotion of their products and services through our platform might not comply with federal, state, and foreign laws. We rely on contractual representations made to us by our customers that their use 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and distribution lists, our customers and other users are ultimately responsible for compliance with our policies, and we do not systematically audit our customers or other users to confirm compliance with our policies. We cannot predict whether our role in facilitating our customers’ or other users’ activities would expose us to liability under applicable state or federal law, or whether that possibility could become more likely if changes to current laws regulating content moderation, such as Section 230 of the Communications Decency Act are enacted. There have been various Congressional, FCC and executive efforts to eliminate or modify Section 230, which limits the liability of internet platforms for third-party content that is transmitted via those platforms and for good-faith moderation of offensive content. The Biden Administration and many members of Congress from both parties support reform or repeal of Section 230, so the possibility of Congressional action remains. In addition, a petition filed by the Trump administration with the Federal Communications Commission to adopt rules interpreting Section 230 remains before the Commission. If the FCC adopts rules, the scope of the protection offered by Section 230 could be narrowed considerably. The FCC has not released any document describing the rules that would be proposed and no date has been set for a vote on any such proposal. The Democratic Commissioners of the FCC, who currently control the FCC agenda, have indicated that they are opposed to the petition.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use of open source software could negatively affect our ability to sell our products and subject us to possible litigation.</w:t>
      </w:r>
    </w:p>
    <w:p>
      <w:pPr>
        <w:spacing w:after="0" w:line="166" w:lineRule="exact"/>
        <w:rPr>
          <w:sz w:val="20"/>
          <w:szCs w:val="20"/>
          <w:color w:val="auto"/>
        </w:rPr>
      </w:pPr>
    </w:p>
    <w:p>
      <w:pPr>
        <w:ind w:right="20" w:firstLine="367"/>
        <w:spacing w:after="0" w:line="292" w:lineRule="auto"/>
        <w:rPr>
          <w:sz w:val="20"/>
          <w:szCs w:val="20"/>
          <w:color w:val="auto"/>
        </w:rPr>
      </w:pPr>
      <w:r>
        <w:rPr>
          <w:rFonts w:ascii="Arial" w:cs="Arial" w:eastAsia="Arial" w:hAnsi="Arial"/>
          <w:sz w:val="12"/>
          <w:szCs w:val="12"/>
          <w:color w:val="auto"/>
        </w:rPr>
        <w:t>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Moreover,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products that contained the open source software and required 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line="166" w:lineRule="exact"/>
        <w:rPr>
          <w:sz w:val="20"/>
          <w:szCs w:val="20"/>
          <w:color w:val="auto"/>
        </w:rPr>
      </w:pPr>
      <w:r>
        <w:rPr>
          <w:rFonts w:ascii="Arial" w:cs="Arial" w:eastAsia="Arial" w:hAnsi="Arial"/>
          <w:sz w:val="14"/>
          <w:szCs w:val="14"/>
          <w:color w:val="auto"/>
        </w:rPr>
        <w:t>comply with onerous conditions or restrictions on these products. In any of these events, we and our customers could be required to seek licenses from third parties in order to continue offering our products and platform and to re</w:t>
      </w:r>
      <w:r>
        <w:rPr>
          <w:rFonts w:ascii="MS PGothic" w:cs="MS PGothic" w:eastAsia="MS PGothic" w:hAnsi="MS PGothic"/>
          <w:sz w:val="14"/>
          <w:szCs w:val="14"/>
          <w:color w:val="auto"/>
        </w:rPr>
        <w:t>‑</w:t>
      </w:r>
      <w:r>
        <w:rPr>
          <w:rFonts w:ascii="Arial" w:cs="Arial" w:eastAsia="Arial" w:hAnsi="Arial"/>
          <w:sz w:val="14"/>
          <w:szCs w:val="14"/>
          <w:color w:val="auto"/>
        </w:rPr>
        <w:t>engineer our products or platform or discontinue offering our products to customers in the event re</w:t>
      </w:r>
      <w:r>
        <w:rPr>
          <w:rFonts w:ascii="MS PGothic" w:cs="MS PGothic" w:eastAsia="MS PGothic" w:hAnsi="MS PGothic"/>
          <w:sz w:val="14"/>
          <w:szCs w:val="14"/>
          <w:color w:val="auto"/>
        </w:rPr>
        <w:t>‑</w:t>
      </w:r>
      <w:r>
        <w:rPr>
          <w:rFonts w:ascii="Arial" w:cs="Arial" w:eastAsia="Arial" w:hAnsi="Arial"/>
          <w:sz w:val="14"/>
          <w:szCs w:val="14"/>
          <w:color w:val="auto"/>
        </w:rPr>
        <w:t>engineering cannot be accomplished on a timely basis. Any of the foregoing could require us to devote additional research and development resources to re</w:t>
      </w:r>
      <w:r>
        <w:rPr>
          <w:rFonts w:ascii="MS PGothic" w:cs="MS PGothic" w:eastAsia="MS PGothic" w:hAnsi="MS PGothic"/>
          <w:sz w:val="14"/>
          <w:szCs w:val="14"/>
          <w:color w:val="auto"/>
        </w:rPr>
        <w:t>‑</w:t>
      </w:r>
      <w:r>
        <w:rPr>
          <w:rFonts w:ascii="Arial" w:cs="Arial" w:eastAsia="Arial" w:hAnsi="Arial"/>
          <w:sz w:val="14"/>
          <w:szCs w:val="14"/>
          <w:color w:val="auto"/>
        </w:rPr>
        <w:t>engineer our products or platform, could result in customer dissatisfaction and may adversely affect our business, results of operations and financial condition.</w:t>
      </w:r>
    </w:p>
    <w:p>
      <w:pPr>
        <w:spacing w:after="0" w:line="153" w:lineRule="exact"/>
        <w:rPr>
          <w:sz w:val="20"/>
          <w:szCs w:val="20"/>
          <w:color w:val="auto"/>
        </w:rPr>
      </w:pPr>
    </w:p>
    <w:p>
      <w:pPr>
        <w:ind w:right="60" w:firstLine="367"/>
        <w:spacing w:after="0" w:line="261" w:lineRule="auto"/>
        <w:rPr>
          <w:sz w:val="20"/>
          <w:szCs w:val="20"/>
          <w:color w:val="auto"/>
        </w:rPr>
      </w:pPr>
      <w:r>
        <w:rPr>
          <w:rFonts w:ascii="Arial" w:cs="Arial" w:eastAsia="Arial" w:hAnsi="Arial"/>
          <w:sz w:val="14"/>
          <w:szCs w:val="14"/>
          <w:b w:val="1"/>
          <w:bCs w:val="1"/>
          <w:i w:val="1"/>
          <w:iCs w:val="1"/>
          <w:color w:val="auto"/>
        </w:rPr>
        <w:t>Changes in laws and regulations related to the Internet or changes in the Internet infrastructure itself may diminish the demand for our products, and could adversely affect our business, results of operations and financial condition.</w:t>
      </w:r>
    </w:p>
    <w:p>
      <w:pPr>
        <w:spacing w:after="0" w:line="140" w:lineRule="exact"/>
        <w:rPr>
          <w:sz w:val="20"/>
          <w:szCs w:val="20"/>
          <w:color w:val="auto"/>
        </w:rPr>
      </w:pPr>
    </w:p>
    <w:p>
      <w:pPr>
        <w:ind w:right="20" w:firstLine="367"/>
        <w:spacing w:after="0" w:line="164" w:lineRule="exact"/>
        <w:rPr>
          <w:sz w:val="20"/>
          <w:szCs w:val="20"/>
          <w:color w:val="auto"/>
        </w:rPr>
      </w:pPr>
      <w:r>
        <w:rPr>
          <w:rFonts w:ascii="Arial" w:cs="Arial" w:eastAsia="Arial" w:hAnsi="Arial"/>
          <w:sz w:val="12"/>
          <w:szCs w:val="12"/>
          <w:color w:val="auto"/>
        </w:rPr>
        <w:t>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w:t>
      </w:r>
      <w:r>
        <w:rPr>
          <w:rFonts w:ascii="MS PGothic" w:cs="MS PGothic" w:eastAsia="MS PGothic" w:hAnsi="MS PGothic"/>
          <w:sz w:val="12"/>
          <w:szCs w:val="12"/>
          <w:color w:val="auto"/>
        </w:rPr>
        <w:t>‑</w:t>
      </w:r>
      <w:r>
        <w:rPr>
          <w:rFonts w:ascii="Arial" w:cs="Arial" w:eastAsia="Arial" w:hAnsi="Arial"/>
          <w:sz w:val="12"/>
          <w:szCs w:val="12"/>
          <w:color w:val="auto"/>
        </w:rPr>
        <w:t>related commerce or communications generally or result in reductions in the demand for Internet</w:t>
      </w:r>
      <w:r>
        <w:rPr>
          <w:rFonts w:ascii="MS PGothic" w:cs="MS PGothic" w:eastAsia="MS PGothic" w:hAnsi="MS PGothic"/>
          <w:sz w:val="12"/>
          <w:szCs w:val="12"/>
          <w:color w:val="auto"/>
        </w:rPr>
        <w:t>‑</w:t>
      </w:r>
      <w:r>
        <w:rPr>
          <w:rFonts w:ascii="Arial" w:cs="Arial" w:eastAsia="Arial" w:hAnsi="Arial"/>
          <w:sz w:val="12"/>
          <w:szCs w:val="12"/>
          <w:color w:val="auto"/>
        </w:rPr>
        <w:t>based products and services such as our products and platform. In particular, the re-adoption of “network neutrality” rules in the United States, which President Biden supported during his campaign, could affect the services used by us and our customers. In addition, the use of the Internet as a business tool could be adversely affected due to delays in the development or adoption of new standards and protocols to handle increased demands of Internet activity, security, reliability, cost, ease</w:t>
      </w:r>
      <w:r>
        <w:rPr>
          <w:rFonts w:ascii="MS PGothic" w:cs="MS PGothic" w:eastAsia="MS PGothic" w:hAnsi="MS PGothic"/>
          <w:sz w:val="12"/>
          <w:szCs w:val="12"/>
          <w:color w:val="auto"/>
        </w:rPr>
        <w:t>‑</w:t>
      </w:r>
      <w:r>
        <w:rPr>
          <w:rFonts w:ascii="Arial" w:cs="Arial" w:eastAsia="Arial" w:hAnsi="Arial"/>
          <w:sz w:val="12"/>
          <w:szCs w:val="12"/>
          <w:color w:val="auto"/>
        </w:rPr>
        <w:t>of</w:t>
      </w:r>
      <w:r>
        <w:rPr>
          <w:rFonts w:ascii="MS PGothic" w:cs="MS PGothic" w:eastAsia="MS PGothic" w:hAnsi="MS PGothic"/>
          <w:sz w:val="12"/>
          <w:szCs w:val="12"/>
          <w:color w:val="auto"/>
        </w:rPr>
        <w:t>‑</w:t>
      </w:r>
      <w:r>
        <w:rPr>
          <w:rFonts w:ascii="Arial" w:cs="Arial" w:eastAsia="Arial" w:hAnsi="Arial"/>
          <w:sz w:val="12"/>
          <w:szCs w:val="12"/>
          <w:color w:val="auto"/>
        </w:rPr>
        <w:t>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technology industry is subject to increasing scrutiny that could result in government actions that would negatively affect our business.</w:t>
      </w:r>
    </w:p>
    <w:p>
      <w:pPr>
        <w:spacing w:after="0" w:line="166" w:lineRule="exact"/>
        <w:rPr>
          <w:sz w:val="20"/>
          <w:szCs w:val="20"/>
          <w:color w:val="auto"/>
        </w:rPr>
      </w:pPr>
    </w:p>
    <w:p>
      <w:pPr>
        <w:ind w:firstLine="367"/>
        <w:spacing w:after="0" w:line="292" w:lineRule="auto"/>
        <w:rPr>
          <w:sz w:val="20"/>
          <w:szCs w:val="20"/>
          <w:color w:val="auto"/>
        </w:rPr>
      </w:pPr>
      <w:r>
        <w:rPr>
          <w:rFonts w:ascii="Arial" w:cs="Arial" w:eastAsia="Arial" w:hAnsi="Arial"/>
          <w:sz w:val="12"/>
          <w:szCs w:val="12"/>
          <w:color w:val="auto"/>
        </w:rPr>
        <w:t>The technology industry is subject to intense media, political and regulatory scrutiny, both domestic and foreign, including on issues related to antitrust, privacy, and artificial intelligence, which exposes us to government investigations, legal actions and penalties. For instance, various regulatory agencies, including competition and consumer protection authorities, have active proceedings and investigations concerning multiple technology companies on antitrust and other issues. If we become subject to such investigations, we could be liable for substantial fines and penalties, be required to change our products and services or alter our business operations, receive negative publicity, or be subject to civil litigation, all of which could harm our business. Lawmakers also have proposed new laws and regulations, and modifications to existing laws and regulations, that affect the activities of technology companies, such as the recent efforts to eliminate or modify Section 230 of the Communications Decency Act and other similar actions in some U.S. states. If such laws and regulations are enacted or modified, they could impact us, even if they are not intended to affect our company. In addition, the introduction of new products and services, expansion of our activities in certain jurisdictions, or other actions that we may take may subject us to additional laws, regulations, and other scrutiny. The increased scrutiny of certain acquisitions in the technology industry also could affect our ability to enter into strategic transactions or to acquire other businesses.</w:t>
      </w:r>
    </w:p>
    <w:p>
      <w:pPr>
        <w:spacing w:after="0" w:line="126" w:lineRule="exact"/>
        <w:rPr>
          <w:sz w:val="20"/>
          <w:szCs w:val="20"/>
          <w:color w:val="auto"/>
        </w:rPr>
      </w:pPr>
    </w:p>
    <w:p>
      <w:pPr>
        <w:jc w:val="both"/>
        <w:ind w:right="260" w:firstLine="367"/>
        <w:spacing w:after="0" w:line="314" w:lineRule="auto"/>
        <w:rPr>
          <w:sz w:val="20"/>
          <w:szCs w:val="20"/>
          <w:color w:val="auto"/>
        </w:rPr>
      </w:pPr>
      <w:r>
        <w:rPr>
          <w:rFonts w:ascii="Arial" w:cs="Arial" w:eastAsia="Arial" w:hAnsi="Arial"/>
          <w:sz w:val="12"/>
          <w:szCs w:val="12"/>
          <w:color w:val="auto"/>
        </w:rPr>
        <w:t>Compliance with new or modified laws and regulations could increase the cost of conducting our business, limit the opportunities to increase our revenues, or prevent us from offering products or services. While we have adopted policies and procedures designed to ensure compliance with applicable laws and regulations, there can be no assurance that our employees, contractors or agents will not violate such laws and regulations. If we are found to have violated laws and regulations, it could materially adversely affect our reputation, financial condition and results of operations.</w:t>
      </w:r>
    </w:p>
    <w:p>
      <w:pPr>
        <w:spacing w:after="0" w:line="111" w:lineRule="exact"/>
        <w:rPr>
          <w:sz w:val="20"/>
          <w:szCs w:val="20"/>
          <w:color w:val="auto"/>
        </w:rPr>
      </w:pPr>
    </w:p>
    <w:p>
      <w:pPr>
        <w:jc w:val="both"/>
        <w:ind w:right="100" w:firstLine="367"/>
        <w:spacing w:after="0" w:line="252" w:lineRule="auto"/>
        <w:rPr>
          <w:sz w:val="20"/>
          <w:szCs w:val="20"/>
          <w:color w:val="auto"/>
        </w:rPr>
      </w:pPr>
      <w:r>
        <w:rPr>
          <w:rFonts w:ascii="Arial" w:cs="Arial" w:eastAsia="Arial" w:hAnsi="Arial"/>
          <w:sz w:val="14"/>
          <w:szCs w:val="14"/>
          <w:color w:val="auto"/>
        </w:rPr>
        <w:t>We also could be harmed by government investigations, litigation, or changes in laws and regulations directed at our customers, business partners, or suppliers in the technology industry that have the effect of limiting our ability to do business with those entities. There can be no assurance that our business will not be materially adversely affected, individually or in the aggregate, by the outcomes of such investigations, litigation or changes to laws and regulations in the future.</w:t>
      </w:r>
    </w:p>
    <w:p>
      <w:pPr>
        <w:spacing w:after="0" w:line="146"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b w:val="1"/>
          <w:bCs w:val="1"/>
          <w:i w:val="1"/>
          <w:iCs w:val="1"/>
          <w:color w:val="auto"/>
        </w:rPr>
        <w:t>The standards that private entities and inbox service providers use to regulate the use and delivery of email have in the past interfered with, and may in the future interfere with, the effectiveness of our platform and our ability to conduct business.</w:t>
      </w:r>
    </w:p>
    <w:p>
      <w:pPr>
        <w:spacing w:after="0" w:line="140"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color w:val="auto"/>
        </w:rPr>
        <w:t>Some of our customers rely on email for commercial solicitation. Other private entities often advocate standards of conduct or practice that significantly exceed current legal requirements and classify certain solicitations that comply 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both"/>
        <w:spacing w:after="0" w:line="314" w:lineRule="auto"/>
        <w:rPr>
          <w:sz w:val="20"/>
          <w:szCs w:val="20"/>
          <w:color w:val="auto"/>
        </w:rPr>
      </w:pPr>
      <w:r>
        <w:rPr>
          <w:rFonts w:ascii="Arial" w:cs="Arial" w:eastAsia="Arial" w:hAnsi="Arial"/>
          <w:sz w:val="12"/>
          <w:szCs w:val="12"/>
          <w:color w:val="auto"/>
        </w:rPr>
        <w:t>current legal requirements as spam. Some of these entities maintain “denylists” of companies and individuals, and the websites, inbox service providers and IP addresses associated with those entities or individuals that do not adhere to those standards of conduct or practices for commercial solicitations that the denylisting entity believes are appropriate. If a company’s IP addresses are listed by a denylisting entity, emails sent from those addresses may be blocked if they are sent to any internet domain or internet address that subscribes to the denylisting entity’s service or uses its denylist.</w:t>
      </w:r>
    </w:p>
    <w:p>
      <w:pPr>
        <w:spacing w:after="0" w:line="111"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auto"/>
        </w:rPr>
        <w:t>From time to time,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competitors. While the overall percentage of such email solicitations that our individual customers send may be at or below reasonable standards, the total aggregate number of all emails that we process on behalf of our customers may trigger increased scrutiny from these denylisting entities. There can be no guarantee that we will be able to successfully remove ourselves from those lists. 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w:t>
      </w:r>
    </w:p>
    <w:p>
      <w:pPr>
        <w:spacing w:after="0" w:line="122" w:lineRule="exact"/>
        <w:rPr>
          <w:sz w:val="20"/>
          <w:szCs w:val="20"/>
          <w:color w:val="auto"/>
        </w:rPr>
      </w:pPr>
    </w:p>
    <w:p>
      <w:pPr>
        <w:jc w:val="both"/>
        <w:ind w:firstLine="367"/>
        <w:spacing w:after="0" w:line="294" w:lineRule="auto"/>
        <w:rPr>
          <w:sz w:val="20"/>
          <w:szCs w:val="20"/>
          <w:color w:val="auto"/>
        </w:rPr>
      </w:pPr>
      <w:r>
        <w:rPr>
          <w:rFonts w:ascii="Arial" w:cs="Arial" w:eastAsia="Arial" w:hAnsi="Arial"/>
          <w:sz w:val="12"/>
          <w:szCs w:val="12"/>
          <w:color w:val="auto"/>
        </w:rPr>
        <w:t>Additionally, inbox service providers can block emails from reaching their users. While we continually improve our own technology and work closely with inbox service providers to maintain our deliverability rates,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In addition, some inbox service providers categorize as “promotional” emails that originate from email service providers and, as a result, direct them to an alternate or “tabbed” section of the recipient’s inbox. If inbox service providers materially limit or halt the delivery of our customers’ emails, or if we fail to deliver our customers’ emails in a manner compatible with inbox service providers’ email handling or authentication technologies or other policies, or if the open rates of our customers’ emails are negatively impacted by the actions of inbox service providers to categorize emails, then customers may question the effectiveness of our platform and cancel their accounts. This, in turn, could harm our business, financial condition and results of operations.</w:t>
      </w:r>
    </w:p>
    <w:p>
      <w:pPr>
        <w:spacing w:after="0" w:line="123" w:lineRule="exact"/>
        <w:rPr>
          <w:sz w:val="20"/>
          <w:szCs w:val="20"/>
          <w:color w:val="auto"/>
        </w:rPr>
      </w:pPr>
    </w:p>
    <w:p>
      <w:pPr>
        <w:ind w:right="20" w:firstLine="367"/>
        <w:spacing w:after="0" w:line="252" w:lineRule="auto"/>
        <w:rPr>
          <w:sz w:val="20"/>
          <w:szCs w:val="20"/>
          <w:color w:val="auto"/>
        </w:rPr>
      </w:pPr>
      <w:r>
        <w:rPr>
          <w:rFonts w:ascii="Arial" w:cs="Arial" w:eastAsia="Arial" w:hAnsi="Arial"/>
          <w:sz w:val="14"/>
          <w:szCs w:val="14"/>
          <w:b w:val="1"/>
          <w:bCs w:val="1"/>
          <w:i w:val="1"/>
          <w:iCs w:val="1"/>
          <w:color w:val="auto"/>
        </w:rPr>
        <w:t>Our global operations subject us to potential liability under trade protection, anti-corruption, and other laws and regulations, including legal liability and reputational damage if we violate applicable U.S. economic trade sanctions or export controls regulations, and such violations could impair our ability to compete in international markets due to licensing requirements and could subject us to liability for compliance violations.</w:t>
      </w:r>
    </w:p>
    <w:p>
      <w:pPr>
        <w:spacing w:after="0" w:line="146" w:lineRule="exact"/>
        <w:rPr>
          <w:sz w:val="20"/>
          <w:szCs w:val="20"/>
          <w:color w:val="auto"/>
        </w:rPr>
      </w:pPr>
    </w:p>
    <w:p>
      <w:pPr>
        <w:ind w:firstLine="367"/>
        <w:spacing w:after="0" w:line="164" w:lineRule="exact"/>
        <w:rPr>
          <w:sz w:val="20"/>
          <w:szCs w:val="20"/>
          <w:color w:val="auto"/>
        </w:rPr>
      </w:pPr>
      <w:r>
        <w:rPr>
          <w:rFonts w:ascii="Arial" w:cs="Arial" w:eastAsia="Arial" w:hAnsi="Arial"/>
          <w:sz w:val="12"/>
          <w:szCs w:val="12"/>
          <w:color w:val="auto"/>
        </w:rPr>
        <w:t>Certain of our products and services may be subject to these types of laws and regulations, including the U.S. Export Administration Regulations, U.S. Customs regulations, and various economic and trade sanctions regulations administered by the U.S. Treasury Department’s Office of Foreign Assets Control. Exports of our products and the provision of our services must be made in compliance with these requirements. Although we take precautions to prevent our products from being provided in violation of such laws, we are aware of previous exports of certain of our products to a small number of persons and organizations that are the subject of U.S. sanctions or located in countries or regions subject to U.S. sanctions.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w:t>
      </w:r>
      <w:r>
        <w:rPr>
          <w:rFonts w:ascii="MS PGothic" w:cs="MS PGothic" w:eastAsia="MS PGothic" w:hAnsi="MS PGothic"/>
          <w:sz w:val="12"/>
          <w:szCs w:val="12"/>
          <w:color w:val="auto"/>
        </w:rPr>
        <w:t>‑</w:t>
      </w:r>
      <w:r>
        <w:rPr>
          <w:rFonts w:ascii="Arial" w:cs="Arial" w:eastAsia="Arial" w:hAnsi="Arial"/>
          <w:sz w:val="12"/>
          <w:szCs w:val="12"/>
          <w:color w:val="auto"/>
        </w:rPr>
        <w:t>consuming, is not guaranteed and may result in the delay or loss of sales opportunities. In addition, changes in our products or services, or changes in applicable export or economic sanctions regulations may create delays in the introduction and deployment of our products and services in international markets, or, in some cases, prevent the export of our products or provision of our services to certain countries or end users. Any change in trade protection laws, policies, export, sanctions and other regulatory requirements affecting trade and investments,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limitations on our ability to export our products and provide our services could adversely affect our business, results of operations and financial condition.</w:t>
      </w:r>
    </w:p>
    <w:p>
      <w:pPr>
        <w:spacing w:after="0" w:line="156" w:lineRule="exact"/>
        <w:rPr>
          <w:sz w:val="20"/>
          <w:szCs w:val="20"/>
          <w:color w:val="auto"/>
        </w:rPr>
      </w:pPr>
    </w:p>
    <w:p>
      <w:pPr>
        <w:ind w:right="140" w:firstLine="367"/>
        <w:spacing w:after="0" w:line="249" w:lineRule="auto"/>
        <w:rPr>
          <w:sz w:val="20"/>
          <w:szCs w:val="20"/>
          <w:color w:val="auto"/>
        </w:rPr>
      </w:pPr>
      <w:r>
        <w:rPr>
          <w:rFonts w:ascii="Arial" w:cs="Arial" w:eastAsia="Arial" w:hAnsi="Arial"/>
          <w:sz w:val="14"/>
          <w:szCs w:val="14"/>
          <w:color w:val="auto"/>
        </w:rPr>
        <w:t>The Foreign Corrupt Practices Act and other anti-corruption laws and regulations prohibit corrupt payments by our employees and third parties acting on our behalf, and require that we maintain accurate books and records and adequate internal controls. While we have implemented a global compliance program designed to reduce the risk of bribery and corruption-related violations, our employees or third parties acting on our behalf may fail to comply with our policies, resulting in violations of applicable anti-corruption laws and regulations. Such violations could result in significant fines and penalties,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color w:val="auto"/>
        </w:rPr>
        <w:t>criminal liability for us, our individual officers or employees, prohibitions on our ability to conduct business, and potential reputational damage.</w:t>
      </w:r>
    </w:p>
    <w:p>
      <w:pPr>
        <w:spacing w:after="0" w:line="166" w:lineRule="exact"/>
        <w:rPr>
          <w:sz w:val="20"/>
          <w:szCs w:val="20"/>
          <w:color w:val="auto"/>
        </w:rPr>
      </w:pPr>
    </w:p>
    <w:p>
      <w:pPr>
        <w:ind w:firstLine="367"/>
        <w:spacing w:after="0" w:line="165" w:lineRule="exact"/>
        <w:rPr>
          <w:sz w:val="20"/>
          <w:szCs w:val="20"/>
          <w:color w:val="auto"/>
        </w:rPr>
      </w:pPr>
      <w:r>
        <w:rPr>
          <w:rFonts w:ascii="Arial" w:cs="Arial" w:eastAsia="Arial" w:hAnsi="Arial"/>
          <w:sz w:val="12"/>
          <w:szCs w:val="12"/>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w:t>
      </w:r>
      <w:r>
        <w:rPr>
          <w:rFonts w:ascii="MS PGothic" w:cs="MS PGothic" w:eastAsia="MS PGothic" w:hAnsi="MS PGothic"/>
          <w:sz w:val="12"/>
          <w:szCs w:val="12"/>
          <w:color w:val="auto"/>
        </w:rPr>
        <w:t>‑</w:t>
      </w:r>
      <w:r>
        <w:rPr>
          <w:rFonts w:ascii="Arial" w:cs="Arial" w:eastAsia="Arial" w:hAnsi="Arial"/>
          <w:sz w:val="12"/>
          <w:szCs w:val="12"/>
          <w:color w:val="auto"/>
        </w:rPr>
        <w:t>distributed systems or, in some cases, prevent the export of our products or provision of our services to some countries altogether.</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reliance on SaaS technologies from third parties may adversely affect our business, results of operations and financial condition.</w:t>
      </w:r>
    </w:p>
    <w:p>
      <w:pPr>
        <w:spacing w:after="0" w:line="166" w:lineRule="exact"/>
        <w:rPr>
          <w:sz w:val="20"/>
          <w:szCs w:val="20"/>
          <w:color w:val="auto"/>
        </w:rPr>
      </w:pPr>
    </w:p>
    <w:p>
      <w:pPr>
        <w:ind w:right="120" w:firstLine="367"/>
        <w:spacing w:after="0" w:line="304" w:lineRule="auto"/>
        <w:rPr>
          <w:sz w:val="20"/>
          <w:szCs w:val="20"/>
          <w:color w:val="auto"/>
        </w:rPr>
      </w:pPr>
      <w:r>
        <w:rPr>
          <w:rFonts w:ascii="Arial" w:cs="Arial" w:eastAsia="Arial" w:hAnsi="Arial"/>
          <w:sz w:val="12"/>
          <w:szCs w:val="12"/>
          <w:color w:val="auto"/>
        </w:rPr>
        <w:t>We rely on hosted SaaS technologies from third parties in order to operate critical internal functions of our business, including enterprise resource planning, customer support and customer relations management services. If these services become unavailable due to extended outages or interruptions, or because they are no longer available on commercially reasonable terms or prices, our expenses could increase. As a result, our ability to manage our operations could be interrupted and our processes for managing our sales process and supporting our customers could be impaired until equivalent services, if available, are identified, obtained and implemented, all of which could adversely affect our business, results of operations and financial condition.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may have additional tax liabilities, which could harm our business, results of operations and financial condition.</w:t>
      </w:r>
    </w:p>
    <w:p>
      <w:pPr>
        <w:spacing w:after="0" w:line="176" w:lineRule="exact"/>
        <w:rPr>
          <w:sz w:val="20"/>
          <w:szCs w:val="20"/>
          <w:color w:val="auto"/>
        </w:rPr>
      </w:pPr>
    </w:p>
    <w:p>
      <w:pPr>
        <w:ind w:firstLine="367"/>
        <w:spacing w:after="0" w:line="145" w:lineRule="exact"/>
        <w:rPr>
          <w:sz w:val="20"/>
          <w:szCs w:val="20"/>
          <w:color w:val="auto"/>
        </w:rPr>
      </w:pPr>
      <w:r>
        <w:rPr>
          <w:rFonts w:ascii="Arial" w:cs="Arial" w:eastAsia="Arial" w:hAnsi="Arial"/>
          <w:sz w:val="12"/>
          <w:szCs w:val="12"/>
          <w:color w:val="auto"/>
        </w:rPr>
        <w:t>Significant judgments and estimates are required in determining our provision for income taxes and other tax liabilities. Our tax expense may be impacted, for example, if tax laws change or are clarified to our detriment or if tax authorities successfully challenge the tax positions that we take, such as, for example, positions relating to the arms</w:t>
      </w:r>
      <w:r>
        <w:rPr>
          <w:rFonts w:ascii="MS PGothic" w:cs="MS PGothic" w:eastAsia="MS PGothic" w:hAnsi="MS PGothic"/>
          <w:sz w:val="12"/>
          <w:szCs w:val="12"/>
          <w:color w:val="auto"/>
        </w:rPr>
        <w:t>‑</w:t>
      </w:r>
      <w:r>
        <w:rPr>
          <w:rFonts w:ascii="Arial" w:cs="Arial" w:eastAsia="Arial" w:hAnsi="Arial"/>
          <w:sz w:val="12"/>
          <w:szCs w:val="12"/>
          <w:color w:val="auto"/>
        </w:rPr>
        <w:t>length pricing standards for our intercompany transactions and our indirect tax positions. In determining the adequacy of income taxes, we assess the likelihood of adverse outcomes that could result if our tax positions were challenged by the Internal Revenue Service (“IRS”), and other tax authorities. Should the IRS or other tax authorities assess additional taxes as a result of examinations, we may be required to record charges to operations that could adversely affect our results of operations and financial condition. We are currently in discussions with certain jurisdictions regarding potential sales and other indirect taxes for prior periods that we may owe. We reserved $27.9 million and $15.3 million, for domestic jurisdictions and jurisdictions outside of the U.S. respectively,on our September 30, 2021 balance sheet for these tax payments. The actual exposure could differ materially from our current estimates, and if the actual payments we make to any jurisdiction exceed the accrual in our balance sheet, our results of operations would be harmed. For example, San Francisco City and County has assessed us for $38.8 million in taxes, including interest and penalties, which exceeded the $11.5 million we accrued for that assessment. We have paid the full amount, as required by law, and the payment made in excess of the accrued amount is reflected as a deposit on our balance sheet. We believe, however, that this assessment is incorrect and, after failing to reach a settlement, filed a lawsuit on May 27, 2021 contesting the assessment. However, litigation is uncertain and a ruling against us may adversely affect our financial position and results of operation. Many states are also pursuing legislative expansion of the scope of goods and services that are subject to sales and similar taxes as well as the circumstances in which a vendor of goods and services must collect such taxes. Following the U.S. Supreme Court decision in South Dakota v. Wayfair, Inc., states are now free to levy taxes on sales of goods and services based on an “economic nexus,” regardless of whether the seller has a physical presence in the state. Any additional fees and taxes levied on our services by any state may adversely impact our results of operations.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could be subject to liability for historical and future indirect and similar taxes, which could adversely affect our results of operations.</w:t>
      </w:r>
    </w:p>
    <w:p>
      <w:pPr>
        <w:spacing w:after="0" w:line="166" w:lineRule="exact"/>
        <w:rPr>
          <w:sz w:val="20"/>
          <w:szCs w:val="20"/>
          <w:color w:val="auto"/>
        </w:rPr>
      </w:pPr>
    </w:p>
    <w:p>
      <w:pPr>
        <w:ind w:right="120" w:firstLine="367"/>
        <w:spacing w:after="0" w:line="166" w:lineRule="exact"/>
        <w:rPr>
          <w:sz w:val="20"/>
          <w:szCs w:val="20"/>
          <w:color w:val="auto"/>
        </w:rPr>
      </w:pPr>
      <w:r>
        <w:rPr>
          <w:rFonts w:ascii="Arial" w:cs="Arial" w:eastAsia="Arial" w:hAnsi="Arial"/>
          <w:sz w:val="12"/>
          <w:szCs w:val="12"/>
          <w:color w:val="auto"/>
        </w:rPr>
        <w:t>We conduct operations in many tax jurisdictions throughout the United States and internationally. In many of these jurisdictions, non</w:t>
      </w:r>
      <w:r>
        <w:rPr>
          <w:rFonts w:ascii="MS PGothic" w:cs="MS PGothic" w:eastAsia="MS PGothic" w:hAnsi="MS PGothic"/>
          <w:sz w:val="12"/>
          <w:szCs w:val="12"/>
          <w:color w:val="auto"/>
        </w:rPr>
        <w:t>‑</w:t>
      </w:r>
      <w:r>
        <w:rPr>
          <w:rFonts w:ascii="Arial" w:cs="Arial" w:eastAsia="Arial" w:hAnsi="Arial"/>
          <w:sz w:val="12"/>
          <w:szCs w:val="12"/>
          <w:color w:val="auto"/>
        </w:rPr>
        <w:t>income</w:t>
      </w:r>
      <w:r>
        <w:rPr>
          <w:rFonts w:ascii="MS PGothic" w:cs="MS PGothic" w:eastAsia="MS PGothic" w:hAnsi="MS PGothic"/>
          <w:sz w:val="12"/>
          <w:szCs w:val="12"/>
          <w:color w:val="auto"/>
        </w:rPr>
        <w:t>‑</w:t>
      </w:r>
      <w:r>
        <w:rPr>
          <w:rFonts w:ascii="Arial" w:cs="Arial" w:eastAsia="Arial" w:hAnsi="Arial"/>
          <w:sz w:val="12"/>
          <w:szCs w:val="12"/>
          <w:color w:val="auto"/>
        </w:rPr>
        <w:t>based taxes, such as sales, VAT, GST, and telecommunications taxes, are assessed on our operations or our sales to customers. We are subject to indirect taxes, and may be subject to certain other taxes, in some of these jurisdictions. Historically, we have not billed or collected taxes in certain jurisdictions and, in accordance with generally accepted accounting principles in the United States (“U.S.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products, the jurisdictions in which we believe we have nexus or a permanent establishment, and the sourcing of revenues to those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color w:val="auto"/>
        </w:rPr>
        <w:t>jurisdictions. In the event these jurisdictions challenge our assumptions and analysis, our actual exposure could differ materially from our current estimates.</w:t>
      </w:r>
    </w:p>
    <w:p>
      <w:pPr>
        <w:spacing w:after="0" w:line="166" w:lineRule="exact"/>
        <w:rPr>
          <w:sz w:val="20"/>
          <w:szCs w:val="20"/>
          <w:color w:val="auto"/>
        </w:rPr>
      </w:pPr>
    </w:p>
    <w:p>
      <w:pPr>
        <w:ind w:right="280" w:firstLine="367"/>
        <w:spacing w:after="0" w:line="249" w:lineRule="auto"/>
        <w:rPr>
          <w:sz w:val="20"/>
          <w:szCs w:val="20"/>
          <w:color w:val="auto"/>
        </w:rPr>
      </w:pPr>
      <w:r>
        <w:rPr>
          <w:rFonts w:ascii="Arial" w:cs="Arial" w:eastAsia="Arial" w:hAnsi="Arial"/>
          <w:sz w:val="14"/>
          <w:szCs w:val="14"/>
          <w:color w:val="auto"/>
        </w:rPr>
        <w:t>We have been and may continue to be subject to scrutiny from tax authorities in various jurisdictions and may have additional exposure related to our historical operations. Furthermore, certain jurisdictions in which we do not collect such taxes have in the past and may in the future assert that such taxes are applicable, which could result in tax assessments, penalties and interest, and we may be required to collect such taxes in the future. Such tax assessments, penalties and interest or future requirements may adversely affect our business, the prices at which we are able to offer our services, our results of operations and financial condition.</w:t>
      </w:r>
    </w:p>
    <w:p>
      <w:pPr>
        <w:spacing w:after="0" w:line="148" w:lineRule="exact"/>
        <w:rPr>
          <w:sz w:val="20"/>
          <w:szCs w:val="20"/>
          <w:color w:val="auto"/>
        </w:rPr>
      </w:pPr>
    </w:p>
    <w:p>
      <w:pPr>
        <w:ind w:right="80" w:firstLine="367"/>
        <w:spacing w:after="0" w:line="167" w:lineRule="exact"/>
        <w:rPr>
          <w:sz w:val="20"/>
          <w:szCs w:val="20"/>
          <w:color w:val="auto"/>
        </w:rPr>
      </w:pPr>
      <w:r>
        <w:rPr>
          <w:rFonts w:ascii="Arial" w:cs="Arial" w:eastAsia="Arial" w:hAnsi="Arial"/>
          <w:sz w:val="14"/>
          <w:szCs w:val="14"/>
          <w:color w:val="auto"/>
        </w:rPr>
        <w:t>Effective March 2017, we began collecting certain telecommunications</w:t>
      </w:r>
      <w:r>
        <w:rPr>
          <w:rFonts w:ascii="MS PGothic" w:cs="MS PGothic" w:eastAsia="MS PGothic" w:hAnsi="MS PGothic"/>
          <w:sz w:val="14"/>
          <w:szCs w:val="14"/>
          <w:color w:val="auto"/>
        </w:rPr>
        <w:t>‑</w:t>
      </w:r>
      <w:r>
        <w:rPr>
          <w:rFonts w:ascii="Arial" w:cs="Arial" w:eastAsia="Arial" w:hAnsi="Arial"/>
          <w:sz w:val="14"/>
          <w:szCs w:val="14"/>
          <w:color w:val="auto"/>
        </w:rPr>
        <w:t>based taxes from our customers in certain jurisdictions. Since then, we have added more jurisdictions where we collect these taxes and we expect to continue expanding the number of jurisdictions in which we will collect these taxes in the future. We are also in discussions with certain jurisdictions regarding our potential sales and other taxes for prior periods that we may owe.</w:t>
      </w:r>
    </w:p>
    <w:p>
      <w:pPr>
        <w:spacing w:after="0" w:line="154" w:lineRule="exact"/>
        <w:rPr>
          <w:sz w:val="20"/>
          <w:szCs w:val="20"/>
          <w:color w:val="auto"/>
        </w:rPr>
      </w:pPr>
    </w:p>
    <w:p>
      <w:pPr>
        <w:ind w:right="240" w:firstLine="367"/>
        <w:spacing w:after="0" w:line="345" w:lineRule="auto"/>
        <w:rPr>
          <w:sz w:val="20"/>
          <w:szCs w:val="20"/>
          <w:color w:val="auto"/>
        </w:rPr>
      </w:pPr>
      <w:r>
        <w:rPr>
          <w:rFonts w:ascii="Arial" w:cs="Arial" w:eastAsia="Arial" w:hAnsi="Arial"/>
          <w:sz w:val="12"/>
          <w:szCs w:val="12"/>
          <w:color w:val="auto"/>
        </w:rPr>
        <w:t>In the event any of these jurisdictions disagree with management's assumptions and analysis, the assessment of our tax exposure could differ materially from management's current estimates. Some customers may question the incremental tax charges and some may seek to negotiate lower pricing from us, which could adversely affect our business, results of operations and financial condition.</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global operations and structure subject us to potentially adverse tax consequences.</w:t>
      </w:r>
    </w:p>
    <w:p>
      <w:pPr>
        <w:spacing w:after="0" w:line="166" w:lineRule="exact"/>
        <w:rPr>
          <w:sz w:val="20"/>
          <w:szCs w:val="20"/>
          <w:color w:val="auto"/>
        </w:rPr>
      </w:pPr>
    </w:p>
    <w:p>
      <w:pPr>
        <w:ind w:firstLine="367"/>
        <w:spacing w:after="0" w:line="165" w:lineRule="exact"/>
        <w:rPr>
          <w:sz w:val="20"/>
          <w:szCs w:val="20"/>
          <w:color w:val="auto"/>
        </w:rPr>
      </w:pPr>
      <w:r>
        <w:rPr>
          <w:rFonts w:ascii="Arial" w:cs="Arial" w:eastAsia="Arial" w:hAnsi="Arial"/>
          <w:sz w:val="12"/>
          <w:szCs w:val="12"/>
          <w:color w:val="auto"/>
        </w:rPr>
        <w:t>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w:t>
      </w:r>
      <w:r>
        <w:rPr>
          <w:rFonts w:ascii="MS PGothic" w:cs="MS PGothic" w:eastAsia="MS PGothic" w:hAnsi="MS PGothic"/>
          <w:sz w:val="12"/>
          <w:szCs w:val="12"/>
          <w:color w:val="auto"/>
        </w:rPr>
        <w:t>‑</w:t>
      </w:r>
      <w:r>
        <w:rPr>
          <w:rFonts w:ascii="Arial" w:cs="Arial" w:eastAsia="Arial" w:hAnsi="Arial"/>
          <w:sz w:val="12"/>
          <w:szCs w:val="12"/>
          <w:color w:val="auto"/>
        </w:rPr>
        <w:t>time tax charges, higher effective tax rates, reduced cash flows and lower overall profitability of our operations.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Changes in global and U.S. tax legislation may adversely affect our financial condition, results of operations, and cash flows.</w:t>
      </w:r>
    </w:p>
    <w:p>
      <w:pPr>
        <w:spacing w:after="0" w:line="166" w:lineRule="exact"/>
        <w:rPr>
          <w:sz w:val="20"/>
          <w:szCs w:val="20"/>
          <w:color w:val="auto"/>
        </w:rPr>
      </w:pPr>
    </w:p>
    <w:p>
      <w:pPr>
        <w:ind w:right="40" w:firstLine="367"/>
        <w:spacing w:after="0" w:line="304" w:lineRule="auto"/>
        <w:rPr>
          <w:sz w:val="20"/>
          <w:szCs w:val="20"/>
          <w:color w:val="auto"/>
        </w:rPr>
      </w:pPr>
      <w:r>
        <w:rPr>
          <w:rFonts w:ascii="Arial" w:cs="Arial" w:eastAsia="Arial" w:hAnsi="Arial"/>
          <w:sz w:val="12"/>
          <w:szCs w:val="12"/>
          <w:color w:val="auto"/>
        </w:rPr>
        <w:t>We are unable to predict what global or U.S. tax reforms may be proposed or enacted in the future or what effects such future changes would have on our business. Any such changes in tax legislation, regulations, policies or practices in the jurisdictions in which we operate could increase the estimated tax liability that we have expensed to date and paid or accrued on our balance sheet; affect our financial position, future results of operations, cash flows, and effective tax rates where we have operations; reduce post-tax returns to our stockholders; and increase the complexity, burden, and cost of tax compliance. We are subject to potential changes in relevant tax, accounting, and other laws, regulations, and interpretations, including changes to tax laws applicable to corporate multinationals.</w:t>
      </w:r>
    </w:p>
    <w:p>
      <w:pPr>
        <w:spacing w:after="0" w:line="117" w:lineRule="exact"/>
        <w:rPr>
          <w:sz w:val="20"/>
          <w:szCs w:val="20"/>
          <w:color w:val="auto"/>
        </w:rPr>
      </w:pPr>
    </w:p>
    <w:p>
      <w:pPr>
        <w:ind w:right="80" w:firstLine="367"/>
        <w:spacing w:after="0" w:line="166" w:lineRule="exact"/>
        <w:rPr>
          <w:sz w:val="20"/>
          <w:szCs w:val="20"/>
          <w:color w:val="auto"/>
        </w:rPr>
      </w:pPr>
      <w:r>
        <w:rPr>
          <w:rFonts w:ascii="Arial" w:cs="Arial" w:eastAsia="Arial" w:hAnsi="Arial"/>
          <w:sz w:val="12"/>
          <w:szCs w:val="12"/>
          <w:color w:val="auto"/>
        </w:rPr>
        <w:t>Certain government agencies in jurisdictions where we and our affiliates do business have had an extended focus on issues related to the taxation of multinational companies. In addition, the Organization for Economic Co</w:t>
      </w:r>
      <w:r>
        <w:rPr>
          <w:rFonts w:ascii="MS PGothic" w:cs="MS PGothic" w:eastAsia="MS PGothic" w:hAnsi="MS PGothic"/>
          <w:sz w:val="12"/>
          <w:szCs w:val="12"/>
          <w:color w:val="auto"/>
        </w:rPr>
        <w:t>‑</w:t>
      </w:r>
      <w:r>
        <w:rPr>
          <w:rFonts w:ascii="Arial" w:cs="Arial" w:eastAsia="Arial" w:hAnsi="Arial"/>
          <w:sz w:val="12"/>
          <w:szCs w:val="12"/>
          <w:color w:val="auto"/>
        </w:rPr>
        <w:t>operation and Development is conducting a project focused on base erosion and profit shifting in international structures, which seeks to establish certain international standards for taxing the worldwide income of multinational companies. Further, several countries have proposed or enacted taxes applicable to digital services, which could apply to our business. As a result of these developments, the tax laws of certain countries in which we and our affiliates do business could change on a prospective or retroactive basis, and any such changes could increase our liabilities for taxes, interest and penalties, and therefore could harm our business, cash flows, results of operations and financial position.</w:t>
      </w:r>
    </w:p>
    <w:p>
      <w:pPr>
        <w:spacing w:after="0" w:line="154" w:lineRule="exact"/>
        <w:rPr>
          <w:sz w:val="20"/>
          <w:szCs w:val="20"/>
          <w:color w:val="auto"/>
        </w:rPr>
      </w:pPr>
    </w:p>
    <w:p>
      <w:pPr>
        <w:jc w:val="both"/>
        <w:ind w:right="140" w:firstLine="367"/>
        <w:spacing w:after="0" w:line="304" w:lineRule="auto"/>
        <w:rPr>
          <w:sz w:val="20"/>
          <w:szCs w:val="20"/>
          <w:color w:val="auto"/>
        </w:rPr>
      </w:pPr>
      <w:r>
        <w:rPr>
          <w:rFonts w:ascii="Arial" w:cs="Arial" w:eastAsia="Arial" w:hAnsi="Arial"/>
          <w:sz w:val="12"/>
          <w:szCs w:val="12"/>
          <w:color w:val="auto"/>
        </w:rPr>
        <w:t>The governments of countries in which we operate and other governmental bodies could make unprecedented assertions about how taxation is determined in their jurisdictions that are contrary to the way in which we have interpreted and historically applied the rules and regulations in our tax returns filed in such jurisdictions. New laws could significantly increase our tax obligations in the countries in which we do business or require us to change the manner in which we operate our business. As a result of the large and expanding scale of our international business activities, many of these changes to the taxation of our activities could increase our worldwide effective tax rate and harm our financial position, results of operations, and cash flows.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If we experience excessive credit card or fraudulent activity, we could incur substantial costs.</w:t>
      </w:r>
    </w:p>
    <w:p>
      <w:pPr>
        <w:spacing w:after="0" w:line="166" w:lineRule="exact"/>
        <w:rPr>
          <w:sz w:val="20"/>
          <w:szCs w:val="20"/>
          <w:color w:val="auto"/>
        </w:rPr>
      </w:pPr>
    </w:p>
    <w:p>
      <w:pPr>
        <w:ind w:right="20" w:firstLine="367"/>
        <w:spacing w:after="0" w:line="166" w:lineRule="exact"/>
        <w:rPr>
          <w:sz w:val="20"/>
          <w:szCs w:val="20"/>
          <w:color w:val="auto"/>
        </w:rPr>
      </w:pPr>
      <w:r>
        <w:rPr>
          <w:rFonts w:ascii="Arial" w:cs="Arial" w:eastAsia="Arial" w:hAnsi="Arial"/>
          <w:sz w:val="14"/>
          <w:szCs w:val="14"/>
          <w:color w:val="auto"/>
        </w:rPr>
        <w:t>Most of our customers authorize us to bill their credit card accounts directly for service fees that we charge. If people pay for our services with stolen credit cards, we could incur substantial third</w:t>
      </w:r>
      <w:r>
        <w:rPr>
          <w:rFonts w:ascii="MS PGothic" w:cs="MS PGothic" w:eastAsia="MS PGothic" w:hAnsi="MS PGothic"/>
          <w:sz w:val="14"/>
          <w:szCs w:val="14"/>
          <w:color w:val="auto"/>
        </w:rPr>
        <w:t>‑</w:t>
      </w:r>
      <w:r>
        <w:rPr>
          <w:rFonts w:ascii="Arial" w:cs="Arial" w:eastAsia="Arial" w:hAnsi="Arial"/>
          <w:sz w:val="14"/>
          <w:szCs w:val="14"/>
          <w:color w:val="auto"/>
        </w:rPr>
        <w:t>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charges, which we refer to as chargebacks, from the credit card companies from claims that the customer did not authorize the credit card transaction to purchase our services. If the number of unauthorized credit card transactions becomes excessive, we could be assessed substantial fines for excess chargebacks, and we could lose the right to accept credit cards for payment.</w:t>
      </w:r>
    </w:p>
    <w:p>
      <w:pPr>
        <w:spacing w:after="0" w:line="154" w:lineRule="exact"/>
        <w:rPr>
          <w:sz w:val="20"/>
          <w:szCs w:val="20"/>
          <w:color w:val="auto"/>
        </w:rPr>
      </w:pPr>
    </w:p>
    <w:p>
      <w:pPr>
        <w:ind w:right="20" w:firstLine="367"/>
        <w:spacing w:after="0" w:line="299" w:lineRule="auto"/>
        <w:rPr>
          <w:sz w:val="20"/>
          <w:szCs w:val="20"/>
          <w:color w:val="auto"/>
        </w:rPr>
      </w:pPr>
      <w:r>
        <w:rPr>
          <w:rFonts w:ascii="Arial" w:cs="Arial" w:eastAsia="Arial" w:hAnsi="Arial"/>
          <w:sz w:val="12"/>
          <w:szCs w:val="12"/>
          <w:color w:val="auto"/>
        </w:rPr>
        <w:t>Our products may also be subject to fraudulent usage, including but not limited to revenue share fraud, domestic traffic pumping, subscription fraud, premium text message scams and other fraudulent schemes. Although our customers are required to set passwords or personal identification numbers to protect their accounts, third parties have in the past been, and may in the future be, able to access and use their accounts through fraudulent means. Furthermore, spammers attempt to use our products to send targeted and untargeted spam messages. We cannot be certain that our efforts to defeat spamming attacks will be successful in eliminating all spam messages from being sent using our platform. In addition, a cybersecurity breach of our customers’ systems could result in exposure of their authentication credentials, unauthorized access to their accounts or fraudulent calls on their accounts, any of which could adversely affect our business, results of operations and financial condition.</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may require additional capital to support our business, and this capital might not be available on acceptable terms, if at all.</w:t>
      </w:r>
    </w:p>
    <w:p>
      <w:pPr>
        <w:spacing w:after="0" w:line="166" w:lineRule="exact"/>
        <w:rPr>
          <w:sz w:val="20"/>
          <w:szCs w:val="20"/>
          <w:color w:val="auto"/>
        </w:rPr>
      </w:pPr>
    </w:p>
    <w:p>
      <w:pPr>
        <w:ind w:firstLine="367"/>
        <w:spacing w:after="0" w:line="291" w:lineRule="auto"/>
        <w:rPr>
          <w:sz w:val="20"/>
          <w:szCs w:val="20"/>
          <w:color w:val="auto"/>
        </w:rPr>
      </w:pPr>
      <w:r>
        <w:rPr>
          <w:rFonts w:ascii="Arial" w:cs="Arial" w:eastAsia="Arial" w:hAnsi="Arial"/>
          <w:sz w:val="12"/>
          <w:szCs w:val="12"/>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and Class B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We face exposure to foreign currency exchange rate fluctuations, and such fluctuations could adversely affect our business, results of operations and financial condition.</w:t>
      </w:r>
    </w:p>
    <w:p>
      <w:pPr>
        <w:spacing w:after="0" w:line="189" w:lineRule="exact"/>
        <w:rPr>
          <w:sz w:val="20"/>
          <w:szCs w:val="20"/>
          <w:color w:val="auto"/>
        </w:rPr>
      </w:pPr>
    </w:p>
    <w:p>
      <w:pPr>
        <w:ind w:right="180" w:firstLine="367"/>
        <w:spacing w:after="0" w:line="165" w:lineRule="exact"/>
        <w:rPr>
          <w:sz w:val="20"/>
          <w:szCs w:val="20"/>
          <w:color w:val="auto"/>
        </w:rPr>
      </w:pPr>
      <w:r>
        <w:rPr>
          <w:rFonts w:ascii="Arial" w:cs="Arial" w:eastAsia="Arial" w:hAnsi="Arial"/>
          <w:sz w:val="12"/>
          <w:szCs w:val="12"/>
          <w:color w:val="auto"/>
        </w:rPr>
        <w:t>As our international operations expand, our exposure to the effects of fluctuations in currency exchange rates grows. For example, global political events, including Brexit, trade tariff developments and other geopolitical events have caused global economic uncertainty and variability in foreign currency exchange rates. While we have primarily transacted with customers and business partners in U.S. dollars, we have also conducted business in currencies other than the U.S. dollar. We expect to significantly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w:t>
      </w:r>
      <w:r>
        <w:rPr>
          <w:rFonts w:ascii="MS PGothic" w:cs="MS PGothic" w:eastAsia="MS PGothic" w:hAnsi="MS PGothic"/>
          <w:sz w:val="12"/>
          <w:szCs w:val="12"/>
          <w:color w:val="auto"/>
        </w:rPr>
        <w:t>‑</w:t>
      </w:r>
      <w:r>
        <w:rPr>
          <w:rFonts w:ascii="Arial" w:cs="Arial" w:eastAsia="Arial" w:hAnsi="Arial"/>
          <w:sz w:val="12"/>
          <w:szCs w:val="12"/>
          <w:color w:val="auto"/>
        </w:rPr>
        <w:t>U.S. locations in the respective local currency. Fluctuations in the exchange rates between the U.S. dollar and other currencies could result in an increase to the U.S. dollar equivalent of such expenses.</w:t>
      </w:r>
    </w:p>
    <w:p>
      <w:pPr>
        <w:spacing w:after="0" w:line="156" w:lineRule="exact"/>
        <w:rPr>
          <w:sz w:val="20"/>
          <w:szCs w:val="20"/>
          <w:color w:val="auto"/>
        </w:rPr>
      </w:pPr>
    </w:p>
    <w:p>
      <w:pPr>
        <w:ind w:right="80" w:firstLine="367"/>
        <w:spacing w:after="0" w:line="299" w:lineRule="auto"/>
        <w:rPr>
          <w:sz w:val="20"/>
          <w:szCs w:val="20"/>
          <w:color w:val="auto"/>
        </w:rPr>
      </w:pPr>
      <w:r>
        <w:rPr>
          <w:rFonts w:ascii="Arial" w:cs="Arial" w:eastAsia="Arial" w:hAnsi="Arial"/>
          <w:sz w:val="12"/>
          <w:szCs w:val="12"/>
          <w:color w:val="auto"/>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Class A common stock could be adversely affected.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80" w:firstLine="367"/>
        <w:spacing w:after="0" w:line="249" w:lineRule="auto"/>
        <w:rPr>
          <w:sz w:val="20"/>
          <w:szCs w:val="20"/>
          <w:color w:val="auto"/>
        </w:rPr>
      </w:pPr>
      <w:r>
        <w:rPr>
          <w:rFonts w:ascii="Arial" w:cs="Arial" w:eastAsia="Arial" w:hAnsi="Arial"/>
          <w:sz w:val="14"/>
          <w:szCs w:val="14"/>
          <w:color w:val="auto"/>
        </w:rPr>
        <w:t>We recently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ability to use our net operating losses to offset future taxable income may be subject to certain limitations.</w:t>
      </w:r>
    </w:p>
    <w:p>
      <w:pPr>
        <w:spacing w:after="0" w:line="166" w:lineRule="exact"/>
        <w:rPr>
          <w:sz w:val="20"/>
          <w:szCs w:val="20"/>
          <w:color w:val="auto"/>
        </w:rPr>
      </w:pPr>
    </w:p>
    <w:p>
      <w:pPr>
        <w:ind w:firstLine="367"/>
        <w:spacing w:after="0" w:line="165" w:lineRule="exact"/>
        <w:rPr>
          <w:sz w:val="20"/>
          <w:szCs w:val="20"/>
          <w:color w:val="auto"/>
        </w:rPr>
      </w:pPr>
      <w:r>
        <w:rPr>
          <w:rFonts w:ascii="Arial" w:cs="Arial" w:eastAsia="Arial" w:hAnsi="Arial"/>
          <w:sz w:val="12"/>
          <w:szCs w:val="12"/>
          <w:color w:val="auto"/>
        </w:rPr>
        <w:t>As of December 31, 2020, we had federal, state and foreign net operating loss carryforwards (“NOLs”), of $2.7 billion, $1.8 billion and $27.9 million, respectively. In the years ended December 31, 2020 and 2019, as a result of our Segment and SendGrid acquisitions, respectively, we assumed a $22.3 million and $56.2 million, respectively, deferred tax liability, as described in Note 6 to our consolidated financial statements included in our Annual Report on Form 10-K filed with the SEC on February 26, 2021. In general, under Section 382 of the Internal Revenue Code of 1986, as amended (the “Code”), a corporation that undergoes an “ownership change” (generally defined as a greater than 50</w:t>
      </w:r>
      <w:r>
        <w:rPr>
          <w:rFonts w:ascii="MS PGothic" w:cs="MS PGothic" w:eastAsia="MS PGothic" w:hAnsi="MS PGothic"/>
          <w:sz w:val="12"/>
          <w:szCs w:val="12"/>
          <w:color w:val="auto"/>
        </w:rPr>
        <w:t>‑</w:t>
      </w:r>
      <w:r>
        <w:rPr>
          <w:rFonts w:ascii="Arial" w:cs="Arial" w:eastAsia="Arial" w:hAnsi="Arial"/>
          <w:sz w:val="12"/>
          <w:szCs w:val="12"/>
          <w:color w:val="auto"/>
        </w:rPr>
        <w:t>percentage</w:t>
      </w:r>
      <w:r>
        <w:rPr>
          <w:rFonts w:ascii="MS PGothic" w:cs="MS PGothic" w:eastAsia="MS PGothic" w:hAnsi="MS PGothic"/>
          <w:sz w:val="12"/>
          <w:szCs w:val="12"/>
          <w:color w:val="auto"/>
        </w:rPr>
        <w:t>‑</w:t>
      </w:r>
      <w:r>
        <w:rPr>
          <w:rFonts w:ascii="Arial" w:cs="Arial" w:eastAsia="Arial" w:hAnsi="Arial"/>
          <w:sz w:val="12"/>
          <w:szCs w:val="12"/>
          <w:color w:val="auto"/>
        </w:rPr>
        <w:t>point cumulative change (by value) in the equity ownership of certain stockholders over a rolling three</w:t>
      </w:r>
      <w:r>
        <w:rPr>
          <w:rFonts w:ascii="MS PGothic" w:cs="MS PGothic" w:eastAsia="MS PGothic" w:hAnsi="MS PGothic"/>
          <w:sz w:val="12"/>
          <w:szCs w:val="12"/>
          <w:color w:val="auto"/>
        </w:rPr>
        <w:t>‑</w:t>
      </w:r>
      <w:r>
        <w:rPr>
          <w:rFonts w:ascii="Arial" w:cs="Arial" w:eastAsia="Arial" w:hAnsi="Arial"/>
          <w:sz w:val="12"/>
          <w:szCs w:val="12"/>
          <w:color w:val="auto"/>
        </w:rPr>
        <w:t>year period) is subject to limitations on its ability to utilize its pre</w:t>
      </w:r>
      <w:r>
        <w:rPr>
          <w:rFonts w:ascii="MS PGothic" w:cs="MS PGothic" w:eastAsia="MS PGothic" w:hAnsi="MS PGothic"/>
          <w:sz w:val="12"/>
          <w:szCs w:val="12"/>
          <w:color w:val="auto"/>
        </w:rPr>
        <w:t>‑</w:t>
      </w:r>
      <w:r>
        <w:rPr>
          <w:rFonts w:ascii="Arial" w:cs="Arial" w:eastAsia="Arial" w:hAnsi="Arial"/>
          <w:sz w:val="12"/>
          <w:szCs w:val="12"/>
          <w:color w:val="auto"/>
        </w:rPr>
        <w:t>change NOLs to offset post</w:t>
      </w:r>
      <w:r>
        <w:rPr>
          <w:rFonts w:ascii="MS PGothic" w:cs="MS PGothic" w:eastAsia="MS PGothic" w:hAnsi="MS PGothic"/>
          <w:sz w:val="12"/>
          <w:szCs w:val="12"/>
          <w:color w:val="auto"/>
        </w:rPr>
        <w:t>‑</w:t>
      </w:r>
      <w:r>
        <w:rPr>
          <w:rFonts w:ascii="Arial" w:cs="Arial" w:eastAsia="Arial" w:hAnsi="Arial"/>
          <w:sz w:val="12"/>
          <w:szCs w:val="12"/>
          <w:color w:val="auto"/>
        </w:rPr>
        <w:t>change taxable income. Our existing NOLs may be subject to limitations arising from previous ownership changes, and if we undergo an ownership change in the future, our ability to utilize NOLs could be further limited by Section 382 of the Code. Future changes in our stock ownership, some of which may be outside of our control, could result in an ownership change under Section 382 of the Code.</w:t>
      </w:r>
    </w:p>
    <w:p>
      <w:pPr>
        <w:spacing w:after="0" w:line="155" w:lineRule="exact"/>
        <w:rPr>
          <w:sz w:val="20"/>
          <w:szCs w:val="20"/>
          <w:color w:val="auto"/>
        </w:rPr>
      </w:pPr>
    </w:p>
    <w:p>
      <w:pPr>
        <w:ind w:firstLine="367"/>
        <w:spacing w:after="0" w:line="164" w:lineRule="exact"/>
        <w:rPr>
          <w:sz w:val="20"/>
          <w:szCs w:val="20"/>
          <w:color w:val="auto"/>
        </w:rPr>
      </w:pPr>
      <w:r>
        <w:rPr>
          <w:rFonts w:ascii="Arial" w:cs="Arial" w:eastAsia="Arial" w:hAnsi="Arial"/>
          <w:sz w:val="12"/>
          <w:szCs w:val="12"/>
          <w:color w:val="auto"/>
        </w:rPr>
        <w:t>On December 22, 2017, the U.S. government enacted tax legislation commonly referred to as the Tax Cuts and Jobs Act (the “Tax Act”). The Tax Act makes broad and complex changes to the U.S. tax code including changes to the uses and limitations of net operating losses. For example, while the Tax Act allows for U.S. federal net operating losses incurred in tax years beginning after December 31, 2017 to be carried forward indefinitely, the Tax Act also imposes an 80% limitation on the use of net operating losses that are generated in tax years beginning after December 31, 2017. Net operating losses generated in tax years beginning prior to December 31, 2017 still have a 20</w:t>
      </w:r>
      <w:r>
        <w:rPr>
          <w:rFonts w:ascii="MS PGothic" w:cs="MS PGothic" w:eastAsia="MS PGothic" w:hAnsi="MS PGothic"/>
          <w:sz w:val="12"/>
          <w:szCs w:val="12"/>
          <w:color w:val="auto"/>
        </w:rPr>
        <w:t>‑</w:t>
      </w:r>
      <w:r>
        <w:rPr>
          <w:rFonts w:ascii="Arial" w:cs="Arial" w:eastAsia="Arial" w:hAnsi="Arial"/>
          <w:sz w:val="12"/>
          <w:szCs w:val="12"/>
          <w:color w:val="auto"/>
        </w:rPr>
        <w:t>year carryforward period and are not subject to 80% limitation. The Coronavirus Aid, Relief and Economic Security Act (“CARES Act”) enacted on March 27, 2020 permits a full five-year carryback of net operating losses arising in tax years beginning after December 31, 2017 and before January 1, 2021. In addition, at the state level, there may be periods during which the use of net operating loss carryforwards is suspended or otherwise limited, which could accelerate or permanently increase state taxes owed. These provisions do not impact us since we have net operating losses in the applicable tax years. Our ability to utilize net operating loss carryforwards depends on the existence of sufficient taxable income of the appropriate character within the carryforward period. Based on all available evidence, other than future taxable income from reversing taxable temporary differences, we have no other sources of taxable income that are objectively verifiable. As such, net operating loss carryforwards generated in tax years beginning before December 31, 2017, could expire unused and net operating losses arising in tax years beginning after December 31, 2017, while able to be carried forward indefinitely, are also not more likely than not to be realized due to lack of taxable income.</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our results of operations could be adversely affected.</w:t>
      </w:r>
    </w:p>
    <w:p>
      <w:pPr>
        <w:spacing w:after="0" w:line="166" w:lineRule="exact"/>
        <w:rPr>
          <w:sz w:val="20"/>
          <w:szCs w:val="20"/>
          <w:color w:val="auto"/>
        </w:rPr>
      </w:pPr>
    </w:p>
    <w:p>
      <w:pPr>
        <w:ind w:right="60" w:firstLine="367"/>
        <w:spacing w:after="0" w:line="296" w:lineRule="auto"/>
        <w:rPr>
          <w:sz w:val="20"/>
          <w:szCs w:val="20"/>
          <w:color w:val="auto"/>
        </w:rPr>
      </w:pPr>
      <w:r>
        <w:rPr>
          <w:rFonts w:ascii="Arial" w:cs="Arial" w:eastAsia="Arial" w:hAnsi="Arial"/>
          <w:sz w:val="12"/>
          <w:szCs w:val="12"/>
          <w:color w:val="auto"/>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 Item 2,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Changes in financial accounting standards or practices may cause adverse, unexpected financial reporting fluctuations and affect our results of operations.</w:t>
      </w:r>
    </w:p>
    <w:p>
      <w:pPr>
        <w:spacing w:after="0" w:line="166" w:lineRule="exact"/>
        <w:rPr>
          <w:sz w:val="20"/>
          <w:szCs w:val="20"/>
          <w:color w:val="auto"/>
        </w:rPr>
      </w:pPr>
    </w:p>
    <w:p>
      <w:pPr>
        <w:ind w:right="20" w:firstLine="367"/>
        <w:spacing w:after="0" w:line="252" w:lineRule="auto"/>
        <w:rPr>
          <w:sz w:val="20"/>
          <w:szCs w:val="20"/>
          <w:color w:val="auto"/>
        </w:rPr>
      </w:pPr>
      <w:r>
        <w:rPr>
          <w:rFonts w:ascii="Arial" w:cs="Arial" w:eastAsia="Arial" w:hAnsi="Arial"/>
          <w:sz w:val="14"/>
          <w:szCs w:val="14"/>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20" w:firstLine="367"/>
        <w:spacing w:after="0" w:line="249" w:lineRule="auto"/>
        <w:rPr>
          <w:sz w:val="20"/>
          <w:szCs w:val="20"/>
          <w:color w:val="auto"/>
        </w:rPr>
      </w:pPr>
      <w:r>
        <w:rPr>
          <w:rFonts w:ascii="Arial" w:cs="Arial" w:eastAsia="Arial" w:hAnsi="Arial"/>
          <w:sz w:val="14"/>
          <w:szCs w:val="14"/>
          <w:color w:val="auto"/>
        </w:rPr>
        <w:t xml:space="preserve">For example, a new accounting guidance, Accounting Standards Codification (“ASC”)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became effective January 1, 2019. The adoption of this new guidance had a significant impact on our balance sheets as described in detail in Note 2 to our consolidated financial statements included in our Annual Report on Form 10-K filed with the SEC on February 26, 2021. Adoption of these types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spacing w:after="0" w:line="148" w:lineRule="exact"/>
        <w:rPr>
          <w:sz w:val="20"/>
          <w:szCs w:val="20"/>
          <w:color w:val="auto"/>
        </w:rPr>
      </w:pPr>
    </w:p>
    <w:p>
      <w:pPr>
        <w:ind w:right="440" w:firstLine="367"/>
        <w:spacing w:after="0" w:line="261" w:lineRule="auto"/>
        <w:rPr>
          <w:sz w:val="20"/>
          <w:szCs w:val="20"/>
          <w:color w:val="auto"/>
        </w:rPr>
      </w:pPr>
      <w:r>
        <w:rPr>
          <w:rFonts w:ascii="Arial" w:cs="Arial" w:eastAsia="Arial" w:hAnsi="Arial"/>
          <w:sz w:val="14"/>
          <w:szCs w:val="14"/>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40" w:lineRule="exact"/>
        <w:rPr>
          <w:sz w:val="20"/>
          <w:szCs w:val="20"/>
          <w:color w:val="auto"/>
        </w:rPr>
      </w:pPr>
    </w:p>
    <w:p>
      <w:pPr>
        <w:ind w:right="100" w:firstLine="367"/>
        <w:spacing w:after="0" w:line="166" w:lineRule="exact"/>
        <w:rPr>
          <w:sz w:val="20"/>
          <w:szCs w:val="20"/>
          <w:color w:val="auto"/>
        </w:rPr>
      </w:pPr>
      <w:r>
        <w:rPr>
          <w:rFonts w:ascii="Arial" w:cs="Arial" w:eastAsia="Arial" w:hAnsi="Arial"/>
          <w:sz w:val="14"/>
          <w:szCs w:val="14"/>
          <w:color w:val="auto"/>
        </w:rPr>
        <w:t>As a public company, we are required to maintain internal control over financial reporting and to report any material weaknesses in such internal control. Section 404 of the Sarbanes</w:t>
      </w:r>
      <w:r>
        <w:rPr>
          <w:rFonts w:ascii="MS PGothic" w:cs="MS PGothic" w:eastAsia="MS PGothic" w:hAnsi="MS PGothic"/>
          <w:sz w:val="14"/>
          <w:szCs w:val="14"/>
          <w:color w:val="auto"/>
        </w:rPr>
        <w:t>‑</w:t>
      </w:r>
      <w:r>
        <w:rPr>
          <w:rFonts w:ascii="Arial" w:cs="Arial" w:eastAsia="Arial" w:hAnsi="Arial"/>
          <w:sz w:val="14"/>
          <w:szCs w:val="14"/>
          <w:color w:val="auto"/>
        </w:rPr>
        <w:t>Oxley Act of 2002 (the "Sarbanes</w:t>
      </w:r>
      <w:r>
        <w:rPr>
          <w:rFonts w:ascii="MS PGothic" w:cs="MS PGothic" w:eastAsia="MS PGothic" w:hAnsi="MS PGothic"/>
          <w:sz w:val="14"/>
          <w:szCs w:val="14"/>
          <w:color w:val="auto"/>
        </w:rPr>
        <w:t>‑</w:t>
      </w:r>
      <w:r>
        <w:rPr>
          <w:rFonts w:ascii="Arial" w:cs="Arial" w:eastAsia="Arial" w:hAnsi="Arial"/>
          <w:sz w:val="14"/>
          <w:szCs w:val="14"/>
          <w:color w:val="auto"/>
        </w:rPr>
        <w:t>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53" w:lineRule="exact"/>
        <w:rPr>
          <w:sz w:val="20"/>
          <w:szCs w:val="20"/>
          <w:color w:val="auto"/>
        </w:rPr>
      </w:pPr>
    </w:p>
    <w:p>
      <w:pPr>
        <w:ind w:firstLine="367"/>
        <w:spacing w:after="0" w:line="293" w:lineRule="auto"/>
        <w:rPr>
          <w:sz w:val="20"/>
          <w:szCs w:val="20"/>
          <w:color w:val="auto"/>
        </w:rPr>
      </w:pPr>
      <w:r>
        <w:rPr>
          <w:rFonts w:ascii="Arial" w:cs="Arial" w:eastAsia="Arial" w:hAnsi="Arial"/>
          <w:sz w:val="12"/>
          <w:szCs w:val="12"/>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Class A common stock. In addition, if we are unable to continue to meet these requirements, we may not be able to remain listed on the New York Stock Exchange.</w:t>
      </w:r>
    </w:p>
    <w:p>
      <w:pPr>
        <w:spacing w:after="0" w:line="29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If our goodwill or intangible assets become impaired, we may be required to record a significant charge to earnings.</w:t>
      </w:r>
    </w:p>
    <w:p>
      <w:pPr>
        <w:spacing w:after="0" w:line="166" w:lineRule="exact"/>
        <w:rPr>
          <w:sz w:val="20"/>
          <w:szCs w:val="20"/>
          <w:color w:val="auto"/>
        </w:rPr>
      </w:pPr>
    </w:p>
    <w:p>
      <w:pPr>
        <w:jc w:val="both"/>
        <w:ind w:right="100" w:firstLine="367"/>
        <w:spacing w:after="0" w:line="249" w:lineRule="auto"/>
        <w:rPr>
          <w:sz w:val="20"/>
          <w:szCs w:val="20"/>
          <w:color w:val="auto"/>
        </w:rPr>
      </w:pPr>
      <w:r>
        <w:rPr>
          <w:rFonts w:ascii="Arial" w:cs="Arial" w:eastAsia="Arial" w:hAnsi="Arial"/>
          <w:sz w:val="14"/>
          <w:szCs w:val="14"/>
          <w:color w:val="auto"/>
        </w:rPr>
        <w:t>We review our intangible assets for impairment when events or changes in circumstances indicate the carrying value may not be recoverable. Goodwill is required to be tested for impairment at least annually. As of September 30, 2021, we carried a net $6.4 billion of goodwill and intangible assets.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46"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Risks Related to Ownership of Our Class A Common Stock</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trading price of our Class A common stock has been volatile and may continue to be volatile, and you could lose all or part of your investment.</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Prior to our initial public offering in June 2016, there was no public market for shares of our Class A common stock. On June 23, 2016, we sold shares of our Class A common stock to the public at</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$15.00 per share. From June 23, 2016, the date that our Class A common stock started trading on the New York Stock Exchange, through September 30, 2021, the trading price of our Class A common stock</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has ranged from $22.80 per share to $457.30 per share. The trading price of our Class A common stock may continue to fluctuate significantly in response to numerous factors, many of which are beyond our</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control, including:</w:t>
      </w:r>
    </w:p>
    <w:p>
      <w:pPr>
        <w:spacing w:after="0" w:line="156" w:lineRule="exact"/>
        <w:rPr>
          <w:sz w:val="20"/>
          <w:szCs w:val="20"/>
          <w:color w:val="auto"/>
        </w:rPr>
      </w:pPr>
    </w:p>
    <w:p>
      <w:pPr>
        <w:ind w:left="740" w:hanging="249"/>
        <w:spacing w:after="0"/>
        <w:tabs>
          <w:tab w:leader="none" w:pos="7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from time to time;</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volatility in the trading prices and trading volumes of technology stocks;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changes in operating performance and stock market valuations of other technology companies generally, or those in our industry in particular;</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sales of shares of our Class A common stock by us or our stockholders;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740" w:right="40" w:hanging="249"/>
        <w:spacing w:after="0" w:line="261" w:lineRule="auto"/>
        <w:tabs>
          <w:tab w:leader="none" w:pos="737" w:val="left"/>
        </w:tabs>
        <w:numPr>
          <w:ilvl w:val="0"/>
          <w:numId w:val="36"/>
        </w:numPr>
        <w:rPr>
          <w:rFonts w:ascii="Arial" w:cs="Arial" w:eastAsia="Arial" w:hAnsi="Arial"/>
          <w:sz w:val="14"/>
          <w:szCs w:val="14"/>
          <w:color w:val="auto"/>
        </w:rPr>
      </w:pPr>
      <w:r>
        <w:rPr>
          <w:rFonts w:ascii="Arial" w:cs="Arial" w:eastAsia="Arial" w:hAnsi="Arial"/>
          <w:sz w:val="14"/>
          <w:szCs w:val="14"/>
          <w:color w:val="auto"/>
        </w:rPr>
        <w:t>failure of securities analysts to maintain coverage of us, changes in financial estimates by securities analysts who follow our company, or our failure to meet these estimates or the expectations of investors;</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financial projections we may provide to the public, any changes in those projections or our failure to meet those projections;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announcements by us or our competitors of new products or services;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public’s reaction to our press releases, other public announcements and filings with the SEC;</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165" w:lineRule="exact"/>
        <w:rPr>
          <w:rFonts w:ascii="Arial" w:cs="Arial" w:eastAsia="Arial" w:hAnsi="Arial"/>
          <w:sz w:val="14"/>
          <w:szCs w:val="14"/>
          <w:color w:val="auto"/>
        </w:rPr>
      </w:pPr>
    </w:p>
    <w:p>
      <w:pPr>
        <w:ind w:left="740" w:right="100" w:hanging="249"/>
        <w:spacing w:after="0" w:line="314" w:lineRule="auto"/>
        <w:tabs>
          <w:tab w:leader="none" w:pos="737" w:val="left"/>
        </w:tabs>
        <w:numPr>
          <w:ilvl w:val="0"/>
          <w:numId w:val="36"/>
        </w:numPr>
        <w:rPr>
          <w:rFonts w:ascii="Arial" w:cs="Arial" w:eastAsia="Arial" w:hAnsi="Arial"/>
          <w:sz w:val="12"/>
          <w:szCs w:val="12"/>
          <w:color w:val="auto"/>
        </w:rPr>
      </w:pPr>
      <w:r>
        <w:rPr>
          <w:rFonts w:ascii="Arial" w:cs="Arial" w:eastAsia="Arial" w:hAnsi="Arial"/>
          <w:sz w:val="12"/>
          <w:szCs w:val="12"/>
          <w:color w:val="auto"/>
        </w:rPr>
        <w:t>changes in laws, industry standards, regulations or regulatory enforcement in the United States or internationally, GDPR, the California Consumer Privacy Act of 2018 and other privacy or cybersecurity regulations that may be implemented in the future, including the Schrems II decision invalidating the EU-U.S. Privacy Shield, SHAKEN/STIR and other robocalling prevention and anti-spam standards and increased costs associated with such compliance, as well as enhanced Know-Your-Client processes that impact our ability to market, sell or deliver our products;</w:t>
      </w:r>
    </w:p>
    <w:p>
      <w:pPr>
        <w:spacing w:after="0" w:line="111" w:lineRule="exact"/>
        <w:rPr>
          <w:rFonts w:ascii="Arial" w:cs="Arial" w:eastAsia="Arial" w:hAnsi="Arial"/>
          <w:sz w:val="12"/>
          <w:szCs w:val="12"/>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actual or anticipated changes in our results of operations or fluctuations in our results of operations;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actual or anticipated developments in our business, our competitors’ businesses or the competitive landscape generally;</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litigation involving us, our industry or both, or investigations by regulators into our operations or those of our competitors;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developments or disputes concerning our intellectual property or other proprietary rights;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announced or completed acquisitions of businesses, products, services or technologies by us or our competitors;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in accounting standards, policies, guidelines, interpretations or principles;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any significant change in our management; and</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general economic conditions and slow or negative growth of our markets.</w:t>
      </w:r>
    </w:p>
    <w:p>
      <w:pPr>
        <w:spacing w:after="0" w:line="166" w:lineRule="exact"/>
        <w:rPr>
          <w:sz w:val="20"/>
          <w:szCs w:val="20"/>
          <w:color w:val="auto"/>
        </w:rPr>
      </w:pPr>
    </w:p>
    <w:p>
      <w:pPr>
        <w:ind w:right="80" w:firstLine="367"/>
        <w:spacing w:after="0" w:line="261" w:lineRule="auto"/>
        <w:rPr>
          <w:sz w:val="20"/>
          <w:szCs w:val="20"/>
          <w:color w:val="auto"/>
        </w:rPr>
      </w:pPr>
      <w:r>
        <w:rPr>
          <w:rFonts w:ascii="Arial" w:cs="Arial" w:eastAsia="Arial" w:hAnsi="Arial"/>
          <w:sz w:val="14"/>
          <w:szCs w:val="14"/>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Substantial future sales of shares of our Class A common stock could cause the market price of our Class A common stock to decline.</w:t>
      </w:r>
    </w:p>
    <w:p>
      <w:pPr>
        <w:spacing w:after="0" w:line="166" w:lineRule="exact"/>
        <w:rPr>
          <w:sz w:val="20"/>
          <w:szCs w:val="20"/>
          <w:color w:val="auto"/>
        </w:rPr>
      </w:pPr>
    </w:p>
    <w:p>
      <w:pPr>
        <w:ind w:right="440" w:firstLine="367"/>
        <w:spacing w:after="0" w:line="261" w:lineRule="auto"/>
        <w:rPr>
          <w:sz w:val="20"/>
          <w:szCs w:val="20"/>
          <w:color w:val="auto"/>
        </w:rPr>
      </w:pPr>
      <w:r>
        <w:rPr>
          <w:rFonts w:ascii="Arial" w:cs="Arial" w:eastAsia="Arial" w:hAnsi="Arial"/>
          <w:sz w:val="14"/>
          <w:szCs w:val="14"/>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140"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40" w:firstLine="367"/>
        <w:spacing w:after="0" w:line="249" w:lineRule="auto"/>
        <w:rPr>
          <w:sz w:val="20"/>
          <w:szCs w:val="20"/>
          <w:color w:val="auto"/>
        </w:rPr>
      </w:pPr>
      <w:r>
        <w:rPr>
          <w:rFonts w:ascii="Arial" w:cs="Arial" w:eastAsia="Arial" w:hAnsi="Arial"/>
          <w:sz w:val="14"/>
          <w:szCs w:val="14"/>
          <w:b w:val="1"/>
          <w:bCs w:val="1"/>
          <w:i w:val="1"/>
          <w:iCs w:val="1"/>
          <w:color w:val="auto"/>
        </w:rPr>
        <w:t>The dual class structure of our common stock has the effect of concentrating voting control with those stockholders who held our capital stock prior to the completion of our initial public offering, including our directors, executive officers and their respective affiliates. This limits or precludes holders of our Class A common stock from the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48" w:lineRule="exact"/>
        <w:rPr>
          <w:sz w:val="20"/>
          <w:szCs w:val="20"/>
          <w:color w:val="auto"/>
        </w:rPr>
      </w:pPr>
    </w:p>
    <w:p>
      <w:pPr>
        <w:ind w:firstLine="367"/>
        <w:spacing w:after="0" w:line="165" w:lineRule="exact"/>
        <w:rPr>
          <w:sz w:val="20"/>
          <w:szCs w:val="20"/>
          <w:color w:val="auto"/>
        </w:rPr>
      </w:pPr>
      <w:r>
        <w:rPr>
          <w:rFonts w:ascii="Arial" w:cs="Arial" w:eastAsia="Arial" w:hAnsi="Arial"/>
          <w:sz w:val="12"/>
          <w:szCs w:val="12"/>
          <w:color w:val="auto"/>
        </w:rPr>
        <w:t>Our Class B common stock has 10 votes per share, and our Class A common stock has one vote per share. As of September 30, 2021, our directors, executive officers and their respective affiliates, held in the aggregate 21.6% of the voting power of our capital stock. Because of the 10</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one voting ratio between our Class B common stock and Class A common stock, the holders of our Class B common stock collectively will continue to have concentrated control of the combined voting power of our common stock and therefore may be able to control certain matters submitted to our stockholders for approval until the earlier of (i) June 28, 2023, or (ii) the date the holders of two</w:t>
      </w:r>
      <w:r>
        <w:rPr>
          <w:rFonts w:ascii="MS PGothic" w:cs="MS PGothic" w:eastAsia="MS PGothic" w:hAnsi="MS PGothic"/>
          <w:sz w:val="12"/>
          <w:szCs w:val="12"/>
          <w:color w:val="auto"/>
        </w:rPr>
        <w:t>‑</w:t>
      </w:r>
      <w:r>
        <w:rPr>
          <w:rFonts w:ascii="Arial" w:cs="Arial" w:eastAsia="Arial" w:hAnsi="Arial"/>
          <w:sz w:val="12"/>
          <w:szCs w:val="12"/>
          <w:color w:val="auto"/>
        </w:rPr>
        <w:t>thirds of our Class B common stock elect to convert the Class B common stock to Class A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55" w:lineRule="exact"/>
        <w:rPr>
          <w:sz w:val="20"/>
          <w:szCs w:val="20"/>
          <w:color w:val="auto"/>
        </w:rPr>
      </w:pPr>
    </w:p>
    <w:p>
      <w:pPr>
        <w:jc w:val="both"/>
        <w:ind w:right="20" w:firstLine="367"/>
        <w:spacing w:after="0" w:line="252" w:lineRule="auto"/>
        <w:rPr>
          <w:sz w:val="20"/>
          <w:szCs w:val="20"/>
          <w:color w:val="auto"/>
        </w:rPr>
      </w:pPr>
      <w:r>
        <w:rPr>
          <w:rFonts w:ascii="Arial" w:cs="Arial" w:eastAsia="Arial" w:hAnsi="Arial"/>
          <w:sz w:val="14"/>
          <w:szCs w:val="14"/>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46" w:lineRule="exact"/>
        <w:rPr>
          <w:sz w:val="20"/>
          <w:szCs w:val="20"/>
          <w:color w:val="auto"/>
        </w:rPr>
      </w:pPr>
    </w:p>
    <w:p>
      <w:pPr>
        <w:ind w:right="480" w:firstLine="367"/>
        <w:spacing w:after="0" w:line="261" w:lineRule="auto"/>
        <w:rPr>
          <w:sz w:val="20"/>
          <w:szCs w:val="20"/>
          <w:color w:val="auto"/>
        </w:rPr>
      </w:pPr>
      <w:r>
        <w:rPr>
          <w:rFonts w:ascii="Arial" w:cs="Arial" w:eastAsia="Arial" w:hAnsi="Arial"/>
          <w:sz w:val="14"/>
          <w:szCs w:val="14"/>
          <w:b w:val="1"/>
          <w:bCs w:val="1"/>
          <w:i w:val="1"/>
          <w:iCs w:val="1"/>
          <w:color w:val="auto"/>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140" w:lineRule="exact"/>
        <w:rPr>
          <w:sz w:val="20"/>
          <w:szCs w:val="20"/>
          <w:color w:val="auto"/>
        </w:rPr>
      </w:pPr>
    </w:p>
    <w:p>
      <w:pPr>
        <w:ind w:firstLine="367"/>
        <w:spacing w:after="0" w:line="304" w:lineRule="auto"/>
        <w:rPr>
          <w:sz w:val="20"/>
          <w:szCs w:val="20"/>
          <w:color w:val="auto"/>
        </w:rPr>
      </w:pPr>
      <w:r>
        <w:rPr>
          <w:rFonts w:ascii="Arial" w:cs="Arial" w:eastAsia="Arial" w:hAnsi="Arial"/>
          <w:sz w:val="12"/>
          <w:szCs w:val="12"/>
          <w:color w:val="auto"/>
        </w:rPr>
        <w:t>The trading market for our Class A common stock is influenced by the research and reports that securities or industry analysts may publish about us, our business, our market or our competitors. If any of the analysts who cover us change their recommendation regarding our Class A common stock adversely, or provide more favorable relative recommendations about our competitors,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117" w:lineRule="exact"/>
        <w:rPr>
          <w:sz w:val="20"/>
          <w:szCs w:val="20"/>
          <w:color w:val="auto"/>
        </w:rPr>
      </w:pPr>
    </w:p>
    <w:p>
      <w:pPr>
        <w:ind w:right="400" w:firstLine="367"/>
        <w:spacing w:after="0" w:line="168" w:lineRule="exact"/>
        <w:rPr>
          <w:sz w:val="20"/>
          <w:szCs w:val="20"/>
          <w:color w:val="auto"/>
        </w:rPr>
      </w:pPr>
      <w:r>
        <w:rPr>
          <w:rFonts w:ascii="Arial" w:cs="Arial" w:eastAsia="Arial" w:hAnsi="Arial"/>
          <w:sz w:val="14"/>
          <w:szCs w:val="14"/>
          <w:b w:val="1"/>
          <w:bCs w:val="1"/>
          <w:i w:val="1"/>
          <w:iCs w:val="1"/>
          <w:color w:val="auto"/>
        </w:rPr>
        <w:t>Anti</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takeover provisions contained in our amended and restated certificate of incorporation and second amended and restated bylaws, as well as provisions of Delaware law, could impair a takeover attempt.</w:t>
      </w:r>
    </w:p>
    <w:p>
      <w:pPr>
        <w:spacing w:after="0" w:line="154" w:lineRule="exact"/>
        <w:rPr>
          <w:sz w:val="20"/>
          <w:szCs w:val="20"/>
          <w:color w:val="auto"/>
        </w:rPr>
      </w:pPr>
    </w:p>
    <w:p>
      <w:pPr>
        <w:ind w:right="140" w:firstLine="367"/>
        <w:spacing w:after="0" w:line="252" w:lineRule="auto"/>
        <w:rPr>
          <w:sz w:val="20"/>
          <w:szCs w:val="20"/>
          <w:color w:val="auto"/>
        </w:rPr>
      </w:pPr>
      <w:r>
        <w:rPr>
          <w:rFonts w:ascii="Arial" w:cs="Arial" w:eastAsia="Arial" w:hAnsi="Arial"/>
          <w:sz w:val="14"/>
          <w:szCs w:val="14"/>
          <w:color w:val="auto"/>
        </w:rPr>
        <w:t>Our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amended and restated certificate of incorporation and second amended and restated bylaws include provisions:</w:t>
      </w:r>
    </w:p>
    <w:p>
      <w:pPr>
        <w:spacing w:after="0" w:line="146" w:lineRule="exact"/>
        <w:rPr>
          <w:sz w:val="20"/>
          <w:szCs w:val="20"/>
          <w:color w:val="auto"/>
        </w:rPr>
      </w:pPr>
    </w:p>
    <w:p>
      <w:pPr>
        <w:ind w:left="740" w:right="100" w:hanging="249"/>
        <w:spacing w:after="0" w:line="261" w:lineRule="auto"/>
        <w:tabs>
          <w:tab w:leader="none" w:pos="737" w:val="left"/>
        </w:tabs>
        <w:numPr>
          <w:ilvl w:val="0"/>
          <w:numId w:val="37"/>
        </w:numPr>
        <w:rPr>
          <w:rFonts w:ascii="Arial" w:cs="Arial" w:eastAsia="Arial" w:hAnsi="Arial"/>
          <w:sz w:val="14"/>
          <w:szCs w:val="14"/>
          <w:color w:val="auto"/>
        </w:rPr>
      </w:pPr>
      <w:r>
        <w:rPr>
          <w:rFonts w:ascii="Arial" w:cs="Arial" w:eastAsia="Arial" w:hAnsi="Arial"/>
          <w:sz w:val="14"/>
          <w:szCs w:val="14"/>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limiting the liability of, and providing indemnification to, our directors and officers;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limiting the ability of our stockholders to call and bring business before special meetings;</w:t>
      </w:r>
    </w:p>
    <w:p>
      <w:pPr>
        <w:spacing w:after="0" w:line="165" w:lineRule="exact"/>
        <w:rPr>
          <w:rFonts w:ascii="Arial" w:cs="Arial" w:eastAsia="Arial" w:hAnsi="Arial"/>
          <w:sz w:val="14"/>
          <w:szCs w:val="14"/>
          <w:color w:val="auto"/>
        </w:rPr>
      </w:pPr>
    </w:p>
    <w:p>
      <w:pPr>
        <w:ind w:left="740" w:right="100" w:hanging="249"/>
        <w:spacing w:after="0" w:line="252" w:lineRule="auto"/>
        <w:tabs>
          <w:tab w:leader="none" w:pos="737"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45" w:lineRule="exact"/>
        <w:rPr>
          <w:rFonts w:ascii="Arial" w:cs="Arial" w:eastAsia="Arial" w:hAnsi="Arial"/>
          <w:sz w:val="14"/>
          <w:szCs w:val="14"/>
          <w:color w:val="auto"/>
        </w:rPr>
      </w:pPr>
    </w:p>
    <w:p>
      <w:pPr>
        <w:ind w:left="740" w:hanging="249"/>
        <w:spacing w:after="0" w:line="161" w:lineRule="exact"/>
        <w:tabs>
          <w:tab w:leader="none" w:pos="7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providing that our board of directors is classified into three classes of directors with staggered three</w:t>
      </w:r>
      <w:r>
        <w:rPr>
          <w:rFonts w:ascii="MS PGothic" w:cs="MS PGothic" w:eastAsia="MS PGothic" w:hAnsi="MS PGothic"/>
          <w:sz w:val="14"/>
          <w:szCs w:val="14"/>
          <w:color w:val="auto"/>
        </w:rPr>
        <w:t>‑</w:t>
      </w:r>
      <w:r>
        <w:rPr>
          <w:rFonts w:ascii="Arial" w:cs="Arial" w:eastAsia="Arial" w:hAnsi="Arial"/>
          <w:sz w:val="14"/>
          <w:szCs w:val="14"/>
          <w:color w:val="auto"/>
        </w:rPr>
        <w:t>year terms;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740" w:hanging="249"/>
        <w:spacing w:after="0"/>
        <w:tabs>
          <w:tab w:leader="none" w:pos="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prohibit stockholder action by written consent, which requires all stockholder actions to be taken at a meeting of our stockholders;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requiring advance notice of stockholder proposals for business to be conducted at meetings of our stockholders and for nominations of candidates for election to our board of directors;</w:t>
      </w:r>
    </w:p>
    <w:p>
      <w:pPr>
        <w:spacing w:after="0" w:line="188" w:lineRule="exact"/>
        <w:rPr>
          <w:rFonts w:ascii="Arial" w:cs="Arial" w:eastAsia="Arial" w:hAnsi="Arial"/>
          <w:sz w:val="12"/>
          <w:szCs w:val="12"/>
          <w:color w:val="auto"/>
        </w:rPr>
      </w:pPr>
    </w:p>
    <w:p>
      <w:pPr>
        <w:ind w:left="740" w:hanging="249"/>
        <w:spacing w:after="0"/>
        <w:tabs>
          <w:tab w:leader="none" w:pos="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controlling the procedures for the conduct and scheduling of board of directors and stockholder meetings; and</w:t>
      </w:r>
    </w:p>
    <w:p>
      <w:pPr>
        <w:spacing w:after="0" w:line="165" w:lineRule="exact"/>
        <w:rPr>
          <w:rFonts w:ascii="Arial" w:cs="Arial" w:eastAsia="Arial" w:hAnsi="Arial"/>
          <w:sz w:val="14"/>
          <w:szCs w:val="14"/>
          <w:color w:val="auto"/>
        </w:rPr>
      </w:pPr>
    </w:p>
    <w:p>
      <w:pPr>
        <w:ind w:left="740" w:right="100" w:hanging="249"/>
        <w:spacing w:after="0" w:line="252" w:lineRule="auto"/>
        <w:tabs>
          <w:tab w:leader="none" w:pos="737"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These provisions, alone or together, could delay or prevent hostile takeovers and changes in control or changes in our management.</w:t>
      </w:r>
    </w:p>
    <w:p>
      <w:pPr>
        <w:spacing w:after="0" w:line="166" w:lineRule="exact"/>
        <w:rPr>
          <w:sz w:val="20"/>
          <w:szCs w:val="20"/>
          <w:color w:val="auto"/>
        </w:rPr>
      </w:pPr>
    </w:p>
    <w:p>
      <w:pPr>
        <w:ind w:firstLine="367"/>
        <w:spacing w:after="0" w:line="167" w:lineRule="exact"/>
        <w:rPr>
          <w:sz w:val="20"/>
          <w:szCs w:val="20"/>
          <w:color w:val="auto"/>
        </w:rPr>
      </w:pPr>
      <w:r>
        <w:rPr>
          <w:rFonts w:ascii="Arial" w:cs="Arial" w:eastAsia="Arial" w:hAnsi="Arial"/>
          <w:sz w:val="14"/>
          <w:szCs w:val="14"/>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w:t>
      </w:r>
      <w:r>
        <w:rPr>
          <w:rFonts w:ascii="MS PGothic" w:cs="MS PGothic" w:eastAsia="MS PGothic" w:hAnsi="MS PGothic"/>
          <w:sz w:val="14"/>
          <w:szCs w:val="14"/>
          <w:color w:val="auto"/>
        </w:rPr>
        <w:t>‑</w:t>
      </w:r>
      <w:r>
        <w:rPr>
          <w:rFonts w:ascii="Arial" w:cs="Arial" w:eastAsia="Arial" w:hAnsi="Arial"/>
          <w:sz w:val="14"/>
          <w:szCs w:val="14"/>
          <w:color w:val="auto"/>
        </w:rPr>
        <w:t>thirds of our outstanding common stock not held by such 15% or greater stockholder.</w:t>
      </w:r>
    </w:p>
    <w:p>
      <w:pPr>
        <w:spacing w:after="0" w:line="154" w:lineRule="exact"/>
        <w:rPr>
          <w:sz w:val="20"/>
          <w:szCs w:val="20"/>
          <w:color w:val="auto"/>
        </w:rPr>
      </w:pPr>
    </w:p>
    <w:p>
      <w:pPr>
        <w:ind w:right="20" w:firstLine="367"/>
        <w:spacing w:after="0" w:line="252" w:lineRule="auto"/>
        <w:rPr>
          <w:sz w:val="20"/>
          <w:szCs w:val="20"/>
          <w:color w:val="auto"/>
        </w:rPr>
      </w:pPr>
      <w:r>
        <w:rPr>
          <w:rFonts w:ascii="Arial" w:cs="Arial" w:eastAsia="Arial" w:hAnsi="Arial"/>
          <w:sz w:val="14"/>
          <w:szCs w:val="14"/>
          <w:color w:val="auto"/>
        </w:rPr>
        <w:t>Any provision of our amended and restated certificate of incorporation, second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Class A common stock.</w:t>
      </w:r>
    </w:p>
    <w:p>
      <w:pPr>
        <w:spacing w:after="0" w:line="146" w:lineRule="exact"/>
        <w:rPr>
          <w:sz w:val="20"/>
          <w:szCs w:val="20"/>
          <w:color w:val="auto"/>
        </w:rPr>
      </w:pPr>
    </w:p>
    <w:p>
      <w:pPr>
        <w:ind w:right="20" w:firstLine="367"/>
        <w:spacing w:after="0" w:line="345" w:lineRule="auto"/>
        <w:rPr>
          <w:sz w:val="20"/>
          <w:szCs w:val="20"/>
          <w:color w:val="auto"/>
        </w:rPr>
      </w:pPr>
      <w:r>
        <w:rPr>
          <w:rFonts w:ascii="Arial" w:cs="Arial" w:eastAsia="Arial" w:hAnsi="Arial"/>
          <w:sz w:val="12"/>
          <w:szCs w:val="12"/>
          <w:b w:val="1"/>
          <w:bCs w:val="1"/>
          <w:i w:val="1"/>
          <w:iCs w:val="1"/>
          <w:color w:val="auto"/>
        </w:rPr>
        <w:t>Our second amended and restated bylaws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93" w:lineRule="exact"/>
        <w:rPr>
          <w:sz w:val="20"/>
          <w:szCs w:val="20"/>
          <w:color w:val="auto"/>
        </w:rPr>
      </w:pPr>
    </w:p>
    <w:p>
      <w:pPr>
        <w:ind w:right="500" w:firstLine="367"/>
        <w:spacing w:after="0" w:line="261" w:lineRule="auto"/>
        <w:rPr>
          <w:sz w:val="20"/>
          <w:szCs w:val="20"/>
          <w:color w:val="auto"/>
        </w:rPr>
      </w:pPr>
      <w:r>
        <w:rPr>
          <w:rFonts w:ascii="Arial" w:cs="Arial" w:eastAsia="Arial" w:hAnsi="Arial"/>
          <w:sz w:val="14"/>
          <w:szCs w:val="14"/>
          <w:color w:val="auto"/>
        </w:rPr>
        <w:t>Our second amended and restated bylaws provides that the Court of Chancery of the State of Delaware is the exclusive forum for the following types of actions or proceedings under Delaware statutory or common law:</w:t>
      </w:r>
    </w:p>
    <w:p>
      <w:pPr>
        <w:spacing w:after="0" w:line="140" w:lineRule="exact"/>
        <w:rPr>
          <w:sz w:val="20"/>
          <w:szCs w:val="20"/>
          <w:color w:val="auto"/>
        </w:rPr>
      </w:pPr>
    </w:p>
    <w:p>
      <w:pPr>
        <w:ind w:left="740" w:hanging="249"/>
        <w:spacing w:after="0"/>
        <w:tabs>
          <w:tab w:leader="none" w:pos="7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any derivative action or proceeding brought on our behalf;</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any action asserting a breach of fiduciary duty owed by our directors, officers, employees or our stockholders;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any action asserting a claim against us arising under the Delaware General Corporation Law; and</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any action asserting a claim against us that is governed by the internal-affairs doctrine (the “Delaware Forum Provision”).</w:t>
      </w:r>
    </w:p>
    <w:p>
      <w:pPr>
        <w:spacing w:after="0" w:line="166" w:lineRule="exact"/>
        <w:rPr>
          <w:sz w:val="20"/>
          <w:szCs w:val="20"/>
          <w:color w:val="auto"/>
        </w:rPr>
      </w:pPr>
    </w:p>
    <w:p>
      <w:pPr>
        <w:ind w:right="80" w:firstLine="367"/>
        <w:spacing w:after="0" w:line="247" w:lineRule="auto"/>
        <w:rPr>
          <w:sz w:val="20"/>
          <w:szCs w:val="20"/>
          <w:color w:val="auto"/>
        </w:rPr>
      </w:pPr>
      <w:r>
        <w:rPr>
          <w:rFonts w:ascii="Arial" w:cs="Arial" w:eastAsia="Arial" w:hAnsi="Arial"/>
          <w:sz w:val="14"/>
          <w:szCs w:val="14"/>
          <w:color w:val="auto"/>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second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51" w:lineRule="exact"/>
        <w:rPr>
          <w:sz w:val="20"/>
          <w:szCs w:val="20"/>
          <w:color w:val="auto"/>
        </w:rPr>
      </w:pPr>
    </w:p>
    <w:p>
      <w:pPr>
        <w:ind w:right="180" w:firstLine="367"/>
        <w:spacing w:after="0" w:line="249" w:lineRule="auto"/>
        <w:rPr>
          <w:sz w:val="20"/>
          <w:szCs w:val="20"/>
          <w:color w:val="auto"/>
        </w:rPr>
      </w:pPr>
      <w:r>
        <w:rPr>
          <w:rFonts w:ascii="Arial" w:cs="Arial" w:eastAsia="Arial" w:hAnsi="Arial"/>
          <w:sz w:val="14"/>
          <w:szCs w:val="14"/>
          <w:color w:val="auto"/>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 Forum Provision in our second amended and restated bylaws to be inapplicable or unenforceable in an action, we may incur additional costs associated with resolving the dispute in other jurisdictions, which could seriously harm our business.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do not expect to declare any dividends in the foreseeable future.</w:t>
      </w:r>
    </w:p>
    <w:p>
      <w:pPr>
        <w:spacing w:after="0" w:line="166" w:lineRule="exact"/>
        <w:rPr>
          <w:sz w:val="20"/>
          <w:szCs w:val="20"/>
          <w:color w:val="auto"/>
        </w:rPr>
      </w:pPr>
    </w:p>
    <w:p>
      <w:pPr>
        <w:ind w:right="20" w:firstLine="367"/>
        <w:spacing w:after="0" w:line="252" w:lineRule="auto"/>
        <w:rPr>
          <w:sz w:val="20"/>
          <w:szCs w:val="20"/>
          <w:color w:val="auto"/>
        </w:rPr>
      </w:pPr>
      <w:r>
        <w:rPr>
          <w:rFonts w:ascii="Arial" w:cs="Arial" w:eastAsia="Arial" w:hAnsi="Arial"/>
          <w:sz w:val="14"/>
          <w:szCs w:val="14"/>
          <w:color w:val="auto"/>
        </w:rPr>
        <w:t>We have never paid dividends and we do not anticipate declaring any cash dividends to holders of our common stock in the foreseeable future. Consequently, investors may need to rely on sales of their Class A common stock after price appreciation, which may never occur, as the only way to realize any future gains on their investment. Investors seeking cash dividends should not purchase our Class A common stock.</w:t>
      </w:r>
    </w:p>
    <w:p>
      <w:pPr>
        <w:spacing w:after="0" w:line="144"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Risks Related to our Indebtedness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indebtedness could adversely affect our financial condition.</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As of September 30, 2021, we had $1.0 billion of indebtedness outstanding (excluding intercompany indebtedness). Our indebtedness could have important consequences, including:</w:t>
      </w:r>
    </w:p>
    <w:p>
      <w:pPr>
        <w:spacing w:after="0" w:line="189" w:lineRule="exact"/>
        <w:rPr>
          <w:sz w:val="20"/>
          <w:szCs w:val="20"/>
          <w:color w:val="auto"/>
        </w:rPr>
      </w:pPr>
    </w:p>
    <w:p>
      <w:pPr>
        <w:ind w:left="740" w:hanging="249"/>
        <w:spacing w:after="0"/>
        <w:tabs>
          <w:tab w:leader="none" w:pos="7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limiting our ability to obtain additional financing to fund future working capital, capital expenditures, acquisitions or other general corporate requirements;</w:t>
      </w:r>
    </w:p>
    <w:p>
      <w:pPr>
        <w:spacing w:after="0" w:line="165" w:lineRule="exact"/>
        <w:rPr>
          <w:rFonts w:ascii="Arial" w:cs="Arial" w:eastAsia="Arial" w:hAnsi="Arial"/>
          <w:sz w:val="14"/>
          <w:szCs w:val="14"/>
          <w:color w:val="auto"/>
        </w:rPr>
      </w:pPr>
    </w:p>
    <w:p>
      <w:pPr>
        <w:ind w:left="740" w:right="500" w:hanging="249"/>
        <w:spacing w:after="0" w:line="261" w:lineRule="auto"/>
        <w:tabs>
          <w:tab w:leader="none" w:pos="737"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increasing our vulnerability to adverse changes in general economic, industry and competitive conditions;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exposing us to the risk of increased interest rates as certain of our borrowings, including borrowings under a future revolving credit facility, may be at variable rates of interest; and</w:t>
      </w:r>
    </w:p>
    <w:p>
      <w:pPr>
        <w:spacing w:after="0" w:line="188" w:lineRule="exact"/>
        <w:rPr>
          <w:rFonts w:ascii="Arial" w:cs="Arial" w:eastAsia="Arial" w:hAnsi="Arial"/>
          <w:sz w:val="12"/>
          <w:szCs w:val="12"/>
          <w:color w:val="auto"/>
        </w:rPr>
      </w:pPr>
    </w:p>
    <w:p>
      <w:pPr>
        <w:ind w:left="740" w:hanging="249"/>
        <w:spacing w:after="0"/>
        <w:tabs>
          <w:tab w:leader="none" w:pos="7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increasing our cost of borrowing.</w:t>
      </w:r>
    </w:p>
    <w:p>
      <w:pPr>
        <w:spacing w:after="0" w:line="166" w:lineRule="exact"/>
        <w:rPr>
          <w:sz w:val="20"/>
          <w:szCs w:val="20"/>
          <w:color w:val="auto"/>
        </w:rPr>
      </w:pPr>
    </w:p>
    <w:p>
      <w:pPr>
        <w:ind w:right="40" w:firstLine="367"/>
        <w:spacing w:after="0" w:line="252" w:lineRule="auto"/>
        <w:rPr>
          <w:sz w:val="20"/>
          <w:szCs w:val="20"/>
          <w:color w:val="auto"/>
        </w:rPr>
      </w:pPr>
      <w:r>
        <w:rPr>
          <w:rFonts w:ascii="Arial" w:cs="Arial" w:eastAsia="Arial" w:hAnsi="Arial"/>
          <w:sz w:val="14"/>
          <w:szCs w:val="14"/>
          <w:color w:val="auto"/>
        </w:rPr>
        <w:t>In addition, the indenture governs our 3.625% notes due 2029 (the “2029 Notes”) and our 3.875% notes due 2031 (the “2031 Notes,” and together with the 2029 Notes, the “Notes”) and contains restrictive covenants that limit our ability to engage in activities that may be in our long-term best interest. Our failure to comply with those covenants could result in an event of default which, if not cured or waived, could result in the acceleration of substantially all of our indebtedness.</w:t>
      </w:r>
    </w:p>
    <w:p>
      <w:pPr>
        <w:spacing w:after="0" w:line="146" w:lineRule="exact"/>
        <w:rPr>
          <w:sz w:val="20"/>
          <w:szCs w:val="20"/>
          <w:color w:val="auto"/>
        </w:rPr>
      </w:pPr>
    </w:p>
    <w:p>
      <w:pPr>
        <w:ind w:right="400" w:firstLine="367"/>
        <w:spacing w:after="0" w:line="261" w:lineRule="auto"/>
        <w:rPr>
          <w:sz w:val="20"/>
          <w:szCs w:val="20"/>
          <w:color w:val="auto"/>
        </w:rPr>
      </w:pPr>
      <w:r>
        <w:rPr>
          <w:rFonts w:ascii="Arial" w:cs="Arial" w:eastAsia="Arial" w:hAnsi="Arial"/>
          <w:sz w:val="14"/>
          <w:szCs w:val="14"/>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40"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Our ability to make scheduled payments on or to refinance our debt obligations, including the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46" w:lineRule="exact"/>
        <w:rPr>
          <w:sz w:val="20"/>
          <w:szCs w:val="20"/>
          <w:color w:val="auto"/>
        </w:rPr>
      </w:pPr>
    </w:p>
    <w:p>
      <w:pPr>
        <w:ind w:right="20" w:firstLine="367"/>
        <w:spacing w:after="0" w:line="246" w:lineRule="auto"/>
        <w:rPr>
          <w:sz w:val="20"/>
          <w:szCs w:val="20"/>
          <w:color w:val="auto"/>
        </w:rPr>
      </w:pPr>
      <w:r>
        <w:rPr>
          <w:rFonts w:ascii="Arial" w:cs="Arial" w:eastAsia="Arial" w:hAnsi="Arial"/>
          <w:sz w:val="14"/>
          <w:szCs w:val="14"/>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180" w:firstLine="367"/>
        <w:spacing w:after="0" w:line="261" w:lineRule="auto"/>
        <w:rPr>
          <w:sz w:val="20"/>
          <w:szCs w:val="20"/>
          <w:color w:val="auto"/>
        </w:rPr>
      </w:pPr>
      <w:r>
        <w:rPr>
          <w:rFonts w:ascii="Arial" w:cs="Arial" w:eastAsia="Arial" w:hAnsi="Arial"/>
          <w:sz w:val="14"/>
          <w:szCs w:val="14"/>
          <w:b w:val="1"/>
          <w:bCs w:val="1"/>
          <w:i w:val="1"/>
          <w:iCs w:val="1"/>
          <w:color w:val="auto"/>
        </w:rPr>
        <w:t>Our inability to generate sufficient cash flows to satisfy our debt obligations, or to refinance our indebtedness on commercially reasonable terms or at all, would materially and adversely affect our financial position and results of operations.</w:t>
      </w:r>
    </w:p>
    <w:p>
      <w:pPr>
        <w:spacing w:after="0" w:line="140" w:lineRule="exact"/>
        <w:rPr>
          <w:sz w:val="20"/>
          <w:szCs w:val="20"/>
          <w:color w:val="auto"/>
        </w:rPr>
      </w:pPr>
    </w:p>
    <w:p>
      <w:pPr>
        <w:ind w:firstLine="367"/>
        <w:spacing w:after="0" w:line="249" w:lineRule="auto"/>
        <w:rPr>
          <w:sz w:val="20"/>
          <w:szCs w:val="20"/>
          <w:color w:val="auto"/>
        </w:rPr>
      </w:pPr>
      <w:r>
        <w:rPr>
          <w:rFonts w:ascii="Arial" w:cs="Arial" w:eastAsia="Arial" w:hAnsi="Arial"/>
          <w:sz w:val="14"/>
          <w:szCs w:val="14"/>
          <w:color w:val="auto"/>
        </w:rPr>
        <w:t>If we cannot make scheduled payments on our indebtedness, we will be in default and holders of the Notes and other indebtedness could declare all outstanding principal and interest to be due and payable, the lenders under a future revolving credit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indenture governing the Notes contain cross-default provisions that could result in the acceleration of all of our indebtedness.</w:t>
      </w:r>
    </w:p>
    <w:p>
      <w:pPr>
        <w:spacing w:after="0" w:line="166" w:lineRule="exact"/>
        <w:rPr>
          <w:sz w:val="20"/>
          <w:szCs w:val="20"/>
          <w:color w:val="auto"/>
        </w:rPr>
      </w:pPr>
    </w:p>
    <w:p>
      <w:pPr>
        <w:ind w:right="20" w:firstLine="367"/>
        <w:spacing w:after="0" w:line="299" w:lineRule="auto"/>
        <w:rPr>
          <w:sz w:val="20"/>
          <w:szCs w:val="20"/>
          <w:color w:val="auto"/>
        </w:rPr>
      </w:pPr>
      <w:r>
        <w:rPr>
          <w:rFonts w:ascii="Arial" w:cs="Arial" w:eastAsia="Arial" w:hAnsi="Arial"/>
          <w:sz w:val="12"/>
          <w:szCs w:val="12"/>
          <w:color w:val="auto"/>
        </w:rPr>
        <w:t>A breach of the covenants under the indenture governing the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a revolving credit facility may permit the lenders thereunder to terminate commitments to extend further credit under that facility. Furthermore, if we were unable to repay amounts due and payable under a secured credit facility, those lenders could proceed against the collateral granted to them to secure that indebtedness. In the event our note holders accelerate the repayment of our borrowings, we and our guarantors may not have sufficient assets to repay that indebtedness. Additionally, we may not be able to borrow money from other lenders to enable us to refinance our indebtedness.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Risks Related to our Acquisitions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1"/>
          <w:szCs w:val="11"/>
          <w:b w:val="1"/>
          <w:bCs w:val="1"/>
          <w:i w:val="1"/>
          <w:iCs w:val="1"/>
          <w:color w:val="auto"/>
        </w:rPr>
        <w:t>We may not realize potential benefits from our recent acquisitions, partnerships and investments because of difficulties related to integration, the achievement of synergies, and other challenges.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We regularly acquire or invest in businesses and technologies that are complementary to our business through acquisitions, partnerships or investments, including several transactions in fiscal year</w:t>
      </w:r>
    </w:p>
    <w:p>
      <w:pPr>
        <w:spacing w:after="0" w:line="35" w:lineRule="exact"/>
        <w:rPr>
          <w:sz w:val="20"/>
          <w:szCs w:val="20"/>
          <w:color w:val="auto"/>
        </w:rPr>
      </w:pPr>
    </w:p>
    <w:p>
      <w:pPr>
        <w:spacing w:after="0" w:line="164" w:lineRule="exact"/>
        <w:rPr>
          <w:sz w:val="20"/>
          <w:szCs w:val="20"/>
          <w:color w:val="auto"/>
        </w:rPr>
      </w:pPr>
      <w:r>
        <w:rPr>
          <w:rFonts w:ascii="Arial" w:cs="Arial" w:eastAsia="Arial" w:hAnsi="Arial"/>
          <w:sz w:val="14"/>
          <w:szCs w:val="14"/>
          <w:color w:val="auto"/>
        </w:rPr>
        <w:t>2021. There can be no assurances that our businesses can be combined in a manner that allows for the achievement of substantial benefits. Any integration process may require significant time and resources, and we may not be able to manage the process successfully as our ability to acquire and integrate larger or more complex companies, products, or technology in a successful manner is unproven. If we are not able to successfully integrate these acquired businesses with ours or pursue our customer and product strategy successfully, the anticipated benefits of such acquisitions may not be realized fully or may take longer than expected to be realized. Further, it is possible that there could be a loss of our key employees and customers, disruption of ongoing businesses or unexpected issues, higher than expected costs and an overall post</w:t>
      </w:r>
      <w:r>
        <w:rPr>
          <w:rFonts w:ascii="MS PGothic" w:cs="MS PGothic" w:eastAsia="MS PGothic" w:hAnsi="MS PGothic"/>
          <w:sz w:val="14"/>
          <w:szCs w:val="14"/>
          <w:color w:val="auto"/>
        </w:rPr>
        <w:t>‑</w:t>
      </w:r>
      <w:r>
        <w:rPr>
          <w:rFonts w:ascii="Arial" w:cs="Arial" w:eastAsia="Arial" w:hAnsi="Arial"/>
          <w:sz w:val="14"/>
          <w:szCs w:val="14"/>
          <w:color w:val="auto"/>
        </w:rPr>
        <w:t>completion process that takes longer than originally anticipated. In addition, the following issues, among others, must be addressed in order to realize the anticipated benefits of our acquisitions, partnerships or investments:</w:t>
      </w:r>
    </w:p>
    <w:p>
      <w:pPr>
        <w:spacing w:after="0" w:line="155" w:lineRule="exact"/>
        <w:rPr>
          <w:sz w:val="20"/>
          <w:szCs w:val="20"/>
          <w:color w:val="auto"/>
        </w:rPr>
      </w:pPr>
    </w:p>
    <w:p>
      <w:pPr>
        <w:ind w:left="740" w:hanging="249"/>
        <w:spacing w:after="0"/>
        <w:tabs>
          <w:tab w:leader="none" w:pos="7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combining the acquired businesses' corporate functions with our corporate functions;</w:t>
      </w:r>
    </w:p>
    <w:p>
      <w:pPr>
        <w:spacing w:after="0" w:line="165" w:lineRule="exact"/>
        <w:rPr>
          <w:rFonts w:ascii="Arial" w:cs="Arial" w:eastAsia="Arial" w:hAnsi="Arial"/>
          <w:sz w:val="14"/>
          <w:szCs w:val="14"/>
          <w:color w:val="auto"/>
        </w:rPr>
      </w:pPr>
    </w:p>
    <w:p>
      <w:pPr>
        <w:ind w:left="740" w:right="440" w:hanging="249"/>
        <w:spacing w:after="0" w:line="261" w:lineRule="auto"/>
        <w:tabs>
          <w:tab w:leader="none" w:pos="737"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combining acquired businesses with our business in a manner that permits us to achieve the synergies anticipated to result from such acquisitions, the failure of which would result in the anticipated benefits of our acquisitions not being realized in the time frame currently anticipated or at all;</w:t>
      </w:r>
    </w:p>
    <w:p>
      <w:pPr>
        <w:spacing w:after="0" w:line="139" w:lineRule="exact"/>
        <w:rPr>
          <w:rFonts w:ascii="Arial" w:cs="Arial" w:eastAsia="Arial" w:hAnsi="Arial"/>
          <w:sz w:val="14"/>
          <w:szCs w:val="14"/>
          <w:color w:val="auto"/>
        </w:rPr>
      </w:pPr>
    </w:p>
    <w:p>
      <w:pPr>
        <w:ind w:left="740" w:right="420" w:hanging="249"/>
        <w:spacing w:after="0" w:line="261" w:lineRule="auto"/>
        <w:tabs>
          <w:tab w:leader="none" w:pos="737" w:val="left"/>
        </w:tabs>
        <w:numPr>
          <w:ilvl w:val="0"/>
          <w:numId w:val="41"/>
        </w:numPr>
        <w:rPr>
          <w:rFonts w:ascii="Arial" w:cs="Arial" w:eastAsia="Arial" w:hAnsi="Arial"/>
          <w:sz w:val="14"/>
          <w:szCs w:val="14"/>
          <w:color w:val="auto"/>
        </w:rPr>
      </w:pPr>
      <w:r>
        <w:rPr>
          <w:rFonts w:ascii="Arial" w:cs="Arial" w:eastAsia="Arial" w:hAnsi="Arial"/>
          <w:sz w:val="14"/>
          <w:szCs w:val="14"/>
          <w:color w:val="auto"/>
        </w:rPr>
        <w:t>maintaining existing agreements with customers, distributors, providers, talent and vendors and avoiding delays in entering into new agreements with prospective customers, distributors, providers, talent and vendors;</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determining whether and how to address possible differences in corporate cultures and management philosophies;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integrating the companies’ administrative and information technology infrastructure;</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developing products and technology that allow value to be unlocked in the future;</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evaluating and forecasting the financial impact of such acquisitions, partnerships and investments, including accounting charges; and</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effecting potential actions that may be required in connection with obtaining regulatory approvals.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260" w:firstLine="367"/>
        <w:spacing w:after="0" w:line="168" w:lineRule="exact"/>
        <w:rPr>
          <w:sz w:val="20"/>
          <w:szCs w:val="20"/>
          <w:color w:val="auto"/>
        </w:rPr>
      </w:pPr>
      <w:r>
        <w:rPr>
          <w:rFonts w:ascii="Arial" w:cs="Arial" w:eastAsia="Arial" w:hAnsi="Arial"/>
          <w:sz w:val="14"/>
          <w:szCs w:val="14"/>
          <w:color w:val="auto"/>
        </w:rPr>
        <w:t>In addition, at times the attention of certain members of our management and resources may be focused on integration of the acquired businesses and diverted from day</w:t>
      </w:r>
      <w:r>
        <w:rPr>
          <w:rFonts w:ascii="MS PGothic" w:cs="MS PGothic" w:eastAsia="MS PGothic" w:hAnsi="MS PGothic"/>
          <w:sz w:val="14"/>
          <w:szCs w:val="14"/>
          <w:color w:val="auto"/>
        </w:rPr>
        <w:t>‑</w:t>
      </w:r>
      <w:r>
        <w:rPr>
          <w:rFonts w:ascii="Arial" w:cs="Arial" w:eastAsia="Arial" w:hAnsi="Arial"/>
          <w:sz w:val="14"/>
          <w:szCs w:val="14"/>
          <w:color w:val="auto"/>
        </w:rPr>
        <w:t>to</w:t>
      </w:r>
      <w:r>
        <w:rPr>
          <w:rFonts w:ascii="MS PGothic" w:cs="MS PGothic" w:eastAsia="MS PGothic" w:hAnsi="MS PGothic"/>
          <w:sz w:val="14"/>
          <w:szCs w:val="14"/>
          <w:color w:val="auto"/>
        </w:rPr>
        <w:t>‑</w:t>
      </w:r>
      <w:r>
        <w:rPr>
          <w:rFonts w:ascii="Arial" w:cs="Arial" w:eastAsia="Arial" w:hAnsi="Arial"/>
          <w:sz w:val="14"/>
          <w:szCs w:val="14"/>
          <w:color w:val="auto"/>
        </w:rPr>
        <w:t>day business operations, which may disrupt our ongoing business.</w:t>
      </w:r>
    </w:p>
    <w:p>
      <w:pPr>
        <w:spacing w:after="0" w:line="154" w:lineRule="exact"/>
        <w:rPr>
          <w:sz w:val="20"/>
          <w:szCs w:val="20"/>
          <w:color w:val="auto"/>
        </w:rPr>
      </w:pPr>
    </w:p>
    <w:p>
      <w:pPr>
        <w:jc w:val="both"/>
        <w:ind w:right="20" w:firstLine="367"/>
        <w:spacing w:after="0" w:line="252" w:lineRule="auto"/>
        <w:rPr>
          <w:sz w:val="20"/>
          <w:szCs w:val="20"/>
          <w:color w:val="auto"/>
        </w:rPr>
      </w:pPr>
      <w:r>
        <w:rPr>
          <w:rFonts w:ascii="Arial" w:cs="Arial" w:eastAsia="Arial" w:hAnsi="Arial"/>
          <w:sz w:val="14"/>
          <w:szCs w:val="14"/>
          <w:color w:val="auto"/>
        </w:rPr>
        <w:t>We have incurred, and may continue to incur, significant, nonrecurring costs in connection with our acquisitions, partnerships and investments and integrating our operations with those of the acquired businesses, including costs to maintain employee morale and to retain key employees. Management cannot ensure that the elimination of duplicative costs or the realization of other efficiencies will offset the transaction and integration costs in the near term or at all.</w:t>
      </w:r>
    </w:p>
    <w:p>
      <w:pPr>
        <w:spacing w:after="0" w:line="146" w:lineRule="exact"/>
        <w:rPr>
          <w:sz w:val="20"/>
          <w:szCs w:val="20"/>
          <w:color w:val="auto"/>
        </w:rPr>
      </w:pPr>
    </w:p>
    <w:p>
      <w:pPr>
        <w:ind w:right="340" w:firstLine="367"/>
        <w:spacing w:after="0" w:line="261" w:lineRule="auto"/>
        <w:rPr>
          <w:sz w:val="20"/>
          <w:szCs w:val="20"/>
          <w:color w:val="auto"/>
        </w:rPr>
      </w:pPr>
      <w:r>
        <w:rPr>
          <w:rFonts w:ascii="Arial" w:cs="Arial" w:eastAsia="Arial" w:hAnsi="Arial"/>
          <w:sz w:val="14"/>
          <w:szCs w:val="14"/>
          <w:b w:val="1"/>
          <w:bCs w:val="1"/>
          <w:i w:val="1"/>
          <w:iCs w:val="1"/>
          <w:color w:val="auto"/>
        </w:rPr>
        <w:t>Purchase price accounting in connection with our acquisitions requires estimates that may be subject to change and could impact our consolidated financial statements and future results of operations and financial position.</w:t>
      </w:r>
    </w:p>
    <w:p>
      <w:pPr>
        <w:spacing w:after="0" w:line="140" w:lineRule="exact"/>
        <w:rPr>
          <w:sz w:val="20"/>
          <w:szCs w:val="20"/>
          <w:color w:val="auto"/>
        </w:rPr>
      </w:pPr>
    </w:p>
    <w:p>
      <w:pPr>
        <w:ind w:right="120" w:firstLine="367"/>
        <w:spacing w:after="0" w:line="249" w:lineRule="auto"/>
        <w:rPr>
          <w:sz w:val="20"/>
          <w:szCs w:val="20"/>
          <w:color w:val="auto"/>
        </w:rPr>
      </w:pPr>
      <w:r>
        <w:rPr>
          <w:rFonts w:ascii="Arial" w:cs="Arial" w:eastAsia="Arial" w:hAnsi="Arial"/>
          <w:sz w:val="14"/>
          <w:szCs w:val="14"/>
          <w:color w:val="auto"/>
        </w:rPr>
        <w:t>Pursuant to the acquisition method of accounting, the purchase price we pay for our acquired businesses is allocated to the underlying tangible and intangible assets acquired and liabilities assumed based on their respective fair market values with any excess purchase price allocated to goodwill. The acquisition method of accounting is dependent upon certain valuations and other studies that are preliminary. Differences between these preliminary estimates and the final acquisition accounting may occur, and these differences could have a material impact on the consolidated financial statements and the combined company’s future results of operations and financial position.</w:t>
      </w:r>
    </w:p>
    <w:p>
      <w:pPr>
        <w:spacing w:after="0" w:line="146"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General Risks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Any legal proceedings or claims against us could be costly and time-consuming to defend and could harm our reputation regardless of the outcome.</w:t>
      </w:r>
    </w:p>
    <w:p>
      <w:pPr>
        <w:spacing w:after="0" w:line="166" w:lineRule="exact"/>
        <w:rPr>
          <w:sz w:val="20"/>
          <w:szCs w:val="20"/>
          <w:color w:val="auto"/>
        </w:rPr>
      </w:pPr>
    </w:p>
    <w:p>
      <w:pPr>
        <w:ind w:right="20" w:firstLine="367"/>
        <w:spacing w:after="0" w:line="304" w:lineRule="auto"/>
        <w:rPr>
          <w:sz w:val="20"/>
          <w:szCs w:val="20"/>
          <w:color w:val="auto"/>
        </w:rPr>
      </w:pPr>
      <w:r>
        <w:rPr>
          <w:rFonts w:ascii="Arial" w:cs="Arial" w:eastAsia="Arial" w:hAnsi="Arial"/>
          <w:sz w:val="12"/>
          <w:szCs w:val="12"/>
          <w:color w:val="auto"/>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w:t>
      </w:r>
    </w:p>
    <w:p>
      <w:pPr>
        <w:spacing w:after="0" w:line="117" w:lineRule="exact"/>
        <w:rPr>
          <w:sz w:val="20"/>
          <w:szCs w:val="20"/>
          <w:color w:val="auto"/>
        </w:rPr>
      </w:pPr>
    </w:p>
    <w:p>
      <w:pPr>
        <w:ind w:right="40" w:firstLine="367"/>
        <w:spacing w:after="0" w:line="244" w:lineRule="auto"/>
        <w:rPr>
          <w:sz w:val="20"/>
          <w:szCs w:val="20"/>
          <w:color w:val="auto"/>
        </w:rPr>
      </w:pPr>
      <w:r>
        <w:rPr>
          <w:rFonts w:ascii="Arial" w:cs="Arial" w:eastAsia="Arial" w:hAnsi="Arial"/>
          <w:sz w:val="14"/>
          <w:szCs w:val="14"/>
          <w:b w:val="1"/>
          <w:bCs w:val="1"/>
          <w:i w:val="1"/>
          <w:iCs w:val="1"/>
          <w:color w:val="auto"/>
        </w:rPr>
        <w:t>Unfavorable conditions in our industry or the global economy or reductions in spending on information technology and communications could adversely affect our business, results of operations and financial condition.</w:t>
      </w:r>
    </w:p>
    <w:p>
      <w:pPr>
        <w:spacing w:after="0" w:line="1" w:lineRule="exact"/>
        <w:rPr>
          <w:sz w:val="20"/>
          <w:szCs w:val="20"/>
          <w:color w:val="auto"/>
        </w:rPr>
      </w:pPr>
    </w:p>
    <w:p>
      <w:pPr>
        <w:ind w:firstLine="367"/>
        <w:spacing w:after="0" w:line="255" w:lineRule="auto"/>
        <w:rPr>
          <w:sz w:val="20"/>
          <w:szCs w:val="20"/>
          <w:color w:val="auto"/>
        </w:rPr>
      </w:pPr>
      <w:r>
        <w:rPr>
          <w:rFonts w:ascii="Arial" w:cs="Arial" w:eastAsia="Arial" w:hAnsi="Arial"/>
          <w:sz w:val="12"/>
          <w:szCs w:val="12"/>
          <w:color w:val="auto"/>
        </w:rPr>
        <w:t>Our results of operations may vary based on the impact of changes in our industry or the global economy on our customers. Our results of operations depend in part on demand for information technology and cloud communications. In addition, our revenue is dependent on the usage of our products, which in turn is influenced by the scale of business that our customers are conducting. To the extent that weak economic conditions, geopolitical developments, such as existing and potential trade wars, and other events outside of our control such as the COVID-19 pandemic, result in a reduced volume of business for, and communications by, our customers and prospective customers, demand for, and use of, our products may decline. Furthermore, weak economic conditions may make it more difficult to collect on outstanding accounts receivable. Additionally, we generate a portion our revenue from small and medium-sized businesses, which may be affected by economic downturns to a greater extent than enterprises, and typically have more limited financial resources, including capital borrowing capacity, than enterprises. If our customers reduce their use of our products, or prospective customers delay adoption or elect not to adopt our products, as a result of a weak economy, this could adversely affect our business, results of operations and financial condition.</w:t>
      </w:r>
    </w:p>
    <w:p>
      <w:pPr>
        <w:spacing w:after="0" w:line="135" w:lineRule="exact"/>
        <w:rPr>
          <w:sz w:val="20"/>
          <w:szCs w:val="20"/>
          <w:color w:val="auto"/>
        </w:rPr>
      </w:pPr>
    </w:p>
    <w:p>
      <w:pPr>
        <w:ind w:right="80" w:firstLine="367"/>
        <w:spacing w:after="0" w:line="261" w:lineRule="auto"/>
        <w:rPr>
          <w:sz w:val="20"/>
          <w:szCs w:val="20"/>
          <w:color w:val="auto"/>
        </w:rPr>
      </w:pPr>
      <w:r>
        <w:rPr>
          <w:rFonts w:ascii="Arial" w:cs="Arial" w:eastAsia="Arial" w:hAnsi="Arial"/>
          <w:sz w:val="14"/>
          <w:szCs w:val="14"/>
          <w:b w:val="1"/>
          <w:bCs w:val="1"/>
          <w:i w:val="1"/>
          <w:iCs w:val="1"/>
          <w:color w:val="auto"/>
        </w:rPr>
        <w:t>Our business is subject to the risks of pandemics, earthquakes, fire, floods and other natural catastrophic events, and to interruption by man-made problems such as power disruptions, computer viruses, data security breaches or terrorism.</w:t>
      </w:r>
    </w:p>
    <w:p>
      <w:pPr>
        <w:spacing w:after="0" w:line="140" w:lineRule="exact"/>
        <w:rPr>
          <w:sz w:val="20"/>
          <w:szCs w:val="20"/>
          <w:color w:val="auto"/>
        </w:rPr>
      </w:pPr>
    </w:p>
    <w:p>
      <w:pPr>
        <w:ind w:right="220" w:firstLine="367"/>
        <w:spacing w:after="0" w:line="304" w:lineRule="auto"/>
        <w:rPr>
          <w:sz w:val="20"/>
          <w:szCs w:val="20"/>
          <w:color w:val="auto"/>
        </w:rPr>
      </w:pPr>
      <w:r>
        <w:rPr>
          <w:rFonts w:ascii="Arial" w:cs="Arial" w:eastAsia="Arial" w:hAnsi="Arial"/>
          <w:sz w:val="12"/>
          <w:szCs w:val="12"/>
          <w:color w:val="auto"/>
        </w:rPr>
        <w:t>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In addition, natural disasters, pandemics, such as the COVID-19 pandemic, and acts of terrorism could cause disruptions in our or our customers’ businesses, national economies or the world economy as a whole.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firstLine="367"/>
        <w:spacing w:after="0" w:line="249" w:lineRule="auto"/>
        <w:rPr>
          <w:sz w:val="20"/>
          <w:szCs w:val="20"/>
          <w:color w:val="auto"/>
        </w:rPr>
      </w:pPr>
      <w:r>
        <w:rPr>
          <w:rFonts w:ascii="Arial" w:cs="Arial" w:eastAsia="Arial" w:hAnsi="Arial"/>
          <w:sz w:val="14"/>
          <w:szCs w:val="14"/>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48" w:lineRule="exact"/>
        <w:rPr>
          <w:sz w:val="20"/>
          <w:szCs w:val="20"/>
          <w:color w:val="auto"/>
        </w:rPr>
      </w:pPr>
    </w:p>
    <w:p>
      <w:pPr>
        <w:ind w:right="60" w:firstLine="367"/>
        <w:spacing w:after="0" w:line="314" w:lineRule="auto"/>
        <w:rPr>
          <w:sz w:val="20"/>
          <w:szCs w:val="20"/>
          <w:color w:val="auto"/>
        </w:rPr>
      </w:pPr>
      <w:r>
        <w:rPr>
          <w:rFonts w:ascii="Arial" w:cs="Arial" w:eastAsia="Arial" w:hAnsi="Arial"/>
          <w:sz w:val="12"/>
          <w:szCs w:val="12"/>
          <w:color w:val="auto"/>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users may harm our reputation and our ability to retain existing users and attract new users.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2. </w:t>
      </w:r>
      <w:r>
        <w:rPr>
          <w:rFonts w:ascii="Arial" w:cs="Arial" w:eastAsia="Arial" w:hAnsi="Arial"/>
          <w:sz w:val="14"/>
          <w:szCs w:val="14"/>
          <w:b w:val="1"/>
          <w:bCs w:val="1"/>
          <w:i w:val="1"/>
          <w:iCs w:val="1"/>
          <w:color w:val="auto"/>
        </w:rPr>
        <w:t>Unregistered Sales of Equity Securities and Use of Proceeds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Unregistered Sales of Equity Securities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5. </w:t>
      </w:r>
      <w:r>
        <w:rPr>
          <w:rFonts w:ascii="Arial" w:cs="Arial" w:eastAsia="Arial" w:hAnsi="Arial"/>
          <w:sz w:val="14"/>
          <w:szCs w:val="14"/>
          <w:b w:val="1"/>
          <w:bCs w:val="1"/>
          <w:i w:val="1"/>
          <w:iCs w:val="1"/>
          <w:color w:val="auto"/>
        </w:rPr>
        <w:t>Other Information</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164"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i w:val="1"/>
          <w:iCs w:val="1"/>
          <w:color w:val="auto"/>
        </w:rPr>
        <w:t>Exhibits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documents listed in the Exhibit Index of this Quarterly Report on Form 10-Q are incorporated by reference or are filed with this Quarterly Report on Form 10-Q, in each case as indicated therein.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40" w:type="dxa"/>
            <w:vAlign w:val="bottom"/>
            <w:gridSpan w:val="6"/>
          </w:tcPr>
          <w:p>
            <w:pPr>
              <w:ind w:left="560"/>
              <w:spacing w:after="0"/>
              <w:rPr>
                <w:sz w:val="20"/>
                <w:szCs w:val="20"/>
                <w:color w:val="auto"/>
              </w:rPr>
            </w:pPr>
            <w:r>
              <w:rPr>
                <w:rFonts w:ascii="Arial" w:cs="Arial" w:eastAsia="Arial" w:hAnsi="Arial"/>
                <w:sz w:val="11"/>
                <w:szCs w:val="11"/>
                <w:b w:val="1"/>
                <w:bCs w:val="1"/>
                <w:color w:val="auto"/>
              </w:rPr>
              <w:t>EXHIBIT INDEX</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68"/>
        </w:trPr>
        <w:tc>
          <w:tcPr>
            <w:tcW w:w="1100" w:type="dxa"/>
            <w:vAlign w:val="bottom"/>
            <w:gridSpan w:val="2"/>
          </w:tcPr>
          <w:p>
            <w:pPr>
              <w:ind w:left="320"/>
              <w:spacing w:after="0"/>
              <w:rPr>
                <w:sz w:val="20"/>
                <w:szCs w:val="20"/>
                <w:color w:val="auto"/>
              </w:rPr>
            </w:pPr>
            <w:r>
              <w:rPr>
                <w:rFonts w:ascii="Arial" w:cs="Arial" w:eastAsia="Arial" w:hAnsi="Arial"/>
                <w:sz w:val="11"/>
                <w:szCs w:val="11"/>
                <w:b w:val="1"/>
                <w:bCs w:val="1"/>
                <w:color w:val="auto"/>
              </w:rPr>
              <w:t>Exhibit</w:t>
            </w:r>
          </w:p>
        </w:tc>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ind w:left="680"/>
              <w:spacing w:after="0"/>
              <w:rPr>
                <w:sz w:val="20"/>
                <w:szCs w:val="20"/>
                <w:color w:val="auto"/>
              </w:rPr>
            </w:pPr>
            <w:r>
              <w:rPr>
                <w:rFonts w:ascii="Arial" w:cs="Arial" w:eastAsia="Arial" w:hAnsi="Arial"/>
                <w:sz w:val="11"/>
                <w:szCs w:val="11"/>
                <w:b w:val="1"/>
                <w:bCs w:val="1"/>
                <w:color w:val="auto"/>
              </w:rPr>
              <w:t>Incorporated by Reference</w:t>
            </w:r>
          </w:p>
        </w:tc>
        <w:tc>
          <w:tcPr>
            <w:tcW w:w="1320" w:type="dxa"/>
            <w:vAlign w:val="bottom"/>
            <w:tcBorders>
              <w:bottom w:val="single" w:sz="8" w:color="auto"/>
            </w:tcBorders>
          </w:tcPr>
          <w:p>
            <w:pPr>
              <w:spacing w:after="0"/>
              <w:rPr>
                <w:sz w:val="14"/>
                <w:szCs w:val="14"/>
                <w:color w:val="auto"/>
              </w:rPr>
            </w:pPr>
          </w:p>
        </w:tc>
      </w:tr>
      <w:tr>
        <w:trPr>
          <w:trHeight w:val="147"/>
        </w:trPr>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2"/>
                <w:szCs w:val="12"/>
                <w:color w:val="auto"/>
              </w:rPr>
            </w:pPr>
          </w:p>
        </w:tc>
        <w:tc>
          <w:tcPr>
            <w:tcW w:w="5200" w:type="dxa"/>
            <w:vAlign w:val="bottom"/>
            <w:tcBorders>
              <w:bottom w:val="single" w:sz="8" w:color="auto"/>
            </w:tcBorders>
            <w:gridSpan w:val="9"/>
          </w:tcPr>
          <w:p>
            <w:pPr>
              <w:ind w:left="2340"/>
              <w:spacing w:after="0"/>
              <w:rPr>
                <w:sz w:val="20"/>
                <w:szCs w:val="20"/>
                <w:color w:val="auto"/>
              </w:rPr>
            </w:pPr>
            <w:r>
              <w:rPr>
                <w:rFonts w:ascii="Arial" w:cs="Arial" w:eastAsia="Arial" w:hAnsi="Arial"/>
                <w:sz w:val="11"/>
                <w:szCs w:val="11"/>
                <w:b w:val="1"/>
                <w:bCs w:val="1"/>
                <w:color w:val="auto"/>
              </w:rPr>
              <w:t>Description</w:t>
            </w:r>
          </w:p>
        </w:tc>
        <w:tc>
          <w:tcPr>
            <w:tcW w:w="100" w:type="dxa"/>
            <w:vAlign w:val="bottom"/>
          </w:tcPr>
          <w:p>
            <w:pPr>
              <w:spacing w:after="0"/>
              <w:rPr>
                <w:sz w:val="12"/>
                <w:szCs w:val="12"/>
                <w:color w:val="auto"/>
              </w:rPr>
            </w:pP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1"/>
                <w:szCs w:val="11"/>
                <w:b w:val="1"/>
                <w:bCs w:val="1"/>
                <w:color w:val="auto"/>
              </w:rPr>
              <w:t>Form</w:t>
            </w:r>
          </w:p>
        </w:tc>
        <w:tc>
          <w:tcPr>
            <w:tcW w:w="100" w:type="dxa"/>
            <w:vAlign w:val="bottom"/>
          </w:tcPr>
          <w:p>
            <w:pPr>
              <w:spacing w:after="0"/>
              <w:rPr>
                <w:sz w:val="12"/>
                <w:szCs w:val="12"/>
                <w:color w:val="auto"/>
              </w:rPr>
            </w:pPr>
          </w:p>
        </w:tc>
        <w:tc>
          <w:tcPr>
            <w:tcW w:w="1200" w:type="dxa"/>
            <w:vAlign w:val="bottom"/>
            <w:tcBorders>
              <w:bottom w:val="single" w:sz="8" w:color="auto"/>
            </w:tcBorders>
          </w:tcPr>
          <w:p>
            <w:pPr>
              <w:ind w:left="420"/>
              <w:spacing w:after="0"/>
              <w:rPr>
                <w:sz w:val="20"/>
                <w:szCs w:val="20"/>
                <w:color w:val="auto"/>
              </w:rPr>
            </w:pPr>
            <w:r>
              <w:rPr>
                <w:rFonts w:ascii="Arial" w:cs="Arial" w:eastAsia="Arial" w:hAnsi="Arial"/>
                <w:sz w:val="11"/>
                <w:szCs w:val="11"/>
                <w:b w:val="1"/>
                <w:bCs w:val="1"/>
                <w:color w:val="auto"/>
              </w:rPr>
              <w:t>File No.</w:t>
            </w:r>
          </w:p>
        </w:tc>
        <w:tc>
          <w:tcPr>
            <w:tcW w:w="80" w:type="dxa"/>
            <w:vAlign w:val="bottom"/>
          </w:tcPr>
          <w:p>
            <w:pPr>
              <w:spacing w:after="0"/>
              <w:rPr>
                <w:sz w:val="12"/>
                <w:szCs w:val="12"/>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1"/>
                <w:szCs w:val="11"/>
                <w:b w:val="1"/>
                <w:bCs w:val="1"/>
                <w:color w:val="auto"/>
              </w:rPr>
              <w:t>Exhibit</w:t>
            </w:r>
          </w:p>
        </w:tc>
        <w:tc>
          <w:tcPr>
            <w:tcW w:w="100" w:type="dxa"/>
            <w:vAlign w:val="bottom"/>
          </w:tcPr>
          <w:p>
            <w:pPr>
              <w:spacing w:after="0"/>
              <w:rPr>
                <w:sz w:val="12"/>
                <w:szCs w:val="1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Filing Date</w:t>
            </w:r>
          </w:p>
        </w:tc>
      </w:tr>
      <w:tr>
        <w:trPr>
          <w:trHeight w:val="134"/>
        </w:trPr>
        <w:tc>
          <w:tcPr>
            <w:tcW w:w="1000" w:type="dxa"/>
            <w:vAlign w:val="bottom"/>
          </w:tcPr>
          <w:p>
            <w:pPr>
              <w:ind w:left="20"/>
              <w:spacing w:after="0"/>
              <w:rPr>
                <w:sz w:val="20"/>
                <w:szCs w:val="20"/>
                <w:color w:val="auto"/>
              </w:rPr>
            </w:pPr>
            <w:r>
              <w:rPr>
                <w:rFonts w:ascii="Arial" w:cs="Arial" w:eastAsia="Arial" w:hAnsi="Arial"/>
                <w:sz w:val="11"/>
                <w:szCs w:val="11"/>
                <w:color w:val="auto"/>
              </w:rPr>
              <w:t>31.1</w:t>
            </w:r>
          </w:p>
        </w:tc>
        <w:tc>
          <w:tcPr>
            <w:tcW w:w="100" w:type="dxa"/>
            <w:vAlign w:val="bottom"/>
          </w:tcPr>
          <w:p>
            <w:pPr>
              <w:spacing w:after="0"/>
              <w:rPr>
                <w:sz w:val="11"/>
                <w:szCs w:val="11"/>
                <w:color w:val="auto"/>
              </w:rPr>
            </w:pPr>
          </w:p>
        </w:tc>
        <w:tc>
          <w:tcPr>
            <w:tcW w:w="5300" w:type="dxa"/>
            <w:vAlign w:val="bottom"/>
            <w:gridSpan w:val="10"/>
          </w:tcPr>
          <w:p>
            <w:pPr>
              <w:spacing w:after="0"/>
              <w:rPr>
                <w:rFonts w:ascii="Arial" w:cs="Arial" w:eastAsia="Arial" w:hAnsi="Arial"/>
                <w:sz w:val="11"/>
                <w:szCs w:val="11"/>
                <w:color w:val="0000FF"/>
                <w:w w:val="98"/>
              </w:rPr>
            </w:pPr>
            <w:hyperlink w:anchor="page89">
              <w:r>
                <w:rPr>
                  <w:rFonts w:ascii="Arial" w:cs="Arial" w:eastAsia="Arial" w:hAnsi="Arial"/>
                  <w:sz w:val="11"/>
                  <w:szCs w:val="11"/>
                  <w:color w:val="0000FF"/>
                  <w:w w:val="98"/>
                </w:rPr>
                <w:t>Certification of the Chief Executive Officer pursuant to Exchange Act Rules 13a-14(a) or 15d-14(a), as adopted</w:t>
              </w:r>
            </w:hyperlink>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3"/>
              </w:rPr>
              <w:t>Filed herewith</w:t>
            </w:r>
          </w:p>
        </w:tc>
      </w:tr>
      <w:tr>
        <w:trPr>
          <w:trHeight w:val="82"/>
        </w:trPr>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80" w:type="dxa"/>
            <w:vAlign w:val="bottom"/>
            <w:tcBorders>
              <w:top w:val="single" w:sz="8" w:color="0000FF"/>
            </w:tcBorders>
            <w:gridSpan w:val="6"/>
          </w:tcPr>
          <w:p>
            <w:pPr>
              <w:spacing w:after="0" w:line="82" w:lineRule="exact"/>
              <w:rPr>
                <w:rFonts w:ascii="Arial" w:cs="Arial" w:eastAsia="Arial" w:hAnsi="Arial"/>
                <w:sz w:val="9"/>
                <w:szCs w:val="9"/>
                <w:color w:val="0000FF"/>
              </w:rPr>
            </w:pPr>
            <w:hyperlink w:anchor="page89">
              <w:r>
                <w:rPr>
                  <w:rFonts w:ascii="Arial" w:cs="Arial" w:eastAsia="Arial" w:hAnsi="Arial"/>
                  <w:sz w:val="9"/>
                  <w:szCs w:val="9"/>
                  <w:color w:val="0000FF"/>
                </w:rPr>
                <w:t>pursuant to Section 302 of the Sarbanes-Oxley Act of 2002</w:t>
              </w:r>
            </w:hyperlink>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gridSpan w:val="2"/>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4"/>
        </w:trPr>
        <w:tc>
          <w:tcPr>
            <w:tcW w:w="1000" w:type="dxa"/>
            <w:vAlign w:val="bottom"/>
          </w:tcPr>
          <w:p>
            <w:pPr>
              <w:ind w:left="20"/>
              <w:spacing w:after="0"/>
              <w:rPr>
                <w:sz w:val="20"/>
                <w:szCs w:val="20"/>
                <w:color w:val="auto"/>
              </w:rPr>
            </w:pPr>
            <w:r>
              <w:rPr>
                <w:rFonts w:ascii="Arial" w:cs="Arial" w:eastAsia="Arial" w:hAnsi="Arial"/>
                <w:sz w:val="11"/>
                <w:szCs w:val="11"/>
                <w:color w:val="auto"/>
              </w:rPr>
              <w:t>31.2</w:t>
            </w:r>
          </w:p>
        </w:tc>
        <w:tc>
          <w:tcPr>
            <w:tcW w:w="100" w:type="dxa"/>
            <w:vAlign w:val="bottom"/>
          </w:tcPr>
          <w:p>
            <w:pPr>
              <w:spacing w:after="0"/>
              <w:rPr>
                <w:sz w:val="15"/>
                <w:szCs w:val="15"/>
                <w:color w:val="auto"/>
              </w:rPr>
            </w:pPr>
          </w:p>
        </w:tc>
        <w:tc>
          <w:tcPr>
            <w:tcW w:w="5300" w:type="dxa"/>
            <w:vAlign w:val="bottom"/>
            <w:gridSpan w:val="10"/>
          </w:tcPr>
          <w:p>
            <w:pPr>
              <w:spacing w:after="0"/>
              <w:rPr>
                <w:rFonts w:ascii="Arial" w:cs="Arial" w:eastAsia="Arial" w:hAnsi="Arial"/>
                <w:sz w:val="11"/>
                <w:szCs w:val="11"/>
                <w:color w:val="0000FF"/>
                <w:w w:val="93"/>
              </w:rPr>
            </w:pPr>
            <w:hyperlink w:anchor="page90">
              <w:r>
                <w:rPr>
                  <w:rFonts w:ascii="Arial" w:cs="Arial" w:eastAsia="Arial" w:hAnsi="Arial"/>
                  <w:sz w:val="11"/>
                  <w:szCs w:val="11"/>
                  <w:color w:val="0000FF"/>
                  <w:w w:val="93"/>
                </w:rPr>
                <w:t>Certification of the Chief Operating Officer (Principal Financial Officer) pursuant to Exchange Act Rules 13a-14(a) or</w:t>
              </w:r>
            </w:hyperlink>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3"/>
              </w:rPr>
              <w:t>Filed herewith</w:t>
            </w:r>
          </w:p>
        </w:tc>
      </w:tr>
      <w:tr>
        <w:trPr>
          <w:trHeight w:val="62"/>
        </w:trPr>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0" w:type="dxa"/>
            <w:vAlign w:val="bottom"/>
            <w:tcBorders>
              <w:top w:val="single" w:sz="8" w:color="0000FF"/>
              <w:bottom w:val="single" w:sz="8" w:color="0000FF"/>
            </w:tcBorders>
            <w:gridSpan w:val="2"/>
          </w:tcPr>
          <w:p>
            <w:pPr>
              <w:spacing w:after="0" w:line="62" w:lineRule="exact"/>
              <w:rPr>
                <w:rFonts w:ascii="Arial" w:cs="Arial" w:eastAsia="Arial" w:hAnsi="Arial"/>
                <w:sz w:val="7"/>
                <w:szCs w:val="7"/>
                <w:color w:val="0000FF"/>
              </w:rPr>
            </w:pPr>
            <w:hyperlink w:anchor="page90">
              <w:r>
                <w:rPr>
                  <w:rFonts w:ascii="Arial" w:cs="Arial" w:eastAsia="Arial" w:hAnsi="Arial"/>
                  <w:sz w:val="7"/>
                  <w:szCs w:val="7"/>
                  <w:color w:val="0000FF"/>
                </w:rPr>
                <w:t>15d-14(a), as adopted pursuant to Section 302 of the Sarbanes-</w:t>
              </w:r>
            </w:hyperlink>
          </w:p>
        </w:tc>
        <w:tc>
          <w:tcPr>
            <w:tcW w:w="360" w:type="dxa"/>
            <w:vAlign w:val="bottom"/>
            <w:tcBorders>
              <w:top w:val="single" w:sz="8" w:color="0000FF"/>
              <w:bottom w:val="single" w:sz="8" w:color="0000FF"/>
            </w:tcBorders>
          </w:tcPr>
          <w:p>
            <w:pPr>
              <w:spacing w:after="0" w:line="62" w:lineRule="exact"/>
              <w:rPr>
                <w:rFonts w:ascii="Arial" w:cs="Arial" w:eastAsia="Arial" w:hAnsi="Arial"/>
                <w:sz w:val="7"/>
                <w:szCs w:val="7"/>
                <w:color w:val="0000FF"/>
              </w:rPr>
            </w:pPr>
            <w:hyperlink w:anchor="page90">
              <w:r>
                <w:rPr>
                  <w:rFonts w:ascii="Arial" w:cs="Arial" w:eastAsia="Arial" w:hAnsi="Arial"/>
                  <w:sz w:val="7"/>
                  <w:szCs w:val="7"/>
                  <w:color w:val="0000FF"/>
                </w:rPr>
                <w:t>Oxley Act</w:t>
              </w:r>
            </w:hyperlink>
          </w:p>
        </w:tc>
        <w:tc>
          <w:tcPr>
            <w:tcW w:w="400" w:type="dxa"/>
            <w:vAlign w:val="bottom"/>
            <w:tcBorders>
              <w:top w:val="single" w:sz="8" w:color="0000FF"/>
              <w:bottom w:val="single" w:sz="8" w:color="0000FF"/>
            </w:tcBorders>
          </w:tcPr>
          <w:p>
            <w:pPr>
              <w:ind w:left="60"/>
              <w:spacing w:after="0" w:line="62" w:lineRule="exact"/>
              <w:rPr>
                <w:rFonts w:ascii="Arial" w:cs="Arial" w:eastAsia="Arial" w:hAnsi="Arial"/>
                <w:sz w:val="7"/>
                <w:szCs w:val="7"/>
                <w:color w:val="0000FF"/>
              </w:rPr>
            </w:pPr>
            <w:hyperlink w:anchor="page90">
              <w:r>
                <w:rPr>
                  <w:rFonts w:ascii="Arial" w:cs="Arial" w:eastAsia="Arial" w:hAnsi="Arial"/>
                  <w:sz w:val="7"/>
                  <w:szCs w:val="7"/>
                  <w:color w:val="0000FF"/>
                </w:rPr>
                <w:t>of 2002</w:t>
              </w:r>
            </w:hyperlink>
          </w:p>
        </w:tc>
        <w:tc>
          <w:tcPr>
            <w:tcW w:w="1600" w:type="dxa"/>
            <w:vAlign w:val="bottom"/>
            <w:tcBorders>
              <w:top w:val="single" w:sz="8" w:color="0000FF"/>
            </w:tcBorders>
            <w:gridSpan w:val="4"/>
          </w:tcPr>
          <w:p>
            <w:pPr>
              <w:spacing w:after="0"/>
              <w:rPr>
                <w:sz w:val="5"/>
                <w:szCs w:val="5"/>
                <w:color w:val="auto"/>
              </w:rPr>
            </w:pPr>
          </w:p>
        </w:tc>
        <w:tc>
          <w:tcPr>
            <w:tcW w:w="140" w:type="dxa"/>
            <w:vAlign w:val="bottom"/>
            <w:gridSpan w:val="2"/>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Pr>
          <w:p>
            <w:pPr>
              <w:spacing w:after="0"/>
              <w:rPr>
                <w:sz w:val="5"/>
                <w:szCs w:val="5"/>
                <w:color w:val="auto"/>
              </w:rPr>
            </w:pPr>
          </w:p>
        </w:tc>
      </w:tr>
      <w:tr>
        <w:trPr>
          <w:trHeight w:val="164"/>
        </w:trPr>
        <w:tc>
          <w:tcPr>
            <w:tcW w:w="1000" w:type="dxa"/>
            <w:vAlign w:val="bottom"/>
          </w:tcPr>
          <w:p>
            <w:pPr>
              <w:ind w:left="20"/>
              <w:spacing w:after="0"/>
              <w:rPr>
                <w:sz w:val="20"/>
                <w:szCs w:val="20"/>
                <w:color w:val="auto"/>
              </w:rPr>
            </w:pPr>
            <w:r>
              <w:rPr>
                <w:rFonts w:ascii="Arial" w:cs="Arial" w:eastAsia="Arial" w:hAnsi="Arial"/>
                <w:sz w:val="11"/>
                <w:szCs w:val="11"/>
                <w:color w:val="auto"/>
              </w:rPr>
              <w:t>32.1*</w:t>
            </w:r>
          </w:p>
        </w:tc>
        <w:tc>
          <w:tcPr>
            <w:tcW w:w="100" w:type="dxa"/>
            <w:vAlign w:val="bottom"/>
          </w:tcPr>
          <w:p>
            <w:pPr>
              <w:spacing w:after="0"/>
              <w:rPr>
                <w:sz w:val="14"/>
                <w:szCs w:val="14"/>
                <w:color w:val="auto"/>
              </w:rPr>
            </w:pPr>
          </w:p>
        </w:tc>
        <w:tc>
          <w:tcPr>
            <w:tcW w:w="5300" w:type="dxa"/>
            <w:vAlign w:val="bottom"/>
            <w:gridSpan w:val="10"/>
          </w:tcPr>
          <w:p>
            <w:pPr>
              <w:spacing w:after="0"/>
              <w:rPr>
                <w:rFonts w:ascii="Arial" w:cs="Arial" w:eastAsia="Arial" w:hAnsi="Arial"/>
                <w:sz w:val="11"/>
                <w:szCs w:val="11"/>
                <w:color w:val="0000FF"/>
                <w:w w:val="98"/>
              </w:rPr>
            </w:pPr>
            <w:hyperlink w:anchor="page91">
              <w:r>
                <w:rPr>
                  <w:rFonts w:ascii="Arial" w:cs="Arial" w:eastAsia="Arial" w:hAnsi="Arial"/>
                  <w:sz w:val="11"/>
                  <w:szCs w:val="11"/>
                  <w:color w:val="0000FF"/>
                  <w:w w:val="98"/>
                </w:rPr>
                <w:t>Certification of the Chief Executive Officer and Chief Operating Officer (Principal Financial Officer) pursuant to</w:t>
              </w:r>
            </w:hyperlink>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89"/>
              </w:rPr>
              <w:t>Furnished herewith</w:t>
            </w:r>
          </w:p>
        </w:tc>
      </w:tr>
      <w:tr>
        <w:trPr>
          <w:trHeight w:val="82"/>
        </w:trPr>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160" w:type="dxa"/>
            <w:vAlign w:val="bottom"/>
            <w:tcBorders>
              <w:top w:val="single" w:sz="8" w:color="0000FF"/>
              <w:bottom w:val="single" w:sz="8" w:color="0000FF"/>
            </w:tcBorders>
            <w:gridSpan w:val="5"/>
          </w:tcPr>
          <w:p>
            <w:pPr>
              <w:spacing w:after="0" w:line="82" w:lineRule="exact"/>
              <w:rPr>
                <w:rFonts w:ascii="Arial" w:cs="Arial" w:eastAsia="Arial" w:hAnsi="Arial"/>
                <w:sz w:val="9"/>
                <w:szCs w:val="9"/>
                <w:color w:val="0000FF"/>
              </w:rPr>
            </w:pPr>
            <w:hyperlink w:anchor="page91">
              <w:r>
                <w:rPr>
                  <w:rFonts w:ascii="Arial" w:cs="Arial" w:eastAsia="Arial" w:hAnsi="Arial"/>
                  <w:sz w:val="9"/>
                  <w:szCs w:val="9"/>
                  <w:color w:val="0000FF"/>
                </w:rPr>
                <w:t>18 U.S.C. Section 1350, as adopted pursuant to Section 906 of the Sarbanes-Oxley Act of 2002</w:t>
              </w:r>
            </w:hyperlink>
          </w:p>
        </w:tc>
        <w:tc>
          <w:tcPr>
            <w:tcW w:w="780" w:type="dxa"/>
            <w:vAlign w:val="bottom"/>
            <w:tcBorders>
              <w:top w:val="single" w:sz="8" w:color="0000FF"/>
            </w:tcBorders>
            <w:gridSpan w:val="2"/>
          </w:tcPr>
          <w:p>
            <w:pPr>
              <w:spacing w:after="0"/>
              <w:rPr>
                <w:sz w:val="7"/>
                <w:szCs w:val="7"/>
                <w:color w:val="auto"/>
              </w:rPr>
            </w:pPr>
          </w:p>
        </w:tc>
        <w:tc>
          <w:tcPr>
            <w:tcW w:w="360" w:type="dxa"/>
            <w:vAlign w:val="bottom"/>
            <w:gridSpan w:val="3"/>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153"/>
        </w:trPr>
        <w:tc>
          <w:tcPr>
            <w:tcW w:w="1100" w:type="dxa"/>
            <w:vAlign w:val="bottom"/>
            <w:gridSpan w:val="2"/>
          </w:tcPr>
          <w:p>
            <w:pPr>
              <w:ind w:left="20"/>
              <w:spacing w:after="0"/>
              <w:rPr>
                <w:sz w:val="20"/>
                <w:szCs w:val="20"/>
                <w:color w:val="auto"/>
              </w:rPr>
            </w:pPr>
            <w:r>
              <w:rPr>
                <w:rFonts w:ascii="Arial" w:cs="Arial" w:eastAsia="Arial" w:hAnsi="Arial"/>
                <w:sz w:val="11"/>
                <w:szCs w:val="11"/>
                <w:color w:val="auto"/>
              </w:rPr>
              <w:t>101.INS</w:t>
            </w:r>
          </w:p>
        </w:tc>
        <w:tc>
          <w:tcPr>
            <w:tcW w:w="5300" w:type="dxa"/>
            <w:vAlign w:val="bottom"/>
            <w:gridSpan w:val="10"/>
          </w:tcPr>
          <w:p>
            <w:pPr>
              <w:spacing w:after="0"/>
              <w:rPr>
                <w:sz w:val="20"/>
                <w:szCs w:val="20"/>
                <w:color w:val="auto"/>
              </w:rPr>
            </w:pPr>
            <w:r>
              <w:rPr>
                <w:rFonts w:ascii="Arial" w:cs="Arial" w:eastAsia="Arial" w:hAnsi="Arial"/>
                <w:sz w:val="11"/>
                <w:szCs w:val="11"/>
                <w:color w:val="auto"/>
                <w:w w:val="96"/>
              </w:rPr>
              <w:t>Inline XBRL Instance Document - the instance document does not appear in the Interactive Data File because its</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3"/>
              </w:rPr>
              <w:t>Filed herewith</w:t>
            </w:r>
          </w:p>
        </w:tc>
      </w:tr>
      <w:tr>
        <w:trPr>
          <w:trHeight w:val="137"/>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300" w:type="dxa"/>
            <w:vAlign w:val="bottom"/>
            <w:gridSpan w:val="10"/>
          </w:tcPr>
          <w:p>
            <w:pPr>
              <w:spacing w:after="0"/>
              <w:rPr>
                <w:sz w:val="20"/>
                <w:szCs w:val="20"/>
                <w:color w:val="auto"/>
              </w:rPr>
            </w:pPr>
            <w:r>
              <w:rPr>
                <w:rFonts w:ascii="Arial" w:cs="Arial" w:eastAsia="Arial" w:hAnsi="Arial"/>
                <w:sz w:val="11"/>
                <w:szCs w:val="11"/>
                <w:color w:val="auto"/>
              </w:rPr>
              <w:t>XBRL tags are embedded within the Inline XBRL document</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81"/>
        </w:trPr>
        <w:tc>
          <w:tcPr>
            <w:tcW w:w="1100" w:type="dxa"/>
            <w:vAlign w:val="bottom"/>
            <w:gridSpan w:val="2"/>
          </w:tcPr>
          <w:p>
            <w:pPr>
              <w:ind w:left="20"/>
              <w:spacing w:after="0"/>
              <w:rPr>
                <w:sz w:val="20"/>
                <w:szCs w:val="20"/>
                <w:color w:val="auto"/>
              </w:rPr>
            </w:pPr>
            <w:r>
              <w:rPr>
                <w:rFonts w:ascii="Arial" w:cs="Arial" w:eastAsia="Arial" w:hAnsi="Arial"/>
                <w:sz w:val="11"/>
                <w:szCs w:val="11"/>
                <w:color w:val="auto"/>
              </w:rPr>
              <w:t>101.SCH</w:t>
            </w:r>
          </w:p>
        </w:tc>
        <w:tc>
          <w:tcPr>
            <w:tcW w:w="5300" w:type="dxa"/>
            <w:vAlign w:val="bottom"/>
            <w:gridSpan w:val="10"/>
          </w:tcPr>
          <w:p>
            <w:pPr>
              <w:spacing w:after="0"/>
              <w:rPr>
                <w:sz w:val="20"/>
                <w:szCs w:val="20"/>
                <w:color w:val="auto"/>
              </w:rPr>
            </w:pPr>
            <w:r>
              <w:rPr>
                <w:rFonts w:ascii="Arial" w:cs="Arial" w:eastAsia="Arial" w:hAnsi="Arial"/>
                <w:sz w:val="11"/>
                <w:szCs w:val="11"/>
                <w:color w:val="auto"/>
              </w:rPr>
              <w:t>Inline XBRL Taxonomy Extension Schema Document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3"/>
              </w:rPr>
              <w:t>Filed herewith</w:t>
            </w:r>
          </w:p>
        </w:tc>
      </w:tr>
      <w:tr>
        <w:trPr>
          <w:trHeight w:val="184"/>
        </w:trPr>
        <w:tc>
          <w:tcPr>
            <w:tcW w:w="1100" w:type="dxa"/>
            <w:vAlign w:val="bottom"/>
            <w:gridSpan w:val="2"/>
          </w:tcPr>
          <w:p>
            <w:pPr>
              <w:ind w:left="20"/>
              <w:spacing w:after="0"/>
              <w:rPr>
                <w:sz w:val="20"/>
                <w:szCs w:val="20"/>
                <w:color w:val="auto"/>
              </w:rPr>
            </w:pPr>
            <w:r>
              <w:rPr>
                <w:rFonts w:ascii="Arial" w:cs="Arial" w:eastAsia="Arial" w:hAnsi="Arial"/>
                <w:sz w:val="11"/>
                <w:szCs w:val="11"/>
                <w:color w:val="auto"/>
              </w:rPr>
              <w:t>101.CAL</w:t>
            </w:r>
          </w:p>
        </w:tc>
        <w:tc>
          <w:tcPr>
            <w:tcW w:w="5300" w:type="dxa"/>
            <w:vAlign w:val="bottom"/>
            <w:gridSpan w:val="10"/>
          </w:tcPr>
          <w:p>
            <w:pPr>
              <w:spacing w:after="0"/>
              <w:rPr>
                <w:sz w:val="20"/>
                <w:szCs w:val="20"/>
                <w:color w:val="auto"/>
              </w:rPr>
            </w:pPr>
            <w:r>
              <w:rPr>
                <w:rFonts w:ascii="Arial" w:cs="Arial" w:eastAsia="Arial" w:hAnsi="Arial"/>
                <w:sz w:val="11"/>
                <w:szCs w:val="11"/>
                <w:color w:val="auto"/>
              </w:rPr>
              <w:t>Inline XBRL Taxonomy Extension Calculation Linkbase Document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3"/>
              </w:rPr>
              <w:t>Filed herewith</w:t>
            </w:r>
          </w:p>
        </w:tc>
      </w:tr>
      <w:tr>
        <w:trPr>
          <w:trHeight w:val="184"/>
        </w:trPr>
        <w:tc>
          <w:tcPr>
            <w:tcW w:w="1100" w:type="dxa"/>
            <w:vAlign w:val="bottom"/>
            <w:gridSpan w:val="2"/>
          </w:tcPr>
          <w:p>
            <w:pPr>
              <w:ind w:left="20"/>
              <w:spacing w:after="0"/>
              <w:rPr>
                <w:sz w:val="20"/>
                <w:szCs w:val="20"/>
                <w:color w:val="auto"/>
              </w:rPr>
            </w:pPr>
            <w:r>
              <w:rPr>
                <w:rFonts w:ascii="Arial" w:cs="Arial" w:eastAsia="Arial" w:hAnsi="Arial"/>
                <w:sz w:val="11"/>
                <w:szCs w:val="11"/>
                <w:color w:val="auto"/>
              </w:rPr>
              <w:t>101.DEF</w:t>
            </w:r>
          </w:p>
        </w:tc>
        <w:tc>
          <w:tcPr>
            <w:tcW w:w="5300" w:type="dxa"/>
            <w:vAlign w:val="bottom"/>
            <w:gridSpan w:val="10"/>
          </w:tcPr>
          <w:p>
            <w:pPr>
              <w:spacing w:after="0"/>
              <w:rPr>
                <w:sz w:val="20"/>
                <w:szCs w:val="20"/>
                <w:color w:val="auto"/>
              </w:rPr>
            </w:pPr>
            <w:r>
              <w:rPr>
                <w:rFonts w:ascii="Arial" w:cs="Arial" w:eastAsia="Arial" w:hAnsi="Arial"/>
                <w:sz w:val="11"/>
                <w:szCs w:val="11"/>
                <w:color w:val="auto"/>
              </w:rPr>
              <w:t>Inline XBRL Taxonomy Extension Definition Linkbase Document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3"/>
              </w:rPr>
              <w:t>Filed herewith</w:t>
            </w:r>
          </w:p>
        </w:tc>
      </w:tr>
      <w:tr>
        <w:trPr>
          <w:trHeight w:val="184"/>
        </w:trPr>
        <w:tc>
          <w:tcPr>
            <w:tcW w:w="1100" w:type="dxa"/>
            <w:vAlign w:val="bottom"/>
            <w:gridSpan w:val="2"/>
          </w:tcPr>
          <w:p>
            <w:pPr>
              <w:ind w:left="20"/>
              <w:spacing w:after="0"/>
              <w:rPr>
                <w:sz w:val="20"/>
                <w:szCs w:val="20"/>
                <w:color w:val="auto"/>
              </w:rPr>
            </w:pPr>
            <w:r>
              <w:rPr>
                <w:rFonts w:ascii="Arial" w:cs="Arial" w:eastAsia="Arial" w:hAnsi="Arial"/>
                <w:sz w:val="11"/>
                <w:szCs w:val="11"/>
                <w:color w:val="auto"/>
              </w:rPr>
              <w:t>101.LAB</w:t>
            </w:r>
          </w:p>
        </w:tc>
        <w:tc>
          <w:tcPr>
            <w:tcW w:w="5300" w:type="dxa"/>
            <w:vAlign w:val="bottom"/>
            <w:gridSpan w:val="10"/>
          </w:tcPr>
          <w:p>
            <w:pPr>
              <w:spacing w:after="0"/>
              <w:rPr>
                <w:sz w:val="20"/>
                <w:szCs w:val="20"/>
                <w:color w:val="auto"/>
              </w:rPr>
            </w:pPr>
            <w:r>
              <w:rPr>
                <w:rFonts w:ascii="Arial" w:cs="Arial" w:eastAsia="Arial" w:hAnsi="Arial"/>
                <w:sz w:val="11"/>
                <w:szCs w:val="11"/>
                <w:color w:val="auto"/>
              </w:rPr>
              <w:t>XBRL Taxonomy Extension Label Linkbase Document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3"/>
              </w:rPr>
              <w:t>Filed herewith</w:t>
            </w:r>
          </w:p>
        </w:tc>
      </w:tr>
      <w:tr>
        <w:trPr>
          <w:trHeight w:val="184"/>
        </w:trPr>
        <w:tc>
          <w:tcPr>
            <w:tcW w:w="1100" w:type="dxa"/>
            <w:vAlign w:val="bottom"/>
            <w:gridSpan w:val="2"/>
          </w:tcPr>
          <w:p>
            <w:pPr>
              <w:ind w:left="20"/>
              <w:spacing w:after="0"/>
              <w:rPr>
                <w:sz w:val="20"/>
                <w:szCs w:val="20"/>
                <w:color w:val="auto"/>
              </w:rPr>
            </w:pPr>
            <w:r>
              <w:rPr>
                <w:rFonts w:ascii="Arial" w:cs="Arial" w:eastAsia="Arial" w:hAnsi="Arial"/>
                <w:sz w:val="11"/>
                <w:szCs w:val="11"/>
                <w:color w:val="auto"/>
              </w:rPr>
              <w:t>101.PRE</w:t>
            </w:r>
          </w:p>
        </w:tc>
        <w:tc>
          <w:tcPr>
            <w:tcW w:w="5300" w:type="dxa"/>
            <w:vAlign w:val="bottom"/>
            <w:gridSpan w:val="10"/>
          </w:tcPr>
          <w:p>
            <w:pPr>
              <w:spacing w:after="0"/>
              <w:rPr>
                <w:sz w:val="20"/>
                <w:szCs w:val="20"/>
                <w:color w:val="auto"/>
              </w:rPr>
            </w:pPr>
            <w:r>
              <w:rPr>
                <w:rFonts w:ascii="Arial" w:cs="Arial" w:eastAsia="Arial" w:hAnsi="Arial"/>
                <w:sz w:val="11"/>
                <w:szCs w:val="11"/>
                <w:color w:val="auto"/>
              </w:rPr>
              <w:t>Inline XBRL Taxonomy Extension Presentation Linkbase Document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3"/>
              </w:rPr>
              <w:t>Filed herewith</w:t>
            </w:r>
          </w:p>
        </w:tc>
      </w:tr>
    </w:tbl>
    <w:p>
      <w:pPr>
        <w:spacing w:after="0" w:line="47" w:lineRule="exact"/>
        <w:rPr>
          <w:sz w:val="20"/>
          <w:szCs w:val="20"/>
          <w:color w:val="auto"/>
        </w:rPr>
      </w:pPr>
    </w:p>
    <w:p>
      <w:pPr>
        <w:ind w:left="1100" w:right="5180" w:hanging="1085"/>
        <w:spacing w:after="0" w:line="226" w:lineRule="auto"/>
        <w:tabs>
          <w:tab w:leader="none" w:pos="1100" w:val="left"/>
        </w:tabs>
        <w:numPr>
          <w:ilvl w:val="0"/>
          <w:numId w:val="42"/>
        </w:numPr>
        <w:rPr>
          <w:rFonts w:ascii="Arial" w:cs="Arial" w:eastAsia="Arial" w:hAnsi="Arial"/>
          <w:sz w:val="11"/>
          <w:szCs w:val="11"/>
          <w:color w:val="auto"/>
        </w:rPr>
      </w:pPr>
      <w:r>
        <w:rPr>
          <w:rFonts w:ascii="Arial" w:cs="Arial" w:eastAsia="Arial" w:hAnsi="Arial"/>
          <w:sz w:val="11"/>
          <w:szCs w:val="11"/>
          <w:color w:val="auto"/>
        </w:rPr>
        <w:t>Cover Page with Interactive Data File (formatted as Inline XBRL with applicable taxonomy extension information contained in Exhibits 101)</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__________________________________________</w:t>
      </w:r>
    </w:p>
    <w:p>
      <w:pPr>
        <w:spacing w:after="0" w:line="10" w:lineRule="exact"/>
        <w:rPr>
          <w:sz w:val="20"/>
          <w:szCs w:val="20"/>
          <w:color w:val="auto"/>
        </w:rPr>
      </w:pPr>
    </w:p>
    <w:p>
      <w:pPr>
        <w:jc w:val="both"/>
        <w:ind w:right="80" w:firstLine="2"/>
        <w:spacing w:after="0" w:line="283" w:lineRule="auto"/>
        <w:tabs>
          <w:tab w:leader="none" w:pos="170" w:val="left"/>
        </w:tabs>
        <w:numPr>
          <w:ilvl w:val="0"/>
          <w:numId w:val="43"/>
        </w:numPr>
        <w:rPr>
          <w:rFonts w:ascii="Arial" w:cs="Arial" w:eastAsia="Arial" w:hAnsi="Arial"/>
          <w:sz w:val="9"/>
          <w:szCs w:val="9"/>
          <w:color w:val="auto"/>
        </w:rPr>
      </w:pPr>
      <w:r>
        <w:rPr>
          <w:rFonts w:ascii="Arial" w:cs="Arial" w:eastAsia="Arial" w:hAnsi="Arial"/>
          <w:sz w:val="9"/>
          <w:szCs w:val="9"/>
          <w:color w:val="auto"/>
        </w:rPr>
        <w:t>Schedules (or similar attachments) have been omitted pursuant to Item 601(a)(5) of Regulation S-K. The registrant hereby undertakes to furnish supplemental copies of any of the omitted schedules and other similar attachments upon request by the SEC. * The certifications furnished in Exhibit 32.1 hereto are deemed to accompany this Quarterly Report on Form 10-Q and will not be deemed “filed” for purposes of Section 18 of the Securities Exchange Act of 1934, as amended, except to the extent that the</w:t>
      </w:r>
    </w:p>
    <w:p>
      <w:pPr>
        <w:ind w:left="500"/>
        <w:spacing w:after="0"/>
        <w:rPr>
          <w:rFonts w:ascii="Arial" w:cs="Arial" w:eastAsia="Arial" w:hAnsi="Arial"/>
          <w:sz w:val="9"/>
          <w:szCs w:val="9"/>
          <w:color w:val="auto"/>
        </w:rPr>
      </w:pPr>
      <w:r>
        <w:rPr>
          <w:rFonts w:ascii="Arial" w:cs="Arial" w:eastAsia="Arial" w:hAnsi="Arial"/>
          <w:sz w:val="11"/>
          <w:szCs w:val="11"/>
          <w:color w:val="auto"/>
        </w:rPr>
        <w:t>registrant specifically incorporates it by reference.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ind w:right="-519"/>
        <w:spacing w:after="0"/>
        <w:rPr>
          <w:sz w:val="20"/>
          <w:szCs w:val="20"/>
          <w:color w:val="auto"/>
        </w:rPr>
      </w:pPr>
      <w:r>
        <w:rPr>
          <w:rFonts w:ascii="Arial" w:cs="Arial" w:eastAsia="Arial" w:hAnsi="Arial"/>
          <w:sz w:val="14"/>
          <w:szCs w:val="14"/>
          <w:b w:val="1"/>
          <w:bCs w:val="1"/>
          <w:color w:val="auto"/>
        </w:rPr>
        <w:t>SIGNATURES</w:t>
      </w:r>
    </w:p>
    <w:p>
      <w:pPr>
        <w:spacing w:after="0" w:line="168"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color w:val="auto"/>
        </w:rPr>
        <w:t>Pursuant to the requirements of Section 13 or 15(d) of the Securities Exchange Act of 1934, as amended, the registrant has duly caused this report to be signed on its behalf by the undersigned thereunto duly authorized.</w:t>
      </w:r>
    </w:p>
    <w:p>
      <w:pPr>
        <w:spacing w:after="0" w:line="168" w:lineRule="exact"/>
        <w:rPr>
          <w:sz w:val="20"/>
          <w:szCs w:val="20"/>
          <w:color w:val="auto"/>
        </w:rPr>
      </w:pPr>
    </w:p>
    <w:p>
      <w:pPr>
        <w:ind w:left="6160"/>
        <w:spacing w:after="0"/>
        <w:rPr>
          <w:sz w:val="20"/>
          <w:szCs w:val="20"/>
          <w:color w:val="auto"/>
        </w:rPr>
      </w:pPr>
      <w:r>
        <w:rPr>
          <w:rFonts w:ascii="Arial" w:cs="Arial" w:eastAsia="Arial" w:hAnsi="Arial"/>
          <w:sz w:val="14"/>
          <w:szCs w:val="14"/>
          <w:b w:val="1"/>
          <w:bCs w:val="1"/>
          <w:color w:val="auto"/>
        </w:rPr>
        <w:t>Twilio Inc.</w:t>
      </w:r>
    </w:p>
    <w:p>
      <w:pPr>
        <w:spacing w:after="0" w:line="219" w:lineRule="exact"/>
        <w:rPr>
          <w:sz w:val="20"/>
          <w:szCs w:val="20"/>
          <w:color w:val="auto"/>
        </w:rPr>
      </w:pPr>
    </w:p>
    <w:p>
      <w:pPr>
        <w:ind w:left="1040"/>
        <w:spacing w:after="0"/>
        <w:tabs>
          <w:tab w:leader="none" w:pos="7960" w:val="left"/>
        </w:tabs>
        <w:rPr>
          <w:sz w:val="20"/>
          <w:szCs w:val="20"/>
          <w:color w:val="auto"/>
        </w:rPr>
      </w:pPr>
      <w:r>
        <w:rPr>
          <w:rFonts w:ascii="Arial" w:cs="Arial" w:eastAsia="Arial" w:hAnsi="Arial"/>
          <w:sz w:val="14"/>
          <w:szCs w:val="14"/>
          <w:color w:val="auto"/>
        </w:rPr>
        <w:t>October 28, 2021</w:t>
      </w:r>
      <w:r>
        <w:rPr>
          <w:sz w:val="20"/>
          <w:szCs w:val="20"/>
          <w:color w:val="auto"/>
        </w:rPr>
        <w:tab/>
      </w:r>
      <w:r>
        <w:rPr>
          <w:rFonts w:ascii="Arial" w:cs="Arial" w:eastAsia="Arial" w:hAnsi="Arial"/>
          <w:sz w:val="12"/>
          <w:szCs w:val="12"/>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8255</wp:posOffset>
            </wp:positionV>
            <wp:extent cx="319405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94050" cy="6350"/>
                    </a:xfrm>
                    <a:prstGeom prst="rect">
                      <a:avLst/>
                    </a:prstGeom>
                    <a:noFill/>
                  </pic:spPr>
                </pic:pic>
              </a:graphicData>
            </a:graphic>
          </wp:anchor>
        </w:drawing>
      </w:r>
    </w:p>
    <w:p>
      <w:pPr>
        <w:jc w:val="center"/>
        <w:ind w:left="5740"/>
        <w:spacing w:after="0"/>
        <w:rPr>
          <w:sz w:val="20"/>
          <w:szCs w:val="20"/>
          <w:color w:val="auto"/>
        </w:rPr>
      </w:pPr>
      <w:r>
        <w:rPr>
          <w:rFonts w:ascii="Arial" w:cs="Arial" w:eastAsia="Arial" w:hAnsi="Arial"/>
          <w:sz w:val="14"/>
          <w:szCs w:val="14"/>
          <w:color w:val="auto"/>
        </w:rPr>
        <w:t>Jeff Lawson</w:t>
      </w:r>
    </w:p>
    <w:p>
      <w:pPr>
        <w:jc w:val="center"/>
        <w:ind w:left="5740"/>
        <w:spacing w:after="0"/>
        <w:rPr>
          <w:sz w:val="20"/>
          <w:szCs w:val="20"/>
          <w:color w:val="auto"/>
        </w:rPr>
      </w:pPr>
      <w:r>
        <w:rPr>
          <w:rFonts w:ascii="Arial" w:cs="Arial" w:eastAsia="Arial" w:hAnsi="Arial"/>
          <w:sz w:val="14"/>
          <w:szCs w:val="14"/>
          <w:i w:val="1"/>
          <w:iCs w:val="1"/>
          <w:color w:val="auto"/>
        </w:rPr>
        <w:t>Director and Chief Executive Officer (Principal Executive Officer)</w:t>
      </w:r>
    </w:p>
    <w:p>
      <w:pPr>
        <w:spacing w:after="0" w:line="164" w:lineRule="exact"/>
        <w:rPr>
          <w:sz w:val="20"/>
          <w:szCs w:val="20"/>
          <w:color w:val="auto"/>
        </w:rPr>
      </w:pPr>
    </w:p>
    <w:p>
      <w:pPr>
        <w:ind w:left="1040"/>
        <w:spacing w:after="0"/>
        <w:tabs>
          <w:tab w:leader="none" w:pos="7460" w:val="left"/>
        </w:tabs>
        <w:rPr>
          <w:sz w:val="20"/>
          <w:szCs w:val="20"/>
          <w:color w:val="auto"/>
        </w:rPr>
      </w:pPr>
      <w:r>
        <w:rPr>
          <w:rFonts w:ascii="Arial" w:cs="Arial" w:eastAsia="Arial" w:hAnsi="Arial"/>
          <w:sz w:val="14"/>
          <w:szCs w:val="14"/>
          <w:color w:val="auto"/>
        </w:rPr>
        <w:t>October 28, 2021</w:t>
      </w:r>
      <w:r>
        <w:rPr>
          <w:sz w:val="20"/>
          <w:szCs w:val="20"/>
          <w:color w:val="auto"/>
        </w:rPr>
        <w:tab/>
      </w:r>
      <w:r>
        <w:rPr>
          <w:rFonts w:ascii="Arial" w:cs="Arial" w:eastAsia="Arial" w:hAnsi="Arial"/>
          <w:sz w:val="12"/>
          <w:szCs w:val="12"/>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8255</wp:posOffset>
            </wp:positionV>
            <wp:extent cx="319405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94050" cy="6350"/>
                    </a:xfrm>
                    <a:prstGeom prst="rect">
                      <a:avLst/>
                    </a:prstGeom>
                    <a:noFill/>
                  </pic:spPr>
                </pic:pic>
              </a:graphicData>
            </a:graphic>
          </wp:anchor>
        </w:drawing>
      </w:r>
    </w:p>
    <w:p>
      <w:pPr>
        <w:jc w:val="center"/>
        <w:ind w:left="5740"/>
        <w:spacing w:after="0"/>
        <w:rPr>
          <w:sz w:val="20"/>
          <w:szCs w:val="20"/>
          <w:color w:val="auto"/>
        </w:rPr>
      </w:pPr>
      <w:r>
        <w:rPr>
          <w:rFonts w:ascii="Arial" w:cs="Arial" w:eastAsia="Arial" w:hAnsi="Arial"/>
          <w:sz w:val="14"/>
          <w:szCs w:val="14"/>
          <w:color w:val="auto"/>
        </w:rPr>
        <w:t>Khozema Z. Shipchandler</w:t>
      </w:r>
    </w:p>
    <w:p>
      <w:pPr>
        <w:jc w:val="center"/>
        <w:ind w:left="5740"/>
        <w:spacing w:after="0"/>
        <w:rPr>
          <w:sz w:val="20"/>
          <w:szCs w:val="20"/>
          <w:color w:val="auto"/>
        </w:rPr>
      </w:pPr>
      <w:r>
        <w:rPr>
          <w:rFonts w:ascii="Arial" w:cs="Arial" w:eastAsia="Arial" w:hAnsi="Arial"/>
          <w:sz w:val="14"/>
          <w:szCs w:val="14"/>
          <w:i w:val="1"/>
          <w:iCs w:val="1"/>
          <w:color w:val="auto"/>
        </w:rPr>
        <w:t>Chief Operating Officer (Principal Financial Officer)</w:t>
      </w:r>
    </w:p>
    <w:p>
      <w:pPr>
        <w:spacing w:after="0" w:line="296"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0780"/>
          </w:cols>
          <w:pgMar w:left="300" w:top="129" w:right="819" w:bottom="1440" w:gutter="0" w:footer="0" w:header="0"/>
        </w:sectPr>
      </w:pPr>
    </w:p>
    <w:bookmarkStart w:id="88" w:name="page89"/>
    <w:bookmarkEnd w:id="88"/>
    <w:p>
      <w:pPr>
        <w:jc w:val="right"/>
        <w:spacing w:after="0"/>
        <w:rPr>
          <w:sz w:val="20"/>
          <w:szCs w:val="20"/>
          <w:color w:val="auto"/>
        </w:rPr>
      </w:pPr>
      <w:r>
        <w:rPr>
          <w:rFonts w:ascii="Arial" w:cs="Arial" w:eastAsia="Arial" w:hAnsi="Arial"/>
          <w:sz w:val="12"/>
          <w:szCs w:val="12"/>
          <w:b w:val="1"/>
          <w:bCs w:val="1"/>
          <w:color w:val="auto"/>
        </w:rPr>
        <w:t>Exhibit 31.1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RULE 13a-14(a) OR 15d-14(a)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SARBANES-OXLEY ACT OF 2002</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color w:val="auto"/>
        </w:rPr>
        <w:t>I, Jeff Lawson, certify that:</w:t>
      </w:r>
    </w:p>
    <w:p>
      <w:pPr>
        <w:spacing w:after="0" w:line="137" w:lineRule="exact"/>
        <w:rPr>
          <w:sz w:val="20"/>
          <w:szCs w:val="20"/>
          <w:color w:val="auto"/>
        </w:rPr>
      </w:pPr>
    </w:p>
    <w:p>
      <w:pPr>
        <w:ind w:left="980" w:hanging="489"/>
        <w:spacing w:after="0"/>
        <w:tabs>
          <w:tab w:leader="none" w:pos="9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Twilio Inc.;</w:t>
      </w:r>
    </w:p>
    <w:p>
      <w:pPr>
        <w:spacing w:after="0" w:line="137" w:lineRule="exact"/>
        <w:rPr>
          <w:rFonts w:ascii="Arial" w:cs="Arial" w:eastAsia="Arial" w:hAnsi="Arial"/>
          <w:sz w:val="12"/>
          <w:szCs w:val="12"/>
          <w:color w:val="auto"/>
        </w:rPr>
      </w:pPr>
    </w:p>
    <w:p>
      <w:pPr>
        <w:ind w:right="240" w:firstLine="491"/>
        <w:spacing w:after="0" w:line="278" w:lineRule="auto"/>
        <w:tabs>
          <w:tab w:leader="none" w:pos="9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2"/>
          <w:szCs w:val="12"/>
          <w:color w:val="auto"/>
        </w:rPr>
      </w:pPr>
    </w:p>
    <w:p>
      <w:pPr>
        <w:ind w:right="80" w:firstLine="491"/>
        <w:spacing w:after="0" w:line="278" w:lineRule="auto"/>
        <w:tabs>
          <w:tab w:leader="none" w:pos="9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2"/>
          <w:szCs w:val="12"/>
          <w:color w:val="auto"/>
        </w:rPr>
      </w:pPr>
    </w:p>
    <w:p>
      <w:pPr>
        <w:ind w:right="260" w:firstLine="491"/>
        <w:spacing w:after="0" w:line="278" w:lineRule="auto"/>
        <w:tabs>
          <w:tab w:leader="none" w:pos="9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2"/>
          <w:szCs w:val="12"/>
          <w:color w:val="auto"/>
        </w:rPr>
      </w:pPr>
    </w:p>
    <w:p>
      <w:pPr>
        <w:ind w:right="20" w:firstLine="981"/>
        <w:spacing w:after="0" w:line="278" w:lineRule="auto"/>
        <w:tabs>
          <w:tab w:leader="none" w:pos="1462" w:val="left"/>
        </w:tabs>
        <w:numPr>
          <w:ilvl w:val="1"/>
          <w:numId w:val="4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2"/>
          <w:szCs w:val="12"/>
          <w:color w:val="auto"/>
        </w:rPr>
      </w:pPr>
    </w:p>
    <w:p>
      <w:pPr>
        <w:ind w:right="240" w:firstLine="981"/>
        <w:spacing w:after="0" w:line="278" w:lineRule="auto"/>
        <w:tabs>
          <w:tab w:leader="none" w:pos="1469" w:val="left"/>
        </w:tabs>
        <w:numPr>
          <w:ilvl w:val="1"/>
          <w:numId w:val="4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2"/>
          <w:szCs w:val="12"/>
          <w:color w:val="auto"/>
        </w:rPr>
      </w:pPr>
    </w:p>
    <w:p>
      <w:pPr>
        <w:ind w:right="40" w:firstLine="981"/>
        <w:spacing w:after="0" w:line="278" w:lineRule="auto"/>
        <w:tabs>
          <w:tab w:leader="none" w:pos="1462" w:val="left"/>
        </w:tabs>
        <w:numPr>
          <w:ilvl w:val="1"/>
          <w:numId w:val="4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2"/>
          <w:szCs w:val="12"/>
          <w:color w:val="auto"/>
        </w:rPr>
      </w:pPr>
    </w:p>
    <w:p>
      <w:pPr>
        <w:ind w:right="80" w:firstLine="981"/>
        <w:spacing w:after="0" w:line="278" w:lineRule="auto"/>
        <w:tabs>
          <w:tab w:leader="none" w:pos="1469" w:val="left"/>
        </w:tabs>
        <w:numPr>
          <w:ilvl w:val="1"/>
          <w:numId w:val="4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2"/>
          <w:szCs w:val="12"/>
          <w:color w:val="auto"/>
        </w:rPr>
      </w:pPr>
    </w:p>
    <w:p>
      <w:pPr>
        <w:ind w:right="440" w:firstLine="491"/>
        <w:spacing w:after="0" w:line="278" w:lineRule="auto"/>
        <w:tabs>
          <w:tab w:leader="none" w:pos="9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2"/>
          <w:szCs w:val="12"/>
          <w:color w:val="auto"/>
        </w:rPr>
      </w:pPr>
    </w:p>
    <w:p>
      <w:pPr>
        <w:ind w:right="340" w:firstLine="981"/>
        <w:spacing w:after="0" w:line="278" w:lineRule="auto"/>
        <w:tabs>
          <w:tab w:leader="none" w:pos="1462" w:val="left"/>
        </w:tabs>
        <w:numPr>
          <w:ilvl w:val="1"/>
          <w:numId w:val="4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2"/>
          <w:szCs w:val="12"/>
          <w:color w:val="auto"/>
        </w:rPr>
      </w:pPr>
    </w:p>
    <w:p>
      <w:pPr>
        <w:ind w:left="1480" w:hanging="499"/>
        <w:spacing w:after="0"/>
        <w:tabs>
          <w:tab w:leader="none" w:pos="1480" w:val="left"/>
        </w:tabs>
        <w:numPr>
          <w:ilvl w:val="1"/>
          <w:numId w:val="4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Date: October 28, 2021October 28, 2021</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502793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027930" cy="635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Jeff Lawson</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Chief Executive Officer (Principal Executive Officer)</w:t>
      </w:r>
    </w:p>
    <w:p>
      <w:pPr>
        <w:sectPr>
          <w:pgSz w:w="11900" w:h="16838" w:orient="portrait"/>
          <w:cols w:equalWidth="0" w:num="1">
            <w:col w:w="11280"/>
          </w:cols>
          <w:pgMar w:left="300" w:top="843" w:right="319" w:bottom="1440" w:gutter="0" w:footer="0" w:header="0"/>
        </w:sectPr>
      </w:pPr>
    </w:p>
    <w:bookmarkStart w:id="89" w:name="page90"/>
    <w:bookmarkEnd w:id="89"/>
    <w:p>
      <w:pPr>
        <w:jc w:val="right"/>
        <w:spacing w:after="0"/>
        <w:rPr>
          <w:sz w:val="20"/>
          <w:szCs w:val="20"/>
          <w:color w:val="auto"/>
        </w:rPr>
      </w:pPr>
      <w:r>
        <w:rPr>
          <w:rFonts w:ascii="Arial" w:cs="Arial" w:eastAsia="Arial" w:hAnsi="Arial"/>
          <w:sz w:val="12"/>
          <w:szCs w:val="12"/>
          <w:b w:val="1"/>
          <w:bCs w:val="1"/>
          <w:color w:val="auto"/>
        </w:rPr>
        <w:t>Exhibit 31.2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RULE 13a-14(a) OR 15d-14(a)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SARBANES-OXLEY ACT OF 2002</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color w:val="auto"/>
        </w:rPr>
        <w:t>I, Khozema Shipchandler, certify that:</w:t>
      </w:r>
    </w:p>
    <w:p>
      <w:pPr>
        <w:spacing w:after="0" w:line="137" w:lineRule="exact"/>
        <w:rPr>
          <w:sz w:val="20"/>
          <w:szCs w:val="20"/>
          <w:color w:val="auto"/>
        </w:rPr>
      </w:pPr>
    </w:p>
    <w:p>
      <w:pPr>
        <w:ind w:left="980" w:hanging="489"/>
        <w:spacing w:after="0"/>
        <w:tabs>
          <w:tab w:leader="none" w:pos="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Twilio Inc.;</w:t>
      </w:r>
    </w:p>
    <w:p>
      <w:pPr>
        <w:spacing w:after="0" w:line="147" w:lineRule="exact"/>
        <w:rPr>
          <w:rFonts w:ascii="Arial" w:cs="Arial" w:eastAsia="Arial" w:hAnsi="Arial"/>
          <w:sz w:val="12"/>
          <w:szCs w:val="12"/>
          <w:color w:val="auto"/>
        </w:rPr>
      </w:pPr>
    </w:p>
    <w:p>
      <w:pPr>
        <w:ind w:right="240" w:firstLine="491"/>
        <w:spacing w:after="0" w:line="278" w:lineRule="auto"/>
        <w:tabs>
          <w:tab w:leader="none" w:pos="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Arial" w:cs="Arial" w:eastAsia="Arial" w:hAnsi="Arial"/>
          <w:sz w:val="12"/>
          <w:szCs w:val="12"/>
          <w:color w:val="auto"/>
        </w:rPr>
      </w:pPr>
    </w:p>
    <w:p>
      <w:pPr>
        <w:ind w:right="80" w:firstLine="491"/>
        <w:spacing w:after="0" w:line="278" w:lineRule="auto"/>
        <w:tabs>
          <w:tab w:leader="none" w:pos="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2"/>
          <w:szCs w:val="12"/>
          <w:color w:val="auto"/>
        </w:rPr>
      </w:pPr>
    </w:p>
    <w:p>
      <w:pPr>
        <w:ind w:right="260" w:firstLine="491"/>
        <w:spacing w:after="0" w:line="278" w:lineRule="auto"/>
        <w:tabs>
          <w:tab w:leader="none" w:pos="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2"/>
          <w:szCs w:val="12"/>
          <w:color w:val="auto"/>
        </w:rPr>
      </w:pPr>
    </w:p>
    <w:p>
      <w:pPr>
        <w:ind w:right="20" w:firstLine="981"/>
        <w:spacing w:after="0" w:line="278" w:lineRule="auto"/>
        <w:tabs>
          <w:tab w:leader="none" w:pos="1462" w:val="left"/>
        </w:tabs>
        <w:numPr>
          <w:ilvl w:val="1"/>
          <w:numId w:val="4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Arial" w:cs="Arial" w:eastAsia="Arial" w:hAnsi="Arial"/>
          <w:sz w:val="12"/>
          <w:szCs w:val="12"/>
          <w:color w:val="auto"/>
        </w:rPr>
      </w:pPr>
    </w:p>
    <w:p>
      <w:pPr>
        <w:ind w:right="240" w:firstLine="981"/>
        <w:spacing w:after="0" w:line="278" w:lineRule="auto"/>
        <w:tabs>
          <w:tab w:leader="none" w:pos="1469" w:val="left"/>
        </w:tabs>
        <w:numPr>
          <w:ilvl w:val="1"/>
          <w:numId w:val="4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2"/>
          <w:szCs w:val="12"/>
          <w:color w:val="auto"/>
        </w:rPr>
      </w:pPr>
    </w:p>
    <w:p>
      <w:pPr>
        <w:ind w:right="40" w:firstLine="981"/>
        <w:spacing w:after="0" w:line="278" w:lineRule="auto"/>
        <w:tabs>
          <w:tab w:leader="none" w:pos="1462" w:val="left"/>
        </w:tabs>
        <w:numPr>
          <w:ilvl w:val="1"/>
          <w:numId w:val="4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2"/>
          <w:szCs w:val="12"/>
          <w:color w:val="auto"/>
        </w:rPr>
      </w:pPr>
    </w:p>
    <w:p>
      <w:pPr>
        <w:ind w:right="80" w:firstLine="981"/>
        <w:spacing w:after="0" w:line="278" w:lineRule="auto"/>
        <w:tabs>
          <w:tab w:leader="none" w:pos="1469" w:val="left"/>
        </w:tabs>
        <w:numPr>
          <w:ilvl w:val="1"/>
          <w:numId w:val="4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2"/>
          <w:szCs w:val="12"/>
          <w:color w:val="auto"/>
        </w:rPr>
      </w:pPr>
    </w:p>
    <w:p>
      <w:pPr>
        <w:ind w:right="440" w:firstLine="491"/>
        <w:spacing w:after="0" w:line="278" w:lineRule="auto"/>
        <w:tabs>
          <w:tab w:leader="none" w:pos="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2"/>
          <w:szCs w:val="12"/>
          <w:color w:val="auto"/>
        </w:rPr>
      </w:pPr>
    </w:p>
    <w:p>
      <w:pPr>
        <w:ind w:right="340" w:firstLine="981"/>
        <w:spacing w:after="0" w:line="278" w:lineRule="auto"/>
        <w:tabs>
          <w:tab w:leader="none" w:pos="1462" w:val="left"/>
        </w:tabs>
        <w:numPr>
          <w:ilvl w:val="1"/>
          <w:numId w:val="4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2"/>
          <w:szCs w:val="12"/>
          <w:color w:val="auto"/>
        </w:rPr>
      </w:pPr>
    </w:p>
    <w:p>
      <w:pPr>
        <w:ind w:left="1480" w:hanging="499"/>
        <w:spacing w:after="0"/>
        <w:tabs>
          <w:tab w:leader="none" w:pos="1480" w:val="left"/>
        </w:tabs>
        <w:numPr>
          <w:ilvl w:val="1"/>
          <w:numId w:val="4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Date: October 28, 2021 October 28, 2021</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309689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96895" cy="6350"/>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Khozema Z. Shipchandler</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Chief Operating Officer (Principal Financial Officer)</w:t>
      </w:r>
    </w:p>
    <w:p>
      <w:pPr>
        <w:sectPr>
          <w:pgSz w:w="11900" w:h="16838" w:orient="portrait"/>
          <w:cols w:equalWidth="0" w:num="1">
            <w:col w:w="11280"/>
          </w:cols>
          <w:pgMar w:left="300" w:top="710" w:right="319" w:bottom="1440" w:gutter="0" w:footer="0" w:header="0"/>
        </w:sectPr>
      </w:pPr>
    </w:p>
    <w:bookmarkStart w:id="90" w:name="page91"/>
    <w:bookmarkEnd w:id="90"/>
    <w:p>
      <w:pPr>
        <w:jc w:val="right"/>
        <w:spacing w:after="0"/>
        <w:rPr>
          <w:sz w:val="20"/>
          <w:szCs w:val="20"/>
          <w:color w:val="auto"/>
        </w:rPr>
      </w:pPr>
      <w:r>
        <w:rPr>
          <w:rFonts w:ascii="Arial" w:cs="Arial" w:eastAsia="Arial" w:hAnsi="Arial"/>
          <w:sz w:val="12"/>
          <w:szCs w:val="12"/>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 AND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1"/>
          <w:szCs w:val="11"/>
          <w:color w:val="auto"/>
        </w:rPr>
        <w:t>Pursuant to the requirement set forth in Rule 13a-14(b) of the Securities Exchange Act of 1934, as amended, (the “Exchange Act”) and Section 1350 of Chapter 63 of Title 18 of the United States Code (18 U.S.C. §1350),</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Jeff Lawson, Chief Executive Officer of Twilio Inc. (the “Company”), and Khozema Shipchandler, Chief Financial Officer of the Company, each hereby certifies that, to the best of his knowledge:</w:t>
      </w:r>
    </w:p>
    <w:p>
      <w:pPr>
        <w:spacing w:after="0" w:line="138" w:lineRule="exact"/>
        <w:rPr>
          <w:sz w:val="20"/>
          <w:szCs w:val="20"/>
          <w:color w:val="auto"/>
        </w:rPr>
      </w:pPr>
    </w:p>
    <w:p>
      <w:pPr>
        <w:ind w:right="20" w:firstLine="491"/>
        <w:spacing w:after="0" w:line="278" w:lineRule="auto"/>
        <w:tabs>
          <w:tab w:leader="none" w:pos="9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Company’s Quarterly Report on Form 10-Q for the quarter ended September 30, 2021, to which this Certification is attached as Exhibit 32.1 (the “Periodic Report”), fully complies with the requirements of Section 13(a) or Section 15(d) of the Exchange Act; and</w:t>
      </w:r>
    </w:p>
    <w:p>
      <w:pPr>
        <w:spacing w:after="0" w:line="98" w:lineRule="exact"/>
        <w:rPr>
          <w:rFonts w:ascii="Arial" w:cs="Arial" w:eastAsia="Arial" w:hAnsi="Arial"/>
          <w:sz w:val="12"/>
          <w:szCs w:val="12"/>
          <w:color w:val="auto"/>
        </w:rPr>
      </w:pPr>
    </w:p>
    <w:p>
      <w:pPr>
        <w:ind w:left="980" w:hanging="489"/>
        <w:spacing w:after="0"/>
        <w:tabs>
          <w:tab w:leader="none" w:pos="9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color w:val="auto"/>
        </w:rPr>
        <w:t>Date: October 28, 2021 October 28, 2021</w:t>
      </w:r>
    </w:p>
    <w:p>
      <w:pPr>
        <w:spacing w:after="0" w:line="127" w:lineRule="exact"/>
        <w:rPr>
          <w:sz w:val="20"/>
          <w:szCs w:val="20"/>
          <w:color w:val="auto"/>
        </w:rPr>
      </w:pPr>
    </w:p>
    <w:p>
      <w:pPr>
        <w:ind w:left="2180"/>
        <w:spacing w:after="0"/>
        <w:rPr>
          <w:sz w:val="20"/>
          <w:szCs w:val="20"/>
          <w:color w:val="auto"/>
        </w:rPr>
      </w:pPr>
      <w:r>
        <w:rPr>
          <w:rFonts w:ascii="Arial" w:cs="Arial" w:eastAsia="Arial" w:hAnsi="Arial"/>
          <w:sz w:val="12"/>
          <w:szCs w:val="12"/>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13970</wp:posOffset>
            </wp:positionV>
            <wp:extent cx="309689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96895" cy="6350"/>
                    </a:xfrm>
                    <a:prstGeom prst="rect">
                      <a:avLst/>
                    </a:prstGeom>
                    <a:noFill/>
                  </pic:spPr>
                </pic:pic>
              </a:graphicData>
            </a:graphic>
          </wp:anchor>
        </w:drawing>
      </w:r>
    </w:p>
    <w:p>
      <w:pPr>
        <w:spacing w:after="0" w:line="36" w:lineRule="exact"/>
        <w:rPr>
          <w:sz w:val="20"/>
          <w:szCs w:val="20"/>
          <w:color w:val="auto"/>
        </w:rPr>
      </w:pPr>
    </w:p>
    <w:p>
      <w:pPr>
        <w:ind w:left="2180"/>
        <w:spacing w:after="0"/>
        <w:rPr>
          <w:sz w:val="20"/>
          <w:szCs w:val="20"/>
          <w:color w:val="auto"/>
        </w:rPr>
      </w:pPr>
      <w:r>
        <w:rPr>
          <w:rFonts w:ascii="Arial" w:cs="Arial" w:eastAsia="Arial" w:hAnsi="Arial"/>
          <w:sz w:val="12"/>
          <w:szCs w:val="12"/>
          <w:color w:val="auto"/>
        </w:rPr>
        <w:t>Jeff Lawson</w:t>
      </w:r>
    </w:p>
    <w:p>
      <w:pPr>
        <w:spacing w:after="0" w:line="56" w:lineRule="exact"/>
        <w:rPr>
          <w:sz w:val="20"/>
          <w:szCs w:val="20"/>
          <w:color w:val="auto"/>
        </w:rPr>
      </w:pPr>
    </w:p>
    <w:p>
      <w:pPr>
        <w:ind w:left="2180"/>
        <w:spacing w:after="0"/>
        <w:rPr>
          <w:sz w:val="20"/>
          <w:szCs w:val="20"/>
          <w:color w:val="auto"/>
        </w:rPr>
      </w:pPr>
      <w:r>
        <w:rPr>
          <w:rFonts w:ascii="Arial" w:cs="Arial" w:eastAsia="Arial" w:hAnsi="Arial"/>
          <w:sz w:val="12"/>
          <w:szCs w:val="12"/>
          <w:i w:val="1"/>
          <w:iCs w:val="1"/>
          <w:color w:val="auto"/>
        </w:rPr>
        <w:t>Chief Executive Officer (Principal Executive Officer)</w:t>
      </w:r>
    </w:p>
    <w:p>
      <w:pPr>
        <w:spacing w:after="0" w:line="219" w:lineRule="exact"/>
        <w:rPr>
          <w:sz w:val="20"/>
          <w:szCs w:val="20"/>
          <w:color w:val="auto"/>
        </w:rPr>
      </w:pPr>
    </w:p>
    <w:p>
      <w:pPr>
        <w:ind w:left="2180"/>
        <w:spacing w:after="0"/>
        <w:rPr>
          <w:sz w:val="20"/>
          <w:szCs w:val="20"/>
          <w:color w:val="auto"/>
        </w:rPr>
      </w:pPr>
      <w:r>
        <w:rPr>
          <w:rFonts w:ascii="Arial" w:cs="Arial" w:eastAsia="Arial" w:hAnsi="Arial"/>
          <w:sz w:val="12"/>
          <w:szCs w:val="12"/>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13970</wp:posOffset>
            </wp:positionV>
            <wp:extent cx="309689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96895" cy="6350"/>
                    </a:xfrm>
                    <a:prstGeom prst="rect">
                      <a:avLst/>
                    </a:prstGeom>
                    <a:noFill/>
                  </pic:spPr>
                </pic:pic>
              </a:graphicData>
            </a:graphic>
          </wp:anchor>
        </w:drawing>
      </w:r>
    </w:p>
    <w:p>
      <w:pPr>
        <w:spacing w:after="0" w:line="36" w:lineRule="exact"/>
        <w:rPr>
          <w:sz w:val="20"/>
          <w:szCs w:val="20"/>
          <w:color w:val="auto"/>
        </w:rPr>
      </w:pPr>
    </w:p>
    <w:p>
      <w:pPr>
        <w:ind w:left="2180"/>
        <w:spacing w:after="0"/>
        <w:rPr>
          <w:sz w:val="20"/>
          <w:szCs w:val="20"/>
          <w:color w:val="auto"/>
        </w:rPr>
      </w:pPr>
      <w:r>
        <w:rPr>
          <w:rFonts w:ascii="Arial" w:cs="Arial" w:eastAsia="Arial" w:hAnsi="Arial"/>
          <w:sz w:val="12"/>
          <w:szCs w:val="12"/>
          <w:color w:val="auto"/>
        </w:rPr>
        <w:t>Khozema Z. Shipchandler</w:t>
      </w:r>
    </w:p>
    <w:p>
      <w:pPr>
        <w:spacing w:after="0" w:line="56" w:lineRule="exact"/>
        <w:rPr>
          <w:sz w:val="20"/>
          <w:szCs w:val="20"/>
          <w:color w:val="auto"/>
        </w:rPr>
      </w:pPr>
    </w:p>
    <w:p>
      <w:pPr>
        <w:ind w:left="2180"/>
        <w:spacing w:after="0"/>
        <w:rPr>
          <w:sz w:val="20"/>
          <w:szCs w:val="20"/>
          <w:color w:val="auto"/>
        </w:rPr>
      </w:pPr>
      <w:r>
        <w:rPr>
          <w:rFonts w:ascii="Arial" w:cs="Arial" w:eastAsia="Arial" w:hAnsi="Arial"/>
          <w:sz w:val="12"/>
          <w:szCs w:val="12"/>
          <w:i w:val="1"/>
          <w:iCs w:val="1"/>
          <w:color w:val="auto"/>
        </w:rPr>
        <w:t>Chief Operating Officer (Principal Financial Officer)</w:t>
      </w:r>
    </w:p>
    <w:sectPr>
      <w:pgSz w:w="11900" w:h="16838" w:orient="portrait"/>
      <w:cols w:equalWidth="0" w:num="1">
        <w:col w:w="11280"/>
      </w:cols>
      <w:pgMar w:left="300" w:top="71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2"/>
    </w:lvl>
    <w:lvl w:ilvl="1">
      <w:lvlJc w:val="left"/>
      <w:lvlText w:val="(%2)"/>
      <w:numFmt w:val="lowerLetter"/>
      <w:start w:val="1"/>
    </w:lvl>
  </w:abstractNum>
  <w:abstractNum w:abstractNumId="5">
    <w:nsid w:val="B03E0C6"/>
    <w:multiLevelType w:val="hybridMultilevel"/>
    <w:lvl w:ilvl="0">
      <w:lvlJc w:val="left"/>
      <w:lvlText w:val="(%1)"/>
      <w:numFmt w:val="lowerLetter"/>
      <w:start w:val="2"/>
    </w:lvl>
  </w:abstractNum>
  <w:abstractNum w:abstractNumId="6">
    <w:nsid w:val="189A769B"/>
    <w:multiLevelType w:val="hybridMultilevel"/>
    <w:lvl w:ilvl="0">
      <w:lvlJc w:val="left"/>
      <w:lvlText w:val="(%1)"/>
      <w:numFmt w:val="lowerLetter"/>
      <w:start w:val="3"/>
    </w:lvl>
  </w:abstractNum>
  <w:abstractNum w:abstractNumId="7">
    <w:nsid w:val="54E49EB4"/>
    <w:multiLevelType w:val="hybridMultilevel"/>
    <w:lvl w:ilvl="0">
      <w:lvlJc w:val="left"/>
      <w:lvlText w:val="(%1)"/>
      <w:numFmt w:val="lowerLetter"/>
      <w:start w:val="4"/>
    </w:lvl>
  </w:abstractNum>
  <w:abstractNum w:abstractNumId="8">
    <w:nsid w:val="71F32454"/>
    <w:multiLevelType w:val="hybridMultilevel"/>
    <w:lvl w:ilvl="0">
      <w:lvlJc w:val="left"/>
      <w:lvlText w:val="(%1)"/>
      <w:numFmt w:val="lowerLetter"/>
      <w:start w:val="5"/>
    </w:lvl>
  </w:abstractNum>
  <w:abstractNum w:abstractNumId="9">
    <w:nsid w:val="2CA88611"/>
    <w:multiLevelType w:val="hybridMultilevel"/>
    <w:lvl w:ilvl="0">
      <w:lvlJc w:val="left"/>
      <w:lvlText w:val="%1."/>
      <w:numFmt w:val="decimal"/>
      <w:start w:val="3"/>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lowerLetter"/>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Letter"/>
      <w:start w:val="2"/>
    </w:lvl>
  </w:abstractNum>
  <w:abstractNum w:abstractNumId="16">
    <w:nsid w:val="737B8DDC"/>
    <w:multiLevelType w:val="hybridMultilevel"/>
    <w:lvl w:ilvl="0">
      <w:lvlJc w:val="left"/>
      <w:lvlText w:val="(%1)"/>
      <w:numFmt w:val="lowerLetter"/>
      <w:start w:val="3"/>
    </w:lvl>
  </w:abstractNum>
  <w:abstractNum w:abstractNumId="17">
    <w:nsid w:val="6CEAF087"/>
    <w:multiLevelType w:val="hybridMultilevel"/>
    <w:lvl w:ilvl="0">
      <w:lvlJc w:val="left"/>
      <w:lvlText w:val="(%1)"/>
      <w:numFmt w:val="lowerLetter"/>
      <w:start w:val="4"/>
    </w:lvl>
  </w:abstractNum>
  <w:abstractNum w:abstractNumId="18">
    <w:nsid w:val="22221A70"/>
    <w:multiLevelType w:val="hybridMultilevel"/>
    <w:lvl w:ilvl="0">
      <w:lvlJc w:val="left"/>
      <w:lvlText w:val="%1."/>
      <w:numFmt w:val="decimal"/>
      <w:start w:val="14"/>
    </w:lvl>
  </w:abstractNum>
  <w:abstractNum w:abstractNumId="19">
    <w:nsid w:val="4516DDE9"/>
    <w:multiLevelType w:val="hybridMultilevel"/>
    <w:lvl w:ilvl="0">
      <w:lvlJc w:val="left"/>
      <w:lvlText w:val="%1"/>
      <w:numFmt w:val="decimal"/>
      <w:start w:val="1"/>
    </w:lvl>
    <w:lvl w:ilvl="1">
      <w:lvlJc w:val="left"/>
      <w:lvlText w:val="(%2)"/>
      <w:numFmt w:val="decimal"/>
      <w:start w:val="1"/>
    </w:lvl>
  </w:abstractNum>
  <w:abstractNum w:abstractNumId="20">
    <w:nsid w:val="3006C83E"/>
    <w:multiLevelType w:val="hybridMultilevel"/>
    <w:lvl w:ilvl="0">
      <w:lvlJc w:val="left"/>
      <w:lvlText w:val="%1."/>
      <w:numFmt w:val="decimal"/>
      <w:start w:val="17"/>
    </w:lvl>
    <w:lvl w:ilvl="1">
      <w:lvlJc w:val="left"/>
      <w:lvlText w:val="%2"/>
      <w:numFmt w:val="decimal"/>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04"/>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2021-10-28T15:32:14Z</dcterms:created>
  <dcterms:modified xsi:type="dcterms:W3CDTF">2021-10-28T15:32:14Z</dcterms:modified>
</cp:coreProperties>
</file>