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185420</wp:posOffset>
            </wp:positionH>
            <wp:positionV relativeFrom="page">
              <wp:posOffset>580390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551815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Washington, D.C. 20549</w:t>
      </w:r>
    </w:p>
    <w:p>
      <w:pPr>
        <w:ind w:left="4560"/>
        <w:spacing w:after="0"/>
        <w:rPr>
          <w:sz w:val="20"/>
          <w:szCs w:val="20"/>
          <w:color w:val="auto"/>
        </w:rPr>
      </w:pPr>
      <w:r>
        <w:rPr>
          <w:rFonts w:ascii="Arial" w:cs="Arial" w:eastAsia="Arial" w:hAnsi="Arial"/>
          <w:sz w:val="10"/>
          <w:szCs w:val="10"/>
          <w:b w:val="1"/>
          <w:bCs w:val="1"/>
          <w:color w:val="auto"/>
        </w:rPr>
        <w:t>_____________________________________________</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10-K</w:t>
      </w:r>
    </w:p>
    <w:p>
      <w:pPr>
        <w:spacing w:after="0" w:line="40" w:lineRule="exact"/>
        <w:rPr>
          <w:sz w:val="24"/>
          <w:szCs w:val="24"/>
          <w:color w:val="auto"/>
        </w:rPr>
      </w:pPr>
    </w:p>
    <w:p>
      <w:pPr>
        <w:ind w:left="4560"/>
        <w:spacing w:after="0"/>
        <w:rPr>
          <w:sz w:val="20"/>
          <w:szCs w:val="20"/>
          <w:color w:val="auto"/>
        </w:rPr>
      </w:pPr>
      <w:r>
        <w:rPr>
          <w:rFonts w:ascii="Arial" w:cs="Arial" w:eastAsia="Arial" w:hAnsi="Arial"/>
          <w:sz w:val="10"/>
          <w:szCs w:val="10"/>
          <w:b w:val="1"/>
          <w:bCs w:val="1"/>
          <w:color w:val="auto"/>
        </w:rPr>
        <w:t>_____________________________________________</w:t>
      </w:r>
    </w:p>
    <w:p>
      <w:pPr>
        <w:spacing w:after="0" w:line="196" w:lineRule="exact"/>
        <w:rPr>
          <w:sz w:val="24"/>
          <w:szCs w:val="24"/>
          <w:color w:val="auto"/>
        </w:rPr>
      </w:pPr>
    </w:p>
    <w:p>
      <w:pPr>
        <w:ind w:left="620" w:hanging="616"/>
        <w:spacing w:after="0"/>
        <w:tabs>
          <w:tab w:leader="none" w:pos="620" w:val="left"/>
        </w:tabs>
        <w:numPr>
          <w:ilvl w:val="0"/>
          <w:numId w:val="1"/>
        </w:numPr>
        <w:rPr>
          <w:rFonts w:ascii="MS PGothic" w:cs="MS PGothic" w:eastAsia="MS PGothic" w:hAnsi="MS PGothic"/>
          <w:sz w:val="12"/>
          <w:szCs w:val="12"/>
          <w:color w:val="auto"/>
        </w:rPr>
      </w:pPr>
      <w:r>
        <w:rPr>
          <w:rFonts w:ascii="Arial" w:cs="Arial" w:eastAsia="Arial" w:hAnsi="Arial"/>
          <w:sz w:val="11"/>
          <w:szCs w:val="11"/>
          <w:b w:val="1"/>
          <w:bCs w:val="1"/>
          <w:color w:val="auto"/>
        </w:rPr>
        <w:t>ANNUAL REPORT PURSUANT TO SECTION 13 OR 15(d) OF THE SECURITIES EXCHANGE ACT 1934</w:t>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For the fiscal year ended December 31, 2021</w:t>
      </w:r>
    </w:p>
    <w:p>
      <w:pPr>
        <w:spacing w:after="0" w:line="162" w:lineRule="exact"/>
        <w:rPr>
          <w:sz w:val="24"/>
          <w:szCs w:val="24"/>
          <w:color w:val="auto"/>
        </w:rPr>
      </w:pPr>
    </w:p>
    <w:p>
      <w:pPr>
        <w:ind w:left="620" w:hanging="580"/>
        <w:spacing w:after="0"/>
        <w:tabs>
          <w:tab w:leader="none" w:pos="620" w:val="left"/>
        </w:tabs>
        <w:numPr>
          <w:ilvl w:val="0"/>
          <w:numId w:val="2"/>
        </w:numPr>
        <w:rPr>
          <w:rFonts w:ascii="MS PGothic" w:cs="MS PGothic" w:eastAsia="MS PGothic" w:hAnsi="MS PGothic"/>
          <w:sz w:val="12"/>
          <w:szCs w:val="12"/>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300" w:type="dxa"/>
            <w:vAlign w:val="bottom"/>
          </w:tcPr>
          <w:p>
            <w:pPr>
              <w:jc w:val="center"/>
              <w:ind w:right="124"/>
              <w:spacing w:after="0"/>
              <w:rPr>
                <w:sz w:val="20"/>
                <w:szCs w:val="20"/>
                <w:color w:val="auto"/>
              </w:rPr>
            </w:pPr>
            <w:r>
              <w:rPr>
                <w:rFonts w:ascii="Arial" w:cs="Arial" w:eastAsia="Arial" w:hAnsi="Arial"/>
                <w:sz w:val="11"/>
                <w:szCs w:val="11"/>
                <w:b w:val="1"/>
                <w:bCs w:val="1"/>
                <w:color w:val="auto"/>
                <w:w w:val="90"/>
              </w:rPr>
              <w:t>For the transition period from to</w:t>
            </w: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tcPr>
          <w:p>
            <w:pPr>
              <w:jc w:val="center"/>
              <w:ind w:right="124"/>
              <w:spacing w:after="0"/>
              <w:rPr>
                <w:sz w:val="20"/>
                <w:szCs w:val="20"/>
                <w:color w:val="auto"/>
              </w:rPr>
            </w:pPr>
            <w:r>
              <w:rPr>
                <w:rFonts w:ascii="Arial" w:cs="Arial" w:eastAsia="Arial" w:hAnsi="Arial"/>
                <w:sz w:val="11"/>
                <w:szCs w:val="11"/>
                <w:b w:val="1"/>
                <w:bCs w:val="1"/>
                <w:color w:val="auto"/>
                <w:w w:val="89"/>
              </w:rPr>
              <w:t>Commission File Number: 001-37806</w:t>
            </w: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tcPr>
          <w:p>
            <w:pPr>
              <w:jc w:val="center"/>
              <w:ind w:right="104"/>
              <w:spacing w:after="0"/>
              <w:rPr>
                <w:sz w:val="20"/>
                <w:szCs w:val="20"/>
                <w:color w:val="auto"/>
              </w:rPr>
            </w:pPr>
            <w:r>
              <w:rPr>
                <w:rFonts w:ascii="Arial" w:cs="Arial" w:eastAsia="Arial" w:hAnsi="Arial"/>
                <w:sz w:val="12"/>
                <w:szCs w:val="12"/>
                <w:b w:val="1"/>
                <w:bCs w:val="1"/>
                <w:color w:val="auto"/>
                <w:w w:val="89"/>
              </w:rPr>
              <w:t>_____________________________________________</w:t>
            </w: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9"/>
        </w:trPr>
        <w:tc>
          <w:tcPr>
            <w:tcW w:w="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jc w:val="center"/>
              <w:ind w:right="124"/>
              <w:spacing w:after="0"/>
              <w:rPr>
                <w:sz w:val="20"/>
                <w:szCs w:val="20"/>
                <w:color w:val="auto"/>
              </w:rPr>
            </w:pPr>
            <w:r>
              <w:rPr>
                <w:rFonts w:ascii="Arial" w:cs="Arial" w:eastAsia="Arial" w:hAnsi="Arial"/>
                <w:sz w:val="16"/>
                <w:szCs w:val="16"/>
                <w:b w:val="1"/>
                <w:bCs w:val="1"/>
                <w:color w:val="auto"/>
              </w:rPr>
              <w:t>TWILIO INC.</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3300" w:type="dxa"/>
            <w:vAlign w:val="bottom"/>
          </w:tcPr>
          <w:p>
            <w:pPr>
              <w:jc w:val="center"/>
              <w:ind w:right="124"/>
              <w:spacing w:after="0" w:line="119" w:lineRule="exact"/>
              <w:rPr>
                <w:sz w:val="20"/>
                <w:szCs w:val="20"/>
                <w:color w:val="auto"/>
              </w:rPr>
            </w:pPr>
            <w:r>
              <w:rPr>
                <w:rFonts w:ascii="Arial" w:cs="Arial" w:eastAsia="Arial" w:hAnsi="Arial"/>
                <w:sz w:val="11"/>
                <w:szCs w:val="11"/>
                <w:color w:val="auto"/>
                <w:w w:val="89"/>
              </w:rPr>
              <w:t>(Exact name of registrant as specified in its charter)</w:t>
            </w: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tcPr>
          <w:p>
            <w:pPr>
              <w:jc w:val="center"/>
              <w:ind w:right="104"/>
              <w:spacing w:after="0"/>
              <w:rPr>
                <w:sz w:val="20"/>
                <w:szCs w:val="20"/>
                <w:color w:val="auto"/>
              </w:rPr>
            </w:pPr>
            <w:r>
              <w:rPr>
                <w:rFonts w:ascii="Arial" w:cs="Arial" w:eastAsia="Arial" w:hAnsi="Arial"/>
                <w:sz w:val="12"/>
                <w:szCs w:val="12"/>
                <w:b w:val="1"/>
                <w:bCs w:val="1"/>
                <w:color w:val="auto"/>
                <w:w w:val="89"/>
              </w:rPr>
              <w:t>_____________________________________________</w:t>
            </w: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4000" w:type="dxa"/>
            <w:vAlign w:val="bottom"/>
          </w:tcPr>
          <w:p>
            <w:pPr>
              <w:jc w:val="center"/>
              <w:ind w:left="1188"/>
              <w:spacing w:after="0"/>
              <w:rPr>
                <w:sz w:val="20"/>
                <w:szCs w:val="20"/>
                <w:color w:val="auto"/>
              </w:rPr>
            </w:pPr>
            <w:r>
              <w:rPr>
                <w:rFonts w:ascii="Arial" w:cs="Arial" w:eastAsia="Arial" w:hAnsi="Arial"/>
                <w:sz w:val="11"/>
                <w:szCs w:val="11"/>
                <w:b w:val="1"/>
                <w:bCs w:val="1"/>
                <w:color w:val="auto"/>
                <w:w w:val="90"/>
              </w:rPr>
              <w:t>Delaware</w:t>
            </w:r>
          </w:p>
        </w:tc>
        <w:tc>
          <w:tcPr>
            <w:tcW w:w="3300" w:type="dxa"/>
            <w:vAlign w:val="bottom"/>
          </w:tcPr>
          <w:p>
            <w:pPr>
              <w:spacing w:after="0"/>
              <w:rPr>
                <w:sz w:val="20"/>
                <w:szCs w:val="20"/>
                <w:color w:val="auto"/>
              </w:rPr>
            </w:pPr>
          </w:p>
        </w:tc>
        <w:tc>
          <w:tcPr>
            <w:tcW w:w="3840" w:type="dxa"/>
            <w:vAlign w:val="bottom"/>
          </w:tcPr>
          <w:p>
            <w:pPr>
              <w:jc w:val="right"/>
              <w:ind w:right="2367"/>
              <w:spacing w:after="0"/>
              <w:rPr>
                <w:sz w:val="20"/>
                <w:szCs w:val="20"/>
                <w:color w:val="auto"/>
              </w:rPr>
            </w:pPr>
            <w:r>
              <w:rPr>
                <w:rFonts w:ascii="Arial" w:cs="Arial" w:eastAsia="Arial" w:hAnsi="Arial"/>
                <w:sz w:val="11"/>
                <w:szCs w:val="11"/>
                <w:b w:val="1"/>
                <w:bCs w:val="1"/>
                <w:color w:val="auto"/>
              </w:rPr>
              <w:t>26-2574840</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4000" w:type="dxa"/>
            <w:vAlign w:val="bottom"/>
          </w:tcPr>
          <w:p>
            <w:pPr>
              <w:jc w:val="center"/>
              <w:ind w:left="1188"/>
              <w:spacing w:after="0"/>
              <w:rPr>
                <w:sz w:val="20"/>
                <w:szCs w:val="20"/>
                <w:color w:val="auto"/>
              </w:rPr>
            </w:pPr>
            <w:r>
              <w:rPr>
                <w:rFonts w:ascii="Arial" w:cs="Arial" w:eastAsia="Arial" w:hAnsi="Arial"/>
                <w:sz w:val="10"/>
                <w:szCs w:val="10"/>
                <w:color w:val="auto"/>
                <w:w w:val="88"/>
              </w:rPr>
              <w:t>(State or other jurisdiction of incorporation or organization)</w:t>
            </w:r>
          </w:p>
        </w:tc>
        <w:tc>
          <w:tcPr>
            <w:tcW w:w="3300" w:type="dxa"/>
            <w:vAlign w:val="bottom"/>
          </w:tcPr>
          <w:p>
            <w:pPr>
              <w:spacing w:after="0"/>
              <w:rPr>
                <w:sz w:val="10"/>
                <w:szCs w:val="10"/>
                <w:color w:val="auto"/>
              </w:rPr>
            </w:pPr>
          </w:p>
        </w:tc>
        <w:tc>
          <w:tcPr>
            <w:tcW w:w="3840" w:type="dxa"/>
            <w:vAlign w:val="bottom"/>
          </w:tcPr>
          <w:p>
            <w:pPr>
              <w:jc w:val="center"/>
              <w:ind w:right="1467"/>
              <w:spacing w:after="0"/>
              <w:rPr>
                <w:sz w:val="20"/>
                <w:szCs w:val="20"/>
                <w:color w:val="auto"/>
              </w:rPr>
            </w:pPr>
            <w:r>
              <w:rPr>
                <w:rFonts w:ascii="Arial" w:cs="Arial" w:eastAsia="Arial" w:hAnsi="Arial"/>
                <w:sz w:val="10"/>
                <w:szCs w:val="10"/>
                <w:color w:val="auto"/>
                <w:w w:val="89"/>
              </w:rPr>
              <w:t>(I.R.S. Employer Identification Number)</w:t>
            </w:r>
          </w:p>
        </w:tc>
        <w:tc>
          <w:tcPr>
            <w:tcW w:w="0" w:type="dxa"/>
            <w:vAlign w:val="bottom"/>
          </w:tcPr>
          <w:p>
            <w:pPr>
              <w:spacing w:after="0"/>
              <w:rPr>
                <w:sz w:val="1"/>
                <w:szCs w:val="1"/>
                <w:color w:val="auto"/>
              </w:rPr>
            </w:pPr>
          </w:p>
        </w:tc>
      </w:tr>
      <w:tr>
        <w:trPr>
          <w:trHeight w:val="305"/>
        </w:trPr>
        <w:tc>
          <w:tcPr>
            <w:tcW w:w="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jc w:val="center"/>
              <w:ind w:right="124"/>
              <w:spacing w:after="0"/>
              <w:rPr>
                <w:sz w:val="20"/>
                <w:szCs w:val="20"/>
                <w:color w:val="auto"/>
              </w:rPr>
            </w:pPr>
            <w:r>
              <w:rPr>
                <w:rFonts w:ascii="Arial" w:cs="Arial" w:eastAsia="Arial" w:hAnsi="Arial"/>
                <w:sz w:val="11"/>
                <w:szCs w:val="11"/>
                <w:b w:val="1"/>
                <w:bCs w:val="1"/>
                <w:color w:val="auto"/>
                <w:w w:val="89"/>
              </w:rPr>
              <w:t>101 Spear Street, First Floor</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3300" w:type="dxa"/>
            <w:vAlign w:val="bottom"/>
          </w:tcPr>
          <w:p>
            <w:pPr>
              <w:jc w:val="center"/>
              <w:ind w:right="124"/>
              <w:spacing w:after="0" w:line="123" w:lineRule="exact"/>
              <w:rPr>
                <w:sz w:val="20"/>
                <w:szCs w:val="20"/>
                <w:color w:val="auto"/>
              </w:rPr>
            </w:pPr>
            <w:r>
              <w:rPr>
                <w:rFonts w:ascii="Arial" w:cs="Arial" w:eastAsia="Arial" w:hAnsi="Arial"/>
                <w:sz w:val="11"/>
                <w:szCs w:val="11"/>
                <w:b w:val="1"/>
                <w:bCs w:val="1"/>
                <w:color w:val="auto"/>
                <w:w w:val="89"/>
              </w:rPr>
              <w:t>San Francisco, California 94105</w:t>
            </w: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3300" w:type="dxa"/>
            <w:vAlign w:val="bottom"/>
          </w:tcPr>
          <w:p>
            <w:pPr>
              <w:jc w:val="center"/>
              <w:ind w:right="124"/>
              <w:spacing w:after="0"/>
              <w:rPr>
                <w:sz w:val="20"/>
                <w:szCs w:val="20"/>
                <w:color w:val="auto"/>
              </w:rPr>
            </w:pPr>
            <w:r>
              <w:rPr>
                <w:rFonts w:ascii="Arial" w:cs="Arial" w:eastAsia="Arial" w:hAnsi="Arial"/>
                <w:sz w:val="10"/>
                <w:szCs w:val="10"/>
                <w:color w:val="auto"/>
                <w:w w:val="88"/>
              </w:rPr>
              <w:t>(Address of principal executive offices) (Zip Code)</w:t>
            </w: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300" w:type="dxa"/>
            <w:vAlign w:val="bottom"/>
          </w:tcPr>
          <w:p>
            <w:pPr>
              <w:jc w:val="center"/>
              <w:ind w:right="124"/>
              <w:spacing w:after="0"/>
              <w:rPr>
                <w:sz w:val="20"/>
                <w:szCs w:val="20"/>
                <w:color w:val="auto"/>
              </w:rPr>
            </w:pPr>
            <w:r>
              <w:rPr>
                <w:rFonts w:ascii="Arial" w:cs="Arial" w:eastAsia="Arial" w:hAnsi="Arial"/>
                <w:sz w:val="11"/>
                <w:szCs w:val="11"/>
                <w:b w:val="1"/>
                <w:bCs w:val="1"/>
                <w:color w:val="auto"/>
                <w:w w:val="90"/>
              </w:rPr>
              <w:t>(415) 390-2337</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3300" w:type="dxa"/>
            <w:vAlign w:val="bottom"/>
          </w:tcPr>
          <w:p>
            <w:pPr>
              <w:jc w:val="center"/>
              <w:ind w:right="124"/>
              <w:spacing w:after="0"/>
              <w:rPr>
                <w:sz w:val="20"/>
                <w:szCs w:val="20"/>
                <w:color w:val="auto"/>
              </w:rPr>
            </w:pPr>
            <w:r>
              <w:rPr>
                <w:rFonts w:ascii="Arial" w:cs="Arial" w:eastAsia="Arial" w:hAnsi="Arial"/>
                <w:sz w:val="10"/>
                <w:szCs w:val="10"/>
                <w:color w:val="auto"/>
                <w:w w:val="86"/>
              </w:rPr>
              <w:t>(Registrant’s telephone number, including area code)</w:t>
            </w: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jc w:val="center"/>
              <w:ind w:right="104"/>
              <w:spacing w:after="0"/>
              <w:rPr>
                <w:sz w:val="20"/>
                <w:szCs w:val="20"/>
                <w:color w:val="auto"/>
              </w:rPr>
            </w:pPr>
            <w:r>
              <w:rPr>
                <w:rFonts w:ascii="Arial" w:cs="Arial" w:eastAsia="Arial" w:hAnsi="Arial"/>
                <w:sz w:val="11"/>
                <w:szCs w:val="11"/>
                <w:b w:val="1"/>
                <w:bCs w:val="1"/>
                <w:color w:val="auto"/>
                <w:w w:val="88"/>
              </w:rPr>
              <w:t>____________________________________________</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80" w:type="dxa"/>
            <w:vAlign w:val="bottom"/>
            <w:gridSpan w:val="2"/>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3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000" w:type="dxa"/>
            <w:vAlign w:val="bottom"/>
            <w:tcBorders>
              <w:bottom w:val="single" w:sz="8" w:color="auto"/>
            </w:tcBorders>
          </w:tcPr>
          <w:p>
            <w:pPr>
              <w:jc w:val="center"/>
              <w:ind w:left="588"/>
              <w:spacing w:after="0"/>
              <w:rPr>
                <w:sz w:val="20"/>
                <w:szCs w:val="20"/>
                <w:color w:val="auto"/>
              </w:rPr>
            </w:pPr>
            <w:r>
              <w:rPr>
                <w:rFonts w:ascii="Arial" w:cs="Arial" w:eastAsia="Arial" w:hAnsi="Arial"/>
                <w:sz w:val="11"/>
                <w:szCs w:val="11"/>
                <w:b w:val="1"/>
                <w:bCs w:val="1"/>
                <w:color w:val="auto"/>
                <w:w w:val="84"/>
              </w:rPr>
              <w:t>Title of each class</w:t>
            </w:r>
          </w:p>
        </w:tc>
        <w:tc>
          <w:tcPr>
            <w:tcW w:w="3300" w:type="dxa"/>
            <w:vAlign w:val="bottom"/>
            <w:tcBorders>
              <w:bottom w:val="single" w:sz="8" w:color="auto"/>
            </w:tcBorders>
          </w:tcPr>
          <w:p>
            <w:pPr>
              <w:jc w:val="center"/>
              <w:ind w:left="184"/>
              <w:spacing w:after="0"/>
              <w:rPr>
                <w:sz w:val="20"/>
                <w:szCs w:val="20"/>
                <w:color w:val="auto"/>
              </w:rPr>
            </w:pPr>
            <w:r>
              <w:rPr>
                <w:rFonts w:ascii="Arial" w:cs="Arial" w:eastAsia="Arial" w:hAnsi="Arial"/>
                <w:sz w:val="11"/>
                <w:szCs w:val="11"/>
                <w:b w:val="1"/>
                <w:bCs w:val="1"/>
                <w:color w:val="auto"/>
                <w:w w:val="89"/>
              </w:rPr>
              <w:t>Trading Symbol(s)</w:t>
            </w:r>
          </w:p>
        </w:tc>
        <w:tc>
          <w:tcPr>
            <w:tcW w:w="3840" w:type="dxa"/>
            <w:vAlign w:val="bottom"/>
            <w:tcBorders>
              <w:bottom w:val="single" w:sz="8" w:color="auto"/>
            </w:tcBorders>
          </w:tcPr>
          <w:p>
            <w:pPr>
              <w:jc w:val="center"/>
              <w:ind w:right="347"/>
              <w:spacing w:after="0"/>
              <w:rPr>
                <w:sz w:val="20"/>
                <w:szCs w:val="20"/>
                <w:color w:val="auto"/>
              </w:rPr>
            </w:pPr>
            <w:r>
              <w:rPr>
                <w:rFonts w:ascii="Arial" w:cs="Arial" w:eastAsia="Arial" w:hAnsi="Arial"/>
                <w:sz w:val="11"/>
                <w:szCs w:val="11"/>
                <w:b w:val="1"/>
                <w:bCs w:val="1"/>
                <w:color w:val="auto"/>
                <w:w w:val="86"/>
              </w:rPr>
              <w:t>Name of each exchange on which registered</w:t>
            </w:r>
          </w:p>
        </w:tc>
        <w:tc>
          <w:tcPr>
            <w:tcW w:w="0" w:type="dxa"/>
            <w:vAlign w:val="bottom"/>
          </w:tcPr>
          <w:p>
            <w:pPr>
              <w:spacing w:after="0"/>
              <w:rPr>
                <w:sz w:val="1"/>
                <w:szCs w:val="1"/>
                <w:color w:val="auto"/>
              </w:rPr>
            </w:pPr>
          </w:p>
        </w:tc>
      </w:tr>
      <w:tr>
        <w:trPr>
          <w:trHeight w:val="131"/>
        </w:trPr>
        <w:tc>
          <w:tcPr>
            <w:tcW w:w="80" w:type="dxa"/>
            <w:vAlign w:val="bottom"/>
          </w:tcPr>
          <w:p>
            <w:pPr>
              <w:spacing w:after="0"/>
              <w:rPr>
                <w:sz w:val="11"/>
                <w:szCs w:val="11"/>
                <w:color w:val="auto"/>
              </w:rPr>
            </w:pPr>
          </w:p>
        </w:tc>
        <w:tc>
          <w:tcPr>
            <w:tcW w:w="4000" w:type="dxa"/>
            <w:vAlign w:val="bottom"/>
            <w:vMerge w:val="restart"/>
          </w:tcPr>
          <w:p>
            <w:pPr>
              <w:jc w:val="center"/>
              <w:ind w:left="588"/>
              <w:spacing w:after="0"/>
              <w:rPr>
                <w:sz w:val="20"/>
                <w:szCs w:val="20"/>
                <w:color w:val="auto"/>
              </w:rPr>
            </w:pPr>
            <w:r>
              <w:rPr>
                <w:rFonts w:ascii="Arial" w:cs="Arial" w:eastAsia="Arial" w:hAnsi="Arial"/>
                <w:sz w:val="11"/>
                <w:szCs w:val="11"/>
                <w:color w:val="auto"/>
                <w:w w:val="88"/>
              </w:rPr>
              <w:t>Class A Common Stock, par value $0.001 per share</w:t>
            </w:r>
          </w:p>
        </w:tc>
        <w:tc>
          <w:tcPr>
            <w:tcW w:w="3300" w:type="dxa"/>
            <w:vAlign w:val="bottom"/>
            <w:vMerge w:val="restart"/>
          </w:tcPr>
          <w:p>
            <w:pPr>
              <w:jc w:val="center"/>
              <w:ind w:left="184"/>
              <w:spacing w:after="0"/>
              <w:rPr>
                <w:sz w:val="20"/>
                <w:szCs w:val="20"/>
                <w:color w:val="auto"/>
              </w:rPr>
            </w:pPr>
            <w:r>
              <w:rPr>
                <w:rFonts w:ascii="Arial" w:cs="Arial" w:eastAsia="Arial" w:hAnsi="Arial"/>
                <w:sz w:val="11"/>
                <w:szCs w:val="11"/>
                <w:color w:val="auto"/>
                <w:w w:val="94"/>
              </w:rPr>
              <w:t>TWLO</w:t>
            </w:r>
          </w:p>
        </w:tc>
        <w:tc>
          <w:tcPr>
            <w:tcW w:w="3840" w:type="dxa"/>
            <w:vAlign w:val="bottom"/>
          </w:tcPr>
          <w:p>
            <w:pPr>
              <w:jc w:val="center"/>
              <w:ind w:right="347"/>
              <w:spacing w:after="0"/>
              <w:rPr>
                <w:sz w:val="20"/>
                <w:szCs w:val="20"/>
                <w:color w:val="auto"/>
              </w:rPr>
            </w:pPr>
            <w:r>
              <w:rPr>
                <w:rFonts w:ascii="Arial" w:cs="Arial" w:eastAsia="Arial" w:hAnsi="Arial"/>
                <w:sz w:val="11"/>
                <w:szCs w:val="11"/>
                <w:color w:val="auto"/>
                <w:w w:val="89"/>
              </w:rPr>
              <w:t>New York Stock Exchange</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4000" w:type="dxa"/>
            <w:vAlign w:val="bottom"/>
            <w:vMerge w:val="continue"/>
          </w:tcPr>
          <w:p>
            <w:pPr>
              <w:spacing w:after="0"/>
              <w:rPr>
                <w:sz w:val="6"/>
                <w:szCs w:val="6"/>
                <w:color w:val="auto"/>
              </w:rPr>
            </w:pPr>
          </w:p>
        </w:tc>
        <w:tc>
          <w:tcPr>
            <w:tcW w:w="3300" w:type="dxa"/>
            <w:vAlign w:val="bottom"/>
            <w:vMerge w:val="continue"/>
          </w:tcPr>
          <w:p>
            <w:pPr>
              <w:spacing w:after="0"/>
              <w:rPr>
                <w:sz w:val="6"/>
                <w:szCs w:val="6"/>
                <w:color w:val="auto"/>
              </w:rPr>
            </w:pPr>
          </w:p>
        </w:tc>
        <w:tc>
          <w:tcPr>
            <w:tcW w:w="3840" w:type="dxa"/>
            <w:vAlign w:val="bottom"/>
            <w:vMerge w:val="restart"/>
          </w:tcPr>
          <w:p>
            <w:pPr>
              <w:jc w:val="center"/>
              <w:ind w:right="367"/>
              <w:spacing w:after="0"/>
              <w:rPr>
                <w:sz w:val="20"/>
                <w:szCs w:val="20"/>
                <w:color w:val="auto"/>
              </w:rPr>
            </w:pPr>
            <w:r>
              <w:rPr>
                <w:rFonts w:ascii="Arial" w:cs="Arial" w:eastAsia="Arial" w:hAnsi="Arial"/>
                <w:sz w:val="11"/>
                <w:szCs w:val="11"/>
                <w:color w:val="auto"/>
                <w:w w:val="89"/>
              </w:rPr>
              <w:t>Long-Term Stock Exchange</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4000" w:type="dxa"/>
            <w:vAlign w:val="bottom"/>
          </w:tcPr>
          <w:p>
            <w:pPr>
              <w:spacing w:after="0"/>
              <w:rPr>
                <w:sz w:val="6"/>
                <w:szCs w:val="6"/>
                <w:color w:val="auto"/>
              </w:rPr>
            </w:pPr>
          </w:p>
        </w:tc>
        <w:tc>
          <w:tcPr>
            <w:tcW w:w="3300" w:type="dxa"/>
            <w:vAlign w:val="bottom"/>
          </w:tcPr>
          <w:p>
            <w:pPr>
              <w:spacing w:after="0"/>
              <w:rPr>
                <w:sz w:val="6"/>
                <w:szCs w:val="6"/>
                <w:color w:val="auto"/>
              </w:rPr>
            </w:pPr>
          </w:p>
        </w:tc>
        <w:tc>
          <w:tcPr>
            <w:tcW w:w="3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1"/>
                <w:szCs w:val="11"/>
                <w:color w:val="auto"/>
              </w:rPr>
              <w:t>Securities registered pursuant to Section 12(g) of the Act: None</w:t>
            </w:r>
          </w:p>
        </w:tc>
        <w:tc>
          <w:tcPr>
            <w:tcW w:w="3300" w:type="dxa"/>
            <w:vAlign w:val="bottom"/>
            <w:vMerge w:val="restart"/>
          </w:tcPr>
          <w:p>
            <w:pPr>
              <w:jc w:val="center"/>
              <w:ind w:right="104"/>
              <w:spacing w:after="0"/>
              <w:rPr>
                <w:sz w:val="20"/>
                <w:szCs w:val="20"/>
                <w:color w:val="auto"/>
              </w:rPr>
            </w:pPr>
            <w:r>
              <w:rPr>
                <w:rFonts w:ascii="Arial" w:cs="Arial" w:eastAsia="Arial" w:hAnsi="Arial"/>
                <w:sz w:val="11"/>
                <w:szCs w:val="11"/>
                <w:b w:val="1"/>
                <w:bCs w:val="1"/>
                <w:color w:val="auto"/>
                <w:w w:val="88"/>
              </w:rPr>
              <w:t>____________________________________________</w:t>
            </w:r>
          </w:p>
        </w:tc>
        <w:tc>
          <w:tcPr>
            <w:tcW w:w="3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3300" w:type="dxa"/>
            <w:vAlign w:val="bottom"/>
            <w:vMerge w:val="continue"/>
          </w:tcPr>
          <w:p>
            <w:pPr>
              <w:spacing w:after="0"/>
              <w:rPr>
                <w:sz w:val="10"/>
                <w:szCs w:val="10"/>
                <w:color w:val="auto"/>
              </w:rPr>
            </w:pP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-2162810</wp:posOffset>
            </wp:positionV>
            <wp:extent cx="445770" cy="194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5770" cy="194310"/>
                    </a:xfrm>
                    <a:prstGeom prst="rect">
                      <a:avLst/>
                    </a:prstGeom>
                    <a:noFill/>
                  </pic:spPr>
                </pic:pic>
              </a:graphicData>
            </a:graphic>
          </wp:anchor>
        </w:drawing>
      </w:r>
    </w:p>
    <w:p>
      <w:pPr>
        <w:spacing w:after="0" w:line="116" w:lineRule="exact"/>
        <w:rPr>
          <w:sz w:val="24"/>
          <w:szCs w:val="24"/>
          <w:color w:val="auto"/>
        </w:rPr>
      </w:pPr>
    </w:p>
    <w:p>
      <w:pPr>
        <w:ind w:left="420"/>
        <w:spacing w:after="0" w:line="115"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o</w:t>
      </w:r>
    </w:p>
    <w:p>
      <w:pPr>
        <w:spacing w:after="0" w:line="74" w:lineRule="exact"/>
        <w:rPr>
          <w:sz w:val="24"/>
          <w:szCs w:val="24"/>
          <w:color w:val="auto"/>
        </w:rPr>
      </w:pPr>
    </w:p>
    <w:p>
      <w:pPr>
        <w:ind w:left="420"/>
        <w:spacing w:after="0" w:line="115" w:lineRule="exact"/>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x</w:t>
      </w:r>
    </w:p>
    <w:p>
      <w:pPr>
        <w:spacing w:after="0" w:line="83" w:lineRule="exact"/>
        <w:rPr>
          <w:sz w:val="24"/>
          <w:szCs w:val="24"/>
          <w:color w:val="auto"/>
        </w:rPr>
      </w:pPr>
    </w:p>
    <w:p>
      <w:pPr>
        <w:jc w:val="both"/>
        <w:ind w:right="20" w:firstLine="432"/>
        <w:spacing w:after="0" w:line="257" w:lineRule="auto"/>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1" w:lineRule="exact"/>
        <w:rPr>
          <w:sz w:val="24"/>
          <w:szCs w:val="24"/>
          <w:color w:val="auto"/>
        </w:rPr>
      </w:pPr>
    </w:p>
    <w:p>
      <w:pPr>
        <w:ind w:right="220" w:firstLine="432"/>
        <w:spacing w:after="0" w:line="257" w:lineRule="auto"/>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1" w:lineRule="exact"/>
        <w:rPr>
          <w:sz w:val="24"/>
          <w:szCs w:val="24"/>
          <w:color w:val="auto"/>
        </w:rPr>
      </w:pPr>
    </w:p>
    <w:p>
      <w:pPr>
        <w:ind w:right="60" w:firstLine="432"/>
        <w:spacing w:after="0" w:line="239"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00" w:top="1009" w:right="379" w:bottom="1440" w:gutter="0" w:footer="0" w:header="0"/>
        </w:sectPr>
      </w:pPr>
    </w:p>
    <w:p>
      <w:pPr>
        <w:spacing w:after="0" w:line="95" w:lineRule="exact"/>
        <w:rPr>
          <w:sz w:val="24"/>
          <w:szCs w:val="24"/>
          <w:color w:val="auto"/>
        </w:rPr>
      </w:pPr>
    </w:p>
    <w:p>
      <w:pPr>
        <w:ind w:left="2100"/>
        <w:spacing w:after="0"/>
        <w:rPr>
          <w:sz w:val="20"/>
          <w:szCs w:val="20"/>
          <w:color w:val="auto"/>
        </w:rPr>
      </w:pPr>
      <w:r>
        <w:rPr>
          <w:rFonts w:ascii="Arial" w:cs="Arial" w:eastAsia="Arial" w:hAnsi="Arial"/>
          <w:sz w:val="8"/>
          <w:szCs w:val="8"/>
          <w:color w:val="auto"/>
        </w:rPr>
        <w:t>Large accelerated filer</w:t>
      </w:r>
    </w:p>
    <w:p>
      <w:pPr>
        <w:spacing w:after="0" w:line="34" w:lineRule="exact"/>
        <w:rPr>
          <w:sz w:val="24"/>
          <w:szCs w:val="24"/>
          <w:color w:val="auto"/>
        </w:rPr>
      </w:pPr>
    </w:p>
    <w:p>
      <w:pPr>
        <w:ind w:left="2120"/>
        <w:spacing w:after="0"/>
        <w:rPr>
          <w:sz w:val="20"/>
          <w:szCs w:val="20"/>
          <w:color w:val="auto"/>
        </w:rPr>
      </w:pPr>
      <w:r>
        <w:rPr>
          <w:rFonts w:ascii="Arial" w:cs="Arial" w:eastAsia="Arial" w:hAnsi="Arial"/>
          <w:sz w:val="8"/>
          <w:szCs w:val="8"/>
          <w:color w:val="auto"/>
        </w:rPr>
        <w:t>Non-accelerated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68"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1300"/>
        <w:spacing w:after="0"/>
        <w:rPr>
          <w:sz w:val="20"/>
          <w:szCs w:val="20"/>
          <w:color w:val="auto"/>
        </w:rPr>
      </w:pPr>
      <w:r>
        <w:rPr>
          <w:rFonts w:ascii="Arial" w:cs="Arial" w:eastAsia="Arial" w:hAnsi="Arial"/>
          <w:sz w:val="10"/>
          <w:szCs w:val="10"/>
          <w:color w:val="auto"/>
        </w:rPr>
        <w:t>Accelerated filer</w:t>
      </w:r>
    </w:p>
    <w:p>
      <w:pPr>
        <w:spacing w:after="0" w:line="11" w:lineRule="exact"/>
        <w:rPr>
          <w:sz w:val="24"/>
          <w:szCs w:val="24"/>
          <w:color w:val="auto"/>
        </w:rPr>
      </w:pPr>
    </w:p>
    <w:p>
      <w:pPr>
        <w:jc w:val="center"/>
        <w:ind w:right="1300"/>
        <w:spacing w:after="0"/>
        <w:rPr>
          <w:sz w:val="20"/>
          <w:szCs w:val="20"/>
          <w:color w:val="auto"/>
        </w:rPr>
      </w:pPr>
      <w:r>
        <w:rPr>
          <w:rFonts w:ascii="Arial" w:cs="Arial" w:eastAsia="Arial" w:hAnsi="Arial"/>
          <w:sz w:val="8"/>
          <w:szCs w:val="8"/>
          <w:color w:val="auto"/>
        </w:rPr>
        <w:t>Smaller reporting company</w:t>
      </w:r>
    </w:p>
    <w:p>
      <w:pPr>
        <w:spacing w:after="0" w:line="34" w:lineRule="exact"/>
        <w:rPr>
          <w:sz w:val="24"/>
          <w:szCs w:val="24"/>
          <w:color w:val="auto"/>
        </w:rPr>
      </w:pPr>
    </w:p>
    <w:p>
      <w:pPr>
        <w:jc w:val="center"/>
        <w:ind w:right="1300"/>
        <w:spacing w:after="0"/>
        <w:rPr>
          <w:sz w:val="20"/>
          <w:szCs w:val="20"/>
          <w:color w:val="auto"/>
        </w:rPr>
      </w:pPr>
      <w:r>
        <w:rPr>
          <w:rFonts w:ascii="Arial" w:cs="Arial" w:eastAsia="Arial" w:hAnsi="Arial"/>
          <w:sz w:val="8"/>
          <w:szCs w:val="8"/>
          <w:color w:val="auto"/>
        </w:rPr>
        <w:t>Emerging growth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68"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46"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7" w:lineRule="exact"/>
        <w:rPr>
          <w:sz w:val="24"/>
          <w:szCs w:val="24"/>
          <w:color w:val="auto"/>
        </w:rPr>
      </w:pPr>
    </w:p>
    <w:p>
      <w:pPr>
        <w:sectPr>
          <w:pgSz w:w="11900" w:h="16838" w:orient="portrait"/>
          <w:cols w:equalWidth="0" w:num="4">
            <w:col w:w="4360" w:space="720"/>
            <w:col w:w="2060" w:space="720"/>
            <w:col w:w="2360" w:space="720"/>
            <w:col w:w="280"/>
          </w:cols>
          <w:pgMar w:left="300" w:top="1009" w:right="379" w:bottom="1440" w:gutter="0" w:footer="0" w:header="0"/>
          <w:type w:val="continuous"/>
        </w:sectPr>
      </w:pPr>
    </w:p>
    <w:p>
      <w:pPr>
        <w:spacing w:after="0" w:line="59" w:lineRule="exact"/>
        <w:rPr>
          <w:sz w:val="24"/>
          <w:szCs w:val="24"/>
          <w:color w:val="auto"/>
        </w:rPr>
      </w:pPr>
    </w:p>
    <w:p>
      <w:pPr>
        <w:ind w:left="420"/>
        <w:spacing w:after="0"/>
        <w:rPr>
          <w:sz w:val="20"/>
          <w:szCs w:val="20"/>
          <w:color w:val="auto"/>
        </w:rPr>
      </w:pPr>
      <w:r>
        <w:rPr>
          <w:rFonts w:ascii="Arial" w:cs="Arial" w:eastAsia="Arial" w:hAnsi="Arial"/>
          <w:sz w:val="8"/>
          <w:szCs w:val="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59" w:lineRule="exact"/>
        <w:rPr>
          <w:sz w:val="24"/>
          <w:szCs w:val="24"/>
          <w:color w:val="auto"/>
        </w:rPr>
      </w:pPr>
    </w:p>
    <w:p>
      <w:pPr>
        <w:sectPr>
          <w:pgSz w:w="11900" w:h="16838" w:orient="portrait"/>
          <w:cols w:equalWidth="0" w:num="2">
            <w:col w:w="10100" w:space="100"/>
            <w:col w:w="1020"/>
          </w:cols>
          <w:pgMar w:left="300" w:top="1009" w:right="379" w:bottom="1440" w:gutter="0" w:footer="0" w:header="0"/>
          <w:type w:val="continuous"/>
        </w:sectPr>
      </w:pPr>
    </w:p>
    <w:p>
      <w:pPr>
        <w:ind w:right="300" w:firstLine="432"/>
        <w:spacing w:after="0" w:line="138"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76" w:lineRule="exact"/>
        <w:rPr>
          <w:sz w:val="24"/>
          <w:szCs w:val="24"/>
          <w:color w:val="auto"/>
        </w:rPr>
      </w:pPr>
    </w:p>
    <w:p>
      <w:pPr>
        <w:ind w:left="420"/>
        <w:spacing w:after="0" w:line="11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x</w:t>
      </w:r>
    </w:p>
    <w:p>
      <w:pPr>
        <w:spacing w:after="0" w:line="110" w:lineRule="exact"/>
        <w:rPr>
          <w:sz w:val="24"/>
          <w:szCs w:val="24"/>
          <w:color w:val="auto"/>
        </w:rPr>
      </w:pPr>
    </w:p>
    <w:p>
      <w:pPr>
        <w:ind w:left="420"/>
        <w:spacing w:after="0"/>
        <w:rPr>
          <w:sz w:val="20"/>
          <w:szCs w:val="20"/>
          <w:color w:val="auto"/>
        </w:rPr>
      </w:pPr>
      <w:r>
        <w:rPr>
          <w:rFonts w:ascii="Arial" w:cs="Arial" w:eastAsia="Arial" w:hAnsi="Arial"/>
          <w:sz w:val="8"/>
          <w:szCs w:val="8"/>
          <w:color w:val="auto"/>
        </w:rPr>
        <w:t>The aggregate market value of stock held by non-affiliates as of June 30, 2021 (the last business day of the registrant's most recently completed second quarter) was $51.0 billion based upon $394.16 per share, the closing price on June 30, 2021 on the New York Stock Exchange.</w:t>
      </w:r>
    </w:p>
    <w:p>
      <w:pPr>
        <w:spacing w:after="0" w:line="22" w:lineRule="exact"/>
        <w:rPr>
          <w:sz w:val="24"/>
          <w:szCs w:val="24"/>
          <w:color w:val="auto"/>
        </w:rPr>
      </w:pPr>
    </w:p>
    <w:p>
      <w:pPr>
        <w:spacing w:after="0"/>
        <w:rPr>
          <w:sz w:val="20"/>
          <w:szCs w:val="20"/>
          <w:color w:val="auto"/>
        </w:rPr>
      </w:pPr>
      <w:r>
        <w:rPr>
          <w:rFonts w:ascii="Arial" w:cs="Arial" w:eastAsia="Arial" w:hAnsi="Arial"/>
          <w:sz w:val="10"/>
          <w:szCs w:val="10"/>
          <w:color w:val="auto"/>
        </w:rPr>
        <w:t>Determination of stock ownership by non-affiliates was made solely for the purpose of responding to this requirement and the registrant is not bound by this determination for any other purpose.</w:t>
      </w:r>
    </w:p>
    <w:p>
      <w:pPr>
        <w:spacing w:after="0" w:line="59" w:lineRule="exact"/>
        <w:rPr>
          <w:sz w:val="24"/>
          <w:szCs w:val="24"/>
          <w:color w:val="auto"/>
        </w:rPr>
      </w:pPr>
    </w:p>
    <w:p>
      <w:pPr>
        <w:ind w:left="420"/>
        <w:spacing w:after="0"/>
        <w:rPr>
          <w:sz w:val="20"/>
          <w:szCs w:val="20"/>
          <w:color w:val="auto"/>
        </w:rPr>
      </w:pPr>
      <w:r>
        <w:rPr>
          <w:rFonts w:ascii="Arial" w:cs="Arial" w:eastAsia="Arial" w:hAnsi="Arial"/>
          <w:sz w:val="10"/>
          <w:szCs w:val="10"/>
          <w:color w:val="auto"/>
        </w:rPr>
        <w:t>On February 15, 2022, 171,702,846 shares of the registrant’s Class A common stock and 9,820,605 shares of registrant’s Class B common stock were outstanding.</w:t>
      </w:r>
    </w:p>
    <w:p>
      <w:pPr>
        <w:spacing w:after="0" w:line="63" w:lineRule="exact"/>
        <w:rPr>
          <w:sz w:val="24"/>
          <w:szCs w:val="24"/>
          <w:color w:val="auto"/>
        </w:rPr>
      </w:pPr>
    </w:p>
    <w:p>
      <w:pPr>
        <w:ind w:left="4660"/>
        <w:spacing w:after="0"/>
        <w:rPr>
          <w:sz w:val="20"/>
          <w:szCs w:val="20"/>
          <w:color w:val="auto"/>
        </w:rPr>
      </w:pPr>
      <w:r>
        <w:rPr>
          <w:rFonts w:ascii="Arial" w:cs="Arial" w:eastAsia="Arial" w:hAnsi="Arial"/>
          <w:sz w:val="10"/>
          <w:szCs w:val="10"/>
          <w:b w:val="1"/>
          <w:bCs w:val="1"/>
          <w:color w:val="auto"/>
        </w:rPr>
        <w:t>DOCUMENTS INCORPORATED BY REFERENCE</w:t>
      </w:r>
    </w:p>
    <w:p>
      <w:pPr>
        <w:spacing w:after="0" w:line="67" w:lineRule="exact"/>
        <w:rPr>
          <w:sz w:val="24"/>
          <w:szCs w:val="24"/>
          <w:color w:val="auto"/>
        </w:rPr>
      </w:pPr>
    </w:p>
    <w:p>
      <w:pPr>
        <w:ind w:right="220" w:firstLine="243"/>
        <w:spacing w:after="0" w:line="239" w:lineRule="auto"/>
        <w:rPr>
          <w:sz w:val="20"/>
          <w:szCs w:val="20"/>
          <w:color w:val="auto"/>
        </w:rPr>
      </w:pPr>
      <w:r>
        <w:rPr>
          <w:rFonts w:ascii="Arial" w:cs="Arial" w:eastAsia="Arial" w:hAnsi="Arial"/>
          <w:sz w:val="10"/>
          <w:szCs w:val="10"/>
          <w:color w:val="auto"/>
        </w:rPr>
        <w:t>Portions of the registrant's definitive Proxy Statement for the 2022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638175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90805</wp:posOffset>
            </wp:positionV>
            <wp:extent cx="7064375"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4375" cy="1143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73660</wp:posOffset>
            </wp:positionV>
            <wp:extent cx="70643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64375" cy="5715"/>
                    </a:xfrm>
                    <a:prstGeom prst="rect">
                      <a:avLst/>
                    </a:prstGeom>
                    <a:noFill/>
                  </pic:spPr>
                </pic:pic>
              </a:graphicData>
            </a:graphic>
          </wp:anchor>
        </w:drawing>
      </w:r>
    </w:p>
    <w:p>
      <w:pPr>
        <w:sectPr>
          <w:pgSz w:w="11900" w:h="16838" w:orient="portrait"/>
          <w:cols w:equalWidth="0" w:num="1">
            <w:col w:w="11220"/>
          </w:cols>
          <w:pgMar w:left="300" w:top="100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4"/>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580" w:type="dxa"/>
            <w:vAlign w:val="bottom"/>
            <w:gridSpan w:val="3"/>
          </w:tcPr>
          <w:p>
            <w:pPr>
              <w:jc w:val="center"/>
              <w:ind w:right="4400"/>
              <w:spacing w:after="0"/>
              <w:rPr>
                <w:sz w:val="20"/>
                <w:szCs w:val="20"/>
                <w:color w:val="auto"/>
              </w:rPr>
            </w:pPr>
            <w:r>
              <w:rPr>
                <w:rFonts w:ascii="Arial" w:cs="Arial" w:eastAsia="Arial" w:hAnsi="Arial"/>
                <w:sz w:val="12"/>
                <w:szCs w:val="12"/>
                <w:b w:val="1"/>
                <w:bCs w:val="1"/>
                <w:color w:val="auto"/>
              </w:rPr>
              <w:t>TWILIO INC.</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40" w:type="dxa"/>
            <w:vAlign w:val="bottom"/>
            <w:gridSpan w:val="4"/>
          </w:tcPr>
          <w:p>
            <w:pPr>
              <w:jc w:val="center"/>
              <w:ind w:right="3760"/>
              <w:spacing w:after="0"/>
              <w:rPr>
                <w:sz w:val="20"/>
                <w:szCs w:val="20"/>
                <w:color w:val="auto"/>
              </w:rPr>
            </w:pPr>
            <w:r>
              <w:rPr>
                <w:rFonts w:ascii="Arial" w:cs="Arial" w:eastAsia="Arial" w:hAnsi="Arial"/>
                <w:sz w:val="12"/>
                <w:szCs w:val="12"/>
                <w:b w:val="1"/>
                <w:bCs w:val="1"/>
                <w:color w:val="auto"/>
                <w:w w:val="93"/>
              </w:rPr>
              <w:t>Annual Report on Form 10-K</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40" w:type="dxa"/>
            <w:vAlign w:val="bottom"/>
            <w:gridSpan w:val="4"/>
          </w:tcPr>
          <w:p>
            <w:pPr>
              <w:jc w:val="center"/>
              <w:ind w:right="3740"/>
              <w:spacing w:after="0"/>
              <w:rPr>
                <w:sz w:val="20"/>
                <w:szCs w:val="20"/>
                <w:color w:val="auto"/>
              </w:rPr>
            </w:pPr>
            <w:r>
              <w:rPr>
                <w:rFonts w:ascii="Arial" w:cs="Arial" w:eastAsia="Arial" w:hAnsi="Arial"/>
                <w:sz w:val="12"/>
                <w:szCs w:val="12"/>
                <w:b w:val="1"/>
                <w:bCs w:val="1"/>
                <w:color w:val="auto"/>
                <w:w w:val="90"/>
              </w:rPr>
              <w:t>For the Fiscal Year Ended December 31, 2021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40" w:type="dxa"/>
            <w:vAlign w:val="bottom"/>
            <w:gridSpan w:val="4"/>
          </w:tcPr>
          <w:p>
            <w:pPr>
              <w:jc w:val="center"/>
              <w:ind w:right="3760"/>
              <w:spacing w:after="0"/>
              <w:rPr>
                <w:sz w:val="20"/>
                <w:szCs w:val="20"/>
                <w:color w:val="auto"/>
              </w:rPr>
            </w:pPr>
            <w:r>
              <w:rPr>
                <w:rFonts w:ascii="Arial" w:cs="Arial" w:eastAsia="Arial" w:hAnsi="Arial"/>
                <w:sz w:val="12"/>
                <w:szCs w:val="12"/>
                <w:b w:val="1"/>
                <w:bCs w:val="1"/>
                <w:color w:val="auto"/>
                <w:w w:val="98"/>
              </w:rPr>
              <w:t>TABLE OF CONTENTS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9"/>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40" w:type="dxa"/>
            <w:vAlign w:val="bottom"/>
            <w:gridSpan w:val="2"/>
            <w:vMerge w:val="restart"/>
          </w:tcPr>
          <w:p>
            <w:pPr>
              <w:jc w:val="center"/>
              <w:ind w:right="4620"/>
              <w:spacing w:after="0"/>
              <w:rPr>
                <w:sz w:val="20"/>
                <w:szCs w:val="20"/>
                <w:color w:val="auto"/>
              </w:rPr>
            </w:pPr>
            <w:r>
              <w:rPr>
                <w:rFonts w:ascii="Arial" w:cs="Arial" w:eastAsia="Arial" w:hAnsi="Arial"/>
                <w:sz w:val="11"/>
                <w:szCs w:val="11"/>
                <w:b w:val="1"/>
                <w:bCs w:val="1"/>
                <w:color w:val="2C2C2C"/>
              </w:rPr>
              <w:t>PART I</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22"/>
        </w:trPr>
        <w:tc>
          <w:tcPr>
            <w:tcW w:w="980" w:type="dxa"/>
            <w:vAlign w:val="bottom"/>
            <w:gridSpan w:val="3"/>
            <w:vMerge w:val="restart"/>
          </w:tcPr>
          <w:p>
            <w:pPr>
              <w:spacing w:after="0"/>
              <w:rPr>
                <w:rFonts w:ascii="Arial" w:cs="Arial" w:eastAsia="Arial" w:hAnsi="Arial"/>
                <w:sz w:val="11"/>
                <w:szCs w:val="11"/>
                <w:b w:val="1"/>
                <w:bCs w:val="1"/>
                <w:color w:val="0000FF"/>
              </w:rPr>
            </w:pPr>
            <w:hyperlink w:anchor="page6">
              <w:r>
                <w:rPr>
                  <w:rFonts w:ascii="Arial" w:cs="Arial" w:eastAsia="Arial" w:hAnsi="Arial"/>
                  <w:sz w:val="11"/>
                  <w:szCs w:val="11"/>
                  <w:b w:val="1"/>
                  <w:bCs w:val="1"/>
                  <w:color w:val="0000FF"/>
                </w:rPr>
                <w:t>Item 1.</w:t>
              </w:r>
            </w:hyperlink>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80" w:type="dxa"/>
            <w:vAlign w:val="bottom"/>
            <w:gridSpan w:val="3"/>
            <w:vMerge w:val="continue"/>
          </w:tcPr>
          <w:p>
            <w:pPr>
              <w:spacing w:after="0"/>
              <w:rPr>
                <w:sz w:val="10"/>
                <w:szCs w:val="10"/>
                <w:color w:val="auto"/>
              </w:rPr>
            </w:pPr>
          </w:p>
        </w:tc>
        <w:tc>
          <w:tcPr>
            <w:tcW w:w="9660" w:type="dxa"/>
            <w:vAlign w:val="bottom"/>
            <w:gridSpan w:val="19"/>
          </w:tcPr>
          <w:p>
            <w:pPr>
              <w:spacing w:after="0" w:line="121" w:lineRule="exact"/>
              <w:rPr>
                <w:rFonts w:ascii="Arial" w:cs="Arial" w:eastAsia="Arial" w:hAnsi="Arial"/>
                <w:sz w:val="11"/>
                <w:szCs w:val="11"/>
                <w:color w:val="0000FF"/>
              </w:rPr>
            </w:pPr>
            <w:hyperlink w:anchor="page6">
              <w:r>
                <w:rPr>
                  <w:rFonts w:ascii="Arial" w:cs="Arial" w:eastAsia="Arial" w:hAnsi="Arial"/>
                  <w:sz w:val="11"/>
                  <w:szCs w:val="11"/>
                  <w:color w:val="0000FF"/>
                </w:rPr>
                <w:t>Business</w:t>
              </w:r>
            </w:hyperlink>
          </w:p>
        </w:tc>
        <w:tc>
          <w:tcPr>
            <w:tcW w:w="120" w:type="dxa"/>
            <w:vAlign w:val="bottom"/>
            <w:gridSpan w:val="2"/>
          </w:tcPr>
          <w:p>
            <w:pPr>
              <w:ind w:left="20"/>
              <w:spacing w:after="0" w:line="121" w:lineRule="exact"/>
              <w:rPr>
                <w:rFonts w:ascii="Arial" w:cs="Arial" w:eastAsia="Arial" w:hAnsi="Arial"/>
                <w:sz w:val="11"/>
                <w:szCs w:val="11"/>
                <w:u w:val="single" w:color="auto"/>
                <w:color w:val="0000FF"/>
                <w:w w:val="97"/>
              </w:rPr>
            </w:pPr>
            <w:hyperlink w:anchor="page6">
              <w:r>
                <w:rPr>
                  <w:rFonts w:ascii="Arial" w:cs="Arial" w:eastAsia="Arial" w:hAnsi="Arial"/>
                  <w:sz w:val="11"/>
                  <w:szCs w:val="11"/>
                  <w:u w:val="single" w:color="auto"/>
                  <w:color w:val="0000FF"/>
                  <w:w w:val="97"/>
                </w:rPr>
                <w:t>5</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gridSpan w:val="2"/>
          </w:tcPr>
          <w:p>
            <w:pPr>
              <w:spacing w:after="0" w:line="124" w:lineRule="exact"/>
              <w:rPr>
                <w:sz w:val="20"/>
                <w:szCs w:val="20"/>
                <w:color w:val="auto"/>
              </w:rPr>
            </w:pPr>
            <w:r>
              <w:rPr>
                <w:rFonts w:ascii="Arial" w:cs="Arial" w:eastAsia="Arial" w:hAnsi="Arial"/>
                <w:sz w:val="11"/>
                <w:szCs w:val="11"/>
                <w:b w:val="1"/>
                <w:bCs w:val="1"/>
                <w:color w:val="0000FF"/>
                <w:w w:val="88"/>
              </w:rPr>
              <w:t>Item 1A.</w:t>
            </w:r>
          </w:p>
        </w:tc>
        <w:tc>
          <w:tcPr>
            <w:tcW w:w="560" w:type="dxa"/>
            <w:vAlign w:val="bottom"/>
          </w:tcPr>
          <w:p>
            <w:pPr>
              <w:spacing w:after="0"/>
              <w:rPr>
                <w:sz w:val="10"/>
                <w:szCs w:val="10"/>
                <w:color w:val="auto"/>
              </w:rPr>
            </w:pPr>
          </w:p>
        </w:tc>
        <w:tc>
          <w:tcPr>
            <w:tcW w:w="580" w:type="dxa"/>
            <w:vAlign w:val="bottom"/>
            <w:gridSpan w:val="3"/>
          </w:tcPr>
          <w:p>
            <w:pPr>
              <w:spacing w:after="0" w:line="124" w:lineRule="exact"/>
              <w:rPr>
                <w:sz w:val="20"/>
                <w:szCs w:val="20"/>
                <w:color w:val="auto"/>
              </w:rPr>
            </w:pPr>
            <w:r>
              <w:rPr>
                <w:rFonts w:ascii="Arial" w:cs="Arial" w:eastAsia="Arial" w:hAnsi="Arial"/>
                <w:sz w:val="11"/>
                <w:szCs w:val="11"/>
                <w:color w:val="0000FF"/>
                <w:w w:val="91"/>
              </w:rPr>
              <w:t>Risk Factors</w:t>
            </w:r>
          </w:p>
        </w:tc>
        <w:tc>
          <w:tcPr>
            <w:tcW w:w="9080" w:type="dxa"/>
            <w:vAlign w:val="bottom"/>
            <w:gridSpan w:val="16"/>
          </w:tcPr>
          <w:p>
            <w:pPr>
              <w:spacing w:after="0"/>
              <w:rPr>
                <w:sz w:val="10"/>
                <w:szCs w:val="10"/>
                <w:color w:val="auto"/>
              </w:rPr>
            </w:pPr>
          </w:p>
        </w:tc>
        <w:tc>
          <w:tcPr>
            <w:tcW w:w="120" w:type="dxa"/>
            <w:vAlign w:val="bottom"/>
            <w:gridSpan w:val="2"/>
          </w:tcPr>
          <w:p>
            <w:pPr>
              <w:ind w:left="20"/>
              <w:spacing w:after="0"/>
              <w:rPr>
                <w:rFonts w:ascii="Arial" w:cs="Arial" w:eastAsia="Arial" w:hAnsi="Arial"/>
                <w:sz w:val="7"/>
                <w:szCs w:val="7"/>
                <w:color w:val="0000FF"/>
                <w:w w:val="76"/>
              </w:rPr>
            </w:pPr>
            <w:hyperlink w:anchor="page18">
              <w:r>
                <w:rPr>
                  <w:rFonts w:ascii="Arial" w:cs="Arial" w:eastAsia="Arial" w:hAnsi="Arial"/>
                  <w:sz w:val="7"/>
                  <w:szCs w:val="7"/>
                  <w:color w:val="0000FF"/>
                  <w:w w:val="76"/>
                </w:rPr>
                <w:t>18</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gridSpan w:val="2"/>
          </w:tcPr>
          <w:p>
            <w:pPr>
              <w:spacing w:after="0" w:line="124" w:lineRule="exact"/>
              <w:rPr>
                <w:rFonts w:ascii="Arial" w:cs="Arial" w:eastAsia="Arial" w:hAnsi="Arial"/>
                <w:sz w:val="11"/>
                <w:szCs w:val="11"/>
                <w:b w:val="1"/>
                <w:bCs w:val="1"/>
                <w:color w:val="0000FF"/>
                <w:w w:val="88"/>
              </w:rPr>
            </w:pPr>
            <w:hyperlink w:anchor="page54">
              <w:r>
                <w:rPr>
                  <w:rFonts w:ascii="Arial" w:cs="Arial" w:eastAsia="Arial" w:hAnsi="Arial"/>
                  <w:sz w:val="11"/>
                  <w:szCs w:val="11"/>
                  <w:b w:val="1"/>
                  <w:bCs w:val="1"/>
                  <w:color w:val="0000FF"/>
                  <w:w w:val="88"/>
                </w:rPr>
                <w:t>Item 1B.</w:t>
              </w:r>
            </w:hyperlink>
          </w:p>
        </w:tc>
        <w:tc>
          <w:tcPr>
            <w:tcW w:w="560" w:type="dxa"/>
            <w:vAlign w:val="bottom"/>
          </w:tcPr>
          <w:p>
            <w:pPr>
              <w:spacing w:after="0"/>
              <w:rPr>
                <w:sz w:val="10"/>
                <w:szCs w:val="10"/>
                <w:color w:val="auto"/>
              </w:rPr>
            </w:pPr>
          </w:p>
        </w:tc>
        <w:tc>
          <w:tcPr>
            <w:tcW w:w="9660" w:type="dxa"/>
            <w:vAlign w:val="bottom"/>
            <w:gridSpan w:val="19"/>
          </w:tcPr>
          <w:p>
            <w:pPr>
              <w:spacing w:after="0" w:line="124" w:lineRule="exact"/>
              <w:rPr>
                <w:rFonts w:ascii="Arial" w:cs="Arial" w:eastAsia="Arial" w:hAnsi="Arial"/>
                <w:sz w:val="11"/>
                <w:szCs w:val="11"/>
                <w:color w:val="0000FF"/>
              </w:rPr>
            </w:pPr>
            <w:hyperlink w:anchor="page54">
              <w:r>
                <w:rPr>
                  <w:rFonts w:ascii="Arial" w:cs="Arial" w:eastAsia="Arial" w:hAnsi="Arial"/>
                  <w:sz w:val="11"/>
                  <w:szCs w:val="11"/>
                  <w:color w:val="0000FF"/>
                </w:rPr>
                <w:t>Unresolved Staff Comments</w:t>
              </w:r>
            </w:hyperlink>
          </w:p>
        </w:tc>
        <w:tc>
          <w:tcPr>
            <w:tcW w:w="120" w:type="dxa"/>
            <w:vAlign w:val="bottom"/>
            <w:gridSpan w:val="2"/>
          </w:tcPr>
          <w:p>
            <w:pPr>
              <w:ind w:left="20"/>
              <w:spacing w:after="0"/>
              <w:rPr>
                <w:rFonts w:ascii="Arial" w:cs="Arial" w:eastAsia="Arial" w:hAnsi="Arial"/>
                <w:sz w:val="7"/>
                <w:szCs w:val="7"/>
                <w:color w:val="0000FF"/>
                <w:w w:val="76"/>
              </w:rPr>
            </w:pPr>
            <w:hyperlink w:anchor="page54">
              <w:r>
                <w:rPr>
                  <w:rFonts w:ascii="Arial" w:cs="Arial" w:eastAsia="Arial" w:hAnsi="Arial"/>
                  <w:sz w:val="7"/>
                  <w:szCs w:val="7"/>
                  <w:color w:val="0000FF"/>
                  <w:w w:val="76"/>
                </w:rPr>
                <w:t>53</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gridSpan w:val="2"/>
          </w:tcPr>
          <w:p>
            <w:pPr>
              <w:spacing w:after="0" w:line="124" w:lineRule="exact"/>
              <w:rPr>
                <w:rFonts w:ascii="Arial" w:cs="Arial" w:eastAsia="Arial" w:hAnsi="Arial"/>
                <w:sz w:val="11"/>
                <w:szCs w:val="11"/>
                <w:b w:val="1"/>
                <w:bCs w:val="1"/>
                <w:color w:val="0000FF"/>
              </w:rPr>
            </w:pPr>
            <w:hyperlink w:anchor="page54">
              <w:r>
                <w:rPr>
                  <w:rFonts w:ascii="Arial" w:cs="Arial" w:eastAsia="Arial" w:hAnsi="Arial"/>
                  <w:sz w:val="11"/>
                  <w:szCs w:val="11"/>
                  <w:b w:val="1"/>
                  <w:bCs w:val="1"/>
                  <w:color w:val="0000FF"/>
                </w:rPr>
                <w:t>Item 2.</w:t>
              </w:r>
            </w:hyperlink>
          </w:p>
        </w:tc>
        <w:tc>
          <w:tcPr>
            <w:tcW w:w="560" w:type="dxa"/>
            <w:vAlign w:val="bottom"/>
          </w:tcPr>
          <w:p>
            <w:pPr>
              <w:spacing w:after="0"/>
              <w:rPr>
                <w:sz w:val="10"/>
                <w:szCs w:val="10"/>
                <w:color w:val="auto"/>
              </w:rPr>
            </w:pPr>
          </w:p>
        </w:tc>
        <w:tc>
          <w:tcPr>
            <w:tcW w:w="1300" w:type="dxa"/>
            <w:vAlign w:val="bottom"/>
            <w:gridSpan w:val="8"/>
          </w:tcPr>
          <w:p>
            <w:pPr>
              <w:spacing w:after="0" w:line="124" w:lineRule="exact"/>
              <w:rPr>
                <w:rFonts w:ascii="Arial" w:cs="Arial" w:eastAsia="Arial" w:hAnsi="Arial"/>
                <w:sz w:val="11"/>
                <w:szCs w:val="11"/>
                <w:color w:val="0000FF"/>
              </w:rPr>
            </w:pPr>
            <w:hyperlink w:anchor="page54">
              <w:r>
                <w:rPr>
                  <w:rFonts w:ascii="Arial" w:cs="Arial" w:eastAsia="Arial" w:hAnsi="Arial"/>
                  <w:sz w:val="11"/>
                  <w:szCs w:val="11"/>
                  <w:color w:val="0000FF"/>
                </w:rPr>
                <w:t>Properties</w:t>
              </w:r>
            </w:hyperlink>
          </w:p>
        </w:tc>
        <w:tc>
          <w:tcPr>
            <w:tcW w:w="8360" w:type="dxa"/>
            <w:vAlign w:val="bottom"/>
            <w:gridSpan w:val="11"/>
          </w:tcPr>
          <w:p>
            <w:pPr>
              <w:spacing w:after="0"/>
              <w:rPr>
                <w:sz w:val="10"/>
                <w:szCs w:val="10"/>
                <w:color w:val="auto"/>
              </w:rPr>
            </w:pPr>
          </w:p>
        </w:tc>
        <w:tc>
          <w:tcPr>
            <w:tcW w:w="120" w:type="dxa"/>
            <w:vAlign w:val="bottom"/>
            <w:gridSpan w:val="2"/>
          </w:tcPr>
          <w:p>
            <w:pPr>
              <w:ind w:left="20"/>
              <w:spacing w:after="0"/>
              <w:rPr>
                <w:rFonts w:ascii="Arial" w:cs="Arial" w:eastAsia="Arial" w:hAnsi="Arial"/>
                <w:sz w:val="7"/>
                <w:szCs w:val="7"/>
                <w:color w:val="0000FF"/>
                <w:w w:val="76"/>
              </w:rPr>
            </w:pPr>
            <w:hyperlink w:anchor="page54">
              <w:r>
                <w:rPr>
                  <w:rFonts w:ascii="Arial" w:cs="Arial" w:eastAsia="Arial" w:hAnsi="Arial"/>
                  <w:sz w:val="7"/>
                  <w:szCs w:val="7"/>
                  <w:color w:val="0000FF"/>
                  <w:w w:val="76"/>
                </w:rPr>
                <w:t>53</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80" w:type="dxa"/>
            <w:vAlign w:val="bottom"/>
            <w:gridSpan w:val="3"/>
          </w:tcPr>
          <w:p>
            <w:pPr>
              <w:spacing w:after="0" w:line="124" w:lineRule="exact"/>
              <w:rPr>
                <w:rFonts w:ascii="Arial" w:cs="Arial" w:eastAsia="Arial" w:hAnsi="Arial"/>
                <w:sz w:val="11"/>
                <w:szCs w:val="11"/>
                <w:b w:val="1"/>
                <w:bCs w:val="1"/>
                <w:color w:val="0000FF"/>
              </w:rPr>
            </w:pPr>
            <w:hyperlink w:anchor="page54">
              <w:r>
                <w:rPr>
                  <w:rFonts w:ascii="Arial" w:cs="Arial" w:eastAsia="Arial" w:hAnsi="Arial"/>
                  <w:sz w:val="11"/>
                  <w:szCs w:val="11"/>
                  <w:b w:val="1"/>
                  <w:bCs w:val="1"/>
                  <w:color w:val="0000FF"/>
                </w:rPr>
                <w:t>Item 3.</w:t>
              </w:r>
            </w:hyperlink>
          </w:p>
        </w:tc>
        <w:tc>
          <w:tcPr>
            <w:tcW w:w="9660" w:type="dxa"/>
            <w:vAlign w:val="bottom"/>
            <w:gridSpan w:val="19"/>
          </w:tcPr>
          <w:p>
            <w:pPr>
              <w:spacing w:after="0" w:line="124" w:lineRule="exact"/>
              <w:rPr>
                <w:rFonts w:ascii="Arial" w:cs="Arial" w:eastAsia="Arial" w:hAnsi="Arial"/>
                <w:sz w:val="11"/>
                <w:szCs w:val="11"/>
                <w:color w:val="0000FF"/>
              </w:rPr>
            </w:pPr>
            <w:hyperlink w:anchor="page54">
              <w:r>
                <w:rPr>
                  <w:rFonts w:ascii="Arial" w:cs="Arial" w:eastAsia="Arial" w:hAnsi="Arial"/>
                  <w:sz w:val="11"/>
                  <w:szCs w:val="11"/>
                  <w:color w:val="0000FF"/>
                </w:rPr>
                <w:t>Legal Proceedings</w:t>
              </w:r>
            </w:hyperlink>
          </w:p>
        </w:tc>
        <w:tc>
          <w:tcPr>
            <w:tcW w:w="120" w:type="dxa"/>
            <w:vAlign w:val="bottom"/>
            <w:gridSpan w:val="2"/>
          </w:tcPr>
          <w:p>
            <w:pPr>
              <w:ind w:left="20"/>
              <w:spacing w:after="0"/>
              <w:rPr>
                <w:rFonts w:ascii="Arial" w:cs="Arial" w:eastAsia="Arial" w:hAnsi="Arial"/>
                <w:sz w:val="7"/>
                <w:szCs w:val="7"/>
                <w:color w:val="0000FF"/>
                <w:w w:val="76"/>
              </w:rPr>
            </w:pPr>
            <w:hyperlink w:anchor="page54">
              <w:r>
                <w:rPr>
                  <w:rFonts w:ascii="Arial" w:cs="Arial" w:eastAsia="Arial" w:hAnsi="Arial"/>
                  <w:sz w:val="7"/>
                  <w:szCs w:val="7"/>
                  <w:color w:val="0000FF"/>
                  <w:w w:val="76"/>
                </w:rPr>
                <w:t>53</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80" w:type="dxa"/>
            <w:vAlign w:val="bottom"/>
            <w:gridSpan w:val="3"/>
          </w:tcPr>
          <w:p>
            <w:pPr>
              <w:spacing w:after="0" w:line="124" w:lineRule="exact"/>
              <w:rPr>
                <w:rFonts w:ascii="Arial" w:cs="Arial" w:eastAsia="Arial" w:hAnsi="Arial"/>
                <w:sz w:val="11"/>
                <w:szCs w:val="11"/>
                <w:b w:val="1"/>
                <w:bCs w:val="1"/>
                <w:color w:val="0000FF"/>
              </w:rPr>
            </w:pPr>
            <w:hyperlink w:anchor="page54">
              <w:r>
                <w:rPr>
                  <w:rFonts w:ascii="Arial" w:cs="Arial" w:eastAsia="Arial" w:hAnsi="Arial"/>
                  <w:sz w:val="11"/>
                  <w:szCs w:val="11"/>
                  <w:b w:val="1"/>
                  <w:bCs w:val="1"/>
                  <w:color w:val="0000FF"/>
                </w:rPr>
                <w:t>Item 4.</w:t>
              </w:r>
            </w:hyperlink>
          </w:p>
        </w:tc>
        <w:tc>
          <w:tcPr>
            <w:tcW w:w="9660" w:type="dxa"/>
            <w:vAlign w:val="bottom"/>
            <w:gridSpan w:val="19"/>
          </w:tcPr>
          <w:p>
            <w:pPr>
              <w:spacing w:after="0" w:line="124" w:lineRule="exact"/>
              <w:rPr>
                <w:rFonts w:ascii="Arial" w:cs="Arial" w:eastAsia="Arial" w:hAnsi="Arial"/>
                <w:sz w:val="11"/>
                <w:szCs w:val="11"/>
                <w:color w:val="0000FF"/>
              </w:rPr>
            </w:pPr>
            <w:hyperlink w:anchor="page54">
              <w:r>
                <w:rPr>
                  <w:rFonts w:ascii="Arial" w:cs="Arial" w:eastAsia="Arial" w:hAnsi="Arial"/>
                  <w:sz w:val="11"/>
                  <w:szCs w:val="11"/>
                  <w:color w:val="0000FF"/>
                </w:rPr>
                <w:t>Mine Safety Disclosures</w:t>
              </w:r>
            </w:hyperlink>
          </w:p>
        </w:tc>
        <w:tc>
          <w:tcPr>
            <w:tcW w:w="120" w:type="dxa"/>
            <w:vAlign w:val="bottom"/>
            <w:gridSpan w:val="2"/>
          </w:tcPr>
          <w:p>
            <w:pPr>
              <w:ind w:left="20"/>
              <w:spacing w:after="0"/>
              <w:rPr>
                <w:rFonts w:ascii="Arial" w:cs="Arial" w:eastAsia="Arial" w:hAnsi="Arial"/>
                <w:sz w:val="7"/>
                <w:szCs w:val="7"/>
                <w:color w:val="0000FF"/>
                <w:w w:val="76"/>
              </w:rPr>
            </w:pPr>
            <w:hyperlink w:anchor="page54">
              <w:r>
                <w:rPr>
                  <w:rFonts w:ascii="Arial" w:cs="Arial" w:eastAsia="Arial" w:hAnsi="Arial"/>
                  <w:sz w:val="7"/>
                  <w:szCs w:val="7"/>
                  <w:color w:val="0000FF"/>
                  <w:w w:val="76"/>
                </w:rPr>
                <w:t>54</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80" w:type="dxa"/>
            <w:vAlign w:val="bottom"/>
            <w:gridSpan w:val="3"/>
            <w:vMerge w:val="restart"/>
          </w:tcPr>
          <w:p>
            <w:pPr>
              <w:jc w:val="center"/>
              <w:ind w:right="4080"/>
              <w:spacing w:after="0"/>
              <w:rPr>
                <w:sz w:val="20"/>
                <w:szCs w:val="20"/>
                <w:color w:val="auto"/>
              </w:rPr>
            </w:pPr>
            <w:r>
              <w:rPr>
                <w:rFonts w:ascii="Arial" w:cs="Arial" w:eastAsia="Arial" w:hAnsi="Arial"/>
                <w:sz w:val="11"/>
                <w:szCs w:val="11"/>
                <w:b w:val="1"/>
                <w:bCs w:val="1"/>
                <w:color w:val="auto"/>
              </w:rPr>
              <w:t>PART II</w:t>
            </w: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80" w:type="dxa"/>
            <w:vAlign w:val="bottom"/>
            <w:gridSpan w:val="3"/>
            <w:vMerge w:val="restart"/>
          </w:tcPr>
          <w:p>
            <w:pPr>
              <w:spacing w:after="0"/>
              <w:rPr>
                <w:rFonts w:ascii="Arial" w:cs="Arial" w:eastAsia="Arial" w:hAnsi="Arial"/>
                <w:sz w:val="11"/>
                <w:szCs w:val="11"/>
                <w:b w:val="1"/>
                <w:bCs w:val="1"/>
                <w:color w:val="0000FF"/>
              </w:rPr>
            </w:pPr>
            <w:hyperlink w:anchor="page56">
              <w:r>
                <w:rPr>
                  <w:rFonts w:ascii="Arial" w:cs="Arial" w:eastAsia="Arial" w:hAnsi="Arial"/>
                  <w:sz w:val="11"/>
                  <w:szCs w:val="11"/>
                  <w:b w:val="1"/>
                  <w:bCs w:val="1"/>
                  <w:color w:val="0000FF"/>
                </w:rPr>
                <w:t>Item 5.</w:t>
              </w:r>
            </w:hyperlink>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5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80" w:type="dxa"/>
            <w:vAlign w:val="bottom"/>
            <w:gridSpan w:val="3"/>
            <w:vMerge w:val="continue"/>
          </w:tcPr>
          <w:p>
            <w:pPr>
              <w:spacing w:after="0"/>
              <w:rPr>
                <w:sz w:val="10"/>
                <w:szCs w:val="10"/>
                <w:color w:val="auto"/>
              </w:rPr>
            </w:pPr>
          </w:p>
        </w:tc>
        <w:tc>
          <w:tcPr>
            <w:tcW w:w="9660" w:type="dxa"/>
            <w:vAlign w:val="bottom"/>
            <w:gridSpan w:val="19"/>
          </w:tcPr>
          <w:p>
            <w:pPr>
              <w:spacing w:after="0" w:line="121" w:lineRule="exact"/>
              <w:rPr>
                <w:rFonts w:ascii="Arial" w:cs="Arial" w:eastAsia="Arial" w:hAnsi="Arial"/>
                <w:sz w:val="11"/>
                <w:szCs w:val="11"/>
                <w:color w:val="0000FF"/>
              </w:rPr>
            </w:pPr>
            <w:hyperlink w:anchor="page56">
              <w:r>
                <w:rPr>
                  <w:rFonts w:ascii="Arial" w:cs="Arial" w:eastAsia="Arial" w:hAnsi="Arial"/>
                  <w:sz w:val="11"/>
                  <w:szCs w:val="11"/>
                  <w:color w:val="0000FF"/>
                </w:rPr>
                <w:t>Market for Registrant's Common Equity, Related Stockholder Matters, and Issuer Purchases of Equity Securities</w:t>
              </w:r>
            </w:hyperlink>
          </w:p>
        </w:tc>
        <w:tc>
          <w:tcPr>
            <w:tcW w:w="120" w:type="dxa"/>
            <w:vAlign w:val="bottom"/>
            <w:gridSpan w:val="2"/>
          </w:tcPr>
          <w:p>
            <w:pPr>
              <w:ind w:left="20"/>
              <w:spacing w:after="0"/>
              <w:rPr>
                <w:rFonts w:ascii="Arial" w:cs="Arial" w:eastAsia="Arial" w:hAnsi="Arial"/>
                <w:sz w:val="7"/>
                <w:szCs w:val="7"/>
                <w:color w:val="0000FF"/>
                <w:w w:val="76"/>
              </w:rPr>
            </w:pPr>
            <w:hyperlink w:anchor="page56">
              <w:r>
                <w:rPr>
                  <w:rFonts w:ascii="Arial" w:cs="Arial" w:eastAsia="Arial" w:hAnsi="Arial"/>
                  <w:sz w:val="7"/>
                  <w:szCs w:val="7"/>
                  <w:color w:val="0000FF"/>
                  <w:w w:val="76"/>
                </w:rPr>
                <w:t>55</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80" w:type="dxa"/>
            <w:vAlign w:val="bottom"/>
            <w:gridSpan w:val="3"/>
          </w:tcPr>
          <w:p>
            <w:pPr>
              <w:spacing w:after="0" w:line="124" w:lineRule="exact"/>
              <w:rPr>
                <w:rFonts w:ascii="Arial" w:cs="Arial" w:eastAsia="Arial" w:hAnsi="Arial"/>
                <w:sz w:val="11"/>
                <w:szCs w:val="11"/>
                <w:b w:val="1"/>
                <w:bCs w:val="1"/>
                <w:color w:val="0000FF"/>
              </w:rPr>
            </w:pPr>
            <w:hyperlink w:anchor="page58">
              <w:r>
                <w:rPr>
                  <w:rFonts w:ascii="Arial" w:cs="Arial" w:eastAsia="Arial" w:hAnsi="Arial"/>
                  <w:sz w:val="11"/>
                  <w:szCs w:val="11"/>
                  <w:b w:val="1"/>
                  <w:bCs w:val="1"/>
                  <w:color w:val="0000FF"/>
                </w:rPr>
                <w:t>Item 6.</w:t>
              </w:r>
            </w:hyperlink>
          </w:p>
        </w:tc>
        <w:tc>
          <w:tcPr>
            <w:tcW w:w="9660" w:type="dxa"/>
            <w:vAlign w:val="bottom"/>
            <w:gridSpan w:val="19"/>
          </w:tcPr>
          <w:p>
            <w:pPr>
              <w:spacing w:after="0" w:line="124" w:lineRule="exact"/>
              <w:rPr>
                <w:sz w:val="20"/>
                <w:szCs w:val="20"/>
                <w:color w:val="auto"/>
              </w:rPr>
            </w:pPr>
            <w:r>
              <w:rPr>
                <w:rFonts w:ascii="Arial" w:cs="Arial" w:eastAsia="Arial" w:hAnsi="Arial"/>
                <w:sz w:val="11"/>
                <w:szCs w:val="11"/>
                <w:color w:val="0000FF"/>
              </w:rPr>
              <w:t>[Reserved]</w:t>
            </w:r>
          </w:p>
        </w:tc>
        <w:tc>
          <w:tcPr>
            <w:tcW w:w="120" w:type="dxa"/>
            <w:vAlign w:val="bottom"/>
            <w:gridSpan w:val="2"/>
          </w:tcPr>
          <w:p>
            <w:pPr>
              <w:ind w:left="20"/>
              <w:spacing w:after="0"/>
              <w:rPr>
                <w:rFonts w:ascii="Arial" w:cs="Arial" w:eastAsia="Arial" w:hAnsi="Arial"/>
                <w:sz w:val="7"/>
                <w:szCs w:val="7"/>
                <w:color w:val="0000FF"/>
                <w:w w:val="76"/>
              </w:rPr>
            </w:pPr>
            <w:hyperlink w:anchor="page58">
              <w:r>
                <w:rPr>
                  <w:rFonts w:ascii="Arial" w:cs="Arial" w:eastAsia="Arial" w:hAnsi="Arial"/>
                  <w:sz w:val="7"/>
                  <w:szCs w:val="7"/>
                  <w:color w:val="0000FF"/>
                  <w:w w:val="76"/>
                </w:rPr>
                <w:t>57</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80" w:type="dxa"/>
            <w:vAlign w:val="bottom"/>
            <w:gridSpan w:val="3"/>
          </w:tcPr>
          <w:p>
            <w:pPr>
              <w:spacing w:after="0" w:line="124" w:lineRule="exact"/>
              <w:rPr>
                <w:rFonts w:ascii="Arial" w:cs="Arial" w:eastAsia="Arial" w:hAnsi="Arial"/>
                <w:sz w:val="11"/>
                <w:szCs w:val="11"/>
                <w:b w:val="1"/>
                <w:bCs w:val="1"/>
                <w:color w:val="0000FF"/>
              </w:rPr>
            </w:pPr>
            <w:hyperlink w:anchor="page58">
              <w:r>
                <w:rPr>
                  <w:rFonts w:ascii="Arial" w:cs="Arial" w:eastAsia="Arial" w:hAnsi="Arial"/>
                  <w:sz w:val="11"/>
                  <w:szCs w:val="11"/>
                  <w:b w:val="1"/>
                  <w:bCs w:val="1"/>
                  <w:color w:val="0000FF"/>
                </w:rPr>
                <w:t>Item 7.</w:t>
              </w:r>
            </w:hyperlink>
          </w:p>
        </w:tc>
        <w:tc>
          <w:tcPr>
            <w:tcW w:w="9660" w:type="dxa"/>
            <w:vAlign w:val="bottom"/>
            <w:gridSpan w:val="19"/>
          </w:tcPr>
          <w:p>
            <w:pPr>
              <w:spacing w:after="0" w:line="124" w:lineRule="exact"/>
              <w:rPr>
                <w:rFonts w:ascii="Arial" w:cs="Arial" w:eastAsia="Arial" w:hAnsi="Arial"/>
                <w:sz w:val="11"/>
                <w:szCs w:val="11"/>
                <w:color w:val="0000FF"/>
              </w:rPr>
            </w:pPr>
            <w:hyperlink w:anchor="page58">
              <w:r>
                <w:rPr>
                  <w:rFonts w:ascii="Arial" w:cs="Arial" w:eastAsia="Arial" w:hAnsi="Arial"/>
                  <w:sz w:val="11"/>
                  <w:szCs w:val="11"/>
                  <w:color w:val="0000FF"/>
                </w:rPr>
                <w:t>Management's Discussion and Analysis of Financial Condition and Results of Operations</w:t>
              </w:r>
            </w:hyperlink>
          </w:p>
        </w:tc>
        <w:tc>
          <w:tcPr>
            <w:tcW w:w="120" w:type="dxa"/>
            <w:vAlign w:val="bottom"/>
            <w:gridSpan w:val="2"/>
          </w:tcPr>
          <w:p>
            <w:pPr>
              <w:ind w:left="20"/>
              <w:spacing w:after="0"/>
              <w:rPr>
                <w:rFonts w:ascii="Arial" w:cs="Arial" w:eastAsia="Arial" w:hAnsi="Arial"/>
                <w:sz w:val="7"/>
                <w:szCs w:val="7"/>
                <w:color w:val="0000FF"/>
                <w:w w:val="76"/>
              </w:rPr>
            </w:pPr>
            <w:hyperlink w:anchor="page58">
              <w:r>
                <w:rPr>
                  <w:rFonts w:ascii="Arial" w:cs="Arial" w:eastAsia="Arial" w:hAnsi="Arial"/>
                  <w:sz w:val="7"/>
                  <w:szCs w:val="7"/>
                  <w:color w:val="0000FF"/>
                  <w:w w:val="76"/>
                </w:rPr>
                <w:t>57</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gridSpan w:val="2"/>
          </w:tcPr>
          <w:p>
            <w:pPr>
              <w:spacing w:after="0" w:line="124" w:lineRule="exact"/>
              <w:rPr>
                <w:rFonts w:ascii="Arial" w:cs="Arial" w:eastAsia="Arial" w:hAnsi="Arial"/>
                <w:sz w:val="11"/>
                <w:szCs w:val="11"/>
                <w:b w:val="1"/>
                <w:bCs w:val="1"/>
                <w:color w:val="0000FF"/>
                <w:w w:val="88"/>
              </w:rPr>
            </w:pPr>
            <w:hyperlink w:anchor="page73">
              <w:r>
                <w:rPr>
                  <w:rFonts w:ascii="Arial" w:cs="Arial" w:eastAsia="Arial" w:hAnsi="Arial"/>
                  <w:sz w:val="11"/>
                  <w:szCs w:val="11"/>
                  <w:b w:val="1"/>
                  <w:bCs w:val="1"/>
                  <w:color w:val="0000FF"/>
                  <w:w w:val="88"/>
                </w:rPr>
                <w:t>Item 7A.</w:t>
              </w:r>
            </w:hyperlink>
          </w:p>
        </w:tc>
        <w:tc>
          <w:tcPr>
            <w:tcW w:w="560" w:type="dxa"/>
            <w:vAlign w:val="bottom"/>
          </w:tcPr>
          <w:p>
            <w:pPr>
              <w:spacing w:after="0"/>
              <w:rPr>
                <w:sz w:val="10"/>
                <w:szCs w:val="10"/>
                <w:color w:val="auto"/>
              </w:rPr>
            </w:pPr>
          </w:p>
        </w:tc>
        <w:tc>
          <w:tcPr>
            <w:tcW w:w="9660" w:type="dxa"/>
            <w:vAlign w:val="bottom"/>
            <w:gridSpan w:val="19"/>
          </w:tcPr>
          <w:p>
            <w:pPr>
              <w:spacing w:after="0" w:line="124" w:lineRule="exact"/>
              <w:rPr>
                <w:rFonts w:ascii="Arial" w:cs="Arial" w:eastAsia="Arial" w:hAnsi="Arial"/>
                <w:sz w:val="11"/>
                <w:szCs w:val="11"/>
                <w:color w:val="0000FF"/>
              </w:rPr>
            </w:pPr>
            <w:hyperlink w:anchor="page73">
              <w:r>
                <w:rPr>
                  <w:rFonts w:ascii="Arial" w:cs="Arial" w:eastAsia="Arial" w:hAnsi="Arial"/>
                  <w:sz w:val="11"/>
                  <w:szCs w:val="11"/>
                  <w:color w:val="0000FF"/>
                </w:rPr>
                <w:t>Quantitative and Qualitative Disclosures About Market Risk</w:t>
              </w:r>
            </w:hyperlink>
          </w:p>
        </w:tc>
        <w:tc>
          <w:tcPr>
            <w:tcW w:w="120" w:type="dxa"/>
            <w:vAlign w:val="bottom"/>
            <w:gridSpan w:val="2"/>
          </w:tcPr>
          <w:p>
            <w:pPr>
              <w:ind w:left="20"/>
              <w:spacing w:after="0"/>
              <w:rPr>
                <w:rFonts w:ascii="Arial" w:cs="Arial" w:eastAsia="Arial" w:hAnsi="Arial"/>
                <w:sz w:val="7"/>
                <w:szCs w:val="7"/>
                <w:color w:val="0000FF"/>
                <w:w w:val="76"/>
              </w:rPr>
            </w:pPr>
            <w:hyperlink w:anchor="page73">
              <w:r>
                <w:rPr>
                  <w:rFonts w:ascii="Arial" w:cs="Arial" w:eastAsia="Arial" w:hAnsi="Arial"/>
                  <w:sz w:val="7"/>
                  <w:szCs w:val="7"/>
                  <w:color w:val="0000FF"/>
                  <w:w w:val="76"/>
                </w:rPr>
                <w:t>72</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gridSpan w:val="2"/>
          </w:tcPr>
          <w:p>
            <w:pPr>
              <w:spacing w:after="0" w:line="124" w:lineRule="exact"/>
              <w:rPr>
                <w:rFonts w:ascii="Arial" w:cs="Arial" w:eastAsia="Arial" w:hAnsi="Arial"/>
                <w:sz w:val="11"/>
                <w:szCs w:val="11"/>
                <w:b w:val="1"/>
                <w:bCs w:val="1"/>
                <w:color w:val="0000FF"/>
              </w:rPr>
            </w:pPr>
            <w:hyperlink w:anchor="page74">
              <w:r>
                <w:rPr>
                  <w:rFonts w:ascii="Arial" w:cs="Arial" w:eastAsia="Arial" w:hAnsi="Arial"/>
                  <w:sz w:val="11"/>
                  <w:szCs w:val="11"/>
                  <w:b w:val="1"/>
                  <w:bCs w:val="1"/>
                  <w:color w:val="0000FF"/>
                </w:rPr>
                <w:t>Item 8.</w:t>
              </w:r>
            </w:hyperlink>
          </w:p>
        </w:tc>
        <w:tc>
          <w:tcPr>
            <w:tcW w:w="560" w:type="dxa"/>
            <w:vAlign w:val="bottom"/>
          </w:tcPr>
          <w:p>
            <w:pPr>
              <w:spacing w:after="0"/>
              <w:rPr>
                <w:sz w:val="10"/>
                <w:szCs w:val="10"/>
                <w:color w:val="auto"/>
              </w:rPr>
            </w:pPr>
          </w:p>
        </w:tc>
        <w:tc>
          <w:tcPr>
            <w:tcW w:w="2760" w:type="dxa"/>
            <w:vAlign w:val="bottom"/>
            <w:gridSpan w:val="13"/>
          </w:tcPr>
          <w:p>
            <w:pPr>
              <w:spacing w:after="0" w:line="124" w:lineRule="exact"/>
              <w:rPr>
                <w:rFonts w:ascii="Arial" w:cs="Arial" w:eastAsia="Arial" w:hAnsi="Arial"/>
                <w:sz w:val="11"/>
                <w:szCs w:val="11"/>
                <w:color w:val="0000FF"/>
              </w:rPr>
            </w:pPr>
            <w:hyperlink w:anchor="page74">
              <w:r>
                <w:rPr>
                  <w:rFonts w:ascii="Arial" w:cs="Arial" w:eastAsia="Arial" w:hAnsi="Arial"/>
                  <w:sz w:val="11"/>
                  <w:szCs w:val="11"/>
                  <w:color w:val="0000FF"/>
                </w:rPr>
                <w:t>Financial Statements and Supplementary Data</w:t>
              </w:r>
            </w:hyperlink>
          </w:p>
        </w:tc>
        <w:tc>
          <w:tcPr>
            <w:tcW w:w="6900" w:type="dxa"/>
            <w:vAlign w:val="bottom"/>
            <w:gridSpan w:val="6"/>
          </w:tcPr>
          <w:p>
            <w:pPr>
              <w:spacing w:after="0"/>
              <w:rPr>
                <w:sz w:val="10"/>
                <w:szCs w:val="10"/>
                <w:color w:val="auto"/>
              </w:rPr>
            </w:pPr>
          </w:p>
        </w:tc>
        <w:tc>
          <w:tcPr>
            <w:tcW w:w="120" w:type="dxa"/>
            <w:vAlign w:val="bottom"/>
            <w:gridSpan w:val="2"/>
          </w:tcPr>
          <w:p>
            <w:pPr>
              <w:ind w:left="20"/>
              <w:spacing w:after="0"/>
              <w:rPr>
                <w:rFonts w:ascii="Arial" w:cs="Arial" w:eastAsia="Arial" w:hAnsi="Arial"/>
                <w:sz w:val="7"/>
                <w:szCs w:val="7"/>
                <w:color w:val="0000FF"/>
                <w:w w:val="76"/>
              </w:rPr>
            </w:pPr>
            <w:hyperlink w:anchor="page74">
              <w:r>
                <w:rPr>
                  <w:rFonts w:ascii="Arial" w:cs="Arial" w:eastAsia="Arial" w:hAnsi="Arial"/>
                  <w:sz w:val="7"/>
                  <w:szCs w:val="7"/>
                  <w:color w:val="0000FF"/>
                  <w:w w:val="76"/>
                </w:rPr>
                <w:t>74</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80" w:type="dxa"/>
            <w:vAlign w:val="bottom"/>
            <w:gridSpan w:val="3"/>
          </w:tcPr>
          <w:p>
            <w:pPr>
              <w:spacing w:after="0" w:line="124" w:lineRule="exact"/>
              <w:rPr>
                <w:rFonts w:ascii="Arial" w:cs="Arial" w:eastAsia="Arial" w:hAnsi="Arial"/>
                <w:sz w:val="11"/>
                <w:szCs w:val="11"/>
                <w:b w:val="1"/>
                <w:bCs w:val="1"/>
                <w:color w:val="0000FF"/>
              </w:rPr>
            </w:pPr>
            <w:hyperlink w:anchor="page117">
              <w:r>
                <w:rPr>
                  <w:rFonts w:ascii="Arial" w:cs="Arial" w:eastAsia="Arial" w:hAnsi="Arial"/>
                  <w:sz w:val="11"/>
                  <w:szCs w:val="11"/>
                  <w:b w:val="1"/>
                  <w:bCs w:val="1"/>
                  <w:color w:val="0000FF"/>
                </w:rPr>
                <w:t>Item 9.</w:t>
              </w:r>
            </w:hyperlink>
          </w:p>
        </w:tc>
        <w:tc>
          <w:tcPr>
            <w:tcW w:w="9660" w:type="dxa"/>
            <w:vAlign w:val="bottom"/>
            <w:gridSpan w:val="19"/>
          </w:tcPr>
          <w:p>
            <w:pPr>
              <w:spacing w:after="0" w:line="124" w:lineRule="exact"/>
              <w:rPr>
                <w:rFonts w:ascii="Arial" w:cs="Arial" w:eastAsia="Arial" w:hAnsi="Arial"/>
                <w:sz w:val="11"/>
                <w:szCs w:val="11"/>
                <w:color w:val="0000FF"/>
              </w:rPr>
            </w:pPr>
            <w:hyperlink w:anchor="page117">
              <w:r>
                <w:rPr>
                  <w:rFonts w:ascii="Arial" w:cs="Arial" w:eastAsia="Arial" w:hAnsi="Arial"/>
                  <w:sz w:val="11"/>
                  <w:szCs w:val="11"/>
                  <w:color w:val="0000FF"/>
                </w:rPr>
                <w:t>Changes in and Disagreements with Accountants on Accounting and Financial Disclosure</w:t>
              </w:r>
            </w:hyperlink>
          </w:p>
        </w:tc>
        <w:tc>
          <w:tcPr>
            <w:tcW w:w="120" w:type="dxa"/>
            <w:vAlign w:val="bottom"/>
            <w:gridSpan w:val="2"/>
          </w:tcPr>
          <w:p>
            <w:pPr>
              <w:ind w:left="20"/>
              <w:spacing w:after="0"/>
              <w:rPr>
                <w:rFonts w:ascii="Arial" w:cs="Arial" w:eastAsia="Arial" w:hAnsi="Arial"/>
                <w:sz w:val="5"/>
                <w:szCs w:val="5"/>
                <w:color w:val="0000FF"/>
                <w:w w:val="71"/>
              </w:rPr>
            </w:pPr>
            <w:hyperlink w:anchor="page117">
              <w:r>
                <w:rPr>
                  <w:rFonts w:ascii="Arial" w:cs="Arial" w:eastAsia="Arial" w:hAnsi="Arial"/>
                  <w:sz w:val="5"/>
                  <w:szCs w:val="5"/>
                  <w:color w:val="0000FF"/>
                  <w:w w:val="71"/>
                </w:rPr>
                <w:t>117</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gridSpan w:val="2"/>
          </w:tcPr>
          <w:p>
            <w:pPr>
              <w:spacing w:after="0" w:line="124" w:lineRule="exact"/>
              <w:rPr>
                <w:rFonts w:ascii="Arial" w:cs="Arial" w:eastAsia="Arial" w:hAnsi="Arial"/>
                <w:sz w:val="11"/>
                <w:szCs w:val="11"/>
                <w:b w:val="1"/>
                <w:bCs w:val="1"/>
                <w:color w:val="0000FF"/>
                <w:w w:val="88"/>
              </w:rPr>
            </w:pPr>
            <w:hyperlink w:anchor="page118">
              <w:r>
                <w:rPr>
                  <w:rFonts w:ascii="Arial" w:cs="Arial" w:eastAsia="Arial" w:hAnsi="Arial"/>
                  <w:sz w:val="11"/>
                  <w:szCs w:val="11"/>
                  <w:b w:val="1"/>
                  <w:bCs w:val="1"/>
                  <w:color w:val="0000FF"/>
                  <w:w w:val="88"/>
                </w:rPr>
                <w:t>Item 9A.</w:t>
              </w:r>
            </w:hyperlink>
          </w:p>
        </w:tc>
        <w:tc>
          <w:tcPr>
            <w:tcW w:w="560" w:type="dxa"/>
            <w:vAlign w:val="bottom"/>
          </w:tcPr>
          <w:p>
            <w:pPr>
              <w:spacing w:after="0"/>
              <w:rPr>
                <w:sz w:val="10"/>
                <w:szCs w:val="10"/>
                <w:color w:val="auto"/>
              </w:rPr>
            </w:pPr>
          </w:p>
        </w:tc>
        <w:tc>
          <w:tcPr>
            <w:tcW w:w="9660" w:type="dxa"/>
            <w:vAlign w:val="bottom"/>
            <w:gridSpan w:val="19"/>
          </w:tcPr>
          <w:p>
            <w:pPr>
              <w:spacing w:after="0" w:line="124" w:lineRule="exact"/>
              <w:rPr>
                <w:rFonts w:ascii="Arial" w:cs="Arial" w:eastAsia="Arial" w:hAnsi="Arial"/>
                <w:sz w:val="11"/>
                <w:szCs w:val="11"/>
                <w:color w:val="0000FF"/>
              </w:rPr>
            </w:pPr>
            <w:hyperlink w:anchor="page118">
              <w:r>
                <w:rPr>
                  <w:rFonts w:ascii="Arial" w:cs="Arial" w:eastAsia="Arial" w:hAnsi="Arial"/>
                  <w:sz w:val="11"/>
                  <w:szCs w:val="11"/>
                  <w:color w:val="0000FF"/>
                </w:rPr>
                <w:t>Controls and Procedures</w:t>
              </w:r>
            </w:hyperlink>
          </w:p>
        </w:tc>
        <w:tc>
          <w:tcPr>
            <w:tcW w:w="120" w:type="dxa"/>
            <w:vAlign w:val="bottom"/>
            <w:gridSpan w:val="2"/>
          </w:tcPr>
          <w:p>
            <w:pPr>
              <w:ind w:left="20"/>
              <w:spacing w:after="0"/>
              <w:rPr>
                <w:rFonts w:ascii="Arial" w:cs="Arial" w:eastAsia="Arial" w:hAnsi="Arial"/>
                <w:sz w:val="5"/>
                <w:szCs w:val="5"/>
                <w:color w:val="0000FF"/>
                <w:w w:val="71"/>
              </w:rPr>
            </w:pPr>
            <w:hyperlink w:anchor="page118">
              <w:r>
                <w:rPr>
                  <w:rFonts w:ascii="Arial" w:cs="Arial" w:eastAsia="Arial" w:hAnsi="Arial"/>
                  <w:sz w:val="5"/>
                  <w:szCs w:val="5"/>
                  <w:color w:val="0000FF"/>
                  <w:w w:val="71"/>
                </w:rPr>
                <w:t>117</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gridSpan w:val="2"/>
          </w:tcPr>
          <w:p>
            <w:pPr>
              <w:spacing w:after="0" w:line="124" w:lineRule="exact"/>
              <w:rPr>
                <w:rFonts w:ascii="Arial" w:cs="Arial" w:eastAsia="Arial" w:hAnsi="Arial"/>
                <w:sz w:val="11"/>
                <w:szCs w:val="11"/>
                <w:b w:val="1"/>
                <w:bCs w:val="1"/>
                <w:color w:val="0000FF"/>
                <w:w w:val="88"/>
              </w:rPr>
            </w:pPr>
            <w:hyperlink w:anchor="page119">
              <w:r>
                <w:rPr>
                  <w:rFonts w:ascii="Arial" w:cs="Arial" w:eastAsia="Arial" w:hAnsi="Arial"/>
                  <w:sz w:val="11"/>
                  <w:szCs w:val="11"/>
                  <w:b w:val="1"/>
                  <w:bCs w:val="1"/>
                  <w:color w:val="0000FF"/>
                  <w:w w:val="88"/>
                </w:rPr>
                <w:t>Item 9B.</w:t>
              </w:r>
            </w:hyperlink>
          </w:p>
        </w:tc>
        <w:tc>
          <w:tcPr>
            <w:tcW w:w="560" w:type="dxa"/>
            <w:vAlign w:val="bottom"/>
          </w:tcPr>
          <w:p>
            <w:pPr>
              <w:spacing w:after="0"/>
              <w:rPr>
                <w:sz w:val="10"/>
                <w:szCs w:val="10"/>
                <w:color w:val="auto"/>
              </w:rPr>
            </w:pPr>
          </w:p>
        </w:tc>
        <w:tc>
          <w:tcPr>
            <w:tcW w:w="1120" w:type="dxa"/>
            <w:vAlign w:val="bottom"/>
            <w:gridSpan w:val="6"/>
          </w:tcPr>
          <w:p>
            <w:pPr>
              <w:spacing w:after="0" w:line="124" w:lineRule="exact"/>
              <w:rPr>
                <w:rFonts w:ascii="Arial" w:cs="Arial" w:eastAsia="Arial" w:hAnsi="Arial"/>
                <w:sz w:val="11"/>
                <w:szCs w:val="11"/>
                <w:color w:val="0000FF"/>
              </w:rPr>
            </w:pPr>
            <w:hyperlink w:anchor="page119">
              <w:r>
                <w:rPr>
                  <w:rFonts w:ascii="Arial" w:cs="Arial" w:eastAsia="Arial" w:hAnsi="Arial"/>
                  <w:sz w:val="11"/>
                  <w:szCs w:val="11"/>
                  <w:color w:val="0000FF"/>
                </w:rPr>
                <w:t>Other Information</w:t>
              </w:r>
            </w:hyperlink>
          </w:p>
        </w:tc>
        <w:tc>
          <w:tcPr>
            <w:tcW w:w="8540" w:type="dxa"/>
            <w:vAlign w:val="bottom"/>
            <w:gridSpan w:val="13"/>
          </w:tcPr>
          <w:p>
            <w:pPr>
              <w:spacing w:after="0"/>
              <w:rPr>
                <w:sz w:val="10"/>
                <w:szCs w:val="10"/>
                <w:color w:val="auto"/>
              </w:rPr>
            </w:pPr>
          </w:p>
        </w:tc>
        <w:tc>
          <w:tcPr>
            <w:tcW w:w="120" w:type="dxa"/>
            <w:vAlign w:val="bottom"/>
            <w:gridSpan w:val="2"/>
          </w:tcPr>
          <w:p>
            <w:pPr>
              <w:ind w:left="20"/>
              <w:spacing w:after="0"/>
              <w:rPr>
                <w:rFonts w:ascii="Arial" w:cs="Arial" w:eastAsia="Arial" w:hAnsi="Arial"/>
                <w:sz w:val="5"/>
                <w:szCs w:val="5"/>
                <w:color w:val="0000FF"/>
                <w:w w:val="71"/>
              </w:rPr>
            </w:pPr>
            <w:hyperlink w:anchor="page119">
              <w:r>
                <w:rPr>
                  <w:rFonts w:ascii="Arial" w:cs="Arial" w:eastAsia="Arial" w:hAnsi="Arial"/>
                  <w:sz w:val="5"/>
                  <w:szCs w:val="5"/>
                  <w:color w:val="0000FF"/>
                  <w:w w:val="71"/>
                </w:rPr>
                <w:t>118</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20" w:type="dxa"/>
            <w:vAlign w:val="bottom"/>
            <w:gridSpan w:val="2"/>
          </w:tcPr>
          <w:p>
            <w:pPr>
              <w:spacing w:after="0"/>
              <w:rPr>
                <w:rFonts w:ascii="Arial" w:cs="Arial" w:eastAsia="Arial" w:hAnsi="Arial"/>
                <w:sz w:val="11"/>
                <w:szCs w:val="11"/>
                <w:b w:val="1"/>
                <w:bCs w:val="1"/>
                <w:color w:val="0000FF"/>
                <w:w w:val="88"/>
              </w:rPr>
            </w:pPr>
            <w:hyperlink w:anchor="page119">
              <w:r>
                <w:rPr>
                  <w:rFonts w:ascii="Arial" w:cs="Arial" w:eastAsia="Arial" w:hAnsi="Arial"/>
                  <w:sz w:val="11"/>
                  <w:szCs w:val="11"/>
                  <w:b w:val="1"/>
                  <w:bCs w:val="1"/>
                  <w:color w:val="0000FF"/>
                  <w:w w:val="88"/>
                </w:rPr>
                <w:t>Item 9C.</w:t>
              </w:r>
            </w:hyperlink>
          </w:p>
        </w:tc>
        <w:tc>
          <w:tcPr>
            <w:tcW w:w="560" w:type="dxa"/>
            <w:vAlign w:val="bottom"/>
          </w:tcPr>
          <w:p>
            <w:pPr>
              <w:spacing w:after="0"/>
              <w:rPr>
                <w:sz w:val="23"/>
                <w:szCs w:val="23"/>
                <w:color w:val="auto"/>
              </w:rPr>
            </w:pPr>
          </w:p>
        </w:tc>
        <w:tc>
          <w:tcPr>
            <w:tcW w:w="9660" w:type="dxa"/>
            <w:vAlign w:val="bottom"/>
            <w:gridSpan w:val="19"/>
          </w:tcPr>
          <w:p>
            <w:pPr>
              <w:spacing w:after="0"/>
              <w:rPr>
                <w:rFonts w:ascii="Arial" w:cs="Arial" w:eastAsia="Arial" w:hAnsi="Arial"/>
                <w:sz w:val="11"/>
                <w:szCs w:val="11"/>
                <w:color w:val="0000FF"/>
              </w:rPr>
            </w:pPr>
            <w:hyperlink w:anchor="page119">
              <w:r>
                <w:rPr>
                  <w:rFonts w:ascii="Arial" w:cs="Arial" w:eastAsia="Arial" w:hAnsi="Arial"/>
                  <w:sz w:val="11"/>
                  <w:szCs w:val="11"/>
                  <w:color w:val="0000FF"/>
                </w:rPr>
                <w:t>Disclosure Regarding Foreign Jurisdictions that Prevent Inspections</w:t>
              </w:r>
            </w:hyperlink>
          </w:p>
        </w:tc>
        <w:tc>
          <w:tcPr>
            <w:tcW w:w="120" w:type="dxa"/>
            <w:vAlign w:val="bottom"/>
            <w:gridSpan w:val="2"/>
          </w:tcPr>
          <w:p>
            <w:pPr>
              <w:ind w:left="20"/>
              <w:spacing w:after="0"/>
              <w:rPr>
                <w:rFonts w:ascii="Arial" w:cs="Arial" w:eastAsia="Arial" w:hAnsi="Arial"/>
                <w:sz w:val="5"/>
                <w:szCs w:val="5"/>
                <w:color w:val="0000FF"/>
                <w:w w:val="71"/>
              </w:rPr>
            </w:pPr>
            <w:hyperlink w:anchor="page119">
              <w:r>
                <w:rPr>
                  <w:rFonts w:ascii="Arial" w:cs="Arial" w:eastAsia="Arial" w:hAnsi="Arial"/>
                  <w:sz w:val="5"/>
                  <w:szCs w:val="5"/>
                  <w:color w:val="0000FF"/>
                  <w:w w:val="71"/>
                </w:rPr>
                <w:t>118</w:t>
              </w:r>
            </w:hyperlink>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420" w:type="dxa"/>
            <w:vAlign w:val="bottom"/>
            <w:tcBorders>
              <w:top w:val="single" w:sz="8" w:color="0000FF"/>
            </w:tcBorders>
            <w:gridSpan w:val="2"/>
            <w:vMerge w:val="restart"/>
          </w:tcPr>
          <w:p>
            <w:pPr>
              <w:spacing w:after="0"/>
              <w:rPr>
                <w:rFonts w:ascii="Arial" w:cs="Arial" w:eastAsia="Arial" w:hAnsi="Arial"/>
                <w:sz w:val="11"/>
                <w:szCs w:val="11"/>
                <w:b w:val="1"/>
                <w:bCs w:val="1"/>
                <w:color w:val="0000FF"/>
                <w:w w:val="92"/>
              </w:rPr>
            </w:pPr>
            <w:hyperlink w:anchor="page119">
              <w:r>
                <w:rPr>
                  <w:rFonts w:ascii="Arial" w:cs="Arial" w:eastAsia="Arial" w:hAnsi="Arial"/>
                  <w:sz w:val="11"/>
                  <w:szCs w:val="11"/>
                  <w:b w:val="1"/>
                  <w:bCs w:val="1"/>
                  <w:color w:val="0000FF"/>
                  <w:w w:val="92"/>
                </w:rPr>
                <w:t>Item 10.</w:t>
              </w:r>
            </w:hyperlink>
          </w:p>
        </w:tc>
        <w:tc>
          <w:tcPr>
            <w:tcW w:w="560" w:type="dxa"/>
            <w:vAlign w:val="bottom"/>
            <w:vMerge w:val="restart"/>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580" w:type="dxa"/>
            <w:vAlign w:val="bottom"/>
            <w:gridSpan w:val="3"/>
          </w:tcPr>
          <w:p>
            <w:pPr>
              <w:jc w:val="center"/>
              <w:ind w:right="4080"/>
              <w:spacing w:after="0"/>
              <w:rPr>
                <w:sz w:val="20"/>
                <w:szCs w:val="20"/>
                <w:color w:val="auto"/>
              </w:rPr>
            </w:pPr>
            <w:r>
              <w:rPr>
                <w:rFonts w:ascii="Arial" w:cs="Arial" w:eastAsia="Arial" w:hAnsi="Arial"/>
                <w:sz w:val="11"/>
                <w:szCs w:val="11"/>
                <w:b w:val="1"/>
                <w:bCs w:val="1"/>
                <w:color w:val="auto"/>
              </w:rPr>
              <w:t>PART III</w:t>
            </w:r>
          </w:p>
        </w:tc>
        <w:tc>
          <w:tcPr>
            <w:tcW w:w="2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660" w:type="dxa"/>
            <w:vAlign w:val="bottom"/>
            <w:gridSpan w:val="19"/>
          </w:tcPr>
          <w:p>
            <w:pPr>
              <w:spacing w:after="0" w:line="121" w:lineRule="exact"/>
              <w:rPr>
                <w:rFonts w:ascii="Arial" w:cs="Arial" w:eastAsia="Arial" w:hAnsi="Arial"/>
                <w:sz w:val="11"/>
                <w:szCs w:val="11"/>
                <w:color w:val="0000FF"/>
              </w:rPr>
            </w:pPr>
            <w:hyperlink w:anchor="page119">
              <w:r>
                <w:rPr>
                  <w:rFonts w:ascii="Arial" w:cs="Arial" w:eastAsia="Arial" w:hAnsi="Arial"/>
                  <w:sz w:val="11"/>
                  <w:szCs w:val="11"/>
                  <w:color w:val="0000FF"/>
                </w:rPr>
                <w:t>Directors, Executive Officers and Corporate Governance</w:t>
              </w:r>
            </w:hyperlink>
          </w:p>
        </w:tc>
        <w:tc>
          <w:tcPr>
            <w:tcW w:w="120" w:type="dxa"/>
            <w:vAlign w:val="bottom"/>
            <w:gridSpan w:val="2"/>
          </w:tcPr>
          <w:p>
            <w:pPr>
              <w:ind w:left="20"/>
              <w:spacing w:after="0"/>
              <w:rPr>
                <w:rFonts w:ascii="Arial" w:cs="Arial" w:eastAsia="Arial" w:hAnsi="Arial"/>
                <w:sz w:val="5"/>
                <w:szCs w:val="5"/>
                <w:color w:val="0000FF"/>
                <w:w w:val="71"/>
              </w:rPr>
            </w:pPr>
            <w:hyperlink w:anchor="page119">
              <w:r>
                <w:rPr>
                  <w:rFonts w:ascii="Arial" w:cs="Arial" w:eastAsia="Arial" w:hAnsi="Arial"/>
                  <w:sz w:val="5"/>
                  <w:szCs w:val="5"/>
                  <w:color w:val="0000FF"/>
                  <w:w w:val="71"/>
                </w:rPr>
                <w:t>118</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 w:type="dxa"/>
            <w:vAlign w:val="bottom"/>
          </w:tcPr>
          <w:p>
            <w:pPr>
              <w:spacing w:after="0" w:line="124" w:lineRule="exact"/>
              <w:rPr>
                <w:rFonts w:ascii="Arial" w:cs="Arial" w:eastAsia="Arial" w:hAnsi="Arial"/>
                <w:sz w:val="11"/>
                <w:szCs w:val="11"/>
                <w:b w:val="1"/>
                <w:bCs w:val="1"/>
                <w:color w:val="0000FF"/>
                <w:w w:val="73"/>
              </w:rPr>
            </w:pPr>
            <w:hyperlink w:anchor="page119">
              <w:r>
                <w:rPr>
                  <w:rFonts w:ascii="Arial" w:cs="Arial" w:eastAsia="Arial" w:hAnsi="Arial"/>
                  <w:sz w:val="11"/>
                  <w:szCs w:val="11"/>
                  <w:b w:val="1"/>
                  <w:bCs w:val="1"/>
                  <w:color w:val="0000FF"/>
                  <w:w w:val="73"/>
                </w:rPr>
                <w:t>Item 11.</w:t>
              </w:r>
            </w:hyperlink>
          </w:p>
        </w:tc>
        <w:tc>
          <w:tcPr>
            <w:tcW w:w="640" w:type="dxa"/>
            <w:vAlign w:val="bottom"/>
            <w:gridSpan w:val="2"/>
          </w:tcPr>
          <w:p>
            <w:pPr>
              <w:spacing w:after="0"/>
              <w:rPr>
                <w:sz w:val="10"/>
                <w:szCs w:val="10"/>
                <w:color w:val="auto"/>
              </w:rPr>
            </w:pPr>
          </w:p>
        </w:tc>
        <w:tc>
          <w:tcPr>
            <w:tcW w:w="2600" w:type="dxa"/>
            <w:vAlign w:val="bottom"/>
            <w:gridSpan w:val="12"/>
          </w:tcPr>
          <w:p>
            <w:pPr>
              <w:spacing w:after="0" w:line="124" w:lineRule="exact"/>
              <w:rPr>
                <w:rFonts w:ascii="Arial" w:cs="Arial" w:eastAsia="Arial" w:hAnsi="Arial"/>
                <w:sz w:val="11"/>
                <w:szCs w:val="11"/>
                <w:color w:val="0000FF"/>
              </w:rPr>
            </w:pPr>
            <w:hyperlink w:anchor="page119">
              <w:r>
                <w:rPr>
                  <w:rFonts w:ascii="Arial" w:cs="Arial" w:eastAsia="Arial" w:hAnsi="Arial"/>
                  <w:sz w:val="11"/>
                  <w:szCs w:val="11"/>
                  <w:color w:val="0000FF"/>
                </w:rPr>
                <w:t>Executive Compensation</w:t>
              </w:r>
            </w:hyperlink>
          </w:p>
        </w:tc>
        <w:tc>
          <w:tcPr>
            <w:tcW w:w="7060" w:type="dxa"/>
            <w:vAlign w:val="bottom"/>
            <w:gridSpan w:val="7"/>
          </w:tcPr>
          <w:p>
            <w:pPr>
              <w:spacing w:after="0"/>
              <w:rPr>
                <w:sz w:val="10"/>
                <w:szCs w:val="10"/>
                <w:color w:val="auto"/>
              </w:rPr>
            </w:pPr>
          </w:p>
        </w:tc>
        <w:tc>
          <w:tcPr>
            <w:tcW w:w="120" w:type="dxa"/>
            <w:vAlign w:val="bottom"/>
            <w:gridSpan w:val="2"/>
          </w:tcPr>
          <w:p>
            <w:pPr>
              <w:ind w:left="20"/>
              <w:spacing w:after="0"/>
              <w:rPr>
                <w:rFonts w:ascii="Arial" w:cs="Arial" w:eastAsia="Arial" w:hAnsi="Arial"/>
                <w:sz w:val="5"/>
                <w:szCs w:val="5"/>
                <w:color w:val="0000FF"/>
                <w:w w:val="71"/>
              </w:rPr>
            </w:pPr>
            <w:hyperlink w:anchor="page119">
              <w:r>
                <w:rPr>
                  <w:rFonts w:ascii="Arial" w:cs="Arial" w:eastAsia="Arial" w:hAnsi="Arial"/>
                  <w:sz w:val="5"/>
                  <w:szCs w:val="5"/>
                  <w:color w:val="0000FF"/>
                  <w:w w:val="71"/>
                </w:rPr>
                <w:t>118</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80" w:type="dxa"/>
            <w:vAlign w:val="bottom"/>
            <w:gridSpan w:val="3"/>
          </w:tcPr>
          <w:p>
            <w:pPr>
              <w:spacing w:after="0" w:line="124" w:lineRule="exact"/>
              <w:rPr>
                <w:rFonts w:ascii="Arial" w:cs="Arial" w:eastAsia="Arial" w:hAnsi="Arial"/>
                <w:sz w:val="11"/>
                <w:szCs w:val="11"/>
                <w:b w:val="1"/>
                <w:bCs w:val="1"/>
                <w:color w:val="0000FF"/>
              </w:rPr>
            </w:pPr>
            <w:hyperlink w:anchor="page119">
              <w:r>
                <w:rPr>
                  <w:rFonts w:ascii="Arial" w:cs="Arial" w:eastAsia="Arial" w:hAnsi="Arial"/>
                  <w:sz w:val="11"/>
                  <w:szCs w:val="11"/>
                  <w:b w:val="1"/>
                  <w:bCs w:val="1"/>
                  <w:color w:val="0000FF"/>
                </w:rPr>
                <w:t>Item 12.</w:t>
              </w:r>
            </w:hyperlink>
          </w:p>
        </w:tc>
        <w:tc>
          <w:tcPr>
            <w:tcW w:w="9660" w:type="dxa"/>
            <w:vAlign w:val="bottom"/>
            <w:gridSpan w:val="19"/>
          </w:tcPr>
          <w:p>
            <w:pPr>
              <w:spacing w:after="0" w:line="124" w:lineRule="exact"/>
              <w:rPr>
                <w:rFonts w:ascii="Arial" w:cs="Arial" w:eastAsia="Arial" w:hAnsi="Arial"/>
                <w:sz w:val="11"/>
                <w:szCs w:val="11"/>
                <w:color w:val="0000FF"/>
              </w:rPr>
            </w:pPr>
            <w:hyperlink w:anchor="page119">
              <w:r>
                <w:rPr>
                  <w:rFonts w:ascii="Arial" w:cs="Arial" w:eastAsia="Arial" w:hAnsi="Arial"/>
                  <w:sz w:val="11"/>
                  <w:szCs w:val="11"/>
                  <w:color w:val="0000FF"/>
                </w:rPr>
                <w:t>Security Ownership of Certain Beneficial Owners and Management and Related Stockholder Matters</w:t>
              </w:r>
            </w:hyperlink>
          </w:p>
        </w:tc>
        <w:tc>
          <w:tcPr>
            <w:tcW w:w="120" w:type="dxa"/>
            <w:vAlign w:val="bottom"/>
            <w:gridSpan w:val="2"/>
          </w:tcPr>
          <w:p>
            <w:pPr>
              <w:ind w:left="20"/>
              <w:spacing w:after="0"/>
              <w:rPr>
                <w:rFonts w:ascii="Arial" w:cs="Arial" w:eastAsia="Arial" w:hAnsi="Arial"/>
                <w:sz w:val="5"/>
                <w:szCs w:val="5"/>
                <w:color w:val="0000FF"/>
                <w:w w:val="71"/>
              </w:rPr>
            </w:pPr>
            <w:hyperlink w:anchor="page119">
              <w:r>
                <w:rPr>
                  <w:rFonts w:ascii="Arial" w:cs="Arial" w:eastAsia="Arial" w:hAnsi="Arial"/>
                  <w:sz w:val="5"/>
                  <w:szCs w:val="5"/>
                  <w:color w:val="0000FF"/>
                  <w:w w:val="71"/>
                </w:rPr>
                <w:t>118</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80" w:type="dxa"/>
            <w:vAlign w:val="bottom"/>
            <w:gridSpan w:val="3"/>
          </w:tcPr>
          <w:p>
            <w:pPr>
              <w:spacing w:after="0" w:line="124" w:lineRule="exact"/>
              <w:rPr>
                <w:rFonts w:ascii="Arial" w:cs="Arial" w:eastAsia="Arial" w:hAnsi="Arial"/>
                <w:sz w:val="11"/>
                <w:szCs w:val="11"/>
                <w:b w:val="1"/>
                <w:bCs w:val="1"/>
                <w:color w:val="0000FF"/>
              </w:rPr>
            </w:pPr>
            <w:hyperlink w:anchor="page119">
              <w:r>
                <w:rPr>
                  <w:rFonts w:ascii="Arial" w:cs="Arial" w:eastAsia="Arial" w:hAnsi="Arial"/>
                  <w:sz w:val="11"/>
                  <w:szCs w:val="11"/>
                  <w:b w:val="1"/>
                  <w:bCs w:val="1"/>
                  <w:color w:val="0000FF"/>
                </w:rPr>
                <w:t>Item 13.</w:t>
              </w:r>
            </w:hyperlink>
          </w:p>
        </w:tc>
        <w:tc>
          <w:tcPr>
            <w:tcW w:w="9660" w:type="dxa"/>
            <w:vAlign w:val="bottom"/>
            <w:gridSpan w:val="19"/>
          </w:tcPr>
          <w:p>
            <w:pPr>
              <w:spacing w:after="0" w:line="124" w:lineRule="exact"/>
              <w:rPr>
                <w:rFonts w:ascii="Arial" w:cs="Arial" w:eastAsia="Arial" w:hAnsi="Arial"/>
                <w:sz w:val="11"/>
                <w:szCs w:val="11"/>
                <w:color w:val="0000FF"/>
              </w:rPr>
            </w:pPr>
            <w:hyperlink w:anchor="page119">
              <w:r>
                <w:rPr>
                  <w:rFonts w:ascii="Arial" w:cs="Arial" w:eastAsia="Arial" w:hAnsi="Arial"/>
                  <w:sz w:val="11"/>
                  <w:szCs w:val="11"/>
                  <w:color w:val="0000FF"/>
                </w:rPr>
                <w:t>Certain Relationships and Related Transactions and Director Independence</w:t>
              </w:r>
            </w:hyperlink>
          </w:p>
        </w:tc>
        <w:tc>
          <w:tcPr>
            <w:tcW w:w="120" w:type="dxa"/>
            <w:vAlign w:val="bottom"/>
            <w:gridSpan w:val="2"/>
          </w:tcPr>
          <w:p>
            <w:pPr>
              <w:ind w:left="20"/>
              <w:spacing w:after="0"/>
              <w:rPr>
                <w:rFonts w:ascii="Arial" w:cs="Arial" w:eastAsia="Arial" w:hAnsi="Arial"/>
                <w:sz w:val="5"/>
                <w:szCs w:val="5"/>
                <w:color w:val="0000FF"/>
                <w:w w:val="71"/>
              </w:rPr>
            </w:pPr>
            <w:hyperlink w:anchor="page119">
              <w:r>
                <w:rPr>
                  <w:rFonts w:ascii="Arial" w:cs="Arial" w:eastAsia="Arial" w:hAnsi="Arial"/>
                  <w:sz w:val="5"/>
                  <w:szCs w:val="5"/>
                  <w:color w:val="0000FF"/>
                  <w:w w:val="71"/>
                </w:rPr>
                <w:t>118</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80" w:type="dxa"/>
            <w:vAlign w:val="bottom"/>
            <w:gridSpan w:val="3"/>
          </w:tcPr>
          <w:p>
            <w:pPr>
              <w:spacing w:after="0" w:line="124" w:lineRule="exact"/>
              <w:rPr>
                <w:rFonts w:ascii="Arial" w:cs="Arial" w:eastAsia="Arial" w:hAnsi="Arial"/>
                <w:sz w:val="11"/>
                <w:szCs w:val="11"/>
                <w:b w:val="1"/>
                <w:bCs w:val="1"/>
                <w:color w:val="0000FF"/>
              </w:rPr>
            </w:pPr>
            <w:hyperlink w:anchor="page119">
              <w:r>
                <w:rPr>
                  <w:rFonts w:ascii="Arial" w:cs="Arial" w:eastAsia="Arial" w:hAnsi="Arial"/>
                  <w:sz w:val="11"/>
                  <w:szCs w:val="11"/>
                  <w:b w:val="1"/>
                  <w:bCs w:val="1"/>
                  <w:color w:val="0000FF"/>
                </w:rPr>
                <w:t>Item 14.</w:t>
              </w:r>
            </w:hyperlink>
          </w:p>
        </w:tc>
        <w:tc>
          <w:tcPr>
            <w:tcW w:w="9660" w:type="dxa"/>
            <w:vAlign w:val="bottom"/>
            <w:gridSpan w:val="19"/>
          </w:tcPr>
          <w:p>
            <w:pPr>
              <w:spacing w:after="0" w:line="124" w:lineRule="exact"/>
              <w:rPr>
                <w:rFonts w:ascii="Arial" w:cs="Arial" w:eastAsia="Arial" w:hAnsi="Arial"/>
                <w:sz w:val="11"/>
                <w:szCs w:val="11"/>
                <w:color w:val="0000FF"/>
              </w:rPr>
            </w:pPr>
            <w:hyperlink w:anchor="page119">
              <w:r>
                <w:rPr>
                  <w:rFonts w:ascii="Arial" w:cs="Arial" w:eastAsia="Arial" w:hAnsi="Arial"/>
                  <w:sz w:val="11"/>
                  <w:szCs w:val="11"/>
                  <w:color w:val="0000FF"/>
                </w:rPr>
                <w:t>Principal Accountant Fees and Services</w:t>
              </w:r>
            </w:hyperlink>
          </w:p>
        </w:tc>
        <w:tc>
          <w:tcPr>
            <w:tcW w:w="120" w:type="dxa"/>
            <w:vAlign w:val="bottom"/>
            <w:gridSpan w:val="2"/>
          </w:tcPr>
          <w:p>
            <w:pPr>
              <w:ind w:left="20"/>
              <w:spacing w:after="0"/>
              <w:rPr>
                <w:rFonts w:ascii="Arial" w:cs="Arial" w:eastAsia="Arial" w:hAnsi="Arial"/>
                <w:sz w:val="5"/>
                <w:szCs w:val="5"/>
                <w:color w:val="0000FF"/>
                <w:w w:val="71"/>
              </w:rPr>
            </w:pPr>
            <w:hyperlink w:anchor="page119">
              <w:r>
                <w:rPr>
                  <w:rFonts w:ascii="Arial" w:cs="Arial" w:eastAsia="Arial" w:hAnsi="Arial"/>
                  <w:sz w:val="5"/>
                  <w:szCs w:val="5"/>
                  <w:color w:val="0000FF"/>
                  <w:w w:val="71"/>
                </w:rPr>
                <w:t>118</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580" w:type="dxa"/>
            <w:vAlign w:val="bottom"/>
            <w:gridSpan w:val="3"/>
            <w:vMerge w:val="restart"/>
          </w:tcPr>
          <w:p>
            <w:pPr>
              <w:jc w:val="center"/>
              <w:ind w:right="4080"/>
              <w:spacing w:after="0"/>
              <w:rPr>
                <w:sz w:val="20"/>
                <w:szCs w:val="20"/>
                <w:color w:val="auto"/>
              </w:rPr>
            </w:pPr>
            <w:r>
              <w:rPr>
                <w:rFonts w:ascii="Arial" w:cs="Arial" w:eastAsia="Arial" w:hAnsi="Arial"/>
                <w:sz w:val="11"/>
                <w:szCs w:val="11"/>
                <w:b w:val="1"/>
                <w:bCs w:val="1"/>
                <w:color w:val="auto"/>
              </w:rPr>
              <w:t>PART IV</w:t>
            </w: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80" w:type="dxa"/>
            <w:vAlign w:val="bottom"/>
            <w:gridSpan w:val="3"/>
            <w:vMerge w:val="restart"/>
          </w:tcPr>
          <w:p>
            <w:pPr>
              <w:spacing w:after="0"/>
              <w:rPr>
                <w:rFonts w:ascii="Arial" w:cs="Arial" w:eastAsia="Arial" w:hAnsi="Arial"/>
                <w:sz w:val="11"/>
                <w:szCs w:val="11"/>
                <w:b w:val="1"/>
                <w:bCs w:val="1"/>
                <w:color w:val="0000FF"/>
              </w:rPr>
            </w:pPr>
            <w:hyperlink w:anchor="page120">
              <w:r>
                <w:rPr>
                  <w:rFonts w:ascii="Arial" w:cs="Arial" w:eastAsia="Arial" w:hAnsi="Arial"/>
                  <w:sz w:val="11"/>
                  <w:szCs w:val="11"/>
                  <w:b w:val="1"/>
                  <w:bCs w:val="1"/>
                  <w:color w:val="0000FF"/>
                </w:rPr>
                <w:t>Item 15.</w:t>
              </w:r>
            </w:hyperlink>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5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80" w:type="dxa"/>
            <w:vAlign w:val="bottom"/>
            <w:gridSpan w:val="3"/>
            <w:vMerge w:val="continue"/>
          </w:tcPr>
          <w:p>
            <w:pPr>
              <w:spacing w:after="0"/>
              <w:rPr>
                <w:sz w:val="10"/>
                <w:szCs w:val="10"/>
                <w:color w:val="auto"/>
              </w:rPr>
            </w:pPr>
          </w:p>
        </w:tc>
        <w:tc>
          <w:tcPr>
            <w:tcW w:w="9660" w:type="dxa"/>
            <w:vAlign w:val="bottom"/>
            <w:gridSpan w:val="19"/>
          </w:tcPr>
          <w:p>
            <w:pPr>
              <w:spacing w:after="0" w:line="121" w:lineRule="exact"/>
              <w:rPr>
                <w:rFonts w:ascii="Arial" w:cs="Arial" w:eastAsia="Arial" w:hAnsi="Arial"/>
                <w:sz w:val="11"/>
                <w:szCs w:val="11"/>
                <w:color w:val="0000FF"/>
              </w:rPr>
            </w:pPr>
            <w:hyperlink w:anchor="page120">
              <w:r>
                <w:rPr>
                  <w:rFonts w:ascii="Arial" w:cs="Arial" w:eastAsia="Arial" w:hAnsi="Arial"/>
                  <w:sz w:val="11"/>
                  <w:szCs w:val="11"/>
                  <w:color w:val="0000FF"/>
                </w:rPr>
                <w:t>Exhibits, Financial Statement Schedules</w:t>
              </w:r>
            </w:hyperlink>
          </w:p>
        </w:tc>
        <w:tc>
          <w:tcPr>
            <w:tcW w:w="120" w:type="dxa"/>
            <w:vAlign w:val="bottom"/>
            <w:gridSpan w:val="2"/>
          </w:tcPr>
          <w:p>
            <w:pPr>
              <w:ind w:left="20"/>
              <w:spacing w:after="0"/>
              <w:rPr>
                <w:rFonts w:ascii="Arial" w:cs="Arial" w:eastAsia="Arial" w:hAnsi="Arial"/>
                <w:sz w:val="5"/>
                <w:szCs w:val="5"/>
                <w:color w:val="0000FF"/>
                <w:w w:val="71"/>
              </w:rPr>
            </w:pPr>
            <w:hyperlink w:anchor="page120">
              <w:r>
                <w:rPr>
                  <w:rFonts w:ascii="Arial" w:cs="Arial" w:eastAsia="Arial" w:hAnsi="Arial"/>
                  <w:sz w:val="5"/>
                  <w:szCs w:val="5"/>
                  <w:color w:val="0000FF"/>
                  <w:w w:val="71"/>
                </w:rPr>
                <w:t>119</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78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80" w:type="dxa"/>
            <w:vAlign w:val="bottom"/>
            <w:gridSpan w:val="3"/>
          </w:tcPr>
          <w:p>
            <w:pPr>
              <w:spacing w:after="0" w:line="124" w:lineRule="exact"/>
              <w:rPr>
                <w:rFonts w:ascii="Arial" w:cs="Arial" w:eastAsia="Arial" w:hAnsi="Arial"/>
                <w:sz w:val="11"/>
                <w:szCs w:val="11"/>
                <w:b w:val="1"/>
                <w:bCs w:val="1"/>
                <w:color w:val="0000FF"/>
              </w:rPr>
            </w:pPr>
            <w:hyperlink w:anchor="page122">
              <w:r>
                <w:rPr>
                  <w:rFonts w:ascii="Arial" w:cs="Arial" w:eastAsia="Arial" w:hAnsi="Arial"/>
                  <w:sz w:val="11"/>
                  <w:szCs w:val="11"/>
                  <w:b w:val="1"/>
                  <w:bCs w:val="1"/>
                  <w:color w:val="0000FF"/>
                </w:rPr>
                <w:t>Item 16.</w:t>
              </w:r>
            </w:hyperlink>
          </w:p>
        </w:tc>
        <w:tc>
          <w:tcPr>
            <w:tcW w:w="9660" w:type="dxa"/>
            <w:vAlign w:val="bottom"/>
            <w:gridSpan w:val="19"/>
          </w:tcPr>
          <w:p>
            <w:pPr>
              <w:spacing w:after="0" w:line="124" w:lineRule="exact"/>
              <w:rPr>
                <w:rFonts w:ascii="Arial" w:cs="Arial" w:eastAsia="Arial" w:hAnsi="Arial"/>
                <w:sz w:val="11"/>
                <w:szCs w:val="11"/>
                <w:color w:val="0000FF"/>
              </w:rPr>
            </w:pPr>
            <w:hyperlink w:anchor="page122">
              <w:r>
                <w:rPr>
                  <w:rFonts w:ascii="Arial" w:cs="Arial" w:eastAsia="Arial" w:hAnsi="Arial"/>
                  <w:sz w:val="11"/>
                  <w:szCs w:val="11"/>
                  <w:color w:val="0000FF"/>
                </w:rPr>
                <w:t>Form 10-K Summary</w:t>
              </w:r>
            </w:hyperlink>
          </w:p>
        </w:tc>
        <w:tc>
          <w:tcPr>
            <w:tcW w:w="120" w:type="dxa"/>
            <w:vAlign w:val="bottom"/>
            <w:gridSpan w:val="2"/>
          </w:tcPr>
          <w:p>
            <w:pPr>
              <w:ind w:left="20"/>
              <w:spacing w:after="0"/>
              <w:rPr>
                <w:rFonts w:ascii="Arial" w:cs="Arial" w:eastAsia="Arial" w:hAnsi="Arial"/>
                <w:sz w:val="5"/>
                <w:szCs w:val="5"/>
                <w:color w:val="0000FF"/>
                <w:w w:val="71"/>
              </w:rPr>
            </w:pPr>
            <w:hyperlink w:anchor="page122">
              <w:r>
                <w:rPr>
                  <w:rFonts w:ascii="Arial" w:cs="Arial" w:eastAsia="Arial" w:hAnsi="Arial"/>
                  <w:sz w:val="5"/>
                  <w:szCs w:val="5"/>
                  <w:color w:val="0000FF"/>
                  <w:w w:val="71"/>
                </w:rPr>
                <w:t>121</w:t>
              </w:r>
            </w:hyperlink>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jc w:val="center"/>
        <w:ind w:left="320"/>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4" w:lineRule="exact"/>
        <w:rPr>
          <w:sz w:val="20"/>
          <w:szCs w:val="20"/>
          <w:color w:val="auto"/>
        </w:rPr>
      </w:pPr>
    </w:p>
    <w:p>
      <w:pPr>
        <w:ind w:right="40" w:firstLine="324"/>
        <w:spacing w:after="0" w:line="256" w:lineRule="auto"/>
        <w:rPr>
          <w:sz w:val="20"/>
          <w:szCs w:val="20"/>
          <w:color w:val="auto"/>
        </w:rPr>
      </w:pPr>
      <w:r>
        <w:rPr>
          <w:rFonts w:ascii="Arial" w:cs="Arial" w:eastAsia="Arial" w:hAnsi="Arial"/>
          <w:sz w:val="12"/>
          <w:szCs w:val="12"/>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28" w:lineRule="exact"/>
        <w:rPr>
          <w:sz w:val="20"/>
          <w:szCs w:val="20"/>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the coronavirus disease of 2019 (“COVID-19”) pandemic on the global economy, our customers, employees and business;</w:t>
      </w:r>
    </w:p>
    <w:p>
      <w:pPr>
        <w:spacing w:after="0" w:line="14"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future financial performance, including our revenue, cost of revenue, gross margin and operating expenses, ability to generate positive cash flow and ability to achieve and sustain profitability;</w:t>
      </w:r>
    </w:p>
    <w:p>
      <w:pPr>
        <w:spacing w:after="0" w:line="141"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anticipated technology trends, such as the use of and demand for cloud communications;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continue to build and maintain credibility with the global software developer community;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attract and retain customers to use our products;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evolution of technology affecting our products and markets;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introduce new products and enhance existing products;</w:t>
      </w:r>
    </w:p>
    <w:p>
      <w:pPr>
        <w:spacing w:after="0" w:line="150" w:lineRule="exact"/>
        <w:rPr>
          <w:rFonts w:ascii="Arial" w:cs="Arial" w:eastAsia="Arial" w:hAnsi="Arial"/>
          <w:sz w:val="12"/>
          <w:szCs w:val="12"/>
          <w:color w:val="auto"/>
        </w:rPr>
      </w:pPr>
    </w:p>
    <w:p>
      <w:pPr>
        <w:ind w:left="640" w:hanging="216"/>
        <w:spacing w:after="0" w:line="259"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comply with modified or new industry standards, laws and regulations applying to our business, including the General Data Protection Regulation (“GDPR”), the Schrems II decision invalidating the EU-US Privacy Shield, the California Consumer Privacy Act of 2018 (“CCPA”) and other privacy or cybersecurity regulations that may be implemented in the future, and Signature-based Handling of Asserted Information Using toKENs (“SHAKEN”) and Secure Telephone Identity Revisited (“STIR”) standards (together, “SHAKEN/STIR”) and other robocalling prevention and anti-spam standards and increased costs associated with such compliance;</w:t>
      </w:r>
    </w:p>
    <w:p>
      <w:pPr>
        <w:spacing w:after="0" w:line="124"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potential harm caused by compromises in security, data and infrastructure, including cybersecurity protections, investments and resources and costs required to prevent, detect and remediate potential cybersecurity threats, incidents and breaches of ours or our customers’ systems or information;</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optimize our network service provider coverage and connectivity;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manage changes in network service provider fees that we pay in connection with the delivery of communications on our platform;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work closely with email inbox service providers to maintain deliverability rates;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pass on our savings associated with our platform optimization efforts to our customers;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and expected results from changes in our relationships with our larger customers;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attract and retain enterprises and international organizations as customers for our products;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form and expand partnerships with technology partners and consulting partners;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successfully enter into new markets and manage our international expansion;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attraction and retention of qualified employees and key personnel;</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effectively manage our growth and future expenses and maintain our corporate culture;</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84" w:right="379" w:bottom="1440" w:gutter="0" w:footer="0" w:header="0"/>
        </w:sectPr>
      </w:pPr>
    </w:p>
    <w:bookmarkStart w:id="3" w:name="page4"/>
    <w:bookmarkEnd w:id="3"/>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compete effectively in an intensely competitive market;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sufficiency of our cash and cash equivalents to meet our liquidity needs;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anticipated investments in sales and marketing, research and development and additional systems and processes to support our growth;</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maintain, protect and enhance our intellectual property;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successfully defend litigation brought against us;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service the interest on our 3.625% senior notes due 2029 (“2029 Notes”), our 3.875% notes due 2031 (“2031 Notes,” and together with the 2029 Notes, the “Notes”), and repay such Notes;</w:t>
      </w:r>
    </w:p>
    <w:p>
      <w:pPr>
        <w:spacing w:after="0" w:line="153"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customers</w:t>
      </w:r>
      <w:r>
        <w:rPr>
          <w:rFonts w:ascii="Arial" w:cs="Arial" w:eastAsia="Arial" w:hAnsi="Arial"/>
          <w:sz w:val="14"/>
          <w:szCs w:val="14"/>
          <w:color w:val="auto"/>
        </w:rPr>
        <w:t>’</w:t>
      </w:r>
      <w:r>
        <w:rPr>
          <w:rFonts w:ascii="Arial" w:cs="Arial" w:eastAsia="Arial" w:hAnsi="Arial"/>
          <w:sz w:val="12"/>
          <w:szCs w:val="12"/>
          <w:color w:val="auto"/>
        </w:rPr>
        <w:t xml:space="preserve"> and other platform users</w:t>
      </w:r>
      <w:r>
        <w:rPr>
          <w:rFonts w:ascii="Arial" w:cs="Arial" w:eastAsia="Arial" w:hAnsi="Arial"/>
          <w:sz w:val="14"/>
          <w:szCs w:val="14"/>
          <w:color w:val="auto"/>
        </w:rPr>
        <w:t>’</w:t>
      </w:r>
      <w:r>
        <w:rPr>
          <w:rFonts w:ascii="Arial" w:cs="Arial" w:eastAsia="Arial" w:hAnsi="Arial"/>
          <w:sz w:val="12"/>
          <w:szCs w:val="12"/>
          <w:color w:val="auto"/>
        </w:rPr>
        <w:t xml:space="preserve"> violation of our policies or other misuse of our platform;</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1"/>
          <w:szCs w:val="11"/>
          <w:color w:val="auto"/>
        </w:rPr>
      </w:pPr>
      <w:r>
        <w:rPr>
          <w:rFonts w:ascii="Arial" w:cs="Arial" w:eastAsia="Arial" w:hAnsi="Arial"/>
          <w:sz w:val="11"/>
          <w:szCs w:val="11"/>
          <w:color w:val="auto"/>
        </w:rPr>
        <w:t>our expectations about the impact of climate change, natural disasters, public health epidemics and other natural catastrophic events and man-made problems such as data security breaches or terrorism; and</w:t>
      </w:r>
    </w:p>
    <w:p>
      <w:pPr>
        <w:spacing w:after="0" w:line="161" w:lineRule="exact"/>
        <w:rPr>
          <w:rFonts w:ascii="Arial" w:cs="Arial" w:eastAsia="Arial" w:hAnsi="Arial"/>
          <w:sz w:val="11"/>
          <w:szCs w:val="11"/>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successfully integrate and realize the benefits of our past or future strategic acquisitions or investments.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caution you that the foregoing list may not contain all of the forward-looking statements made in this Annual Report on Form 10-K.</w:t>
      </w:r>
    </w:p>
    <w:p>
      <w:pPr>
        <w:spacing w:after="0" w:line="15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2"/>
          <w:szCs w:val="12"/>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“Summary of Risk Factors and Uncertainties Associated with Our Business” below, in Part I, Item 1A,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20"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color w:val="auto"/>
        </w:rPr>
        <w:t>Summary of Risk Factors and Uncertainties Associated with Our Business</w:t>
      </w:r>
    </w:p>
    <w:p>
      <w:pPr>
        <w:spacing w:after="0" w:line="154"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Our business is subject to numerous risks and uncertainties outside of our control. One, or a combination, of these risks and uncertainties could materially affect any of those matters as to which we have made forward-looking statements and cause our actual results or an actual event or occurrence to differ materially from those results or an event or occurrence described in a forward-looking statement. Some of the principal risks associated with our business include the following:</w:t>
      </w:r>
    </w:p>
    <w:p>
      <w:pPr>
        <w:spacing w:after="0" w:line="69"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2"/>
          <w:szCs w:val="12"/>
          <w:i w:val="1"/>
          <w:iCs w:val="1"/>
          <w:color w:val="auto"/>
        </w:rPr>
        <w:t>the impact of the global COVID-19 pandemic;</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2"/>
          <w:szCs w:val="12"/>
          <w:i w:val="1"/>
          <w:iCs w:val="1"/>
          <w:color w:val="auto"/>
        </w:rPr>
        <w:t>new and unproven markets for our products and platform;</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2"/>
          <w:szCs w:val="12"/>
          <w:i w:val="1"/>
          <w:iCs w:val="1"/>
          <w:color w:val="auto"/>
        </w:rPr>
        <w:t>our ability to effectively manage our rapid growth;</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2"/>
          <w:szCs w:val="12"/>
          <w:i w:val="1"/>
          <w:iCs w:val="1"/>
          <w:color w:val="auto"/>
        </w:rPr>
        <w:t>fluctuations in our quarterly results and our ability to meet securities analysts’ and investors’ expectations;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2"/>
          <w:szCs w:val="12"/>
          <w:i w:val="1"/>
          <w:iCs w:val="1"/>
          <w:color w:val="auto"/>
        </w:rPr>
        <w:t>our ability to maintain and enhance our brand and increase market awareness of our company and products;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2"/>
          <w:szCs w:val="12"/>
          <w:i w:val="1"/>
          <w:iCs w:val="1"/>
          <w:color w:val="auto"/>
        </w:rPr>
        <w:t>limitations on the use and adoption of our solutions due to privacy laws, data collection and transfer restrictions and related domestic or foreign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4" w:name="page5"/>
    <w:bookmarkEnd w:id="4"/>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maintain and grow our relationships with existing customers and have them increase their usage of our platform;</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attract new customers in a cost-effective manner;</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develop enhancements to our products and introduce new products that achieve market acceptance;</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compete effectively in the markets in which we participate;</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history of losses and uncertainty about our future profitability;</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increase adoption of our products by enterprises;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expand our relationships with existing technology partner customers and add new technology partner customers;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significant risks associated with expansion of our international operations;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compliance with applicable laws and regulations;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telecommunications-related regulations and future legislative or regulatory actions;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obtain or retain geographical, mobile, regional, local or toll-free numbers and to effectively process requests to port such numbers in a timely manner due to industry regulations;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adapt and respond effectively to rapidly changing technology, evolving industry standards, changing regulations, and changing customer needs, requirements or preferences;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provide monthly uptime service level commitments of a minimum of 99.95% under our agreements with customers;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any breaches of our networks or systems, or those of AWS or our service providers;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defects or errors in our products;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any loss or decline in revenue from our largest customers;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litigation by third parties for alleged infringement of their proprietary rights;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exposure to substantial liability for intellectual property infringement and other losses from indemnity provisions in various agreements;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successfully utilize or to integrate acquired businesses and technologies successfully or to achieve the expected benefits of such acquisitions, partnerships and investments;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the loss of our senior management and other key employees;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use of open source software;</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reliance on SaaS technologies from third parties;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potentially adverse tax consequences on our global operations and structure;</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fraudulent usage of or activity relating to our products;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unfavorable conditions in our industry or the global economy;</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requirement of additional capital to support our business and its availability on acceptable terms, if at all;</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exposure to foreign currency exchange rate fluctuations;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use our net operating losses and certain other tax attributes to offset future taxable income and taxes;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failure to maintain an effective system of disclosure controls and internal control over financial reporting;</w:t>
      </w:r>
    </w:p>
    <w:p>
      <w:pPr>
        <w:spacing w:after="0" w:line="18"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2"/>
          <w:szCs w:val="12"/>
          <w:color w:val="auto"/>
        </w:rPr>
      </w:pPr>
      <w:r>
        <w:rPr>
          <w:rFonts w:ascii="Arial" w:cs="Arial" w:eastAsia="Arial" w:hAnsi="Arial"/>
          <w:sz w:val="10"/>
          <w:szCs w:val="10"/>
          <w:i w:val="1"/>
          <w:iCs w:val="1"/>
          <w:color w:val="auto"/>
        </w:rPr>
        <w:t>the risks of pandemics, earthquakes, fire, floods and other natural catastrophic events and of interruption by man-made problems such as power disruptions, computer viruses, data security breaches or terrorism;</w:t>
      </w:r>
    </w:p>
    <w:p>
      <w:pPr>
        <w:spacing w:after="0" w:line="24" w:lineRule="exact"/>
        <w:rPr>
          <w:rFonts w:ascii="Arial" w:cs="Arial" w:eastAsia="Arial" w:hAnsi="Arial"/>
          <w:sz w:val="12"/>
          <w:szCs w:val="12"/>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volatility of the trading price of our Class A common stock;</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potential decline in the market price of our Class A common stock due to substantial future sales of shares;</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requirement of a significant amount of cash to service our future debt; and</w:t>
      </w:r>
    </w:p>
    <w:p>
      <w:pPr>
        <w:spacing w:after="0" w:line="10" w:lineRule="exact"/>
        <w:rPr>
          <w:rFonts w:ascii="Arial" w:cs="Arial" w:eastAsia="Arial" w:hAnsi="Arial"/>
          <w:sz w:val="14"/>
          <w:szCs w:val="14"/>
          <w:color w:val="auto"/>
        </w:rPr>
      </w:pPr>
    </w:p>
    <w:p>
      <w:pPr>
        <w:ind w:left="212" w:hanging="212"/>
        <w:spacing w:after="0"/>
        <w:tabs>
          <w:tab w:leader="none" w:pos="212" w:val="left"/>
        </w:tabs>
        <w:numPr>
          <w:ilvl w:val="0"/>
          <w:numId w:val="6"/>
        </w:numPr>
        <w:rPr>
          <w:rFonts w:ascii="Arial" w:cs="Arial" w:eastAsia="Arial" w:hAnsi="Arial"/>
          <w:sz w:val="14"/>
          <w:szCs w:val="14"/>
          <w:color w:val="auto"/>
        </w:rPr>
      </w:pPr>
      <w:r>
        <w:rPr>
          <w:rFonts w:ascii="Arial" w:cs="Arial" w:eastAsia="Arial" w:hAnsi="Arial"/>
          <w:sz w:val="12"/>
          <w:szCs w:val="12"/>
          <w:i w:val="1"/>
          <w:iCs w:val="1"/>
          <w:color w:val="auto"/>
        </w:rPr>
        <w:t>our ability to raise the funds necessary for the repayment of the 2029 Notes and 2031 Notes for cash.</w:t>
      </w:r>
    </w:p>
    <w:p>
      <w:pPr>
        <w:spacing w:after="0" w:line="198" w:lineRule="exact"/>
        <w:rPr>
          <w:sz w:val="20"/>
          <w:szCs w:val="20"/>
          <w:color w:val="auto"/>
        </w:rPr>
      </w:pPr>
    </w:p>
    <w:p>
      <w:pPr>
        <w:jc w:val="center"/>
        <w:ind w:right="-471"/>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145415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392"/>
          </w:cols>
          <w:pgMar w:left="508" w:top="663" w:right="99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i w:val="1"/>
          <w:i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right="80" w:firstLine="324"/>
        <w:spacing w:after="0" w:line="323" w:lineRule="auto"/>
        <w:rPr>
          <w:sz w:val="20"/>
          <w:szCs w:val="20"/>
          <w:color w:val="auto"/>
        </w:rPr>
      </w:pPr>
      <w:r>
        <w:rPr>
          <w:rFonts w:ascii="Arial" w:cs="Arial" w:eastAsia="Arial" w:hAnsi="Arial"/>
          <w:sz w:val="11"/>
          <w:szCs w:val="11"/>
          <w:color w:val="auto"/>
        </w:rPr>
        <w:t>Software developers are reinventing nearly every aspect of business today. Yet as developers, we repeatedly encountered an area where we could not innovate—communications. Because communication is a fundamental human activity and vital to building great businesses, we wanted to incorporate communications into our software applications, but the barriers to innovation were too high. Twilio was started to solve this problem in 2008.</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2"/>
          <w:szCs w:val="12"/>
          <w:color w:val="auto"/>
        </w:rPr>
        <w:t>Twilio spent over a decade building the leading cloud communication platform, but communications is just the beginning. Twilio's vision is to become the leading customer engagement platform, ultimately providing businesses with the holy grail—a single view of the customer journey and the ability to take action, delivering real-time, personalized communications. We believe the future of customer engagement will be written in software by the developers of the world—our customers.</w:t>
      </w:r>
    </w:p>
    <w:p>
      <w:pPr>
        <w:spacing w:after="0" w:line="122" w:lineRule="exact"/>
        <w:rPr>
          <w:sz w:val="20"/>
          <w:szCs w:val="20"/>
          <w:color w:val="auto"/>
        </w:rPr>
      </w:pPr>
    </w:p>
    <w:p>
      <w:pPr>
        <w:ind w:right="60" w:firstLine="324"/>
        <w:spacing w:after="0" w:line="263" w:lineRule="auto"/>
        <w:rPr>
          <w:sz w:val="20"/>
          <w:szCs w:val="20"/>
          <w:color w:val="auto"/>
        </w:rPr>
      </w:pPr>
      <w:r>
        <w:rPr>
          <w:rFonts w:ascii="Arial" w:cs="Arial" w:eastAsia="Arial" w:hAnsi="Arial"/>
          <w:sz w:val="12"/>
          <w:szCs w:val="12"/>
          <w:color w:val="auto"/>
        </w:rPr>
        <w:t>Cloud platforms are a category of software that enable developers to build and manage applications without the complexity of creating and maintaining the underlying infrastructure. These platforms have arisen to enable a fast pace of innovation across a range of categories, such as computing and storage. We are the leader in the cloud communications platform category. We enable developers to build, scale and operate real-time customer engagement within software applications.</w:t>
      </w:r>
    </w:p>
    <w:p>
      <w:pPr>
        <w:spacing w:after="0" w:line="122" w:lineRule="exact"/>
        <w:rPr>
          <w:sz w:val="20"/>
          <w:szCs w:val="20"/>
          <w:color w:val="auto"/>
        </w:rPr>
      </w:pPr>
    </w:p>
    <w:p>
      <w:pPr>
        <w:ind w:firstLine="324"/>
        <w:spacing w:after="0" w:line="283" w:lineRule="auto"/>
        <w:rPr>
          <w:sz w:val="20"/>
          <w:szCs w:val="20"/>
          <w:color w:val="auto"/>
        </w:rPr>
      </w:pPr>
      <w:r>
        <w:rPr>
          <w:rFonts w:ascii="Arial" w:cs="Arial" w:eastAsia="Arial" w:hAnsi="Arial"/>
          <w:sz w:val="11"/>
          <w:szCs w:val="11"/>
          <w:color w:val="auto"/>
        </w:rPr>
        <w:t>We offer a customer engagement platform with software designed to address specific use cases, like account security and contact centers, and a set of Application Programming Interfaces ("APIs") that handles the higher-level communication logic needed for nearly every type of customer engagement. These APIs are focused on the business challenges that a developer is looking to address, allowing our customers to more quickly and easily build better ways to engage with their customers throughout their journey. Our engagement platform also includes a set of APIs that enable developers to embed voice, messaging, video and email capabilities into their applications, and are designed to support almost all the fundamental ways humans communicate, unlocking innovators to address just about any communication market. The Super Network is our software layer that allows our customers' software to communicate with connected devices globally. It interconnects with communications networks and inbox service providers around the world and continually analyzes data to optimize the quality and cost of communications that flow through our platform. The Super Network also contains a set of APIs giving our customers access to more foundational components of our platform, like phone numbers and session initiation protocol (“SIP”) Trunking.</w:t>
      </w:r>
    </w:p>
    <w:p>
      <w:pPr>
        <w:spacing w:after="0" w:line="113" w:lineRule="exact"/>
        <w:rPr>
          <w:sz w:val="20"/>
          <w:szCs w:val="20"/>
          <w:color w:val="auto"/>
        </w:rPr>
      </w:pPr>
    </w:p>
    <w:p>
      <w:pPr>
        <w:ind w:right="280" w:firstLine="324"/>
        <w:spacing w:after="0" w:line="276" w:lineRule="auto"/>
        <w:rPr>
          <w:sz w:val="20"/>
          <w:szCs w:val="20"/>
          <w:color w:val="auto"/>
        </w:rPr>
      </w:pPr>
      <w:r>
        <w:rPr>
          <w:rFonts w:ascii="Arial" w:cs="Arial" w:eastAsia="Arial" w:hAnsi="Arial"/>
          <w:sz w:val="12"/>
          <w:szCs w:val="12"/>
          <w:color w:val="auto"/>
        </w:rPr>
        <w:t>In February 2019 we acquired SendGrid, Inc. (“SendGrid”), the leading email API platform. Email is an important channel for businesses to communicate with their customers and incorporating SendGrid's products into our platform allows us to enable businesses to engage with their customers via email effectively and at scale.</w:t>
      </w:r>
    </w:p>
    <w:p>
      <w:pPr>
        <w:spacing w:after="0" w:line="11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2"/>
          <w:szCs w:val="12"/>
          <w:color w:val="auto"/>
        </w:rPr>
        <w:t>In November 2020 we acquired Segment.io, Inc. (“Segment”), the market-leading customer data platform. Segment provides businesses a unified customer view to better understand their customers and engage more effectively, enabling us to drive personalization at scale. The acquisition expands and strengthens use cases across customer service, marketing, sales, product and analytics and accelerates Twilio’s journey to build the world’s leading customer engagement platform.</w:t>
      </w:r>
    </w:p>
    <w:p>
      <w:pPr>
        <w:spacing w:after="0" w:line="122" w:lineRule="exact"/>
        <w:rPr>
          <w:sz w:val="20"/>
          <w:szCs w:val="20"/>
          <w:color w:val="auto"/>
        </w:rPr>
      </w:pPr>
    </w:p>
    <w:p>
      <w:pPr>
        <w:ind w:right="340" w:firstLine="324"/>
        <w:spacing w:after="0" w:line="276" w:lineRule="auto"/>
        <w:rPr>
          <w:sz w:val="20"/>
          <w:szCs w:val="20"/>
          <w:color w:val="auto"/>
        </w:rPr>
      </w:pPr>
      <w:r>
        <w:rPr>
          <w:rFonts w:ascii="Arial" w:cs="Arial" w:eastAsia="Arial" w:hAnsi="Arial"/>
          <w:sz w:val="12"/>
          <w:szCs w:val="12"/>
          <w:color w:val="auto"/>
        </w:rPr>
        <w:t>In July 2021 we acquired Zipwhip, Inc., (“Zipwhip”) a leading provider of toll-free messaging in the United States. Zipwhip’s customizable APIs enable organizations to text enable their existing toll-free phone numbers in minutes and seamlessly fit texting into their workflows.</w:t>
      </w:r>
    </w:p>
    <w:p>
      <w:pPr>
        <w:spacing w:after="0" w:line="115" w:lineRule="exact"/>
        <w:rPr>
          <w:sz w:val="20"/>
          <w:szCs w:val="20"/>
          <w:color w:val="auto"/>
        </w:rPr>
      </w:pPr>
    </w:p>
    <w:p>
      <w:pPr>
        <w:ind w:right="300" w:firstLine="324"/>
        <w:spacing w:after="0" w:line="289" w:lineRule="auto"/>
        <w:rPr>
          <w:sz w:val="20"/>
          <w:szCs w:val="20"/>
          <w:color w:val="auto"/>
        </w:rPr>
      </w:pPr>
      <w:r>
        <w:rPr>
          <w:rFonts w:ascii="Arial" w:cs="Arial" w:eastAsia="Arial" w:hAnsi="Arial"/>
          <w:sz w:val="11"/>
          <w:szCs w:val="11"/>
          <w:color w:val="auto"/>
        </w:rPr>
        <w:t>We had over 256,000 Active Customer Accounts as of December 31, 2021, representing organizations big and small, old and young, across nearly every industry, with one thing in common: they are competing by using the power of software to build differentiated customer engagement experiences. With our customer engagement platform, our customers are disrupting existing industries and creating new ones. For example, our customers' software applications use our platform to notify a diner when a table is ready, provide enhanced application security through two-factor authentication to safely recognize a customer, connect potential buyers to real estate agents, and power large, omni-channel contact centers. The range of applications that developers build with the Twilio platform has proven to be nearly limitless.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6" w:name="page7"/>
    <w:bookmarkEnd w:id="6"/>
    <w:p>
      <w:pPr>
        <w:ind w:right="360" w:firstLine="324"/>
        <w:spacing w:after="0" w:line="276" w:lineRule="auto"/>
        <w:rPr>
          <w:sz w:val="20"/>
          <w:szCs w:val="20"/>
          <w:color w:val="auto"/>
        </w:rPr>
      </w:pPr>
      <w:r>
        <w:rPr>
          <w:rFonts w:ascii="Arial" w:cs="Arial" w:eastAsia="Arial" w:hAnsi="Arial"/>
          <w:sz w:val="12"/>
          <w:szCs w:val="12"/>
          <w:color w:val="auto"/>
        </w:rPr>
        <w:t>Our goal is for Twilio to be in the toolkit of every software developer in the world, from small businesses to major enterprises. Because big ideas often start small, we encourage developers to experiment and iterate on our platform. We love when developers explore what they can do with Twilio, because one day they may have a business problem that they will use our products to solve.</w:t>
      </w:r>
    </w:p>
    <w:p>
      <w:pPr>
        <w:spacing w:after="0" w:line="115" w:lineRule="exact"/>
        <w:rPr>
          <w:sz w:val="20"/>
          <w:szCs w:val="20"/>
          <w:color w:val="auto"/>
        </w:rPr>
      </w:pPr>
    </w:p>
    <w:p>
      <w:pPr>
        <w:ind w:right="20" w:firstLine="324"/>
        <w:spacing w:after="0" w:line="145" w:lineRule="exact"/>
        <w:rPr>
          <w:sz w:val="20"/>
          <w:szCs w:val="20"/>
          <w:color w:val="auto"/>
        </w:rPr>
      </w:pPr>
      <w:r>
        <w:rPr>
          <w:rFonts w:ascii="Arial" w:cs="Arial" w:eastAsia="Arial" w:hAnsi="Arial"/>
          <w:sz w:val="11"/>
          <w:szCs w:val="11"/>
          <w:color w:val="auto"/>
        </w:rPr>
        <w:t>As our customers succeed, we share in their success primarily through our usage-based revenue model. Our revenue grows as customers increase their usage of a product, extend their usage of a product to new applications or adopt a new product. We believe the most useful indicator of this increased activity from our existing customer accounts is our Dollar-Based Net Expansion Rate, which for historical periods through December 31, 2019, compares the revenue from a cohort of Active Customer Accounts, other than Variable Customer Accounts, in a period to the same period in the prior year. As previously announced in our Annual Report on Form 10-K filed with the SEC on March 2, 2020, commencing with the three-month period ended March 31, 2020, we calculate our Dollar-Based Net Expansion Rate by comparing total revenue from a cohort of Active Customer Accounts in a period to the same period in the prior year (the “New DBNE Definition”). When we calculate Dollar</w:t>
      </w:r>
      <w:r>
        <w:rPr>
          <w:rFonts w:ascii="MS PGothic" w:cs="MS PGothic" w:eastAsia="MS PGothic" w:hAnsi="MS PGothic"/>
          <w:sz w:val="11"/>
          <w:szCs w:val="11"/>
          <w:color w:val="auto"/>
        </w:rPr>
        <w:t>‑</w:t>
      </w:r>
      <w:r>
        <w:rPr>
          <w:rFonts w:ascii="Arial" w:cs="Arial" w:eastAsia="Arial" w:hAnsi="Arial"/>
          <w:sz w:val="11"/>
          <w:szCs w:val="11"/>
          <w:color w:val="auto"/>
        </w:rPr>
        <w:t>Based Net Expansion Rate for periods longer than one quarter, we use the average of the applicable quarterly Dollar</w:t>
      </w:r>
      <w:r>
        <w:rPr>
          <w:rFonts w:ascii="MS PGothic" w:cs="MS PGothic" w:eastAsia="MS PGothic" w:hAnsi="MS PGothic"/>
          <w:sz w:val="11"/>
          <w:szCs w:val="11"/>
          <w:color w:val="auto"/>
        </w:rPr>
        <w:t>‑</w:t>
      </w:r>
      <w:r>
        <w:rPr>
          <w:rFonts w:ascii="Arial" w:cs="Arial" w:eastAsia="Arial" w:hAnsi="Arial"/>
          <w:sz w:val="11"/>
          <w:szCs w:val="11"/>
          <w:color w:val="auto"/>
        </w:rPr>
        <w:t>Based Net Expansion Rates for each of the quarters in such period. Under the New DBNE Definition, our Dollar-Based Net Expansion Rate was 131% and 137% for the years ended December 31, 2021 and 2020, respectively. See Part II, Item 7, “Management's Discussion and Analysis of Financial Condition and Results of Operations—Key Business Metrics—Dollar-Based Net Expansion Rate.”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Platform Approach</w:t>
      </w:r>
    </w:p>
    <w:p>
      <w:pPr>
        <w:spacing w:after="0" w:line="15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2"/>
          <w:szCs w:val="12"/>
          <w:color w:val="auto"/>
        </w:rPr>
        <w:t>Twilio's mission is to unlock the imagination of builders. Our plan is to be the leading customer engagement platform. We enable builders - the developers of the world - to build, scale and operate real-time communications within software applications, ultimately empowering every developer and company to improve their interactions with their customers. This enables businesses to create novel and creative new consumer experiences that delight their customers and differentiate their companies from their competitors.</w:t>
      </w:r>
    </w:p>
    <w:p>
      <w:pPr>
        <w:spacing w:after="0" w:line="122" w:lineRule="exact"/>
        <w:rPr>
          <w:sz w:val="20"/>
          <w:szCs w:val="20"/>
          <w:color w:val="auto"/>
        </w:rPr>
      </w:pPr>
    </w:p>
    <w:p>
      <w:pPr>
        <w:ind w:right="160" w:firstLine="324"/>
        <w:spacing w:after="0" w:line="276" w:lineRule="auto"/>
        <w:rPr>
          <w:sz w:val="20"/>
          <w:szCs w:val="20"/>
          <w:color w:val="auto"/>
        </w:rPr>
      </w:pPr>
      <w:r>
        <w:rPr>
          <w:rFonts w:ascii="Arial" w:cs="Arial" w:eastAsia="Arial" w:hAnsi="Arial"/>
          <w:sz w:val="12"/>
          <w:szCs w:val="12"/>
          <w:color w:val="auto"/>
        </w:rPr>
        <w:t>Our platform approach enables developers to build this future. Using our software, developers are able to incorporate communications and customer data into applications that span a range of industries and functionalities. Our technology partner customers also embed our products in solutions they sell to other businesses.</w:t>
      </w:r>
    </w:p>
    <w:p>
      <w:pPr>
        <w:spacing w:after="0" w:line="11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2"/>
          <w:szCs w:val="12"/>
          <w:color w:val="auto"/>
        </w:rPr>
        <w:t>Part of our core strategy is to provide a broad set of lower-level building blocks that can be used to build practically any digital experience. By doing this, we allow developers' creativity to flourish across the widest set of use cases—some of which have not even been invented yet.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What are some of the common customer problems we are solving?</w:t>
      </w:r>
    </w:p>
    <w:p>
      <w:pPr>
        <w:spacing w:after="0" w:line="146" w:lineRule="exact"/>
        <w:rPr>
          <w:sz w:val="20"/>
          <w:szCs w:val="20"/>
          <w:color w:val="auto"/>
        </w:rPr>
      </w:pPr>
    </w:p>
    <w:p>
      <w:pPr>
        <w:ind w:left="640" w:hanging="216"/>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Contact Center. </w:t>
      </w:r>
      <w:r>
        <w:rPr>
          <w:rFonts w:ascii="Arial" w:cs="Arial" w:eastAsia="Arial" w:hAnsi="Arial"/>
          <w:sz w:val="12"/>
          <w:szCs w:val="12"/>
          <w:color w:val="auto"/>
        </w:rPr>
        <w:t>Twilio gives companies complete control and flexibility to rapidly deploy remote agents, digital channels, self-service and integrations for lower costs and higher productivity.</w:t>
      </w:r>
    </w:p>
    <w:p>
      <w:pPr>
        <w:spacing w:after="0" w:line="150" w:lineRule="exact"/>
        <w:rPr>
          <w:rFonts w:ascii="Arial" w:cs="Arial" w:eastAsia="Arial" w:hAnsi="Arial"/>
          <w:sz w:val="12"/>
          <w:szCs w:val="12"/>
          <w:color w:val="auto"/>
        </w:rPr>
      </w:pPr>
    </w:p>
    <w:p>
      <w:pPr>
        <w:ind w:left="640" w:right="320" w:hanging="216"/>
        <w:spacing w:after="0" w:line="283" w:lineRule="auto"/>
        <w:tabs>
          <w:tab w:leader="none" w:pos="637" w:val="left"/>
        </w:tabs>
        <w:numPr>
          <w:ilvl w:val="0"/>
          <w:numId w:val="7"/>
        </w:numPr>
        <w:rPr>
          <w:rFonts w:ascii="Arial" w:cs="Arial" w:eastAsia="Arial" w:hAnsi="Arial"/>
          <w:sz w:val="12"/>
          <w:szCs w:val="12"/>
          <w:i w:val="1"/>
          <w:iCs w:val="1"/>
          <w:color w:val="auto"/>
        </w:rPr>
      </w:pPr>
      <w:r>
        <w:rPr>
          <w:rFonts w:ascii="Arial" w:cs="Arial" w:eastAsia="Arial" w:hAnsi="Arial"/>
          <w:sz w:val="12"/>
          <w:szCs w:val="12"/>
          <w:b w:val="1"/>
          <w:bCs w:val="1"/>
          <w:color w:val="auto"/>
        </w:rPr>
        <w:t xml:space="preserve">Alerts and Notifications. </w:t>
      </w:r>
      <w:r>
        <w:rPr>
          <w:rFonts w:ascii="Arial" w:cs="Arial" w:eastAsia="Arial" w:hAnsi="Arial"/>
          <w:sz w:val="12"/>
          <w:szCs w:val="12"/>
          <w:color w:val="auto"/>
        </w:rPr>
        <w:t>From delivery notifications to critical emergency alerts, Twilio provides the building blocks to develop critical communications across messaging channels (short message service (“SMS”),</w:t>
      </w:r>
      <w:r>
        <w:rPr>
          <w:rFonts w:ascii="Arial" w:cs="Arial" w:eastAsia="Arial" w:hAnsi="Arial"/>
          <w:sz w:val="12"/>
          <w:szCs w:val="12"/>
          <w:b w:val="1"/>
          <w:bCs w:val="1"/>
          <w:color w:val="auto"/>
        </w:rPr>
        <w:t xml:space="preserve"> </w:t>
      </w:r>
      <w:r>
        <w:rPr>
          <w:rFonts w:ascii="Arial" w:cs="Arial" w:eastAsia="Arial" w:hAnsi="Arial"/>
          <w:sz w:val="12"/>
          <w:szCs w:val="12"/>
          <w:color w:val="auto"/>
        </w:rPr>
        <w:t>multimedia message service (“MMS”), Short Codes, Toll-Free, WhatsApp, Facebook Messenger, and Google Business Messages), voice and email channels.</w:t>
      </w:r>
    </w:p>
    <w:p>
      <w:pPr>
        <w:spacing w:after="0" w:line="106" w:lineRule="exact"/>
        <w:rPr>
          <w:rFonts w:ascii="Arial" w:cs="Arial" w:eastAsia="Arial" w:hAnsi="Arial"/>
          <w:sz w:val="12"/>
          <w:szCs w:val="12"/>
          <w:i w:val="1"/>
          <w:iCs w:val="1"/>
          <w:color w:val="auto"/>
        </w:rPr>
      </w:pPr>
    </w:p>
    <w:p>
      <w:pPr>
        <w:ind w:left="640" w:hanging="216"/>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User Identity Verification. </w:t>
      </w:r>
      <w:r>
        <w:rPr>
          <w:rFonts w:ascii="Arial" w:cs="Arial" w:eastAsia="Arial" w:hAnsi="Arial"/>
          <w:sz w:val="12"/>
          <w:szCs w:val="12"/>
          <w:color w:val="auto"/>
        </w:rPr>
        <w:t>Customers can use a globally optimized multi-channel user verification solution to combat fraud, reduce fake user sign-ups and authorize sensitive account actions.</w:t>
      </w:r>
    </w:p>
    <w:p>
      <w:pPr>
        <w:spacing w:after="0" w:line="150" w:lineRule="exact"/>
        <w:rPr>
          <w:rFonts w:ascii="Arial" w:cs="Arial" w:eastAsia="Arial" w:hAnsi="Arial"/>
          <w:sz w:val="12"/>
          <w:szCs w:val="12"/>
          <w:color w:val="auto"/>
        </w:rPr>
      </w:pPr>
    </w:p>
    <w:p>
      <w:pPr>
        <w:ind w:left="640" w:hanging="216"/>
        <w:spacing w:after="0" w:line="283" w:lineRule="auto"/>
        <w:tabs>
          <w:tab w:leader="none" w:pos="637"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Field services and contactless delivery. </w:t>
      </w:r>
      <w:r>
        <w:rPr>
          <w:rFonts w:ascii="Arial" w:cs="Arial" w:eastAsia="Arial" w:hAnsi="Arial"/>
          <w:sz w:val="12"/>
          <w:szCs w:val="12"/>
          <w:color w:val="auto"/>
        </w:rPr>
        <w:t>Our customers can use Twilio Conversations to ensure privacy with masked communications, provide granular session control over user permissions, session duration and roles and</w:t>
      </w:r>
      <w:r>
        <w:rPr>
          <w:rFonts w:ascii="Arial" w:cs="Arial" w:eastAsia="Arial" w:hAnsi="Arial"/>
          <w:sz w:val="12"/>
          <w:szCs w:val="12"/>
          <w:b w:val="1"/>
          <w:bCs w:val="1"/>
          <w:color w:val="auto"/>
        </w:rPr>
        <w:t xml:space="preserve"> </w:t>
      </w:r>
      <w:r>
        <w:rPr>
          <w:rFonts w:ascii="Arial" w:cs="Arial" w:eastAsia="Arial" w:hAnsi="Arial"/>
          <w:sz w:val="12"/>
          <w:szCs w:val="12"/>
          <w:color w:val="auto"/>
        </w:rPr>
        <w:t>keep private information private.</w:t>
      </w:r>
    </w:p>
    <w:p>
      <w:pPr>
        <w:spacing w:after="0" w:line="106" w:lineRule="exact"/>
        <w:rPr>
          <w:rFonts w:ascii="Arial" w:cs="Arial" w:eastAsia="Arial" w:hAnsi="Arial"/>
          <w:sz w:val="12"/>
          <w:szCs w:val="12"/>
          <w:color w:val="auto"/>
        </w:rPr>
      </w:pPr>
    </w:p>
    <w:p>
      <w:pPr>
        <w:ind w:left="640" w:hanging="216"/>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Marketing</w:t>
      </w:r>
      <w:r>
        <w:rPr>
          <w:rFonts w:ascii="Arial" w:cs="Arial" w:eastAsia="Arial" w:hAnsi="Arial"/>
          <w:sz w:val="12"/>
          <w:szCs w:val="12"/>
          <w:color w:val="auto"/>
        </w:rPr>
        <w:t>. Email and SMS campaign support to target, nurture and develop new customer relationships.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Customer Loyalty. </w:t>
      </w:r>
      <w:r>
        <w:rPr>
          <w:rFonts w:ascii="Arial" w:cs="Arial" w:eastAsia="Arial" w:hAnsi="Arial"/>
          <w:sz w:val="12"/>
          <w:szCs w:val="12"/>
          <w:color w:val="auto"/>
        </w:rPr>
        <w:t>Customers can send reminders about reward programs through email or messaging to drive repeat purchases through loyalty incentives.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7" w:name="page8"/>
    <w:bookmarkEnd w:id="7"/>
    <w:p>
      <w:pPr>
        <w:ind w:left="640" w:right="100" w:hanging="216"/>
        <w:spacing w:after="0" w:line="283" w:lineRule="auto"/>
        <w:tabs>
          <w:tab w:leader="none" w:pos="637"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Twilio For Good. </w:t>
      </w:r>
      <w:r>
        <w:rPr>
          <w:rFonts w:ascii="Arial" w:cs="Arial" w:eastAsia="Arial" w:hAnsi="Arial"/>
          <w:sz w:val="12"/>
          <w:szCs w:val="12"/>
          <w:color w:val="auto"/>
        </w:rPr>
        <w:t>Twilio partners with nonprofit organizations through Twilio.org, our social impact division, to use the power of communications to help solve social challenges, such as an SMS hotline to fight human</w:t>
      </w:r>
      <w:r>
        <w:rPr>
          <w:rFonts w:ascii="Arial" w:cs="Arial" w:eastAsia="Arial" w:hAnsi="Arial"/>
          <w:sz w:val="12"/>
          <w:szCs w:val="12"/>
          <w:b w:val="1"/>
          <w:bCs w:val="1"/>
          <w:color w:val="auto"/>
        </w:rPr>
        <w:t xml:space="preserve"> </w:t>
      </w:r>
      <w:r>
        <w:rPr>
          <w:rFonts w:ascii="Arial" w:cs="Arial" w:eastAsia="Arial" w:hAnsi="Arial"/>
          <w:sz w:val="12"/>
          <w:szCs w:val="12"/>
          <w:color w:val="auto"/>
        </w:rPr>
        <w:t>trafficking, an emergency volunteer dispatch system, appointment reminders for medical visits in developing nations and more.</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Platform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Customer Data Platform</w:t>
      </w:r>
    </w:p>
    <w:p>
      <w:pPr>
        <w:spacing w:after="0" w:line="150" w:lineRule="exact"/>
        <w:rPr>
          <w:sz w:val="20"/>
          <w:szCs w:val="20"/>
          <w:color w:val="auto"/>
        </w:rPr>
      </w:pPr>
    </w:p>
    <w:p>
      <w:pPr>
        <w:ind w:right="120" w:firstLine="324"/>
        <w:spacing w:after="0" w:line="298" w:lineRule="auto"/>
        <w:rPr>
          <w:sz w:val="20"/>
          <w:szCs w:val="20"/>
          <w:color w:val="auto"/>
        </w:rPr>
      </w:pPr>
      <w:r>
        <w:rPr>
          <w:rFonts w:ascii="Arial" w:cs="Arial" w:eastAsia="Arial" w:hAnsi="Arial"/>
          <w:sz w:val="11"/>
          <w:szCs w:val="11"/>
          <w:color w:val="auto"/>
        </w:rPr>
        <w:t>Our acquisition of Segment added the leading customer data platform to Twilio's platform. While every business needs a complete view of their customers, data is typically siloed across many disparate systems. Segment's platform and APIs allow companies to collect, clean and control their customer data, providing a single view of customers across channels for more effective engagement. When combined with Twilio's communication channels, this insight enables businesses to delight their customers with personalized, timely and impactful communications on the right channel at the right time. The Segment platform includes:</w:t>
      </w:r>
    </w:p>
    <w:p>
      <w:pPr>
        <w:spacing w:after="0" w:line="101" w:lineRule="exact"/>
        <w:rPr>
          <w:sz w:val="20"/>
          <w:szCs w:val="20"/>
          <w:color w:val="auto"/>
        </w:rPr>
      </w:pPr>
    </w:p>
    <w:p>
      <w:pPr>
        <w:ind w:left="640" w:right="60" w:hanging="216"/>
        <w:spacing w:after="0" w:line="283" w:lineRule="auto"/>
        <w:tabs>
          <w:tab w:leader="none" w:pos="637"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Connections. </w:t>
      </w:r>
      <w:r>
        <w:rPr>
          <w:rFonts w:ascii="Arial" w:cs="Arial" w:eastAsia="Arial" w:hAnsi="Arial"/>
          <w:sz w:val="12"/>
          <w:szCs w:val="12"/>
          <w:color w:val="auto"/>
        </w:rPr>
        <w:t>Collect event data from mobile apps, websites and servers with one API, then pull in contextual data from cloud-based apps like customer relationship management (“CRM”), payment systems and internal</w:t>
      </w:r>
      <w:r>
        <w:rPr>
          <w:rFonts w:ascii="Arial" w:cs="Arial" w:eastAsia="Arial" w:hAnsi="Arial"/>
          <w:sz w:val="12"/>
          <w:szCs w:val="12"/>
          <w:b w:val="1"/>
          <w:bCs w:val="1"/>
          <w:color w:val="auto"/>
        </w:rPr>
        <w:t xml:space="preserve"> </w:t>
      </w:r>
      <w:r>
        <w:rPr>
          <w:rFonts w:ascii="Arial" w:cs="Arial" w:eastAsia="Arial" w:hAnsi="Arial"/>
          <w:sz w:val="12"/>
          <w:szCs w:val="12"/>
          <w:color w:val="auto"/>
        </w:rPr>
        <w:t>databases to build a unified picture of the customer.</w:t>
      </w:r>
    </w:p>
    <w:p>
      <w:pPr>
        <w:spacing w:after="0" w:line="106" w:lineRule="exact"/>
        <w:rPr>
          <w:rFonts w:ascii="Arial" w:cs="Arial" w:eastAsia="Arial" w:hAnsi="Arial"/>
          <w:sz w:val="12"/>
          <w:szCs w:val="12"/>
          <w:color w:val="auto"/>
        </w:rPr>
      </w:pPr>
    </w:p>
    <w:p>
      <w:pPr>
        <w:ind w:left="640" w:right="20" w:hanging="216"/>
        <w:spacing w:after="0" w:line="283" w:lineRule="auto"/>
        <w:tabs>
          <w:tab w:leader="none" w:pos="637"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Personas. </w:t>
      </w:r>
      <w:r>
        <w:rPr>
          <w:rFonts w:ascii="Arial" w:cs="Arial" w:eastAsia="Arial" w:hAnsi="Arial"/>
          <w:sz w:val="12"/>
          <w:szCs w:val="12"/>
          <w:color w:val="auto"/>
        </w:rPr>
        <w:t>Use identity resolutions to take event data from across devices and channels, merge the data together, and create unified customer profiles to build and enrich audiences, and activate audiences across marketing</w:t>
      </w:r>
      <w:r>
        <w:rPr>
          <w:rFonts w:ascii="Arial" w:cs="Arial" w:eastAsia="Arial" w:hAnsi="Arial"/>
          <w:sz w:val="12"/>
          <w:szCs w:val="12"/>
          <w:b w:val="1"/>
          <w:bCs w:val="1"/>
          <w:color w:val="auto"/>
        </w:rPr>
        <w:t xml:space="preserve"> </w:t>
      </w:r>
      <w:r>
        <w:rPr>
          <w:rFonts w:ascii="Arial" w:cs="Arial" w:eastAsia="Arial" w:hAnsi="Arial"/>
          <w:sz w:val="12"/>
          <w:szCs w:val="12"/>
          <w:color w:val="auto"/>
        </w:rPr>
        <w:t>tools with a single view of the customer.</w:t>
      </w:r>
    </w:p>
    <w:p>
      <w:pPr>
        <w:spacing w:after="0" w:line="106" w:lineRule="exact"/>
        <w:rPr>
          <w:rFonts w:ascii="Arial" w:cs="Arial" w:eastAsia="Arial" w:hAnsi="Arial"/>
          <w:sz w:val="12"/>
          <w:szCs w:val="12"/>
          <w:color w:val="auto"/>
        </w:rPr>
      </w:pPr>
    </w:p>
    <w:p>
      <w:pPr>
        <w:ind w:left="640" w:right="200" w:hanging="216"/>
        <w:spacing w:after="0" w:line="283" w:lineRule="auto"/>
        <w:tabs>
          <w:tab w:leader="none" w:pos="637" w:val="left"/>
        </w:tabs>
        <w:numPr>
          <w:ilvl w:val="0"/>
          <w:numId w:val="9"/>
        </w:numPr>
        <w:rPr>
          <w:rFonts w:ascii="Arial" w:cs="Arial" w:eastAsia="Arial" w:hAnsi="Arial"/>
          <w:sz w:val="12"/>
          <w:szCs w:val="12"/>
          <w:i w:val="1"/>
          <w:iCs w:val="1"/>
          <w:color w:val="auto"/>
        </w:rPr>
      </w:pPr>
      <w:r>
        <w:rPr>
          <w:rFonts w:ascii="Arial" w:cs="Arial" w:eastAsia="Arial" w:hAnsi="Arial"/>
          <w:sz w:val="12"/>
          <w:szCs w:val="12"/>
          <w:b w:val="1"/>
          <w:bCs w:val="1"/>
          <w:color w:val="auto"/>
        </w:rPr>
        <w:t xml:space="preserve">Privacy. </w:t>
      </w:r>
      <w:r>
        <w:rPr>
          <w:rFonts w:ascii="Arial" w:cs="Arial" w:eastAsia="Arial" w:hAnsi="Arial"/>
          <w:sz w:val="12"/>
          <w:szCs w:val="12"/>
          <w:color w:val="auto"/>
        </w:rPr>
        <w:t>Comply with laws and regulations, such as General Data Protection Regulation (“GDPR”) and the California Consumer Privacy Act of 2018 (“CCPA”), by using first-party data, collected and privatized with</w:t>
      </w:r>
      <w:r>
        <w:rPr>
          <w:rFonts w:ascii="Arial" w:cs="Arial" w:eastAsia="Arial" w:hAnsi="Arial"/>
          <w:sz w:val="12"/>
          <w:szCs w:val="12"/>
          <w:b w:val="1"/>
          <w:bCs w:val="1"/>
          <w:color w:val="auto"/>
        </w:rPr>
        <w:t xml:space="preserve"> </w:t>
      </w:r>
      <w:r>
        <w:rPr>
          <w:rFonts w:ascii="Arial" w:cs="Arial" w:eastAsia="Arial" w:hAnsi="Arial"/>
          <w:sz w:val="12"/>
          <w:szCs w:val="12"/>
          <w:color w:val="auto"/>
        </w:rPr>
        <w:t>Segment, instead of increasingly regulated third-party data.</w:t>
      </w:r>
    </w:p>
    <w:p>
      <w:pPr>
        <w:spacing w:after="0" w:line="106" w:lineRule="exact"/>
        <w:rPr>
          <w:rFonts w:ascii="Arial" w:cs="Arial" w:eastAsia="Arial" w:hAnsi="Arial"/>
          <w:sz w:val="12"/>
          <w:szCs w:val="12"/>
          <w:i w:val="1"/>
          <w:iCs w:val="1"/>
          <w:color w:val="auto"/>
        </w:rPr>
      </w:pPr>
    </w:p>
    <w:p>
      <w:pPr>
        <w:ind w:left="640" w:hanging="216"/>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Protocols. </w:t>
      </w:r>
      <w:r>
        <w:rPr>
          <w:rFonts w:ascii="Arial" w:cs="Arial" w:eastAsia="Arial" w:hAnsi="Arial"/>
          <w:sz w:val="12"/>
          <w:szCs w:val="12"/>
          <w:color w:val="auto"/>
        </w:rPr>
        <w:t>Standardize data collection to create a single source of truth for customer data that is clean, consistent, and compliant, and adheres to a well thought out tracking plan.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Channel APIs</w:t>
      </w:r>
    </w:p>
    <w:p>
      <w:pPr>
        <w:spacing w:after="0" w:line="150" w:lineRule="exact"/>
        <w:rPr>
          <w:sz w:val="20"/>
          <w:szCs w:val="20"/>
          <w:color w:val="auto"/>
        </w:rPr>
      </w:pPr>
    </w:p>
    <w:p>
      <w:pPr>
        <w:ind w:right="120" w:firstLine="324"/>
        <w:spacing w:after="0" w:line="276" w:lineRule="auto"/>
        <w:rPr>
          <w:sz w:val="20"/>
          <w:szCs w:val="20"/>
          <w:color w:val="auto"/>
        </w:rPr>
      </w:pPr>
      <w:r>
        <w:rPr>
          <w:rFonts w:ascii="Arial" w:cs="Arial" w:eastAsia="Arial" w:hAnsi="Arial"/>
          <w:sz w:val="12"/>
          <w:szCs w:val="12"/>
          <w:color w:val="auto"/>
        </w:rPr>
        <w:t>Our Channel APIs consist of software products that can be used individually or in combination to build rich contextual communications within applications. We offer flexible building blocks that enable our customers to build what they need. Our easy-to-use developer APIs provide a programmatic channel to access our software. Our Channel APIs include: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MessagingX</w:t>
      </w:r>
    </w:p>
    <w:p>
      <w:pPr>
        <w:spacing w:after="0" w:line="150"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2"/>
          <w:szCs w:val="12"/>
          <w:color w:val="auto"/>
        </w:rPr>
        <w:t>Twilio Programmable Messaging is an API to send and receive SMS, MMS and over-the-top (“OTT”) (WhatsApp and Facebook Messenger) messages globally. It uses intelligent sending features to ensure messages reliably reach end users wherever they are. Our customers build use cases, such as appointment reminders, delivery notifications, order confirmations and many two-way and conversational use cases, such as customer care. Programmable Messaging includes:</w:t>
      </w:r>
    </w:p>
    <w:p>
      <w:pPr>
        <w:spacing w:after="0" w:line="118" w:lineRule="exact"/>
        <w:rPr>
          <w:sz w:val="20"/>
          <w:szCs w:val="20"/>
          <w:color w:val="auto"/>
        </w:rPr>
      </w:pPr>
    </w:p>
    <w:p>
      <w:pPr>
        <w:ind w:left="640" w:hanging="216"/>
        <w:spacing w:after="0"/>
        <w:tabs>
          <w:tab w:leader="none" w:pos="640" w:val="left"/>
        </w:tabs>
        <w:numPr>
          <w:ilvl w:val="0"/>
          <w:numId w:val="10"/>
        </w:numPr>
        <w:rPr>
          <w:rFonts w:ascii="Arial" w:cs="Arial" w:eastAsia="Arial" w:hAnsi="Arial"/>
          <w:sz w:val="10"/>
          <w:szCs w:val="10"/>
          <w:i w:val="1"/>
          <w:iCs w:val="1"/>
          <w:color w:val="auto"/>
        </w:rPr>
      </w:pPr>
      <w:r>
        <w:rPr>
          <w:rFonts w:ascii="Arial" w:cs="Arial" w:eastAsia="Arial" w:hAnsi="Arial"/>
          <w:sz w:val="10"/>
          <w:szCs w:val="10"/>
          <w:b w:val="1"/>
          <w:bCs w:val="1"/>
          <w:color w:val="auto"/>
        </w:rPr>
        <w:t xml:space="preserve">SMS. </w:t>
      </w:r>
      <w:r>
        <w:rPr>
          <w:rFonts w:ascii="Arial" w:cs="Arial" w:eastAsia="Arial" w:hAnsi="Arial"/>
          <w:sz w:val="10"/>
          <w:szCs w:val="10"/>
          <w:color w:val="auto"/>
        </w:rPr>
        <w:t>Programmatically send and receive SMS messages around the world, supporting localized languages in nearly every market. This includes support for the new 10-digit long code routes in the United States (“U.S.”).</w:t>
      </w:r>
    </w:p>
    <w:p>
      <w:pPr>
        <w:spacing w:after="0" w:line="173" w:lineRule="exact"/>
        <w:rPr>
          <w:rFonts w:ascii="Arial" w:cs="Arial" w:eastAsia="Arial" w:hAnsi="Arial"/>
          <w:sz w:val="10"/>
          <w:szCs w:val="10"/>
          <w:i w:val="1"/>
          <w:iCs w:val="1"/>
          <w:color w:val="auto"/>
        </w:rPr>
      </w:pPr>
    </w:p>
    <w:p>
      <w:pPr>
        <w:ind w:left="640" w:hanging="216"/>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b w:val="1"/>
          <w:bCs w:val="1"/>
          <w:color w:val="auto"/>
        </w:rPr>
        <w:t xml:space="preserve">MMS. </w:t>
      </w:r>
      <w:r>
        <w:rPr>
          <w:rFonts w:ascii="Arial" w:cs="Arial" w:eastAsia="Arial" w:hAnsi="Arial"/>
          <w:sz w:val="12"/>
          <w:szCs w:val="12"/>
          <w:color w:val="auto"/>
        </w:rPr>
        <w:t>Exchange picture messages and more over U.S. and Canadian phone numbers from customer applications with built-in image transcoding and media storage.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b w:val="1"/>
          <w:bCs w:val="1"/>
          <w:color w:val="auto"/>
        </w:rPr>
        <w:t xml:space="preserve">Toll-Free SMS. </w:t>
      </w:r>
      <w:r>
        <w:rPr>
          <w:rFonts w:ascii="Arial" w:cs="Arial" w:eastAsia="Arial" w:hAnsi="Arial"/>
          <w:sz w:val="12"/>
          <w:szCs w:val="12"/>
          <w:color w:val="auto"/>
        </w:rPr>
        <w:t>Send and receive text messages with the same toll-free number used for voice calls in the U.S. and Canada.</w:t>
      </w:r>
    </w:p>
    <w:p>
      <w:pPr>
        <w:spacing w:after="0" w:line="150" w:lineRule="exact"/>
        <w:rPr>
          <w:rFonts w:ascii="Arial" w:cs="Arial" w:eastAsia="Arial" w:hAnsi="Arial"/>
          <w:sz w:val="12"/>
          <w:szCs w:val="12"/>
          <w:color w:val="auto"/>
        </w:rPr>
      </w:pPr>
    </w:p>
    <w:p>
      <w:pPr>
        <w:ind w:left="640" w:right="80" w:hanging="216"/>
        <w:spacing w:after="0" w:line="283" w:lineRule="auto"/>
        <w:tabs>
          <w:tab w:leader="none" w:pos="637" w:val="left"/>
        </w:tabs>
        <w:numPr>
          <w:ilvl w:val="0"/>
          <w:numId w:val="10"/>
        </w:numPr>
        <w:rPr>
          <w:rFonts w:ascii="Arial" w:cs="Arial" w:eastAsia="Arial" w:hAnsi="Arial"/>
          <w:sz w:val="12"/>
          <w:szCs w:val="12"/>
          <w:color w:val="auto"/>
        </w:rPr>
      </w:pPr>
      <w:r>
        <w:rPr>
          <w:rFonts w:ascii="Arial" w:cs="Arial" w:eastAsia="Arial" w:hAnsi="Arial"/>
          <w:sz w:val="12"/>
          <w:szCs w:val="12"/>
          <w:b w:val="1"/>
          <w:bCs w:val="1"/>
          <w:color w:val="auto"/>
        </w:rPr>
        <w:t xml:space="preserve">High-Throughput Toll-Free SMS. </w:t>
      </w:r>
      <w:r>
        <w:rPr>
          <w:rFonts w:ascii="Arial" w:cs="Arial" w:eastAsia="Arial" w:hAnsi="Arial"/>
          <w:sz w:val="12"/>
          <w:szCs w:val="12"/>
          <w:color w:val="auto"/>
        </w:rPr>
        <w:t>Starting at 25 messages per second, High-Throughput Toll Free SMS lets you send and receive a higher volume of messages with the same toll-free number used for voice calls in the</w:t>
      </w:r>
      <w:r>
        <w:rPr>
          <w:rFonts w:ascii="Arial" w:cs="Arial" w:eastAsia="Arial" w:hAnsi="Arial"/>
          <w:sz w:val="12"/>
          <w:szCs w:val="12"/>
          <w:b w:val="1"/>
          <w:bCs w:val="1"/>
          <w:color w:val="auto"/>
        </w:rPr>
        <w:t xml:space="preserve"> </w:t>
      </w:r>
      <w:r>
        <w:rPr>
          <w:rFonts w:ascii="Arial" w:cs="Arial" w:eastAsia="Arial" w:hAnsi="Arial"/>
          <w:sz w:val="12"/>
          <w:szCs w:val="12"/>
          <w:color w:val="auto"/>
        </w:rPr>
        <w:t>U.S. and Canada.</w:t>
      </w:r>
    </w:p>
    <w:p>
      <w:pPr>
        <w:spacing w:after="0" w:line="106" w:lineRule="exact"/>
        <w:rPr>
          <w:rFonts w:ascii="Arial" w:cs="Arial" w:eastAsia="Arial" w:hAnsi="Arial"/>
          <w:sz w:val="12"/>
          <w:szCs w:val="12"/>
          <w:color w:val="auto"/>
        </w:rPr>
      </w:pPr>
    </w:p>
    <w:p>
      <w:pPr>
        <w:ind w:left="640" w:hanging="216"/>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b w:val="1"/>
          <w:bCs w:val="1"/>
          <w:color w:val="auto"/>
        </w:rPr>
        <w:t xml:space="preserve">OTT channels. </w:t>
      </w:r>
      <w:r>
        <w:rPr>
          <w:rFonts w:ascii="Arial" w:cs="Arial" w:eastAsia="Arial" w:hAnsi="Arial"/>
          <w:sz w:val="12"/>
          <w:szCs w:val="12"/>
          <w:color w:val="auto"/>
        </w:rPr>
        <w:t>Programmatically send, receive and track messages to messaging apps such as WhatsApp and Facebook Messenger.</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84" w:right="379" w:bottom="1440" w:gutter="0" w:footer="0" w:header="0"/>
        </w:sectPr>
      </w:pPr>
    </w:p>
    <w:bookmarkStart w:id="8" w:name="page9"/>
    <w:bookmarkEnd w:id="8"/>
    <w:p>
      <w:pPr>
        <w:ind w:left="320"/>
        <w:spacing w:after="0"/>
        <w:rPr>
          <w:sz w:val="20"/>
          <w:szCs w:val="20"/>
          <w:color w:val="auto"/>
        </w:rPr>
      </w:pPr>
      <w:r>
        <w:rPr>
          <w:rFonts w:ascii="Arial" w:cs="Arial" w:eastAsia="Arial" w:hAnsi="Arial"/>
          <w:sz w:val="12"/>
          <w:szCs w:val="12"/>
          <w:color w:val="auto"/>
        </w:rPr>
        <w:t>We charge on a per-message basis for most of our Programmable Messaging products.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Voice</w:t>
      </w:r>
    </w:p>
    <w:p>
      <w:pPr>
        <w:spacing w:after="0" w:line="15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2"/>
          <w:szCs w:val="12"/>
          <w:color w:val="auto"/>
        </w:rPr>
        <w:t>Twilio Programmable Voice allows developers to build solutions to make and receive phone calls globally. They can make, manage and route calls to a browser, an app, a phone or anywhere else one can take a call. Developers can also incorporate advanced voice functionality such as text-to-speech, conferencing, recording and transcription. Through advanced call control software, developers can build customized applications that address use cases such as contact centers, call tracking and analytics solutions and anonymized communications. Our voice software works over both the traditional public switched telephone network (“PSTN”) and over Internet Protocol (“VoIP”). Programmable Voice includes:</w:t>
      </w:r>
    </w:p>
    <w:p>
      <w:pPr>
        <w:spacing w:after="0" w:line="120" w:lineRule="exact"/>
        <w:rPr>
          <w:sz w:val="20"/>
          <w:szCs w:val="20"/>
          <w:color w:val="auto"/>
        </w:rPr>
      </w:pPr>
    </w:p>
    <w:p>
      <w:pPr>
        <w:ind w:left="640" w:hanging="216"/>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Twilio Voice. </w:t>
      </w:r>
      <w:r>
        <w:rPr>
          <w:rFonts w:ascii="Arial" w:cs="Arial" w:eastAsia="Arial" w:hAnsi="Arial"/>
          <w:sz w:val="12"/>
          <w:szCs w:val="12"/>
          <w:color w:val="auto"/>
        </w:rPr>
        <w:t>Initiate, receive and manage phone calls globally, end to end through traditional voice technology or between web browsers and landlines or mobile phones.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Call Recording. </w:t>
      </w:r>
      <w:r>
        <w:rPr>
          <w:rFonts w:ascii="Arial" w:cs="Arial" w:eastAsia="Arial" w:hAnsi="Arial"/>
          <w:sz w:val="12"/>
          <w:szCs w:val="12"/>
          <w:color w:val="auto"/>
        </w:rPr>
        <w:t>Securely record, store, transcribe and retrieve voice calls in the cloud.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Global Conference. </w:t>
      </w:r>
      <w:r>
        <w:rPr>
          <w:rFonts w:ascii="Arial" w:cs="Arial" w:eastAsia="Arial" w:hAnsi="Arial"/>
          <w:sz w:val="12"/>
          <w:szCs w:val="12"/>
          <w:color w:val="auto"/>
        </w:rPr>
        <w:t>Integrate audio conferencing that intelligently routes calls through cloud data centers in the closest geographic region to reduce latency.</w:t>
      </w:r>
    </w:p>
    <w:p>
      <w:pPr>
        <w:spacing w:after="0" w:line="150" w:lineRule="exact"/>
        <w:rPr>
          <w:rFonts w:ascii="Arial" w:cs="Arial" w:eastAsia="Arial" w:hAnsi="Arial"/>
          <w:sz w:val="12"/>
          <w:szCs w:val="12"/>
          <w:color w:val="auto"/>
        </w:rPr>
      </w:pPr>
    </w:p>
    <w:p>
      <w:pPr>
        <w:ind w:left="640" w:right="40" w:hanging="216"/>
        <w:spacing w:after="0" w:line="283" w:lineRule="auto"/>
        <w:tabs>
          <w:tab w:leader="none" w:pos="637"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Voice Insights. </w:t>
      </w:r>
      <w:r>
        <w:rPr>
          <w:rFonts w:ascii="Arial" w:cs="Arial" w:eastAsia="Arial" w:hAnsi="Arial"/>
          <w:sz w:val="12"/>
          <w:szCs w:val="12"/>
          <w:color w:val="auto"/>
        </w:rPr>
        <w:t>Call quality and performance data at the fingertips of our customers. Beyond details of a single call, every account on Twilio has access to the Voice Insights Dashboard, a powerful tool in Twilio Console</w:t>
      </w:r>
      <w:r>
        <w:rPr>
          <w:rFonts w:ascii="Arial" w:cs="Arial" w:eastAsia="Arial" w:hAnsi="Arial"/>
          <w:sz w:val="12"/>
          <w:szCs w:val="12"/>
          <w:b w:val="1"/>
          <w:bCs w:val="1"/>
          <w:color w:val="auto"/>
        </w:rPr>
        <w:t xml:space="preserve"> </w:t>
      </w:r>
      <w:r>
        <w:rPr>
          <w:rFonts w:ascii="Arial" w:cs="Arial" w:eastAsia="Arial" w:hAnsi="Arial"/>
          <w:sz w:val="12"/>
          <w:szCs w:val="12"/>
          <w:color w:val="auto"/>
        </w:rPr>
        <w:t>that provides out-of-the-box visibility to key performance indicators and data to understand changes in call behavior.</w:t>
      </w:r>
    </w:p>
    <w:p>
      <w:pPr>
        <w:spacing w:after="0" w:line="106" w:lineRule="exact"/>
        <w:rPr>
          <w:rFonts w:ascii="Arial" w:cs="Arial" w:eastAsia="Arial" w:hAnsi="Arial"/>
          <w:sz w:val="12"/>
          <w:szCs w:val="12"/>
          <w:color w:val="auto"/>
        </w:rPr>
      </w:pPr>
    </w:p>
    <w:p>
      <w:pPr>
        <w:ind w:left="640" w:right="180" w:hanging="216"/>
        <w:spacing w:after="0" w:line="283" w:lineRule="auto"/>
        <w:tabs>
          <w:tab w:leader="none" w:pos="637"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Media Streams. </w:t>
      </w:r>
      <w:r>
        <w:rPr>
          <w:rFonts w:ascii="Arial" w:cs="Arial" w:eastAsia="Arial" w:hAnsi="Arial"/>
          <w:sz w:val="12"/>
          <w:szCs w:val="12"/>
          <w:color w:val="auto"/>
        </w:rPr>
        <w:t>Allows for real-time access to the raw audio stream of your phone calls. Through Media Streams our customers can fork the media of a phone call in real-time, effectively creating a copy of the initial</w:t>
      </w:r>
      <w:r>
        <w:rPr>
          <w:rFonts w:ascii="Arial" w:cs="Arial" w:eastAsia="Arial" w:hAnsi="Arial"/>
          <w:sz w:val="12"/>
          <w:szCs w:val="12"/>
          <w:b w:val="1"/>
          <w:bCs w:val="1"/>
          <w:color w:val="auto"/>
        </w:rPr>
        <w:t xml:space="preserve"> </w:t>
      </w:r>
      <w:r>
        <w:rPr>
          <w:rFonts w:ascii="Arial" w:cs="Arial" w:eastAsia="Arial" w:hAnsi="Arial"/>
          <w:sz w:val="12"/>
          <w:szCs w:val="12"/>
          <w:color w:val="auto"/>
        </w:rPr>
        <w:t>audio stream that can be routed to your own application or to a third party to power advanced capabilities of your choosing.</w:t>
      </w:r>
    </w:p>
    <w:p>
      <w:pPr>
        <w:spacing w:after="0" w:line="106" w:lineRule="exact"/>
        <w:rPr>
          <w:rFonts w:ascii="Arial" w:cs="Arial" w:eastAsia="Arial" w:hAnsi="Arial"/>
          <w:sz w:val="12"/>
          <w:szCs w:val="12"/>
          <w:color w:val="auto"/>
        </w:rPr>
      </w:pPr>
    </w:p>
    <w:p>
      <w:pPr>
        <w:jc w:val="both"/>
        <w:ind w:left="640" w:hanging="216"/>
        <w:spacing w:after="0" w:line="302" w:lineRule="auto"/>
        <w:tabs>
          <w:tab w:leader="none" w:pos="637" w:val="left"/>
        </w:tabs>
        <w:numPr>
          <w:ilvl w:val="0"/>
          <w:numId w:val="11"/>
        </w:numPr>
        <w:rPr>
          <w:rFonts w:ascii="Arial" w:cs="Arial" w:eastAsia="Arial" w:hAnsi="Arial"/>
          <w:sz w:val="11"/>
          <w:szCs w:val="11"/>
          <w:i w:val="1"/>
          <w:iCs w:val="1"/>
          <w:color w:val="auto"/>
        </w:rPr>
      </w:pPr>
      <w:r>
        <w:rPr>
          <w:rFonts w:ascii="Arial" w:cs="Arial" w:eastAsia="Arial" w:hAnsi="Arial"/>
          <w:sz w:val="11"/>
          <w:szCs w:val="11"/>
          <w:b w:val="1"/>
          <w:bCs w:val="1"/>
          <w:color w:val="auto"/>
        </w:rPr>
        <w:t xml:space="preserve">SHAKEN/STIR. </w:t>
      </w:r>
      <w:r>
        <w:rPr>
          <w:rFonts w:ascii="Arial" w:cs="Arial" w:eastAsia="Arial" w:hAnsi="Arial"/>
          <w:sz w:val="11"/>
          <w:szCs w:val="11"/>
          <w:color w:val="auto"/>
        </w:rPr>
        <w:t>Signature-based Handling of Asserted Information Using toKENs (“SHAKEN”) and Secure Telephone Identity Revisited (“STIR”) standards (together, “SHAKEN/STIR”) is a protocol mandated by the</w:t>
      </w:r>
      <w:r>
        <w:rPr>
          <w:rFonts w:ascii="Arial" w:cs="Arial" w:eastAsia="Arial" w:hAnsi="Arial"/>
          <w:sz w:val="11"/>
          <w:szCs w:val="11"/>
          <w:b w:val="1"/>
          <w:bCs w:val="1"/>
          <w:color w:val="auto"/>
        </w:rPr>
        <w:t xml:space="preserve"> </w:t>
      </w:r>
      <w:r>
        <w:rPr>
          <w:rFonts w:ascii="Arial" w:cs="Arial" w:eastAsia="Arial" w:hAnsi="Arial"/>
          <w:sz w:val="11"/>
          <w:szCs w:val="11"/>
          <w:color w:val="auto"/>
        </w:rPr>
        <w:t>Federal Communications Commission (“FCC”) to combat the rise in unwanted robocalls and unlawful caller ID spoofing. When adopted, carriers can present a trust indicator, like “Caller Verified,” to recipients’ phones. SHAKEN/STIR is free to all Twilio customers and allows them to increase answer rates for their calls by giving their calls the highest attestation under the SHAKEN and STIR caller authentication framework.</w:t>
      </w:r>
    </w:p>
    <w:p>
      <w:pPr>
        <w:spacing w:after="0" w:line="98" w:lineRule="exact"/>
        <w:rPr>
          <w:rFonts w:ascii="Arial" w:cs="Arial" w:eastAsia="Arial" w:hAnsi="Arial"/>
          <w:sz w:val="11"/>
          <w:szCs w:val="11"/>
          <w:i w:val="1"/>
          <w:iCs w:val="1"/>
          <w:color w:val="auto"/>
        </w:rPr>
      </w:pPr>
    </w:p>
    <w:p>
      <w:pPr>
        <w:ind w:left="640" w:hanging="216"/>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Programmable Voice SIP Interfaces. </w:t>
      </w:r>
      <w:r>
        <w:rPr>
          <w:rFonts w:ascii="Arial" w:cs="Arial" w:eastAsia="Arial" w:hAnsi="Arial"/>
          <w:sz w:val="12"/>
          <w:szCs w:val="12"/>
          <w:color w:val="auto"/>
        </w:rPr>
        <w:t>Enables voice infrastructure to be augmented with cloud capabilities.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
        </w:numPr>
        <w:rPr>
          <w:rFonts w:ascii="Arial" w:cs="Arial" w:eastAsia="Arial" w:hAnsi="Arial"/>
          <w:sz w:val="12"/>
          <w:szCs w:val="12"/>
          <w:i w:val="1"/>
          <w:iCs w:val="1"/>
          <w:color w:val="auto"/>
        </w:rPr>
      </w:pPr>
      <w:r>
        <w:rPr>
          <w:rFonts w:ascii="Arial" w:cs="Arial" w:eastAsia="Arial" w:hAnsi="Arial"/>
          <w:sz w:val="12"/>
          <w:szCs w:val="12"/>
          <w:b w:val="1"/>
          <w:bCs w:val="1"/>
          <w:color w:val="auto"/>
        </w:rPr>
        <w:t xml:space="preserve">Emergency Calling. </w:t>
      </w:r>
      <w:r>
        <w:rPr>
          <w:rFonts w:ascii="Arial" w:cs="Arial" w:eastAsia="Arial" w:hAnsi="Arial"/>
          <w:sz w:val="12"/>
          <w:szCs w:val="12"/>
          <w:color w:val="auto"/>
        </w:rPr>
        <w:t>Twilio’s Emergency Calling for SIP API enables emergency call routing to Public Safety Answering Points (“PSAPs”) in the U.S., Canada and the United Kingdom (“UK”).</w:t>
      </w:r>
    </w:p>
    <w:p>
      <w:pPr>
        <w:spacing w:after="0" w:line="150" w:lineRule="exact"/>
        <w:rPr>
          <w:rFonts w:ascii="Arial" w:cs="Arial" w:eastAsia="Arial" w:hAnsi="Arial"/>
          <w:sz w:val="12"/>
          <w:szCs w:val="12"/>
          <w:i w:val="1"/>
          <w:iCs w:val="1"/>
          <w:color w:val="auto"/>
        </w:rPr>
      </w:pPr>
    </w:p>
    <w:p>
      <w:pPr>
        <w:ind w:left="640" w:hanging="216"/>
        <w:spacing w:after="0"/>
        <w:tabs>
          <w:tab w:leader="none" w:pos="640" w:val="left"/>
        </w:tabs>
        <w:numPr>
          <w:ilvl w:val="0"/>
          <w:numId w:val="11"/>
        </w:numPr>
        <w:rPr>
          <w:rFonts w:ascii="Arial" w:cs="Arial" w:eastAsia="Arial" w:hAnsi="Arial"/>
          <w:sz w:val="12"/>
          <w:szCs w:val="12"/>
          <w:i w:val="1"/>
          <w:iCs w:val="1"/>
          <w:color w:val="auto"/>
        </w:rPr>
      </w:pPr>
      <w:r>
        <w:rPr>
          <w:rFonts w:ascii="Arial" w:cs="Arial" w:eastAsia="Arial" w:hAnsi="Arial"/>
          <w:sz w:val="12"/>
          <w:szCs w:val="12"/>
          <w:b w:val="1"/>
          <w:bCs w:val="1"/>
          <w:color w:val="auto"/>
        </w:rPr>
        <w:t xml:space="preserve">Bring Your Own Carrier Trunking (“BYOC”). </w:t>
      </w:r>
      <w:r>
        <w:rPr>
          <w:rFonts w:ascii="Arial" w:cs="Arial" w:eastAsia="Arial" w:hAnsi="Arial"/>
          <w:sz w:val="12"/>
          <w:szCs w:val="12"/>
          <w:color w:val="auto"/>
        </w:rPr>
        <w:t>Enables connection of customer’s PSTN carrier to Twilio’s programmable platform.</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Email</w:t>
      </w:r>
    </w:p>
    <w:p>
      <w:pPr>
        <w:spacing w:after="0" w:line="150"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2"/>
          <w:szCs w:val="12"/>
          <w:color w:val="auto"/>
        </w:rPr>
        <w:t>The Twilio SendGrid Email API solves email delivery challenges at scale and ensures our customers’ email program lives up to their product experience. Our Email API provides the flexibility for our customers to build customized solutions, as well as helpful shortcuts to streamline integration and optimize their inbox placement. Businesses use our email products for both marketing messages as well as transactional emails, including shipping notifications, friend requests, password resets and sign-up confirmations. Twilio SendGrid Email API includes:</w:t>
      </w:r>
    </w:p>
    <w:p>
      <w:pPr>
        <w:spacing w:after="0" w:line="118" w:lineRule="exact"/>
        <w:rPr>
          <w:sz w:val="20"/>
          <w:szCs w:val="20"/>
          <w:color w:val="auto"/>
        </w:rPr>
      </w:pPr>
    </w:p>
    <w:p>
      <w:pPr>
        <w:ind w:left="640" w:hanging="216"/>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 xml:space="preserve">Integrations. </w:t>
      </w:r>
      <w:r>
        <w:rPr>
          <w:rFonts w:ascii="Arial" w:cs="Arial" w:eastAsia="Arial" w:hAnsi="Arial"/>
          <w:sz w:val="12"/>
          <w:szCs w:val="12"/>
          <w:color w:val="auto"/>
        </w:rPr>
        <w:t>Businesses can integrate our email API with multiple leading development frameworks and client libraries in multiple programming languages.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2"/>
        </w:numPr>
        <w:rPr>
          <w:rFonts w:ascii="Arial" w:cs="Arial" w:eastAsia="Arial" w:hAnsi="Arial"/>
          <w:sz w:val="11"/>
          <w:szCs w:val="11"/>
          <w:color w:val="auto"/>
        </w:rPr>
      </w:pPr>
      <w:r>
        <w:rPr>
          <w:rFonts w:ascii="Arial" w:cs="Arial" w:eastAsia="Arial" w:hAnsi="Arial"/>
          <w:sz w:val="11"/>
          <w:szCs w:val="11"/>
          <w:b w:val="1"/>
          <w:bCs w:val="1"/>
          <w:color w:val="auto"/>
        </w:rPr>
        <w:t xml:space="preserve">Internet Protocol (“IP”) Management. </w:t>
      </w:r>
      <w:r>
        <w:rPr>
          <w:rFonts w:ascii="Arial" w:cs="Arial" w:eastAsia="Arial" w:hAnsi="Arial"/>
          <w:sz w:val="11"/>
          <w:szCs w:val="11"/>
          <w:color w:val="auto"/>
        </w:rPr>
        <w:t>Domains and links can be customized, whether sending from shared IP address pools or from a dedicated IP address, to improve reputation management and delivery.</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788" w:right="399" w:bottom="1440" w:gutter="0" w:footer="0" w:header="0"/>
        </w:sectPr>
      </w:pPr>
    </w:p>
    <w:bookmarkStart w:id="9" w:name="page10"/>
    <w:bookmarkEnd w:id="9"/>
    <w:p>
      <w:pPr>
        <w:ind w:left="640" w:right="260" w:hanging="216"/>
        <w:spacing w:after="0" w:line="283" w:lineRule="auto"/>
        <w:tabs>
          <w:tab w:leader="none" w:pos="637" w:val="left"/>
        </w:tabs>
        <w:numPr>
          <w:ilvl w:val="0"/>
          <w:numId w:val="13"/>
        </w:numPr>
        <w:rPr>
          <w:rFonts w:ascii="Arial" w:cs="Arial" w:eastAsia="Arial" w:hAnsi="Arial"/>
          <w:sz w:val="12"/>
          <w:szCs w:val="12"/>
          <w:color w:val="auto"/>
        </w:rPr>
      </w:pPr>
      <w:r>
        <w:rPr>
          <w:rFonts w:ascii="Arial" w:cs="Arial" w:eastAsia="Arial" w:hAnsi="Arial"/>
          <w:sz w:val="12"/>
          <w:szCs w:val="12"/>
          <w:b w:val="1"/>
          <w:bCs w:val="1"/>
          <w:color w:val="auto"/>
        </w:rPr>
        <w:t xml:space="preserve">Deliverability. </w:t>
      </w:r>
      <w:r>
        <w:rPr>
          <w:rFonts w:ascii="Arial" w:cs="Arial" w:eastAsia="Arial" w:hAnsi="Arial"/>
          <w:sz w:val="12"/>
          <w:szCs w:val="12"/>
          <w:color w:val="auto"/>
        </w:rPr>
        <w:t>Our proprietary Mail Transfer Agent (“MTA”) optimizes for inbox placement while offering tools for sender reputation management and expert deliverability professional services. Our real-time email</w:t>
      </w:r>
      <w:r>
        <w:rPr>
          <w:rFonts w:ascii="Arial" w:cs="Arial" w:eastAsia="Arial" w:hAnsi="Arial"/>
          <w:sz w:val="12"/>
          <w:szCs w:val="12"/>
          <w:b w:val="1"/>
          <w:bCs w:val="1"/>
          <w:color w:val="auto"/>
        </w:rPr>
        <w:t xml:space="preserve"> </w:t>
      </w:r>
      <w:r>
        <w:rPr>
          <w:rFonts w:ascii="Arial" w:cs="Arial" w:eastAsia="Arial" w:hAnsi="Arial"/>
          <w:sz w:val="12"/>
          <w:szCs w:val="12"/>
          <w:color w:val="auto"/>
        </w:rPr>
        <w:t>address validation API checks email address legitimacy before sending to improve deliverability.</w:t>
      </w:r>
    </w:p>
    <w:p>
      <w:pPr>
        <w:spacing w:after="0" w:line="106" w:lineRule="exact"/>
        <w:rPr>
          <w:rFonts w:ascii="Arial" w:cs="Arial" w:eastAsia="Arial" w:hAnsi="Arial"/>
          <w:sz w:val="12"/>
          <w:szCs w:val="12"/>
          <w:color w:val="auto"/>
        </w:rPr>
      </w:pPr>
    </w:p>
    <w:p>
      <w:pPr>
        <w:ind w:left="640" w:hanging="216"/>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b w:val="1"/>
          <w:bCs w:val="1"/>
          <w:color w:val="auto"/>
        </w:rPr>
        <w:t xml:space="preserve">Sender Authentication. </w:t>
      </w:r>
      <w:r>
        <w:rPr>
          <w:rFonts w:ascii="Arial" w:cs="Arial" w:eastAsia="Arial" w:hAnsi="Arial"/>
          <w:sz w:val="12"/>
          <w:szCs w:val="12"/>
          <w:color w:val="auto"/>
        </w:rPr>
        <w:t>Our custom Sender Policy Framework and DomainKeys Identified Mail record creation is designed to eliminate domain spoofing and phishing.</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b w:val="1"/>
          <w:bCs w:val="1"/>
          <w:color w:val="auto"/>
        </w:rPr>
        <w:t xml:space="preserve">Mobile support. </w:t>
      </w:r>
      <w:r>
        <w:rPr>
          <w:rFonts w:ascii="Arial" w:cs="Arial" w:eastAsia="Arial" w:hAnsi="Arial"/>
          <w:sz w:val="12"/>
          <w:szCs w:val="12"/>
          <w:color w:val="auto"/>
        </w:rPr>
        <w:t>Our deep linking functionality enables email engagement for mobile apps.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b w:val="1"/>
          <w:bCs w:val="1"/>
          <w:color w:val="auto"/>
        </w:rPr>
        <w:t xml:space="preserve">Security. </w:t>
      </w:r>
      <w:r>
        <w:rPr>
          <w:rFonts w:ascii="Arial" w:cs="Arial" w:eastAsia="Arial" w:hAnsi="Arial"/>
          <w:sz w:val="12"/>
          <w:szCs w:val="12"/>
          <w:color w:val="auto"/>
        </w:rPr>
        <w:t>Our two-factor authentication, API key permissions and Event Webhook Security helps enable secure management of our Email API by our customers.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Video</w:t>
      </w:r>
    </w:p>
    <w:p>
      <w:pPr>
        <w:spacing w:after="0" w:line="150" w:lineRule="exact"/>
        <w:rPr>
          <w:sz w:val="20"/>
          <w:szCs w:val="20"/>
          <w:color w:val="auto"/>
        </w:rPr>
      </w:pPr>
    </w:p>
    <w:p>
      <w:pPr>
        <w:ind w:right="80" w:firstLine="324"/>
        <w:spacing w:after="0" w:line="298" w:lineRule="auto"/>
        <w:rPr>
          <w:sz w:val="20"/>
          <w:szCs w:val="20"/>
          <w:color w:val="auto"/>
        </w:rPr>
      </w:pPr>
      <w:r>
        <w:rPr>
          <w:rFonts w:ascii="Arial" w:cs="Arial" w:eastAsia="Arial" w:hAnsi="Arial"/>
          <w:sz w:val="11"/>
          <w:szCs w:val="11"/>
          <w:color w:val="auto"/>
        </w:rPr>
        <w:t>Programmable Video provides developers with the building blocks to add voice and video to web and mobile applications. Developers can address multiple use cases such as video consultations, telemedicine, distance learning, recruiting, social networking and more by using Programmable Video’s global cloud infrastructure to build on WebRTC. They can use our JavaScript, iOS or Android SDKs, quickstarts and open source sample code to launch applications in minutes, then customize them to meet the unique needs of their use case. With Video Insights, developers can monitor the performance of their video applications directly from the Twilio Console.</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Twilio Live</w:t>
      </w:r>
    </w:p>
    <w:p>
      <w:pPr>
        <w:spacing w:after="0" w:line="150"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Twilio Live gives developers the tools to create immersive, interactive audio or video live streaming experiences. Low-latency delivery enables speakers and audience members to engage via chat, polls, and inviting audience members “on stage” to speak. Developers can build interactive shopping experiences, broadcast events such as conferences or concerts, fitness, and more using live streaming APIs, SDKs, and sample code optimized for iOS, Android, and all major browsers.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Conversations</w:t>
      </w:r>
    </w:p>
    <w:p>
      <w:pPr>
        <w:spacing w:after="0" w:line="150" w:lineRule="exact"/>
        <w:rPr>
          <w:sz w:val="20"/>
          <w:szCs w:val="20"/>
          <w:color w:val="auto"/>
        </w:rPr>
      </w:pPr>
    </w:p>
    <w:p>
      <w:pPr>
        <w:ind w:right="60" w:firstLine="324"/>
        <w:spacing w:after="0" w:line="263" w:lineRule="auto"/>
        <w:rPr>
          <w:sz w:val="20"/>
          <w:szCs w:val="20"/>
          <w:color w:val="auto"/>
        </w:rPr>
      </w:pPr>
      <w:r>
        <w:rPr>
          <w:rFonts w:ascii="Arial" w:cs="Arial" w:eastAsia="Arial" w:hAnsi="Arial"/>
          <w:sz w:val="12"/>
          <w:szCs w:val="12"/>
          <w:color w:val="auto"/>
        </w:rPr>
        <w:t>The Twilio Conversations API allows developers to build rich, one-to-one and group interactions for customer support and commerce use cases. The unified messaging API provides cross-channel support for SMS and MMS, Chat, WhatsApp, Facebook Messenger, and Google Business Messages – all while archiving message history, preserving participant identity, and reducing time to market with software development kits (“SDKs”) and pre-built mobile and web user interfaces.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Solutions</w:t>
      </w:r>
    </w:p>
    <w:p>
      <w:pPr>
        <w:spacing w:after="0" w:line="1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2"/>
          <w:szCs w:val="12"/>
          <w:color w:val="auto"/>
        </w:rPr>
        <w:t>As we observe the customer engagement use cases that are most common and the workflows our customers find most challenging, we create Solutions. We bring these Solutions to a broader audience, including non-technical customers, in the form of higher level APIs. These solutions are built on top of our Channel APIs to offer more fully implemented functionality for a specific purpose, such as contact center or two-factor authentication. This saves developers significant time in building their applications. The higher level APIs in this layer of our platform are focused on addressing a massive opportunity to recreate and modernize the field of customer engagement. We charge on a per-seat or per-use basis for our Solutions, which include: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Contact Center</w:t>
      </w:r>
    </w:p>
    <w:p>
      <w:pPr>
        <w:spacing w:after="0" w:line="150"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Businesses must continually adapt to stay ahead of customers’ changing expectations. Twilio Flex is the industry’s only fully programmable contact center platform that allows companies to deploy a broad array of customer engagement channels while providing the tools to easily create, change or extend any part of their custom solution. Twilio Flex enables businesses to rapidly deploy tailored cloud contact centers free from the limitations of software-as-a-service (“SaaS”) applications.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84" w:right="339" w:bottom="1440" w:gutter="0" w:footer="0" w:header="0"/>
        </w:sectPr>
      </w:pPr>
    </w:p>
    <w:bookmarkStart w:id="10" w:name="page11"/>
    <w:bookmarkEnd w:id="10"/>
    <w:p>
      <w:pPr>
        <w:ind w:left="320"/>
        <w:spacing w:after="0"/>
        <w:rPr>
          <w:sz w:val="20"/>
          <w:szCs w:val="20"/>
          <w:color w:val="auto"/>
        </w:rPr>
      </w:pPr>
      <w:r>
        <w:rPr>
          <w:rFonts w:ascii="Arial" w:cs="Arial" w:eastAsia="Arial" w:hAnsi="Arial"/>
          <w:sz w:val="12"/>
          <w:szCs w:val="12"/>
          <w:b w:val="1"/>
          <w:bCs w:val="1"/>
          <w:i w:val="1"/>
          <w:iCs w:val="1"/>
          <w:color w:val="auto"/>
        </w:rPr>
        <w:t>User Verification</w:t>
      </w:r>
    </w:p>
    <w:p>
      <w:pPr>
        <w:spacing w:after="0" w:line="150" w:lineRule="exact"/>
        <w:rPr>
          <w:sz w:val="20"/>
          <w:szCs w:val="20"/>
          <w:color w:val="auto"/>
        </w:rPr>
      </w:pPr>
    </w:p>
    <w:p>
      <w:pPr>
        <w:ind w:firstLine="324"/>
        <w:spacing w:after="0" w:line="285" w:lineRule="auto"/>
        <w:rPr>
          <w:sz w:val="20"/>
          <w:szCs w:val="20"/>
          <w:color w:val="auto"/>
        </w:rPr>
      </w:pPr>
      <w:r>
        <w:rPr>
          <w:rFonts w:ascii="Arial" w:cs="Arial" w:eastAsia="Arial" w:hAnsi="Arial"/>
          <w:sz w:val="11"/>
          <w:szCs w:val="11"/>
          <w:color w:val="auto"/>
        </w:rPr>
        <w:t>Online fraud has exploded from a minor nuisance to a major factor in how businesses operate today requiring advanced solutions to register, onboard and recognize customers. Twilio Verify is a managed solution that takes care of channel orchestration and management as well as security and business logic. Using our two-factor authentication APIs (“Twilio Verify”), developers can add an extra layer of security to their applications with second-factor passwords sent to a user via SMS, voice, email or push notifications. Twilio Verify provides user authentication codes through a variety of formats based on the developer’s needs. Codes can be delivered through the Authy app on registered mobile phones, desktop or smart devices or via SMS and voice automated phone calls. In addition, authentication can be determined through a push notification on registered smartphones. To allow developers to know exactly who they are sending messages to, Twilio Lookup allows developers to validate number format, device type and provider prior to sending messages or initiating calls.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Marketing Campaigns</w:t>
      </w:r>
    </w:p>
    <w:p>
      <w:pPr>
        <w:spacing w:after="0" w:line="150" w:lineRule="exact"/>
        <w:rPr>
          <w:sz w:val="20"/>
          <w:szCs w:val="20"/>
          <w:color w:val="auto"/>
        </w:rPr>
      </w:pPr>
    </w:p>
    <w:p>
      <w:pPr>
        <w:jc w:val="both"/>
        <w:ind w:right="360" w:firstLine="324"/>
        <w:spacing w:after="0" w:line="379" w:lineRule="auto"/>
        <w:rPr>
          <w:sz w:val="20"/>
          <w:szCs w:val="20"/>
          <w:color w:val="auto"/>
        </w:rPr>
      </w:pPr>
      <w:r>
        <w:rPr>
          <w:rFonts w:ascii="Arial" w:cs="Arial" w:eastAsia="Arial" w:hAnsi="Arial"/>
          <w:sz w:val="10"/>
          <w:szCs w:val="10"/>
          <w:color w:val="auto"/>
        </w:rPr>
        <w:t>Marketing Campaigns is built on top of SendGrid's proven email infrastructure to help digital marketers build and send email campaigns at scale - faster than ever. With drag and drop editing, approachable automation and powerful contacts management, Marketing Campaigns help marketers attract and retain customers more efficiently. Marketing Campaigns include email design and templates, list management, dynamic content and email testing.</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Super Network</w:t>
      </w:r>
    </w:p>
    <w:p>
      <w:pPr>
        <w:spacing w:after="0" w:line="150" w:lineRule="exact"/>
        <w:rPr>
          <w:sz w:val="20"/>
          <w:szCs w:val="20"/>
          <w:color w:val="auto"/>
        </w:rPr>
      </w:pPr>
    </w:p>
    <w:p>
      <w:pPr>
        <w:ind w:right="380" w:firstLine="324"/>
        <w:spacing w:after="0" w:line="276" w:lineRule="auto"/>
        <w:rPr>
          <w:sz w:val="20"/>
          <w:szCs w:val="20"/>
          <w:color w:val="auto"/>
        </w:rPr>
      </w:pPr>
      <w:r>
        <w:rPr>
          <w:rFonts w:ascii="Arial" w:cs="Arial" w:eastAsia="Arial" w:hAnsi="Arial"/>
          <w:sz w:val="12"/>
          <w:szCs w:val="12"/>
          <w:color w:val="auto"/>
        </w:rPr>
        <w:t>While developers build applications with our software, Twilio manages the connections between the internet and the global telecommunications network. We call this the Twilio Super Network and it is a global network of connections with numerous carriers globally to provide connectivity in approximately 80 countries.</w:t>
      </w:r>
    </w:p>
    <w:p>
      <w:pPr>
        <w:spacing w:after="0" w:line="115" w:lineRule="exact"/>
        <w:rPr>
          <w:sz w:val="20"/>
          <w:szCs w:val="20"/>
          <w:color w:val="auto"/>
        </w:rPr>
      </w:pPr>
    </w:p>
    <w:p>
      <w:pPr>
        <w:ind w:right="60" w:firstLine="324"/>
        <w:spacing w:after="0" w:line="263" w:lineRule="auto"/>
        <w:rPr>
          <w:sz w:val="20"/>
          <w:szCs w:val="20"/>
          <w:color w:val="auto"/>
        </w:rPr>
      </w:pPr>
      <w:r>
        <w:rPr>
          <w:rFonts w:ascii="Arial" w:cs="Arial" w:eastAsia="Arial" w:hAnsi="Arial"/>
          <w:sz w:val="12"/>
          <w:szCs w:val="12"/>
          <w:color w:val="auto"/>
        </w:rPr>
        <w:t>We do not own any physical network infrastructure. We use software to build a high performance network that optimizes performance for our customers, provides resiliency and redundancy to our platform and helps to minimize disruption from carrier delays or outages. Through handling massive volumes of traffic, we are able to detect issues often before our customers or carrier partners do. We receive real-time feedback on handset deliverability through a number of carriers and destinations and we use this data for our own routing decisions.</w:t>
      </w:r>
    </w:p>
    <w:p>
      <w:pPr>
        <w:spacing w:after="0" w:line="122" w:lineRule="exact"/>
        <w:rPr>
          <w:sz w:val="20"/>
          <w:szCs w:val="20"/>
          <w:color w:val="auto"/>
        </w:rPr>
      </w:pPr>
    </w:p>
    <w:p>
      <w:pPr>
        <w:ind w:right="220" w:firstLine="324"/>
        <w:spacing w:after="0" w:line="323" w:lineRule="auto"/>
        <w:rPr>
          <w:sz w:val="20"/>
          <w:szCs w:val="20"/>
          <w:color w:val="auto"/>
        </w:rPr>
      </w:pPr>
      <w:r>
        <w:rPr>
          <w:rFonts w:ascii="Arial" w:cs="Arial" w:eastAsia="Arial" w:hAnsi="Arial"/>
          <w:sz w:val="11"/>
          <w:szCs w:val="11"/>
          <w:color w:val="auto"/>
        </w:rPr>
        <w:t>The Twilio Super Network operates a 24/7 global operations center that constantly monitors the carrier networks, alongside Twilio’s dedicated communications engineers who optimize for changing traffic patterns. The Super Network also contains a set of APIs giving our customers access to more foundational components of our platform, like phone numbers, and SIP Trunking. The Super Network features include:</w:t>
      </w:r>
    </w:p>
    <w:p>
      <w:pPr>
        <w:spacing w:after="0" w:line="88" w:lineRule="exact"/>
        <w:rPr>
          <w:sz w:val="20"/>
          <w:szCs w:val="20"/>
          <w:color w:val="auto"/>
        </w:rPr>
      </w:pPr>
    </w:p>
    <w:p>
      <w:pPr>
        <w:ind w:left="640" w:hanging="216"/>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b w:val="1"/>
          <w:bCs w:val="1"/>
          <w:color w:val="auto"/>
        </w:rPr>
        <w:t xml:space="preserve">Phone Number Provisioning. </w:t>
      </w:r>
      <w:r>
        <w:rPr>
          <w:rFonts w:ascii="Arial" w:cs="Arial" w:eastAsia="Arial" w:hAnsi="Arial"/>
          <w:sz w:val="12"/>
          <w:szCs w:val="12"/>
          <w:color w:val="auto"/>
        </w:rPr>
        <w:t>Acquire local, national, mobile and/or toll-free phone numbers on demand in approximately 80 countries and connect them into the customers’ applications.</w:t>
      </w:r>
    </w:p>
    <w:p>
      <w:pPr>
        <w:spacing w:after="0" w:line="150" w:lineRule="exact"/>
        <w:rPr>
          <w:rFonts w:ascii="Arial" w:cs="Arial" w:eastAsia="Arial" w:hAnsi="Arial"/>
          <w:sz w:val="12"/>
          <w:szCs w:val="12"/>
          <w:color w:val="auto"/>
        </w:rPr>
      </w:pPr>
    </w:p>
    <w:p>
      <w:pPr>
        <w:ind w:left="640" w:right="300" w:hanging="216"/>
        <w:spacing w:after="0" w:line="283" w:lineRule="auto"/>
        <w:tabs>
          <w:tab w:leader="none" w:pos="637" w:val="left"/>
        </w:tabs>
        <w:numPr>
          <w:ilvl w:val="0"/>
          <w:numId w:val="14"/>
        </w:numPr>
        <w:rPr>
          <w:rFonts w:ascii="Arial" w:cs="Arial" w:eastAsia="Arial" w:hAnsi="Arial"/>
          <w:sz w:val="12"/>
          <w:szCs w:val="12"/>
          <w:color w:val="auto"/>
        </w:rPr>
      </w:pPr>
      <w:r>
        <w:rPr>
          <w:rFonts w:ascii="Arial" w:cs="Arial" w:eastAsia="Arial" w:hAnsi="Arial"/>
          <w:sz w:val="12"/>
          <w:szCs w:val="12"/>
          <w:b w:val="1"/>
          <w:bCs w:val="1"/>
          <w:color w:val="auto"/>
        </w:rPr>
        <w:t xml:space="preserve">Elastic SIP Trunking. </w:t>
      </w:r>
      <w:r>
        <w:rPr>
          <w:rFonts w:ascii="Arial" w:cs="Arial" w:eastAsia="Arial" w:hAnsi="Arial"/>
          <w:sz w:val="12"/>
          <w:szCs w:val="12"/>
          <w:color w:val="auto"/>
        </w:rPr>
        <w:t>Connect legacy voice applications to our Super Network over IP infrastructure with globally available phone numbers and pay-as-you-go pricing. Twilio’s Emergency Calling for SIP Trunking</w:t>
      </w:r>
      <w:r>
        <w:rPr>
          <w:rFonts w:ascii="Arial" w:cs="Arial" w:eastAsia="Arial" w:hAnsi="Arial"/>
          <w:sz w:val="12"/>
          <w:szCs w:val="12"/>
          <w:b w:val="1"/>
          <w:bCs w:val="1"/>
          <w:color w:val="auto"/>
        </w:rPr>
        <w:t xml:space="preserve"> </w:t>
      </w:r>
      <w:r>
        <w:rPr>
          <w:rFonts w:ascii="Arial" w:cs="Arial" w:eastAsia="Arial" w:hAnsi="Arial"/>
          <w:sz w:val="12"/>
          <w:szCs w:val="12"/>
          <w:color w:val="auto"/>
        </w:rPr>
        <w:t>feature enables emergency call routing to PSAPs in the U.S., Canada and the UK.</w:t>
      </w:r>
    </w:p>
    <w:p>
      <w:pPr>
        <w:spacing w:after="0" w:line="106" w:lineRule="exact"/>
        <w:rPr>
          <w:rFonts w:ascii="Arial" w:cs="Arial" w:eastAsia="Arial" w:hAnsi="Arial"/>
          <w:sz w:val="12"/>
          <w:szCs w:val="12"/>
          <w:color w:val="auto"/>
        </w:rPr>
      </w:pPr>
    </w:p>
    <w:p>
      <w:pPr>
        <w:ind w:left="640" w:hanging="216"/>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b w:val="1"/>
          <w:bCs w:val="1"/>
          <w:color w:val="auto"/>
        </w:rPr>
        <w:t xml:space="preserve">Interconnect. </w:t>
      </w:r>
      <w:r>
        <w:rPr>
          <w:rFonts w:ascii="Arial" w:cs="Arial" w:eastAsia="Arial" w:hAnsi="Arial"/>
          <w:sz w:val="12"/>
          <w:szCs w:val="12"/>
          <w:color w:val="auto"/>
        </w:rPr>
        <w:t>Connect privately to Twilio to enable enterprise grade security and quality of service for Twilio Voice and Elastic SIP Trunking.</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charge on a per-minute or per-phone number basis for most of our Super Network products.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IoT</w:t>
      </w:r>
    </w:p>
    <w:p>
      <w:pPr>
        <w:spacing w:after="0" w:line="150" w:lineRule="exact"/>
        <w:rPr>
          <w:sz w:val="20"/>
          <w:szCs w:val="20"/>
          <w:color w:val="auto"/>
        </w:rPr>
      </w:pPr>
    </w:p>
    <w:p>
      <w:pPr>
        <w:ind w:firstLine="324"/>
        <w:spacing w:after="0" w:line="340" w:lineRule="auto"/>
        <w:rPr>
          <w:sz w:val="20"/>
          <w:szCs w:val="20"/>
          <w:color w:val="auto"/>
        </w:rPr>
      </w:pPr>
      <w:r>
        <w:rPr>
          <w:rFonts w:ascii="Arial" w:cs="Arial" w:eastAsia="Arial" w:hAnsi="Arial"/>
          <w:sz w:val="10"/>
          <w:szCs w:val="10"/>
          <w:color w:val="auto"/>
        </w:rPr>
        <w:t>The most challenging aspect of connecting previously unconnected devices lies in making the connection reliable and secure enough to perform and add value for years on end. Twilio’s IoT offerings therefore make connectivity simpler and coding of connected devices more reliable so that our customers can focus on building differentiated IoT experiences versus building and maintaining the required infrastructure underneath. Our customers use Twilio IoT for use cases, such as asset or fleet tracking, smart building management, consumer wearables (often pulling in other Twilio products such as Voice, Video, and Flex), predictive maintenance and inventory management.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i w:val="1"/>
          <w:iCs w:val="1"/>
          <w:color w:val="auto"/>
        </w:rPr>
        <w:t>Our Business Model for Innovators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0"/>
          <w:szCs w:val="10"/>
          <w:color w:val="auto"/>
        </w:rPr>
        <w:t>Our goal is to include Twilio in the toolkit of every developer in the world, from small businesses to major enterprises. Because big ideas often start small, developers need the freedom and tools to experiment and iterate on their</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ideas.</w:t>
      </w:r>
    </w:p>
    <w:p>
      <w:pPr>
        <w:spacing w:after="0" w:line="141" w:lineRule="exact"/>
        <w:rPr>
          <w:sz w:val="20"/>
          <w:szCs w:val="20"/>
          <w:color w:val="auto"/>
        </w:rPr>
      </w:pPr>
    </w:p>
    <w:p>
      <w:pPr>
        <w:ind w:right="60" w:firstLine="324"/>
        <w:spacing w:after="0" w:line="340" w:lineRule="auto"/>
        <w:rPr>
          <w:sz w:val="20"/>
          <w:szCs w:val="20"/>
          <w:color w:val="auto"/>
        </w:rPr>
      </w:pPr>
      <w:r>
        <w:rPr>
          <w:rFonts w:ascii="Arial" w:cs="Arial" w:eastAsia="Arial" w:hAnsi="Arial"/>
          <w:sz w:val="10"/>
          <w:szCs w:val="10"/>
          <w:color w:val="auto"/>
        </w:rPr>
        <w:t>In order to empower developers to experiment, our developer-first business model is low friction, eliminating the upfront costs, time and complexity that typically hinder innovation. Additionally, our model encourages experimentation and enables developers to grow as customers as their ideas succeed. Developers can begin building with a free trial. They have access to self-service documentation and free customer support to guide them through the process. Once developers determine that our software meets their needs, they can flexibly increase consumption and pay based on usage. In short, we acquire developers like consumers and enable them to spend like enterprises.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Growth Strategy</w:t>
      </w:r>
    </w:p>
    <w:p>
      <w:pPr>
        <w:spacing w:after="0" w:line="154" w:lineRule="exact"/>
        <w:rPr>
          <w:sz w:val="20"/>
          <w:szCs w:val="20"/>
          <w:color w:val="auto"/>
        </w:rPr>
      </w:pPr>
    </w:p>
    <w:p>
      <w:pPr>
        <w:ind w:right="80" w:firstLine="324"/>
        <w:spacing w:after="0" w:line="283" w:lineRule="auto"/>
        <w:rPr>
          <w:sz w:val="20"/>
          <w:szCs w:val="20"/>
          <w:color w:val="auto"/>
        </w:rPr>
      </w:pPr>
      <w:r>
        <w:rPr>
          <w:rFonts w:ascii="Arial" w:cs="Arial" w:eastAsia="Arial" w:hAnsi="Arial"/>
          <w:sz w:val="11"/>
          <w:szCs w:val="11"/>
          <w:color w:val="auto"/>
        </w:rPr>
        <w:t>We are the leader in the cloud communications platform category based on revenue, market share and reputation and intend to continue to set the pace for innovation. We also have the leading market share in the Customer Data Platform category. Our overall strategy is to develop great APIs that developers love. These developers are our champions and bring us “in” to companies of every type, most frequently utilizing our messaging and email tools as an entry point. This “in” motion creates initial relationships with customers of all sizes including major enterprises that allow us to move “up” the software stack and provide those companies with software solutions that address their customer engagement requirements from marketing to sales and support. Today, we offer Twilio Campaigns for marketing, Twilio Flex for customer support and Twilio Verify to onboard and recognize customers. The more strategic nature of these software products also allows us to move up the organization chart, interacting with more senior and strategic purchasers. This “in” and “up” strategy is a motion we work on improving every day. We will also continue to invest aggressively in our platform approach, which prioritizes increasing our reach and scale. We intend to pursue the following growth strategies:</w:t>
      </w:r>
    </w:p>
    <w:p>
      <w:pPr>
        <w:spacing w:after="0" w:line="109" w:lineRule="exact"/>
        <w:rPr>
          <w:sz w:val="20"/>
          <w:szCs w:val="20"/>
          <w:color w:val="auto"/>
        </w:rPr>
      </w:pPr>
    </w:p>
    <w:p>
      <w:pPr>
        <w:ind w:left="640" w:right="200" w:hanging="216"/>
        <w:spacing w:after="0" w:line="330" w:lineRule="auto"/>
        <w:tabs>
          <w:tab w:leader="none" w:pos="637" w:val="left"/>
        </w:tabs>
        <w:numPr>
          <w:ilvl w:val="0"/>
          <w:numId w:val="15"/>
        </w:numPr>
        <w:rPr>
          <w:rFonts w:ascii="Arial" w:cs="Arial" w:eastAsia="Arial" w:hAnsi="Arial"/>
          <w:sz w:val="11"/>
          <w:szCs w:val="11"/>
          <w:color w:val="auto"/>
        </w:rPr>
      </w:pPr>
      <w:r>
        <w:rPr>
          <w:rFonts w:ascii="Arial" w:cs="Arial" w:eastAsia="Arial" w:hAnsi="Arial"/>
          <w:sz w:val="11"/>
          <w:szCs w:val="11"/>
          <w:b w:val="1"/>
          <w:bCs w:val="1"/>
          <w:color w:val="auto"/>
        </w:rPr>
        <w:t xml:space="preserve">Continue Significant Investment in our Technology Platform. </w:t>
      </w:r>
      <w:r>
        <w:rPr>
          <w:rFonts w:ascii="Arial" w:cs="Arial" w:eastAsia="Arial" w:hAnsi="Arial"/>
          <w:sz w:val="11"/>
          <w:szCs w:val="11"/>
          <w:color w:val="auto"/>
        </w:rPr>
        <w:t>We will continue to invest in building new software capabilities and extending our platform to bring the power of contextual customer engagement to a</w:t>
      </w:r>
      <w:r>
        <w:rPr>
          <w:rFonts w:ascii="Arial" w:cs="Arial" w:eastAsia="Arial" w:hAnsi="Arial"/>
          <w:sz w:val="11"/>
          <w:szCs w:val="11"/>
          <w:b w:val="1"/>
          <w:bCs w:val="1"/>
          <w:color w:val="auto"/>
        </w:rPr>
        <w:t xml:space="preserve"> </w:t>
      </w:r>
      <w:r>
        <w:rPr>
          <w:rFonts w:ascii="Arial" w:cs="Arial" w:eastAsia="Arial" w:hAnsi="Arial"/>
          <w:sz w:val="11"/>
          <w:szCs w:val="11"/>
          <w:color w:val="auto"/>
        </w:rPr>
        <w:t>broader range of applications, geographies and customers. We have a substantial research and development team, comprising approximately 39% of our headcount as of December 31, 2021.</w:t>
      </w:r>
    </w:p>
    <w:p>
      <w:pPr>
        <w:spacing w:after="0" w:line="84" w:lineRule="exact"/>
        <w:rPr>
          <w:rFonts w:ascii="Arial" w:cs="Arial" w:eastAsia="Arial" w:hAnsi="Arial"/>
          <w:sz w:val="11"/>
          <w:szCs w:val="11"/>
          <w:color w:val="auto"/>
        </w:rPr>
      </w:pPr>
    </w:p>
    <w:p>
      <w:pPr>
        <w:jc w:val="both"/>
        <w:ind w:left="640" w:hanging="216"/>
        <w:spacing w:after="0" w:line="302" w:lineRule="auto"/>
        <w:tabs>
          <w:tab w:leader="none" w:pos="637" w:val="left"/>
        </w:tabs>
        <w:numPr>
          <w:ilvl w:val="0"/>
          <w:numId w:val="15"/>
        </w:numPr>
        <w:rPr>
          <w:rFonts w:ascii="Arial" w:cs="Arial" w:eastAsia="Arial" w:hAnsi="Arial"/>
          <w:sz w:val="11"/>
          <w:szCs w:val="11"/>
          <w:color w:val="auto"/>
        </w:rPr>
      </w:pPr>
      <w:r>
        <w:rPr>
          <w:rFonts w:ascii="Arial" w:cs="Arial" w:eastAsia="Arial" w:hAnsi="Arial"/>
          <w:sz w:val="11"/>
          <w:szCs w:val="11"/>
          <w:b w:val="1"/>
          <w:bCs w:val="1"/>
          <w:color w:val="auto"/>
        </w:rPr>
        <w:t xml:space="preserve">Grow Our Developer Community and Accelerate Adoption. </w:t>
      </w:r>
      <w:r>
        <w:rPr>
          <w:rFonts w:ascii="Arial" w:cs="Arial" w:eastAsia="Arial" w:hAnsi="Arial"/>
          <w:sz w:val="11"/>
          <w:szCs w:val="11"/>
          <w:color w:val="auto"/>
        </w:rPr>
        <w:t>We will continue to enhance our relationships with developers globally and seek to increase the number of developers on our platform. In addition to adding</w:t>
      </w:r>
      <w:r>
        <w:rPr>
          <w:rFonts w:ascii="Arial" w:cs="Arial" w:eastAsia="Arial" w:hAnsi="Arial"/>
          <w:sz w:val="11"/>
          <w:szCs w:val="11"/>
          <w:b w:val="1"/>
          <w:bCs w:val="1"/>
          <w:color w:val="auto"/>
        </w:rPr>
        <w:t xml:space="preserve"> </w:t>
      </w:r>
      <w:r>
        <w:rPr>
          <w:rFonts w:ascii="Arial" w:cs="Arial" w:eastAsia="Arial" w:hAnsi="Arial"/>
          <w:sz w:val="11"/>
          <w:szCs w:val="11"/>
          <w:color w:val="auto"/>
        </w:rPr>
        <w:t>new developers, we believe there is significant opportunity for revenue growth from developers who already have registered accounts with us but have not yet built their software applications with us, or whose applications are in their infancy and will grow with Twilio into an Active Customer Account. As of December 31, 2021, we had more than 256,000 Active Customer Accounts on our platform.</w:t>
      </w:r>
    </w:p>
    <w:p>
      <w:pPr>
        <w:spacing w:after="0" w:line="98" w:lineRule="exact"/>
        <w:rPr>
          <w:rFonts w:ascii="Arial" w:cs="Arial" w:eastAsia="Arial" w:hAnsi="Arial"/>
          <w:sz w:val="11"/>
          <w:szCs w:val="11"/>
          <w:color w:val="auto"/>
        </w:rPr>
      </w:pPr>
    </w:p>
    <w:p>
      <w:pPr>
        <w:ind w:left="640" w:right="20" w:hanging="216"/>
        <w:spacing w:after="0" w:line="302" w:lineRule="auto"/>
        <w:tabs>
          <w:tab w:leader="none" w:pos="637" w:val="left"/>
        </w:tabs>
        <w:numPr>
          <w:ilvl w:val="0"/>
          <w:numId w:val="15"/>
        </w:numPr>
        <w:rPr>
          <w:rFonts w:ascii="Arial" w:cs="Arial" w:eastAsia="Arial" w:hAnsi="Arial"/>
          <w:sz w:val="11"/>
          <w:szCs w:val="11"/>
          <w:color w:val="auto"/>
        </w:rPr>
      </w:pPr>
      <w:r>
        <w:rPr>
          <w:rFonts w:ascii="Arial" w:cs="Arial" w:eastAsia="Arial" w:hAnsi="Arial"/>
          <w:sz w:val="11"/>
          <w:szCs w:val="11"/>
          <w:b w:val="1"/>
          <w:bCs w:val="1"/>
          <w:color w:val="auto"/>
        </w:rPr>
        <w:t xml:space="preserve">Increase Our International Presence. </w:t>
      </w:r>
      <w:r>
        <w:rPr>
          <w:rFonts w:ascii="Arial" w:cs="Arial" w:eastAsia="Arial" w:hAnsi="Arial"/>
          <w:sz w:val="11"/>
          <w:szCs w:val="11"/>
          <w:color w:val="auto"/>
        </w:rPr>
        <w:t>Our platform serves over 180 countries today, making it as simple to communicate from São Paulo as it is from San Francisco. Customers outside the U.S. are increasingly adopting</w:t>
      </w:r>
      <w:r>
        <w:rPr>
          <w:rFonts w:ascii="Arial" w:cs="Arial" w:eastAsia="Arial" w:hAnsi="Arial"/>
          <w:sz w:val="11"/>
          <w:szCs w:val="11"/>
          <w:b w:val="1"/>
          <w:bCs w:val="1"/>
          <w:color w:val="auto"/>
        </w:rPr>
        <w:t xml:space="preserve"> </w:t>
      </w:r>
      <w:r>
        <w:rPr>
          <w:rFonts w:ascii="Arial" w:cs="Arial" w:eastAsia="Arial" w:hAnsi="Arial"/>
          <w:sz w:val="11"/>
          <w:szCs w:val="11"/>
          <w:color w:val="auto"/>
        </w:rPr>
        <w:t>our platform, and for the years ended December 31, 2021 and 2020, revenue from international customer accounts accounted for 34% and 27% of our total revenue, respectively. We are investing to meet the requirements of a broader range of global developers and enterprises. We plan to grow internationally by continuing to expand our operations outside of the U.S. and collaborating with international strategic partners.</w:t>
      </w:r>
    </w:p>
    <w:p>
      <w:pPr>
        <w:spacing w:after="0" w:line="98" w:lineRule="exact"/>
        <w:rPr>
          <w:rFonts w:ascii="Arial" w:cs="Arial" w:eastAsia="Arial" w:hAnsi="Arial"/>
          <w:sz w:val="11"/>
          <w:szCs w:val="11"/>
          <w:color w:val="auto"/>
        </w:rPr>
      </w:pPr>
    </w:p>
    <w:p>
      <w:pPr>
        <w:ind w:left="640" w:right="240" w:hanging="216"/>
        <w:spacing w:after="0" w:line="266" w:lineRule="auto"/>
        <w:tabs>
          <w:tab w:leader="none" w:pos="637" w:val="left"/>
        </w:tabs>
        <w:numPr>
          <w:ilvl w:val="0"/>
          <w:numId w:val="15"/>
        </w:numPr>
        <w:rPr>
          <w:rFonts w:ascii="Arial" w:cs="Arial" w:eastAsia="Arial" w:hAnsi="Arial"/>
          <w:sz w:val="12"/>
          <w:szCs w:val="12"/>
          <w:color w:val="auto"/>
        </w:rPr>
      </w:pPr>
      <w:r>
        <w:rPr>
          <w:rFonts w:ascii="Arial" w:cs="Arial" w:eastAsia="Arial" w:hAnsi="Arial"/>
          <w:sz w:val="12"/>
          <w:szCs w:val="12"/>
          <w:b w:val="1"/>
          <w:bCs w:val="1"/>
          <w:color w:val="auto"/>
        </w:rPr>
        <w:t xml:space="preserve">Further Penetrate the Enterprises. </w:t>
      </w:r>
      <w:r>
        <w:rPr>
          <w:rFonts w:ascii="Arial" w:cs="Arial" w:eastAsia="Arial" w:hAnsi="Arial"/>
          <w:sz w:val="12"/>
          <w:szCs w:val="12"/>
          <w:color w:val="auto"/>
        </w:rPr>
        <w:t>We plan to drive greater awareness and adoption of Twilio from enterprises across industries. We intend to further increase our investment in sales and marketing to meet evolving</w:t>
      </w:r>
      <w:r>
        <w:rPr>
          <w:rFonts w:ascii="Arial" w:cs="Arial" w:eastAsia="Arial" w:hAnsi="Arial"/>
          <w:sz w:val="12"/>
          <w:szCs w:val="12"/>
          <w:b w:val="1"/>
          <w:bCs w:val="1"/>
          <w:color w:val="auto"/>
        </w:rPr>
        <w:t xml:space="preserve"> </w:t>
      </w:r>
      <w:r>
        <w:rPr>
          <w:rFonts w:ascii="Arial" w:cs="Arial" w:eastAsia="Arial" w:hAnsi="Arial"/>
          <w:sz w:val="12"/>
          <w:szCs w:val="12"/>
          <w:color w:val="auto"/>
        </w:rPr>
        <w:t>enterprise needs globally, in addition to extending our enterprise-focused use cases and platform capabilities, like our Twilio Enterprise Plan. Additionally, we believe there is significant opportunity to expand our relationships with existing enterprise customers.</w:t>
      </w:r>
    </w:p>
    <w:p>
      <w:pPr>
        <w:spacing w:after="0" w:line="117" w:lineRule="exact"/>
        <w:rPr>
          <w:rFonts w:ascii="Arial" w:cs="Arial" w:eastAsia="Arial" w:hAnsi="Arial"/>
          <w:sz w:val="12"/>
          <w:szCs w:val="12"/>
          <w:color w:val="auto"/>
        </w:rPr>
      </w:pPr>
    </w:p>
    <w:p>
      <w:pPr>
        <w:ind w:left="640" w:right="80" w:hanging="216"/>
        <w:spacing w:after="0" w:line="258" w:lineRule="auto"/>
        <w:tabs>
          <w:tab w:leader="none" w:pos="637" w:val="left"/>
        </w:tabs>
        <w:numPr>
          <w:ilvl w:val="0"/>
          <w:numId w:val="15"/>
        </w:numPr>
        <w:rPr>
          <w:rFonts w:ascii="Arial" w:cs="Arial" w:eastAsia="Arial" w:hAnsi="Arial"/>
          <w:sz w:val="12"/>
          <w:szCs w:val="12"/>
          <w:color w:val="auto"/>
        </w:rPr>
      </w:pPr>
      <w:r>
        <w:rPr>
          <w:rFonts w:ascii="Arial" w:cs="Arial" w:eastAsia="Arial" w:hAnsi="Arial"/>
          <w:sz w:val="12"/>
          <w:szCs w:val="12"/>
          <w:b w:val="1"/>
          <w:bCs w:val="1"/>
          <w:color w:val="auto"/>
        </w:rPr>
        <w:t xml:space="preserve">Expand Our Partner Channel. </w:t>
      </w:r>
      <w:r>
        <w:rPr>
          <w:rFonts w:ascii="Arial" w:cs="Arial" w:eastAsia="Arial" w:hAnsi="Arial"/>
          <w:sz w:val="12"/>
          <w:szCs w:val="12"/>
          <w:color w:val="auto"/>
        </w:rPr>
        <w:t>Our Twilio Build partner program is focused on growing our community of technology and consulting partners. Twilio Build's ecosystem of partners offers customers both packaged</w:t>
      </w:r>
      <w:r>
        <w:rPr>
          <w:rFonts w:ascii="Arial" w:cs="Arial" w:eastAsia="Arial" w:hAnsi="Arial"/>
          <w:sz w:val="12"/>
          <w:szCs w:val="12"/>
          <w:b w:val="1"/>
          <w:bCs w:val="1"/>
          <w:color w:val="auto"/>
        </w:rPr>
        <w:t xml:space="preserve"> </w:t>
      </w:r>
      <w:r>
        <w:rPr>
          <w:rFonts w:ascii="Arial" w:cs="Arial" w:eastAsia="Arial" w:hAnsi="Arial"/>
          <w:sz w:val="12"/>
          <w:szCs w:val="12"/>
          <w:color w:val="auto"/>
        </w:rPr>
        <w:t>applications and consulting expertise that make it possible for any customer to innovate with Twilio regardless of region, industry, business model or development resources. To help our partners grow their businesses and innovate for their customers, this program provides go-to-market support, certification and training programs and a partner success team. We have relationships with a number of technology partner customers that embed our products in the solutions that they sell to other businesses. We intend to expand our relationships with existing technology partner customers and to add new technology partner customers. We plan to invest in a range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12" w:name="page13"/>
    <w:bookmarkEnd w:id="12"/>
    <w:p>
      <w:pPr>
        <w:ind w:left="640" w:right="260"/>
        <w:spacing w:after="0" w:line="263" w:lineRule="auto"/>
        <w:rPr>
          <w:sz w:val="20"/>
          <w:szCs w:val="20"/>
          <w:color w:val="auto"/>
        </w:rPr>
      </w:pPr>
      <w:r>
        <w:rPr>
          <w:rFonts w:ascii="Arial" w:cs="Arial" w:eastAsia="Arial" w:hAnsi="Arial"/>
          <w:sz w:val="12"/>
          <w:szCs w:val="12"/>
          <w:color w:val="auto"/>
        </w:rPr>
        <w:t>initiatives to encourage increased collaboration with, and generation of revenue from, technology partner customers. We have developed relationships with consulting partners who provide consulting and development services for organizations that have limited software development expertise to build our platform into their software applications. We intend to continue to invest in and develop the ecosystem for our solutions in partnership with consulting partners to accelerate awareness and adoption of our platform.</w:t>
      </w:r>
    </w:p>
    <w:p>
      <w:pPr>
        <w:spacing w:after="0" w:line="118" w:lineRule="exact"/>
        <w:rPr>
          <w:sz w:val="20"/>
          <w:szCs w:val="20"/>
          <w:color w:val="auto"/>
        </w:rPr>
      </w:pPr>
    </w:p>
    <w:p>
      <w:pPr>
        <w:ind w:left="640" w:hanging="216"/>
        <w:spacing w:after="0" w:line="257" w:lineRule="auto"/>
        <w:tabs>
          <w:tab w:leader="none" w:pos="637" w:val="left"/>
        </w:tabs>
        <w:numPr>
          <w:ilvl w:val="0"/>
          <w:numId w:val="16"/>
        </w:numPr>
        <w:rPr>
          <w:rFonts w:ascii="Arial" w:cs="Arial" w:eastAsia="Arial" w:hAnsi="Arial"/>
          <w:sz w:val="12"/>
          <w:szCs w:val="12"/>
          <w:color w:val="auto"/>
        </w:rPr>
      </w:pPr>
      <w:r>
        <w:rPr>
          <w:rFonts w:ascii="Arial" w:cs="Arial" w:eastAsia="Arial" w:hAnsi="Arial"/>
          <w:sz w:val="12"/>
          <w:szCs w:val="12"/>
          <w:b w:val="1"/>
          <w:bCs w:val="1"/>
          <w:color w:val="auto"/>
        </w:rPr>
        <w:t xml:space="preserve">Selectively Pursue Acquisitions and Strategic Investments. </w:t>
      </w:r>
      <w:r>
        <w:rPr>
          <w:rFonts w:ascii="Arial" w:cs="Arial" w:eastAsia="Arial" w:hAnsi="Arial"/>
          <w:sz w:val="12"/>
          <w:szCs w:val="12"/>
          <w:color w:val="auto"/>
        </w:rPr>
        <w:t>We may selectively pursue acquisitions and strategic investments in businesses and technologies that strengthen our platform. From 2015 through 2021, we</w:t>
      </w:r>
      <w:r>
        <w:rPr>
          <w:rFonts w:ascii="Arial" w:cs="Arial" w:eastAsia="Arial" w:hAnsi="Arial"/>
          <w:sz w:val="12"/>
          <w:szCs w:val="12"/>
          <w:b w:val="1"/>
          <w:bCs w:val="1"/>
          <w:color w:val="auto"/>
        </w:rPr>
        <w:t xml:space="preserve"> </w:t>
      </w:r>
      <w:r>
        <w:rPr>
          <w:rFonts w:ascii="Arial" w:cs="Arial" w:eastAsia="Arial" w:hAnsi="Arial"/>
          <w:sz w:val="12"/>
          <w:szCs w:val="12"/>
          <w:color w:val="auto"/>
        </w:rPr>
        <w:t>made several acquisitions which have allowed us to expand our platform and service offerings to include features such as a cloud-based API to seamlessly embed two-factor authentication and phone verification into any application, Web Real-Time-Communication (“Web RTC”) media processing technologies, contact center analytics, software mobile network infrastructure and language recognition capabilities. In addition, our acquisition of SendGrid in February 2019 allowed us to add a leading e-mail API platform to our product offerings, our acquisition of Segment in November 2020 allowed us to add the market-leading customer data platform to our product offerings and our acquisition of Zipwhip in July 2021 allowed us to expand the toll-free channel, offering developers and businesses another affordable, trusted, high-quality engagement option via messaging-enabled toll-free numbers.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Twilio Magic</w:t>
      </w:r>
    </w:p>
    <w:p>
      <w:pPr>
        <w:spacing w:after="0" w:line="154" w:lineRule="exact"/>
        <w:rPr>
          <w:sz w:val="20"/>
          <w:szCs w:val="20"/>
          <w:color w:val="auto"/>
        </w:rPr>
      </w:pPr>
    </w:p>
    <w:p>
      <w:pPr>
        <w:ind w:right="20" w:firstLine="324"/>
        <w:spacing w:after="0" w:line="276" w:lineRule="auto"/>
        <w:rPr>
          <w:sz w:val="20"/>
          <w:szCs w:val="20"/>
          <w:color w:val="auto"/>
        </w:rPr>
      </w:pPr>
      <w:r>
        <w:rPr>
          <w:rFonts w:ascii="Arial" w:cs="Arial" w:eastAsia="Arial" w:hAnsi="Arial"/>
          <w:sz w:val="12"/>
          <w:szCs w:val="12"/>
          <w:color w:val="auto"/>
        </w:rPr>
        <w:t>We believe there's a unique spirit to Twilio, manifested in who we are and how we work together. We value and invest in a positive culture of optimism, innovation, and accountability. Our values, which we call the Twilio Magic, remind us every day who we are at our core and guide how we act and how we make decisions.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We are </w:t>
      </w:r>
      <w:r>
        <w:rPr>
          <w:rFonts w:ascii="Arial" w:cs="Arial" w:eastAsia="Arial" w:hAnsi="Arial"/>
          <w:sz w:val="12"/>
          <w:szCs w:val="12"/>
          <w:b w:val="1"/>
          <w:bCs w:val="1"/>
          <w:color w:val="auto"/>
        </w:rPr>
        <w:t>Builders</w:t>
      </w:r>
      <w:r>
        <w:rPr>
          <w:rFonts w:ascii="Arial" w:cs="Arial" w:eastAsia="Arial" w:hAnsi="Arial"/>
          <w:sz w:val="12"/>
          <w:szCs w:val="12"/>
          <w:color w:val="auto"/>
        </w:rPr>
        <w:t xml:space="preserve">. We are </w:t>
      </w:r>
      <w:r>
        <w:rPr>
          <w:rFonts w:ascii="Arial" w:cs="Arial" w:eastAsia="Arial" w:hAnsi="Arial"/>
          <w:sz w:val="12"/>
          <w:szCs w:val="12"/>
          <w:b w:val="1"/>
          <w:bCs w:val="1"/>
          <w:color w:val="auto"/>
        </w:rPr>
        <w:t>Owners</w:t>
      </w:r>
      <w:r>
        <w:rPr>
          <w:rFonts w:ascii="Arial" w:cs="Arial" w:eastAsia="Arial" w:hAnsi="Arial"/>
          <w:sz w:val="12"/>
          <w:szCs w:val="12"/>
          <w:color w:val="auto"/>
        </w:rPr>
        <w:t xml:space="preserve">. We are </w:t>
      </w:r>
      <w:r>
        <w:rPr>
          <w:rFonts w:ascii="Arial" w:cs="Arial" w:eastAsia="Arial" w:hAnsi="Arial"/>
          <w:sz w:val="12"/>
          <w:szCs w:val="12"/>
          <w:b w:val="1"/>
          <w:bCs w:val="1"/>
          <w:color w:val="auto"/>
        </w:rPr>
        <w:t>Curious</w:t>
      </w:r>
      <w:r>
        <w:rPr>
          <w:rFonts w:ascii="Arial" w:cs="Arial" w:eastAsia="Arial" w:hAnsi="Arial"/>
          <w:sz w:val="12"/>
          <w:szCs w:val="12"/>
          <w:color w:val="auto"/>
        </w:rPr>
        <w:t xml:space="preserve">. We are </w:t>
      </w:r>
      <w:r>
        <w:rPr>
          <w:rFonts w:ascii="Arial" w:cs="Arial" w:eastAsia="Arial" w:hAnsi="Arial"/>
          <w:sz w:val="12"/>
          <w:szCs w:val="12"/>
          <w:b w:val="1"/>
          <w:bCs w:val="1"/>
          <w:color w:val="auto"/>
        </w:rPr>
        <w:t>Positrons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Twilio.org</w:t>
      </w:r>
    </w:p>
    <w:p>
      <w:pPr>
        <w:spacing w:after="0" w:line="154" w:lineRule="exact"/>
        <w:rPr>
          <w:sz w:val="20"/>
          <w:szCs w:val="20"/>
          <w:color w:val="auto"/>
        </w:rPr>
      </w:pPr>
    </w:p>
    <w:p>
      <w:pPr>
        <w:ind w:right="60" w:firstLine="324"/>
        <w:spacing w:after="0" w:line="256" w:lineRule="auto"/>
        <w:rPr>
          <w:sz w:val="20"/>
          <w:szCs w:val="20"/>
          <w:color w:val="auto"/>
        </w:rPr>
      </w:pPr>
      <w:r>
        <w:rPr>
          <w:rFonts w:ascii="Arial" w:cs="Arial" w:eastAsia="Arial" w:hAnsi="Arial"/>
          <w:sz w:val="12"/>
          <w:szCs w:val="12"/>
          <w:color w:val="auto"/>
        </w:rPr>
        <w:t>We believe communications play a critical role in solving some of the world’s toughest social challenges. Through Twilio.org, which is a part of our company and not a separate legal entity, we donate and sell our products at a reduced rate to social impact organizations and provide grant funding to help scale organizations' mission. In 2015, we reserved 1% of Twilio's common stock to fund Twilio.org. We have periodically replenished that initial reserve and as of December 31, 2021, the number of shares of Twilio Class A common stock set aside for Twilio.org operations was 618,857. We started Twilio.org so that more people around the world have the opportunity to thrive. In 2021, over 7,500 social impact organizations used Twilio products and funding to reach more than 500 million people worldwide. 2021 marked another year of living through the COVID-19 pandemic and Twilio products and funding were used by over 1,200 organizations to provide more than 300 million people with vaccine and COVID-19 related information.</w:t>
      </w:r>
    </w:p>
    <w:p>
      <w:pPr>
        <w:spacing w:after="0" w:line="128" w:lineRule="exact"/>
        <w:rPr>
          <w:sz w:val="20"/>
          <w:szCs w:val="20"/>
          <w:color w:val="auto"/>
        </w:rPr>
      </w:pPr>
    </w:p>
    <w:p>
      <w:pPr>
        <w:ind w:right="20" w:firstLine="324"/>
        <w:spacing w:after="0" w:line="298" w:lineRule="auto"/>
        <w:rPr>
          <w:sz w:val="20"/>
          <w:szCs w:val="20"/>
          <w:color w:val="auto"/>
        </w:rPr>
      </w:pPr>
      <w:r>
        <w:rPr>
          <w:rFonts w:ascii="Arial" w:cs="Arial" w:eastAsia="Arial" w:hAnsi="Arial"/>
          <w:sz w:val="11"/>
          <w:szCs w:val="11"/>
          <w:color w:val="auto"/>
        </w:rPr>
        <w:t>Information on our key Environmental, Social and Governance (“ESG”) programs, goals and commitments, and certain metrics can be found in our annual Impact Report, available on our website at https://investors.twilio.com/governance. Website references throughout this document are provided for convenience only, and the content on the referenced websites is not incorporated by reference into this report. While we believe that our ESG goals align with our long-term growth strategy and financial and operational priorities, they are aspirational and may change, and there can be no assurance that they will be met.</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Our Employees and Human Capital Resources</w:t>
      </w:r>
    </w:p>
    <w:p>
      <w:pPr>
        <w:spacing w:after="0" w:line="154" w:lineRule="exact"/>
        <w:rPr>
          <w:sz w:val="20"/>
          <w:szCs w:val="20"/>
          <w:color w:val="auto"/>
        </w:rPr>
      </w:pPr>
    </w:p>
    <w:p>
      <w:pPr>
        <w:ind w:right="80" w:firstLine="324"/>
        <w:spacing w:after="0" w:line="263" w:lineRule="auto"/>
        <w:rPr>
          <w:sz w:val="20"/>
          <w:szCs w:val="20"/>
          <w:color w:val="auto"/>
        </w:rPr>
      </w:pPr>
      <w:r>
        <w:rPr>
          <w:rFonts w:ascii="Arial" w:cs="Arial" w:eastAsia="Arial" w:hAnsi="Arial"/>
          <w:sz w:val="12"/>
          <w:szCs w:val="12"/>
          <w:color w:val="auto"/>
        </w:rPr>
        <w:t>As of December 31, 2021, we had a total of 7,867 employees, including 2,964 employees located outside of the U.S. None of our U.S. employees are represented by a labor union with respect to their employment. Employees in certain of our non-U.S. subsidiaries have the benefits of collective bargaining arrangements at the national level. We consider our relations with our employees to be good and have not experienced interruptions of operations or work stoppages due to labor disagreements.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i w:val="1"/>
          <w:iCs w:val="1"/>
          <w:color w:val="auto"/>
        </w:rPr>
        <w:t>Diversity, Equity and Inclusion</w:t>
      </w:r>
    </w:p>
    <w:p>
      <w:pPr>
        <w:spacing w:after="0" w:line="150" w:lineRule="exact"/>
        <w:rPr>
          <w:sz w:val="20"/>
          <w:szCs w:val="20"/>
          <w:color w:val="auto"/>
        </w:rPr>
      </w:pPr>
    </w:p>
    <w:p>
      <w:pPr>
        <w:ind w:right="120" w:firstLine="324"/>
        <w:spacing w:after="0" w:line="247" w:lineRule="auto"/>
        <w:rPr>
          <w:sz w:val="20"/>
          <w:szCs w:val="20"/>
          <w:color w:val="auto"/>
        </w:rPr>
      </w:pPr>
      <w:r>
        <w:rPr>
          <w:rFonts w:ascii="Arial" w:cs="Arial" w:eastAsia="Arial" w:hAnsi="Arial"/>
          <w:sz w:val="12"/>
          <w:szCs w:val="12"/>
          <w:color w:val="auto"/>
        </w:rPr>
        <w:t>We are driving a diversity, equity and inclusion (“DEI”) strategy based on the principles of antiracism. At Twilio, we use “antiracism” as an umbrella term for actively identifying and eliminating racism/oppression by changing systems, organizational structures, policies, practices, and attitudes, so that power is shared equitably. By educating and empowering Twilions to think and operate through an antiracist lens, we’ll be able to build a more diverse workforce, promote equity for all communities in the workplace and foster safe, inclusive environments.</w:t>
      </w:r>
    </w:p>
    <w:p>
      <w:pPr>
        <w:spacing w:after="0" w:line="123"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Following our commitment to become an antiracist organization, we began the work to embed and operationalize antiracism across the business, with a strong focus on education. In 2021, over 100 senior Twilio executives participated in an antiracism workshop, with continued learning planned in 2022. We are growing our partnerships with global organizations to help us find, grow, and keep diverse talent in various demographics, regions, and countries. We are coordinating antiracist learning opportunities through employee resource group (“ERG”) specific programming and events. Lastly, we continue to maintain healthy pay parity, ensuring that employees with the same job and location are paid fairly relative to one another, regardless of gender or race.</w:t>
      </w:r>
    </w:p>
    <w:p>
      <w:pPr>
        <w:spacing w:after="0" w:line="124" w:lineRule="exact"/>
        <w:rPr>
          <w:sz w:val="20"/>
          <w:szCs w:val="20"/>
          <w:color w:val="auto"/>
        </w:rPr>
      </w:pPr>
    </w:p>
    <w:p>
      <w:pPr>
        <w:ind w:right="260" w:firstLine="324"/>
        <w:spacing w:after="0" w:line="276" w:lineRule="auto"/>
        <w:rPr>
          <w:sz w:val="20"/>
          <w:szCs w:val="20"/>
          <w:color w:val="auto"/>
        </w:rPr>
      </w:pPr>
      <w:r>
        <w:rPr>
          <w:rFonts w:ascii="Arial" w:cs="Arial" w:eastAsia="Arial" w:hAnsi="Arial"/>
          <w:sz w:val="12"/>
          <w:szCs w:val="12"/>
          <w:color w:val="auto"/>
        </w:rPr>
        <w:t>We will continue to grow our DEI resources and global footprint to make sure DEI scales along with the business. Most recently, we expanded the DEI team and launched new ERG chapters globally. This will ensure we are translating antiracism and amplifying DEI efforts across all teams and regions.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Compensation and Benefits</w:t>
      </w:r>
    </w:p>
    <w:p>
      <w:pPr>
        <w:spacing w:after="0" w:line="150" w:lineRule="exact"/>
        <w:rPr>
          <w:sz w:val="20"/>
          <w:szCs w:val="20"/>
          <w:color w:val="auto"/>
        </w:rPr>
      </w:pPr>
    </w:p>
    <w:p>
      <w:pPr>
        <w:ind w:right="80" w:firstLine="324"/>
        <w:spacing w:after="0" w:line="263" w:lineRule="auto"/>
        <w:rPr>
          <w:sz w:val="20"/>
          <w:szCs w:val="20"/>
          <w:color w:val="auto"/>
        </w:rPr>
      </w:pPr>
      <w:r>
        <w:rPr>
          <w:rFonts w:ascii="Arial" w:cs="Arial" w:eastAsia="Arial" w:hAnsi="Arial"/>
          <w:sz w:val="12"/>
          <w:szCs w:val="12"/>
          <w:color w:val="auto"/>
        </w:rPr>
        <w:t>Twilio is committed to delivering a comprehensive compensation and benefits program that provides support for all of our employees’ well-being. We provide competitive compensation and benefits to attract and retain talented employees, including offering market-competitive salaries, sales commissions for our sales teams, and equity. We generally offer full-time employees equity at the time of hire and through annual equity grants, as well as provide an employee stock purchase plan, to foster a strong sense of ownership and engage our employees in being committed to our long-term success.</w:t>
      </w:r>
    </w:p>
    <w:p>
      <w:pPr>
        <w:spacing w:after="0" w:line="122" w:lineRule="exact"/>
        <w:rPr>
          <w:sz w:val="20"/>
          <w:szCs w:val="20"/>
          <w:color w:val="auto"/>
        </w:rPr>
      </w:pPr>
    </w:p>
    <w:p>
      <w:pPr>
        <w:ind w:right="320" w:firstLine="324"/>
        <w:spacing w:after="0" w:line="276" w:lineRule="auto"/>
        <w:rPr>
          <w:sz w:val="20"/>
          <w:szCs w:val="20"/>
          <w:color w:val="auto"/>
        </w:rPr>
      </w:pPr>
      <w:r>
        <w:rPr>
          <w:rFonts w:ascii="Arial" w:cs="Arial" w:eastAsia="Arial" w:hAnsi="Arial"/>
          <w:sz w:val="12"/>
          <w:szCs w:val="12"/>
          <w:color w:val="auto"/>
        </w:rPr>
        <w:t>We ensure that our compensation is fair for all employees, regardless of classifications, such as race and gender. We routinely run a rigorous statistical analysis to ensure compensation is fair, taking into account factors that should impact pay, like role, level, location and performance.</w:t>
      </w:r>
    </w:p>
    <w:p>
      <w:pPr>
        <w:spacing w:after="0" w:line="11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2"/>
          <w:szCs w:val="12"/>
          <w:color w:val="auto"/>
        </w:rPr>
        <w:t>Our full-time employees are eligible to receive, subject to the satisfaction of certain eligibility requirements, our comprehensive benefits package including our medical, dental and vision insurance and life and disability insurance plans. In addition, we provide time off, as well as maintain a tax-qualified 401(k) retirement plan that provides eligible U.S. employees with an opportunity to save for retirement on a tax-advantaged basis. In 2021, we matched 50% of the first 6% of contributions by plan participants, subject to annual contribution limits set forth in the Internal Revenue Code of 1986, as amended.</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structuring these benefit plans, we seek to provide an aggregate level of benefits that are comparable to those provided by similar companies.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COVID-19 Response</w:t>
      </w:r>
    </w:p>
    <w:p>
      <w:pPr>
        <w:spacing w:after="0" w:line="150" w:lineRule="exact"/>
        <w:rPr>
          <w:sz w:val="20"/>
          <w:szCs w:val="20"/>
          <w:color w:val="auto"/>
        </w:rPr>
      </w:pPr>
    </w:p>
    <w:p>
      <w:pPr>
        <w:ind w:right="80" w:firstLine="324"/>
        <w:spacing w:after="0" w:line="379" w:lineRule="auto"/>
        <w:rPr>
          <w:sz w:val="20"/>
          <w:szCs w:val="20"/>
          <w:color w:val="auto"/>
        </w:rPr>
      </w:pPr>
      <w:r>
        <w:rPr>
          <w:rFonts w:ascii="Arial" w:cs="Arial" w:eastAsia="Arial" w:hAnsi="Arial"/>
          <w:sz w:val="10"/>
          <w:szCs w:val="10"/>
          <w:color w:val="auto"/>
        </w:rPr>
        <w:t>To support employee well-being, Twilio established a number of new programs in response to the COVID-19 pandemic and the transition to full-time work from home. We established No Meeting Fridays, created flexible work schedule options, gave employees a home office stipend, a caregiver stipend, free Care.com membership and paid time off through our COVID-19 Support Leave to care for themselves or family members impacted by COVID-19.</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research and development efforts are focused on building a trusted, smart engagement platform and enhancing our existing products and developing new products and features.</w:t>
      </w:r>
    </w:p>
    <w:p>
      <w:pPr>
        <w:spacing w:after="0" w:line="150" w:lineRule="exact"/>
        <w:rPr>
          <w:sz w:val="20"/>
          <w:szCs w:val="20"/>
          <w:color w:val="auto"/>
        </w:rPr>
      </w:pPr>
    </w:p>
    <w:p>
      <w:pPr>
        <w:ind w:right="260" w:firstLine="324"/>
        <w:spacing w:after="0" w:line="379" w:lineRule="auto"/>
        <w:rPr>
          <w:sz w:val="20"/>
          <w:szCs w:val="20"/>
          <w:color w:val="auto"/>
        </w:rPr>
      </w:pPr>
      <w:r>
        <w:rPr>
          <w:rFonts w:ascii="Arial" w:cs="Arial" w:eastAsia="Arial" w:hAnsi="Arial"/>
          <w:sz w:val="10"/>
          <w:szCs w:val="10"/>
          <w:color w:val="auto"/>
        </w:rPr>
        <w:t>Our research and development organization is predominantly built around small development teams. Our small development teams foster greater agility, which enables us to develop new, innovative products and make rapid changes to our infrastructure that increase resiliency and operational efficiency. Our development teams designed, built and continue to expand our customer engagement platform, our core platforms stack and Super Network.</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14" w:name="page15"/>
    <w:bookmarkEnd w:id="14"/>
    <w:p>
      <w:pPr>
        <w:ind w:right="300" w:firstLine="324"/>
        <w:spacing w:after="0" w:line="276" w:lineRule="auto"/>
        <w:rPr>
          <w:sz w:val="20"/>
          <w:szCs w:val="20"/>
          <w:color w:val="auto"/>
        </w:rPr>
      </w:pPr>
      <w:r>
        <w:rPr>
          <w:rFonts w:ascii="Arial" w:cs="Arial" w:eastAsia="Arial" w:hAnsi="Arial"/>
          <w:sz w:val="12"/>
          <w:szCs w:val="12"/>
          <w:color w:val="auto"/>
        </w:rPr>
        <w:t>As of December 31, 2021, we had 3,103 employees in our research and development organization. We intend to continue to invest in our research and development capabilities to extend our platform and bring the power of contextual communications to a broader range of applications, geographies and customers.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54"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Our sales and marketing teams work together closely to drive awareness and adoption of our platform, accelerate customer acquisition and generate revenue from customers. We have a strategy to grow within our customers that we refer to as our “in and up” strategy. We get in to new customers through our messaging and email products, often directly via developers, then build on those relationships to grow our footprint with broader adoption and higher value products.</w:t>
      </w:r>
    </w:p>
    <w:p>
      <w:pPr>
        <w:spacing w:after="0" w:line="12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2"/>
          <w:szCs w:val="12"/>
          <w:color w:val="auto"/>
        </w:rPr>
        <w:t>Our go-to-market model is primarily focused on initiating customer relationships by reaching and serving the needs of developers. We are a pioneer of developer evangelism and education and have cultivated a large global developer community. We reach developers through community events and conferences, including our annual SIGNAL customer and developer conference, to demonstrate how every developer can create differentiated applications incorporating communications using our products.</w:t>
      </w:r>
    </w:p>
    <w:p>
      <w:pPr>
        <w:spacing w:after="0" w:line="122" w:lineRule="exact"/>
        <w:rPr>
          <w:sz w:val="20"/>
          <w:szCs w:val="20"/>
          <w:color w:val="auto"/>
        </w:rPr>
      </w:pPr>
    </w:p>
    <w:p>
      <w:pPr>
        <w:ind w:right="20" w:firstLine="324"/>
        <w:spacing w:after="0" w:line="281" w:lineRule="auto"/>
        <w:rPr>
          <w:sz w:val="20"/>
          <w:szCs w:val="20"/>
          <w:color w:val="auto"/>
        </w:rPr>
      </w:pPr>
      <w:r>
        <w:rPr>
          <w:rFonts w:ascii="Arial" w:cs="Arial" w:eastAsia="Arial" w:hAnsi="Arial"/>
          <w:sz w:val="11"/>
          <w:szCs w:val="11"/>
          <w:color w:val="auto"/>
        </w:rPr>
        <w:t>Once developers are introduced to our platform, we provide them with a low-friction trial experience. By accessing our easy-to-configure APIs, extensive self-service documentation and customer support team, developers can build our products into their applications and then test such applications during an initial free trial period that we provide. Once they have decided to use our products beyond the initial free trial period, customers provide their credit card information and only pay for the actual usage of our products, for a majority of our products. Our Flex contact center platform is generally offered on a per user, per month basis or on a usage basis per agent hour. Our email API is offered on a monthly subscription basis, while our Marketing Campaigns product is priced based on the number of email contacts stored on our platform and the number of monthly emails sent to those contacts through our email API. Our self-serve pricing matrix is publicly available and it allows for customers to receive tiered discounts as their usage of our products increases. As customers' use of our products grows larger, some enter into negotiated contracts with terms that dictate pricing, and typically include some level of minimum revenue commitments. Historically, we have acquired the substantial majority of our customers through this self-service model. As customers expand their usage of our platform, we expand our relationships with them to include business leaders within their organizations.</w:t>
      </w:r>
    </w:p>
    <w:p>
      <w:pPr>
        <w:spacing w:after="0" w:line="115" w:lineRule="exact"/>
        <w:rPr>
          <w:sz w:val="20"/>
          <w:szCs w:val="20"/>
          <w:color w:val="auto"/>
        </w:rPr>
      </w:pPr>
    </w:p>
    <w:p>
      <w:pPr>
        <w:ind w:right="100" w:firstLine="324"/>
        <w:spacing w:after="0" w:line="283" w:lineRule="auto"/>
        <w:rPr>
          <w:sz w:val="20"/>
          <w:szCs w:val="20"/>
          <w:color w:val="auto"/>
        </w:rPr>
      </w:pPr>
      <w:r>
        <w:rPr>
          <w:rFonts w:ascii="Arial" w:cs="Arial" w:eastAsia="Arial" w:hAnsi="Arial"/>
          <w:sz w:val="11"/>
          <w:szCs w:val="11"/>
          <w:color w:val="auto"/>
        </w:rPr>
        <w:t>We supplement our self-service model with account executives and customer success managers aimed at engaging customers through a direct sales approach to expand usage and ensure satisfaction. To help increase our awareness in the enterprise, we have expanded our marketing efforts through programs like our Twilio Engage roadshow, where we seek to bring business leaders and developers together to discuss the future of customer engagement. We have developed products to support this effort as well, like the Twilio Enterprise Plan, which provides capabilities for advanced security, access management and granular administration. Our sales organization targets technical leaders and business leaders who are seeking to leverage software to drive superior customer engagement and competitive differentiation. As we educate these leaders on the benefits of developing applications incorporating our products to differentiate their business, they often consult with their developers regarding implementation. We believe that developers are often advocates for our products as a result of our developer-focused approach. Our sales organization includes sales development, inside sales, field sales, specialty sales and sales engineering personnel.</w:t>
      </w:r>
    </w:p>
    <w:p>
      <w:pPr>
        <w:spacing w:after="0" w:line="11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2"/>
          <w:szCs w:val="12"/>
          <w:color w:val="auto"/>
        </w:rPr>
        <w:t>When potential customers do not have the available developer resources to build their own applications, we refer them to either our technology partners who embed our products in the solutions that they sell to other businesses (such as contact centers and sales force and marketing automation), or our professional services team or outside consulting partners who provide consulting and development services for organizations that have limited software development expertise to build our platform into their software applications.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December 31, 2021, we had 3,661 employees in our sales and marketing organization.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 Support</w:t>
      </w:r>
    </w:p>
    <w:p>
      <w:pPr>
        <w:spacing w:after="0" w:line="15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2"/>
          <w:szCs w:val="12"/>
          <w:color w:val="auto"/>
        </w:rPr>
        <w:t>We have designed our products and platform to be self-service and to require minimal customer support. To enable this, we provide all of our users with helper libraries, comprehensive documentation, how-tos and tutorials. We supplement and enhance these tools with the participation of our engaged developer community. In addition, we provide support options to address the individualized needs of our customers. All developers get free support and system status notifications. Our developers can also engage with the broader Twilio community to resolve issues.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15" w:name="page16"/>
    <w:bookmarkEnd w:id="15"/>
    <w:p>
      <w:pPr>
        <w:ind w:firstLine="324"/>
        <w:spacing w:after="0" w:line="263" w:lineRule="auto"/>
        <w:rPr>
          <w:sz w:val="20"/>
          <w:szCs w:val="20"/>
          <w:color w:val="auto"/>
        </w:rPr>
      </w:pPr>
      <w:r>
        <w:rPr>
          <w:rFonts w:ascii="Arial" w:cs="Arial" w:eastAsia="Arial" w:hAnsi="Arial"/>
          <w:sz w:val="12"/>
          <w:szCs w:val="12"/>
          <w:color w:val="auto"/>
        </w:rPr>
        <w:t>We also offer three paid tiers of support with increasing levels of availability and guaranteed response times. Our highest tier plan, intended for our largest customers, includes a dedicated support engineer, duty manager coverage and quarterly status reviews. Our support model is global, with 24x7 coverage and support offices located throughout the world, with our larger offices located in the U.S., Ireland, Colombia, India, and Singapore. We currently derive an insignificant amount of revenue from fees for customer support.</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We also offer professional services which provide in-depth, hands-on, fee-based packages of advisory, software architecture, integration and coding services to existing and prospective customers and partners to optimize their use of the Twilio platform. Our goal is to help our customers achieve business results faster. Offerings include services for implementing contact center solutions, email implementation and deliverability, customer data platform design, and configuration and integration of communications capabilities.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market for cloud communication platforms is rapidly evolving and increasingly competitive. We believe that the principal competitive factors in our market are:</w:t>
      </w:r>
    </w:p>
    <w:p>
      <w:pPr>
        <w:spacing w:after="0" w:line="150" w:lineRule="exact"/>
        <w:rPr>
          <w:sz w:val="20"/>
          <w:szCs w:val="20"/>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completeness of offering;</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credibility with developers;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global reach;</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ease of integration and programmability;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product features;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platform scalability, reliability, security and performance;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brand awareness and reputation;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strength of sales and marketing efforts;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customer support;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cost of deploying and using our products.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believe that we compete favorably on the basis of the factors listed above. We believe that none of our competitors currently competes directly with us across all of our product offerings.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competitors fall into four primary categories:</w:t>
      </w:r>
    </w:p>
    <w:p>
      <w:pPr>
        <w:spacing w:after="0" w:line="150" w:lineRule="exact"/>
        <w:rPr>
          <w:sz w:val="20"/>
          <w:szCs w:val="20"/>
          <w:color w:val="auto"/>
        </w:rPr>
      </w:pPr>
    </w:p>
    <w:p>
      <w:pPr>
        <w:ind w:left="640" w:hanging="216"/>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legacy on-premises vendors;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regional network service providers that offer limited developer functionality on top of their own physical infrastructure;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smaller software companies that compete with portions of our product line;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SaaS companies and cloud platform vendors that offer prepackaged applications and platforms.</w:t>
      </w:r>
    </w:p>
    <w:p>
      <w:pPr>
        <w:spacing w:after="0" w:line="150"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Some of our competitors have greater financial, technical and other resources, greater name recognition, larger sales and marketing budgets and larger intellectual property portfolios. As a result, certain of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with greater depth than our products or in geographies where we do not operate. With the introduction of new products and services and new market entrants, we expect competition to intensify in the future. Moreover, as we expand the scope of our platform, we may face additional competition.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right="180" w:firstLine="324"/>
        <w:spacing w:after="0" w:line="276" w:lineRule="auto"/>
        <w:rPr>
          <w:sz w:val="20"/>
          <w:szCs w:val="20"/>
          <w:color w:val="auto"/>
        </w:rPr>
      </w:pPr>
      <w:r>
        <w:rPr>
          <w:rFonts w:ascii="Arial" w:cs="Arial" w:eastAsia="Arial" w:hAnsi="Arial"/>
          <w:sz w:val="12"/>
          <w:szCs w:val="12"/>
          <w:color w:val="auto"/>
        </w:rPr>
        <w:t>We rely on a combination of patent, copyright, trademark and trade secret laws in the U.S. and other jurisdictions, as well as license agreements and other contractual protections, to protect our proprietary technology. We also rely on a number of registered and unregistered trademarks to protect our brand.</w:t>
      </w:r>
    </w:p>
    <w:p>
      <w:pPr>
        <w:spacing w:after="0" w:line="115" w:lineRule="exact"/>
        <w:rPr>
          <w:sz w:val="20"/>
          <w:szCs w:val="20"/>
          <w:color w:val="auto"/>
        </w:rPr>
      </w:pPr>
    </w:p>
    <w:p>
      <w:pPr>
        <w:ind w:right="80" w:firstLine="324"/>
        <w:spacing w:after="0" w:line="263" w:lineRule="auto"/>
        <w:rPr>
          <w:sz w:val="20"/>
          <w:szCs w:val="20"/>
          <w:color w:val="auto"/>
        </w:rPr>
      </w:pPr>
      <w:r>
        <w:rPr>
          <w:rFonts w:ascii="Arial" w:cs="Arial" w:eastAsia="Arial" w:hAnsi="Arial"/>
          <w:sz w:val="12"/>
          <w:szCs w:val="12"/>
          <w:color w:val="auto"/>
        </w:rPr>
        <w:t>As of December 31, 2021, in the U.S., we had been issued 197 patents, which expire between 2029 and 2040. As of such date, we also had 36 issued patents in foreign jurisdictions, all of which are related to U.S. patents and patent applications. We have also filed various applications for protection of certain aspects of our intellectual property in the U.S. and internationally. In addition, as of December 31, 2021, we had 50 trademarks registered in the U.S. and 416 trademarks registered in foreign jurisdictions.</w:t>
      </w:r>
    </w:p>
    <w:p>
      <w:pPr>
        <w:spacing w:after="0" w:line="122"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We further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22" w:lineRule="exact"/>
        <w:rPr>
          <w:sz w:val="20"/>
          <w:szCs w:val="20"/>
          <w:color w:val="auto"/>
        </w:rPr>
      </w:pPr>
    </w:p>
    <w:p>
      <w:pPr>
        <w:ind w:firstLine="324"/>
        <w:spacing w:after="0" w:line="285" w:lineRule="auto"/>
        <w:rPr>
          <w:sz w:val="20"/>
          <w:szCs w:val="20"/>
          <w:color w:val="auto"/>
        </w:rPr>
      </w:pPr>
      <w:r>
        <w:rPr>
          <w:rFonts w:ascii="Arial" w:cs="Arial" w:eastAsia="Arial" w:hAnsi="Arial"/>
          <w:sz w:val="11"/>
          <w:szCs w:val="11"/>
          <w:color w:val="auto"/>
        </w:rPr>
        <w:t>Despite our efforts to protect our technology and proprietary rights through intellectual property rights, licenses and other contractual protections, unauthorized parties may still copy or otherwise obtain and use our software and other technology. In addition, we intend to continue to expand our 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 Further, companies in the communications and technology industries may own large numbers of patents, copyrights and trademarks and may frequently threaten litigation, or file suit against us based on allegations of infringement or other violations of intellectual property rights. We currently are subject to, and expect to face in the future, allegations that we have infringed the intellectual property rights of third parties, including our competitors and non-practicing entities.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w:t>
      </w:r>
    </w:p>
    <w:p>
      <w:pPr>
        <w:spacing w:after="0" w:line="154" w:lineRule="exact"/>
        <w:rPr>
          <w:sz w:val="20"/>
          <w:szCs w:val="20"/>
          <w:color w:val="auto"/>
        </w:rPr>
      </w:pPr>
    </w:p>
    <w:p>
      <w:pPr>
        <w:ind w:firstLine="324"/>
        <w:spacing w:after="0" w:line="256" w:lineRule="auto"/>
        <w:rPr>
          <w:sz w:val="20"/>
          <w:szCs w:val="20"/>
          <w:color w:val="auto"/>
        </w:rPr>
      </w:pPr>
      <w:r>
        <w:rPr>
          <w:rFonts w:ascii="Arial" w:cs="Arial" w:eastAsia="Arial" w:hAnsi="Arial"/>
          <w:sz w:val="12"/>
          <w:szCs w:val="12"/>
          <w:color w:val="auto"/>
        </w:rPr>
        <w:t>We are subject to a number of U.S. federal and state and foreign laws and regulations that involve matters central to our business. These laws and regulations may involve privacy, data protection, intellectual property, competition, telecommunications, broadband, Voice over Internet Protocol (“VoIP”), consumer protection, export taxation or other subjects. Many of the laws and regulations to which we are subject are still evolving and being tested in courts and by regulatory authorities and could be interpreted in ways that could harm our business. In addition, the application and interpretation of these laws and regulations often are uncertain, particularly in the new and rapidly evolving industry in which we operate. Because U.S., federal, state and foreign laws and regulations have continued to develop and evolve rapidly, it is possible that we or our products or our platform may not be, or may not have been, compliant with each such applicable law or regulation.</w:t>
      </w:r>
    </w:p>
    <w:p>
      <w:pPr>
        <w:spacing w:after="0" w:line="137" w:lineRule="exact"/>
        <w:rPr>
          <w:sz w:val="20"/>
          <w:szCs w:val="20"/>
          <w:color w:val="auto"/>
        </w:rPr>
      </w:pPr>
    </w:p>
    <w:p>
      <w:pPr>
        <w:ind w:right="20" w:firstLine="324"/>
        <w:spacing w:after="0" w:line="226" w:lineRule="auto"/>
        <w:rPr>
          <w:sz w:val="20"/>
          <w:szCs w:val="20"/>
          <w:color w:val="auto"/>
        </w:rPr>
      </w:pPr>
      <w:r>
        <w:rPr>
          <w:rFonts w:ascii="Arial" w:cs="Arial" w:eastAsia="Arial" w:hAnsi="Arial"/>
          <w:sz w:val="12"/>
          <w:szCs w:val="12"/>
          <w:color w:val="auto"/>
        </w:rPr>
        <w:t>For example, the General Data Protection Regulation (“GDPR”) and the United Kingdom’s GDPR (“UK GDPR”) impose strict requirements for processing the personal information of individuals located, respectively within the European Economic Area (“EEA”) and the United Kingdom (“UK”). Noncompliance with the GDPR and UK GDPR can result in, for example, bans on data processing and fines of up to the greater of 20 million euros (£17.5 million for the UK GDPR) or 4% of annual global revenue. Further, individuals may initiate litigation related to our processing of their personal information. Given the breadth and depth of changes in data protection obligations, meeting the requirements of GDPR has required significant time and resources, including a review of our technology and systems currently in use against the requirements of GDPR. Our actual or perceived failure to comply with laws, regulations or contractual commitments regarding privacy, data protection and data security could lead to costly legal action, adverse publicity, significant liability and decreased demand for our services, which could adversely affect our business, results of operations and financial condition.</w:t>
      </w:r>
    </w:p>
    <w:p>
      <w:pPr>
        <w:spacing w:after="0" w:line="129" w:lineRule="exact"/>
        <w:rPr>
          <w:sz w:val="20"/>
          <w:szCs w:val="20"/>
          <w:color w:val="auto"/>
        </w:rPr>
      </w:pPr>
    </w:p>
    <w:p>
      <w:pPr>
        <w:ind w:right="20" w:firstLine="324"/>
        <w:spacing w:after="0" w:line="323" w:lineRule="auto"/>
        <w:rPr>
          <w:sz w:val="20"/>
          <w:szCs w:val="20"/>
          <w:color w:val="auto"/>
        </w:rPr>
      </w:pPr>
      <w:r>
        <w:rPr>
          <w:rFonts w:ascii="Arial" w:cs="Arial" w:eastAsia="Arial" w:hAnsi="Arial"/>
          <w:sz w:val="11"/>
          <w:szCs w:val="11"/>
          <w:color w:val="auto"/>
        </w:rPr>
        <w:t>In addition, laws such as the Telephone Consumer Protection Act of 1991 (“TCPA”), restrict telemarketing and the use of automatic SMS text messages without explicit customer consent. The scope and interpretation of the laws that are or may be applicable to the delivery of text messages are continuously evolving and developing. If we do not comply with these laws or regulations, or if our customers fail to do so, we could face direct liability.</w:t>
      </w:r>
    </w:p>
    <w:p>
      <w:pPr>
        <w:spacing w:after="0" w:line="92" w:lineRule="exact"/>
        <w:rPr>
          <w:sz w:val="20"/>
          <w:szCs w:val="20"/>
          <w:color w:val="auto"/>
        </w:rPr>
      </w:pPr>
    </w:p>
    <w:p>
      <w:pPr>
        <w:ind w:right="340" w:firstLine="324"/>
        <w:spacing w:after="0" w:line="276" w:lineRule="auto"/>
        <w:rPr>
          <w:sz w:val="20"/>
          <w:szCs w:val="20"/>
          <w:color w:val="auto"/>
        </w:rPr>
      </w:pPr>
      <w:r>
        <w:rPr>
          <w:rFonts w:ascii="Arial" w:cs="Arial" w:eastAsia="Arial" w:hAnsi="Arial"/>
          <w:sz w:val="12"/>
          <w:szCs w:val="12"/>
          <w:color w:val="auto"/>
        </w:rPr>
        <w:t>Compliance with these laws and regulations has not had, and is not expected to have, a material effect on our capital expenditures, results of operations and competitive position as compared to prior periods, and we do not currently anticipate material capital expenditures for environmental control facilities, of which we currently have none. For additional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84" w:right="339" w:bottom="1440" w:gutter="0" w:footer="0" w:header="0"/>
        </w:sectPr>
      </w:pPr>
    </w:p>
    <w:bookmarkStart w:id="17" w:name="page18"/>
    <w:bookmarkEnd w:id="17"/>
    <w:p>
      <w:pPr>
        <w:spacing w:after="0"/>
        <w:rPr>
          <w:sz w:val="20"/>
          <w:szCs w:val="20"/>
          <w:color w:val="auto"/>
        </w:rPr>
      </w:pPr>
      <w:r>
        <w:rPr>
          <w:rFonts w:ascii="Arial" w:cs="Arial" w:eastAsia="Arial" w:hAnsi="Arial"/>
          <w:sz w:val="12"/>
          <w:szCs w:val="12"/>
          <w:color w:val="auto"/>
        </w:rPr>
        <w:t>about government regulation applicable to our business, see Part I, Item 1A, “Risk Factors” in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154" w:lineRule="exact"/>
        <w:rPr>
          <w:sz w:val="20"/>
          <w:szCs w:val="20"/>
          <w:color w:val="auto"/>
        </w:rPr>
      </w:pPr>
    </w:p>
    <w:p>
      <w:pPr>
        <w:ind w:right="180" w:firstLine="324"/>
        <w:spacing w:after="0" w:line="276" w:lineRule="auto"/>
        <w:rPr>
          <w:sz w:val="20"/>
          <w:szCs w:val="20"/>
          <w:color w:val="auto"/>
        </w:rPr>
      </w:pPr>
      <w:r>
        <w:rPr>
          <w:rFonts w:ascii="Arial" w:cs="Arial" w:eastAsia="Arial" w:hAnsi="Arial"/>
          <w:sz w:val="12"/>
          <w:szCs w:val="12"/>
          <w:color w:val="auto"/>
        </w:rPr>
        <w:t>Twilio Inc. was incorporated in Delaware in March 2008. Our principal executive offices are located at 101 Spear Street, First Floor, San Francisco, California 94105, and our telephone number is (415) 390-2337. Our website address is www.twilio.com. Information contained on, or that can be accessed through, our website does not constitute part of this Annual Report on Form 10-K.</w:t>
      </w:r>
    </w:p>
    <w:p>
      <w:pPr>
        <w:spacing w:after="0" w:line="115" w:lineRule="exact"/>
        <w:rPr>
          <w:sz w:val="20"/>
          <w:szCs w:val="20"/>
          <w:color w:val="auto"/>
        </w:rPr>
      </w:pPr>
    </w:p>
    <w:p>
      <w:pPr>
        <w:ind w:right="300" w:firstLine="324"/>
        <w:spacing w:after="0" w:line="276" w:lineRule="auto"/>
        <w:rPr>
          <w:sz w:val="20"/>
          <w:szCs w:val="20"/>
          <w:color w:val="auto"/>
        </w:rPr>
      </w:pPr>
      <w:r>
        <w:rPr>
          <w:rFonts w:ascii="Arial" w:cs="Arial" w:eastAsia="Arial" w:hAnsi="Arial"/>
          <w:sz w:val="12"/>
          <w:szCs w:val="12"/>
          <w:color w:val="auto"/>
        </w:rPr>
        <w:t>Twilio, the Twilio logo and other trademarks or service marks of Twilio appearing in this Annual Report on Form 10-K are the intellectual property of Twilio. Trade names, trademarks and service marks of other companies appearing in this Annual Report on Form 10-K are the intellectual property of their respective holders.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about Geographic Revenue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Information about geographic revenue is set forth in Note 12 of our Notes to Consolidated Financial Statements included in Part II, Item 8, “Financial Statements and Supplementary Data” of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5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2"/>
          <w:szCs w:val="12"/>
          <w:color w:val="auto"/>
        </w:rPr>
        <w:t>Our filings are available to be viewed and downloaded free of charge through our investor relations website after we file them with the Securities and Exchange Commission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an Internet website that contains periodic and current reports, proxy statements and other information about issuers, like us, that file electronically with the SEC. The address of that website is www.sec.gov.</w:t>
      </w:r>
    </w:p>
    <w:p>
      <w:pPr>
        <w:spacing w:after="0" w:line="124" w:lineRule="exact"/>
        <w:rPr>
          <w:sz w:val="20"/>
          <w:szCs w:val="20"/>
          <w:color w:val="auto"/>
        </w:rPr>
      </w:pPr>
    </w:p>
    <w:p>
      <w:pPr>
        <w:ind w:firstLine="324"/>
        <w:spacing w:after="0" w:line="289" w:lineRule="auto"/>
        <w:rPr>
          <w:sz w:val="20"/>
          <w:szCs w:val="20"/>
          <w:color w:val="auto"/>
        </w:rPr>
      </w:pPr>
      <w:r>
        <w:rPr>
          <w:rFonts w:ascii="Arial" w:cs="Arial" w:eastAsia="Arial" w:hAnsi="Arial"/>
          <w:sz w:val="11"/>
          <w:szCs w:val="11"/>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 xml:space="preserve">Item 1A. </w:t>
      </w:r>
      <w:r>
        <w:rPr>
          <w:rFonts w:ascii="Arial" w:cs="Arial" w:eastAsia="Arial" w:hAnsi="Arial"/>
          <w:sz w:val="12"/>
          <w:szCs w:val="12"/>
          <w:b w:val="1"/>
          <w:bCs w:val="1"/>
          <w:i w:val="1"/>
          <w:iCs w:val="1"/>
          <w:color w:val="auto"/>
        </w:rPr>
        <w:t>Risk Factors</w:t>
      </w:r>
    </w:p>
    <w:p>
      <w:pPr>
        <w:spacing w:after="0" w:line="15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Part II, Item 7, “Management’s Discussion and Analysis of Financial Condition and Results of Operations” and our consolidated financial statements and related notes appearing elsewhere in this Annual Report on Form 10-K.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2"/>
          <w:szCs w:val="12"/>
          <w:b w:val="1"/>
          <w:bCs w:val="1"/>
          <w:color w:val="auto"/>
        </w:rPr>
        <w:t>Risks Related to Our Business and Our Industry</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The global COVID-19 pandemic may adversely impact our business, results of operations and financial condition.</w:t>
      </w:r>
    </w:p>
    <w:p>
      <w:pPr>
        <w:spacing w:after="0" w:line="159" w:lineRule="exact"/>
        <w:rPr>
          <w:sz w:val="20"/>
          <w:szCs w:val="20"/>
          <w:color w:val="auto"/>
        </w:rPr>
      </w:pPr>
    </w:p>
    <w:p>
      <w:pPr>
        <w:ind w:firstLine="324"/>
        <w:spacing w:after="0" w:line="224" w:lineRule="auto"/>
        <w:rPr>
          <w:sz w:val="20"/>
          <w:szCs w:val="20"/>
          <w:color w:val="auto"/>
        </w:rPr>
      </w:pPr>
      <w:r>
        <w:rPr>
          <w:rFonts w:ascii="Arial" w:cs="Arial" w:eastAsia="Arial" w:hAnsi="Arial"/>
          <w:sz w:val="12"/>
          <w:szCs w:val="12"/>
          <w:color w:val="auto"/>
        </w:rPr>
        <w:t>The rapid spread of COVID-19 globally has in the past disrupted, and may continue to disrupt, our day-to-day operations and the operations of our customers, partners and service providers for an indefinite period of time, including as a result of changing public health recommendations, travel restrictions and limitations, the duration, spread and severity and potential recurrence of the virus and its variants, as well as the efficacy of vaccines and vaccine distribution and the timing and trajectory of the economic recovery, all of which could negatively impact our business and results of operations and financial condition. While the global economy is reopening in various parts of the world, some countries and locations are reinstating lockdowns and other restrictions that make a recovery difficult to predict. This may result in differing levels of demand for our products as the priorities, resources, financial conditions and economic outlook of our customers, partners and service providers change, which could adversely affect or increase the volatility of our financial results. Certain industries were initially more negatively impacted by COVID-19, while others were positively impacted. It has been and, until the COVID-19 pandemic is contained, will continue to be more difficult for us to forecast usage levels and predict revenue trends for the more adversely impacted industries. Any prolonged contractions in industries historically impacted by COVID-19, along with any effects on supply chain or on other industries in which our customers, partners and service providers operate, could adversely impact our business, results of operations and financial condition.</w:t>
      </w:r>
    </w:p>
    <w:p>
      <w:pPr>
        <w:spacing w:after="0" w:line="140" w:lineRule="exact"/>
        <w:rPr>
          <w:sz w:val="20"/>
          <w:szCs w:val="20"/>
          <w:color w:val="auto"/>
        </w:rPr>
      </w:pPr>
    </w:p>
    <w:p>
      <w:pPr>
        <w:ind w:firstLine="324"/>
        <w:spacing w:after="0" w:line="246" w:lineRule="auto"/>
        <w:rPr>
          <w:sz w:val="20"/>
          <w:szCs w:val="20"/>
          <w:color w:val="auto"/>
        </w:rPr>
      </w:pPr>
      <w:r>
        <w:rPr>
          <w:rFonts w:ascii="Arial" w:cs="Arial" w:eastAsia="Arial" w:hAnsi="Arial"/>
          <w:sz w:val="11"/>
          <w:szCs w:val="11"/>
          <w:color w:val="auto"/>
        </w:rPr>
        <w:t>Additionally the COVID-19 pandemic has adversely affected global economic and market conditions, including causing labor shortages, supply chain disruptions and inflation, which are likely to continue for an extended period, and which could result in decreased business spending by our customers and prospective customers and business partners and third-party business partners, reduced demand for our solutions, lower renewal rates by our customers, longer or delayed sales cycles, including customers and prospective customers delaying contract signing or contract renewals, or reducing budgets or minimum commitments related to the product and services that we offer, all of which could have an adverse impact on our business operations and financial condition. Specifically, we often enter into annual or multi-year, minimum commitment arrangements with our customers. If customers fail to pay us or reduce their spending with us, we may be adversely affected by an inability to collect amounts due, the cost of enforcing the terms of our contracts, including litigation, or a reduction in revenue. The continuing pandemic could also result in constrained supply or reduced customer demand and willingness to enter into or renew contracts with us, any of which could adversely impact our business, results of operations and overall financial performance in future periods. While we have developed and continue to develop plans to help mitigate the potential negative impact of the pandemic on our business, these efforts may not be effective, and a protracted economic downturn, including due to factors such as labor shortages, supply chain disruptions and inflation, may limit the effectiveness of our mitigation efforts.</w:t>
      </w:r>
    </w:p>
    <w:p>
      <w:pPr>
        <w:spacing w:after="0" w:line="142" w:lineRule="exact"/>
        <w:rPr>
          <w:sz w:val="20"/>
          <w:szCs w:val="20"/>
          <w:color w:val="auto"/>
        </w:rPr>
      </w:pPr>
    </w:p>
    <w:p>
      <w:pPr>
        <w:ind w:firstLine="324"/>
        <w:spacing w:after="0" w:line="281" w:lineRule="auto"/>
        <w:rPr>
          <w:sz w:val="20"/>
          <w:szCs w:val="20"/>
          <w:color w:val="auto"/>
        </w:rPr>
      </w:pPr>
      <w:r>
        <w:rPr>
          <w:rFonts w:ascii="Arial" w:cs="Arial" w:eastAsia="Arial" w:hAnsi="Arial"/>
          <w:sz w:val="11"/>
          <w:szCs w:val="11"/>
          <w:color w:val="auto"/>
        </w:rPr>
        <w:t>In addition, as companies continue to support a fully remote workforce, and begin to adapt to hybrid work environments, and as individuals increasingly utilize voice, video and messaging for their communication needs, there will be increased strain and demand for telecommunications infrastructure, including our voice, video and messaging products. Supporting increased demand will require us to make additional investments to increase network capacity, the availability of which may be limited. For example, if the data centers that we rely on for our cloud infrastructure and the network service providers that we interconnect with are unable to keep up with capacity needs or if governmental or regulatory authorities determine to limit our bandwidth, customers may experience delays, interruptions or outages in service. From time to time, including during the COVID-19 pandemic, our data center suppliers and our network service providers have had some outages which resulted in disruptions to service for some of our customers. Such traffic management measures could result in customers experiencing delays, interruptions or outages in services. Any of these events could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To the extent that the COVID-19 pandemic harms our business, results of operations and financial condition, many of the other risks described in this “Risk Factors” section will be exacerbated.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4" w:right="319" w:bottom="1440" w:gutter="0" w:footer="0" w:header="0"/>
        </w:sectPr>
      </w:pPr>
    </w:p>
    <w:bookmarkStart w:id="19" w:name="page20"/>
    <w:bookmarkEnd w:id="19"/>
    <w:p>
      <w:pPr>
        <w:ind w:left="320"/>
        <w:spacing w:after="0"/>
        <w:rPr>
          <w:sz w:val="20"/>
          <w:szCs w:val="20"/>
          <w:color w:val="auto"/>
        </w:rPr>
      </w:pPr>
      <w:r>
        <w:rPr>
          <w:rFonts w:ascii="Arial" w:cs="Arial" w:eastAsia="Arial" w:hAnsi="Arial"/>
          <w:sz w:val="10"/>
          <w:szCs w:val="10"/>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73" w:lineRule="exact"/>
        <w:rPr>
          <w:sz w:val="20"/>
          <w:szCs w:val="20"/>
          <w:color w:val="auto"/>
        </w:rPr>
      </w:pPr>
    </w:p>
    <w:p>
      <w:pPr>
        <w:ind w:right="20" w:firstLine="324"/>
        <w:spacing w:after="0" w:line="256" w:lineRule="auto"/>
        <w:rPr>
          <w:sz w:val="20"/>
          <w:szCs w:val="20"/>
          <w:color w:val="auto"/>
        </w:rPr>
      </w:pPr>
      <w:r>
        <w:rPr>
          <w:rFonts w:ascii="Arial" w:cs="Arial" w:eastAsia="Arial" w:hAnsi="Arial"/>
          <w:sz w:val="12"/>
          <w:szCs w:val="12"/>
          <w:color w:val="auto"/>
        </w:rPr>
        <w:t>We have experienced substantial growth in our business since inception. For example, our headcount has grown from 4,629 employees on December 31, 2020 to 7,867 employees on December 31, 2021. We have moved to a virtual on-boarding process since the imposition of COVID-19 restrictions on certain business activities. In addition, we are rapidly expanding our international operations. Our international headcount grew from 1,369 employees as of December 31, 2020 to 2,964 employees as of December 31, 2021. We expect to continue to expand our international operations in the future. We have also experienced significant growth in the number of customers, usage and amount of data that our platform and associated infrastructure support. This growth has placed and may continue to place significant demands on our corporate culture, operational infrastructure and management, particularly in light of virtual on-boarding.</w:t>
      </w:r>
    </w:p>
    <w:p>
      <w:pPr>
        <w:spacing w:after="0" w:line="137" w:lineRule="exact"/>
        <w:rPr>
          <w:sz w:val="20"/>
          <w:szCs w:val="20"/>
          <w:color w:val="auto"/>
        </w:rPr>
      </w:pPr>
    </w:p>
    <w:p>
      <w:pPr>
        <w:ind w:firstLine="324"/>
        <w:spacing w:after="0" w:line="249" w:lineRule="auto"/>
        <w:rPr>
          <w:sz w:val="20"/>
          <w:szCs w:val="20"/>
          <w:color w:val="auto"/>
        </w:rPr>
      </w:pPr>
      <w:r>
        <w:rPr>
          <w:rFonts w:ascii="Arial" w:cs="Arial" w:eastAsia="Arial" w:hAnsi="Arial"/>
          <w:sz w:val="11"/>
          <w:szCs w:val="11"/>
          <w:color w:val="auto"/>
        </w:rPr>
        <w:t>We believe that our corporate culture has been a critical component of our success. We have invested substantial time and resources in building our team and nurturing our culture. As we expand our business in the U.S. and non-U.S. regions and mature as a public company, we may find it difficult to maintain our corporate culture while managing this growth. In addition, the COVID-19 pandemic may have long-term effects on the nature of the office environment and remote working. Our employees generally continue to work from home as we continue a phased reopening of offices and, in February 2021, we announced a new Open Work hybrid work approach, under which most employees will have a choice about where and how they work. We face uncertainty as to whether Open Work, and any adjustments we may make to our model, will meet the needs and expectations of our workforce. Any failure to preserve the key aspects of our culture as we manage our anticipated growth and organizational changes could hurt our chance for future success, including our ability to recruit and retain employees, and effectively focus on and pursue our corporate objectives. This, in turn, could adversely affect our business, results of operations and financial condition.</w:t>
      </w:r>
    </w:p>
    <w:p>
      <w:pPr>
        <w:spacing w:after="0" w:line="122" w:lineRule="exact"/>
        <w:rPr>
          <w:sz w:val="20"/>
          <w:szCs w:val="20"/>
          <w:color w:val="auto"/>
        </w:rPr>
      </w:pPr>
    </w:p>
    <w:p>
      <w:pPr>
        <w:jc w:val="both"/>
        <w:ind w:right="420" w:firstLine="324"/>
        <w:spacing w:after="0" w:line="263" w:lineRule="auto"/>
        <w:rPr>
          <w:sz w:val="20"/>
          <w:szCs w:val="20"/>
          <w:color w:val="auto"/>
        </w:rPr>
      </w:pPr>
      <w:r>
        <w:rPr>
          <w:rFonts w:ascii="Arial" w:cs="Arial" w:eastAsia="Arial" w:hAnsi="Arial"/>
          <w:sz w:val="12"/>
          <w:szCs w:val="12"/>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22" w:lineRule="exact"/>
        <w:rPr>
          <w:sz w:val="20"/>
          <w:szCs w:val="20"/>
          <w:color w:val="auto"/>
        </w:rPr>
      </w:pPr>
    </w:p>
    <w:p>
      <w:pPr>
        <w:ind w:right="160" w:firstLine="324"/>
        <w:spacing w:after="0" w:line="276" w:lineRule="auto"/>
        <w:rPr>
          <w:sz w:val="20"/>
          <w:szCs w:val="20"/>
          <w:color w:val="auto"/>
        </w:rPr>
      </w:pPr>
      <w:r>
        <w:rPr>
          <w:rFonts w:ascii="Arial" w:cs="Arial" w:eastAsia="Arial" w:hAnsi="Arial"/>
          <w:sz w:val="12"/>
          <w:szCs w:val="12"/>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0"/>
          <w:szCs w:val="10"/>
          <w:b w:val="1"/>
          <w:bCs w:val="1"/>
          <w:i w:val="1"/>
          <w:iCs w:val="1"/>
          <w:color w:val="auto"/>
        </w:rPr>
        <w:t>Our quarterly results may fluctuate, and if we fail to meet securities analysts’ and investors’ expectations, then the trading price of our Class A common stock and the value of your investment could decline substantially.</w:t>
      </w:r>
    </w:p>
    <w:p>
      <w:pPr>
        <w:spacing w:after="0" w:line="1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2"/>
          <w:szCs w:val="12"/>
          <w:color w:val="auto"/>
        </w:rPr>
        <w:t>Our results of operations, including the levels of our revenue, cost of revenue, gross margin and operating expenses, have fluctuated from quarter to quarter in the past and may continue to vary significantly in the future. These fluctuations are a result of a variety of factors, many of which are outside of our control, and may be difficult to predict and may or may not fully reflect the underlying performance of our business. If our quarterly results of operations or forward-looking quarterly and annual financial guidance fall below the expectations of investors or securities analysts, then the trading price of our Class A common stock could decline substantially. Some of the important factors that may cause our results of operations to fluctuate from quarter to quarter include:</w:t>
      </w:r>
    </w:p>
    <w:p>
      <w:pPr>
        <w:spacing w:after="0" w:line="133" w:lineRule="exact"/>
        <w:rPr>
          <w:sz w:val="20"/>
          <w:szCs w:val="20"/>
          <w:color w:val="auto"/>
        </w:rPr>
      </w:pPr>
    </w:p>
    <w:p>
      <w:pPr>
        <w:ind w:left="640" w:hanging="216"/>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impact of COVID-19 on our customers, partners and service providers, our pace of hiring and the global economy in general;</w:t>
      </w:r>
    </w:p>
    <w:p>
      <w:pPr>
        <w:spacing w:after="0" w:line="141" w:lineRule="exact"/>
        <w:rPr>
          <w:rFonts w:ascii="Arial" w:cs="Arial" w:eastAsia="Arial" w:hAnsi="Arial"/>
          <w:sz w:val="12"/>
          <w:szCs w:val="12"/>
          <w:color w:val="auto"/>
        </w:rPr>
      </w:pPr>
    </w:p>
    <w:p>
      <w:pPr>
        <w:ind w:left="640" w:hanging="216"/>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retain and increase revenue from existing customers and attract new customers;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fluctuations in the amount of revenue from our Active Customer Accounts;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attract and retain enterprises and international organizations as customers;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introduce new products and enhance existing products;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competition and the actions of our competitors, including pricing changes and the introduction of new products, services and geographies;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88" w:right="339" w:bottom="1440" w:gutter="0" w:footer="0" w:header="0"/>
        </w:sectPr>
      </w:pPr>
    </w:p>
    <w:bookmarkStart w:id="20" w:name="page21"/>
    <w:bookmarkEnd w:id="20"/>
    <w:p>
      <w:pPr>
        <w:ind w:left="220" w:hanging="216"/>
        <w:spacing w:after="0" w:line="298" w:lineRule="auto"/>
        <w:tabs>
          <w:tab w:leader="none" w:pos="217" w:val="left"/>
        </w:tabs>
        <w:numPr>
          <w:ilvl w:val="0"/>
          <w:numId w:val="20"/>
        </w:numPr>
        <w:rPr>
          <w:rFonts w:ascii="Arial" w:cs="Arial" w:eastAsia="Arial" w:hAnsi="Arial"/>
          <w:sz w:val="11"/>
          <w:szCs w:val="11"/>
          <w:color w:val="auto"/>
        </w:rPr>
      </w:pPr>
      <w:r>
        <w:rPr>
          <w:rFonts w:ascii="Arial" w:cs="Arial" w:eastAsia="Arial" w:hAnsi="Arial"/>
          <w:sz w:val="11"/>
          <w:szCs w:val="11"/>
          <w:color w:val="auto"/>
        </w:rPr>
        <w:t>changes in laws, industry standards, regulations or regulatory enforcement in the United States or internationally, such as the invalidation of the EU-U.S. Privacy Shield by the Court of Justice of the European Union, the implementation and enforcement of new global privacy laws, such as the General Data Protection Regulation (“GDPR”), the California Consumer Privacy Act of 2018 (“CCPA”) and Brazil's General Data Protection Law (Lei Geral de Proteção de Dados Pessoais) (Law No. 13,709/2018), and the adoption of SHAKEN/STIR and other robocalling prevention and anti-spam standards, all of which increase compliance costs;</w:t>
      </w:r>
    </w:p>
    <w:p>
      <w:pPr>
        <w:spacing w:after="0" w:line="104" w:lineRule="exact"/>
        <w:rPr>
          <w:rFonts w:ascii="Arial" w:cs="Arial" w:eastAsia="Arial" w:hAnsi="Arial"/>
          <w:sz w:val="11"/>
          <w:szCs w:val="11"/>
          <w:color w:val="auto"/>
        </w:rPr>
      </w:pPr>
    </w:p>
    <w:p>
      <w:pPr>
        <w:ind w:left="220" w:right="80" w:hanging="216"/>
        <w:spacing w:after="0" w:line="276" w:lineRule="auto"/>
        <w:tabs>
          <w:tab w:leader="none" w:pos="2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to the policies or practices of third-party platforms, such as the Apple App Store and the Google Play Store, including with respect to Apple’s Identifier for Advertisers (IDFA), which helps advertisers assess the effectiveness of their advertising efforts, and with respect to transparency regarding data processing;</w:t>
      </w:r>
    </w:p>
    <w:p>
      <w:pPr>
        <w:spacing w:after="0" w:line="114"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number of new employee hires during a particular period;</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network service provider fees that we pay in connection with the delivery of communications on our platform;</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cloud infrastructure fees that we pay in connection with the operation of our platform;</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our pricing as a result of our optimization efforts or otherwise;</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reductions in pricing as a result of negotiations with our larger customers;</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rate of expansion and productivity of our sales force, including our enterprise sales force, which has been a focus of our recent expansion efforts;</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the size and complexity of our customer relationships;</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length and complexity of the sales cycle for our services, especially for sales to larger enterprises, government and regulated organizations;</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 in the mix of products that our customers use during a particular period;</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 in the revenue mix of U.S. and international products;</w:t>
      </w:r>
    </w:p>
    <w:p>
      <w:pPr>
        <w:spacing w:after="0" w:line="150" w:lineRule="exact"/>
        <w:rPr>
          <w:rFonts w:ascii="Arial" w:cs="Arial" w:eastAsia="Arial" w:hAnsi="Arial"/>
          <w:sz w:val="12"/>
          <w:szCs w:val="12"/>
          <w:color w:val="auto"/>
        </w:rPr>
      </w:pPr>
    </w:p>
    <w:p>
      <w:pPr>
        <w:ind w:left="220" w:right="340" w:hanging="216"/>
        <w:spacing w:after="0" w:line="276" w:lineRule="auto"/>
        <w:tabs>
          <w:tab w:leader="none" w:pos="2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amount and timing of operating costs and capital expenditures related to the operations and expansion of our business, including investments in our international expansion, additional systems and processes and research and development of new products and services;</w:t>
      </w:r>
    </w:p>
    <w:p>
      <w:pPr>
        <w:spacing w:after="0" w:line="114"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significant security breaches of, technical difficulties with, or interruptions to, the delivery and use of our products on our platform;</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expenses in connection with mergers, acquisitions or other strategic transactions and the follow-on costs of integration;</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timing of customer payments and any difficulty in collecting accounts receivable from customers;</w:t>
      </w:r>
    </w:p>
    <w:p>
      <w:pPr>
        <w:spacing w:after="0" w:line="150" w:lineRule="exact"/>
        <w:rPr>
          <w:rFonts w:ascii="Arial" w:cs="Arial" w:eastAsia="Arial" w:hAnsi="Arial"/>
          <w:sz w:val="12"/>
          <w:szCs w:val="12"/>
          <w:color w:val="auto"/>
        </w:rPr>
      </w:pPr>
    </w:p>
    <w:p>
      <w:pPr>
        <w:ind w:left="220" w:right="20" w:hanging="216"/>
        <w:spacing w:after="0" w:line="276" w:lineRule="auto"/>
        <w:tabs>
          <w:tab w:leader="none" w:pos="2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general economic conditions that may adversely affect a prospective customer’s ability or willingness to adopt our products, delay a prospective customer’s adoption decision, reduce the revenue that we generate from the use of our products or affect customer retention;</w:t>
      </w:r>
    </w:p>
    <w:p>
      <w:pPr>
        <w:spacing w:after="0" w:line="114"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labor shortages, supply chain disruptions and rising inflation and our ability to control costs, including our operating expenses;</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ability to attract and retain qualified employees and key personnel;</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foreign currency exchange rates and our ability to effectively hedge our foreign currency exposure;</w:t>
      </w:r>
    </w:p>
    <w:p>
      <w:pPr>
        <w:spacing w:after="0" w:line="150" w:lineRule="exact"/>
        <w:rPr>
          <w:rFonts w:ascii="Arial" w:cs="Arial" w:eastAsia="Arial" w:hAnsi="Arial"/>
          <w:sz w:val="12"/>
          <w:szCs w:val="12"/>
          <w:color w:val="auto"/>
        </w:rPr>
      </w:pPr>
    </w:p>
    <w:p>
      <w:pPr>
        <w:ind w:left="220" w:hanging="216"/>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extraordinary expenses such as litigation or other dispute-related settlement payments;</w:t>
      </w:r>
    </w:p>
    <w:p>
      <w:pPr>
        <w:spacing w:after="0" w:line="213"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145415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00"/>
          </w:cols>
          <w:pgMar w:left="720" w:top="788" w:right="379" w:bottom="1440" w:gutter="0" w:footer="0" w:header="0"/>
        </w:sectPr>
      </w:pPr>
    </w:p>
    <w:bookmarkStart w:id="21" w:name="page22"/>
    <w:bookmarkEnd w:id="21"/>
    <w:p>
      <w:pPr>
        <w:ind w:left="640" w:hanging="216"/>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sales tax and other tax determinations by authorities in the jurisdictions in which we conduct business;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impact of new accounting pronouncements;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fluctuations in stock-based compensation expense.</w:t>
      </w:r>
    </w:p>
    <w:p>
      <w:pPr>
        <w:spacing w:after="0" w:line="1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2"/>
          <w:szCs w:val="12"/>
          <w:color w:val="auto"/>
        </w:rPr>
        <w:t>The occurrence of one or more of the foregoing and other factors may cause our results of operations to vary significantly. As such, we believe that quarter-to-quarter comparisons of our results of operations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income (loss) and margins in the short term. If we fail to meet or exceed the expectations of investors or securities analysts, then the trading price of our Class A common stock could fall substantially, and we could face costly lawsuits, including securities class action suits.</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Additionally, global pandemics such as COVID-19 as well as certain large scale events, such as major elections and sporting events, can significantly impact usage levels on our platform, which has, and could in the future, cause fluctuations in our results of operations. We expect that significantly increased usage of all communications platforms, including ours, during certain seasonal and one-time events could impact delivery and quality of our products during those events. We also tend to experience increased expenses in connection with the hosting of SIGNAL, which we plan to continue to host annually. Such annual and one-time events may cause fluctuations in our results of operations and may impact both our revenue and operating expenses.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1"/>
          <w:szCs w:val="11"/>
          <w:b w:val="1"/>
          <w:bCs w:val="1"/>
          <w:i w:val="1"/>
          <w:iCs w:val="1"/>
          <w:color w:val="auto"/>
        </w:rPr>
        <w:t>If we are not able to maintain and enhance our brand and increase market awareness of our company and products, then our business, results of operations and financial condition may be adversely affected.</w:t>
      </w:r>
    </w:p>
    <w:p>
      <w:pPr>
        <w:spacing w:after="0" w:line="16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2"/>
          <w:szCs w:val="12"/>
          <w:color w:val="auto"/>
        </w:rPr>
        <w:t>We believe that maintaining and enhancing the “Twilio” brand identity and increasing market awareness of our company and products, particularly among developers, is critical to achieving widespread acceptance of our platform, to strengthen our relationships with our existing customers and to our ability to attract new customers. The successful promotion of our brand will depend largely on our continued marketing efforts, our ability to continue to offer high 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spacing w:after="0" w:line="128" w:lineRule="exact"/>
        <w:rPr>
          <w:sz w:val="20"/>
          <w:szCs w:val="20"/>
          <w:color w:val="auto"/>
        </w:rPr>
      </w:pPr>
    </w:p>
    <w:p>
      <w:pPr>
        <w:jc w:val="both"/>
        <w:ind w:right="60" w:firstLine="324"/>
        <w:spacing w:after="0" w:line="285" w:lineRule="auto"/>
        <w:rPr>
          <w:sz w:val="20"/>
          <w:szCs w:val="20"/>
          <w:color w:val="auto"/>
        </w:rPr>
      </w:pPr>
      <w:r>
        <w:rPr>
          <w:rFonts w:ascii="Arial" w:cs="Arial" w:eastAsia="Arial" w:hAnsi="Arial"/>
          <w:sz w:val="11"/>
          <w:szCs w:val="11"/>
          <w:color w:val="auto"/>
        </w:rPr>
        <w:t>From time to time, our customers have complained about our products, such as complaints about our pricing and customer support. If we do not handle customer complaints effectively, then our brand and reputation may suffer, our customers may lose confidence in us and they may reduce or cease their use of our products. In addition, many of our customers post and discuss on social media about Internet-based products and services, including our products and platform. Our success depends, in part, on our ability to generate positive customer feedback and minimize negative feedback on social media channels where existing and potential customers seek and share information. If actions we take or changes we make to our products or platform upset these customers, then their online commentary could negatively affect our brand, reputation and customer trust. Complaints or negative publicity about us, our products or our platform could adversely impact our ability to attract and retain customers, and otherwise harm our business, results of operations and financial condition.</w:t>
      </w:r>
    </w:p>
    <w:p>
      <w:pPr>
        <w:spacing w:after="0" w:line="113" w:lineRule="exact"/>
        <w:rPr>
          <w:sz w:val="20"/>
          <w:szCs w:val="20"/>
          <w:color w:val="auto"/>
        </w:rPr>
      </w:pPr>
    </w:p>
    <w:p>
      <w:pPr>
        <w:ind w:right="140" w:firstLine="324"/>
        <w:spacing w:after="0" w:line="323" w:lineRule="auto"/>
        <w:rPr>
          <w:sz w:val="20"/>
          <w:szCs w:val="20"/>
          <w:color w:val="auto"/>
        </w:rPr>
      </w:pPr>
      <w:r>
        <w:rPr>
          <w:rFonts w:ascii="Arial" w:cs="Arial" w:eastAsia="Arial" w:hAnsi="Arial"/>
          <w:sz w:val="11"/>
          <w:szCs w:val="11"/>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including, but not limited to, as a result of recent inflationary pressures.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88" w:right="339" w:bottom="1440" w:gutter="0" w:footer="0" w:header="0"/>
        </w:sectPr>
      </w:pPr>
    </w:p>
    <w:bookmarkStart w:id="22" w:name="page23"/>
    <w:bookmarkEnd w:id="22"/>
    <w:p>
      <w:pPr>
        <w:ind w:left="320"/>
        <w:spacing w:after="0"/>
        <w:rPr>
          <w:sz w:val="20"/>
          <w:szCs w:val="20"/>
          <w:color w:val="auto"/>
        </w:rPr>
      </w:pPr>
      <w:r>
        <w:rPr>
          <w:rFonts w:ascii="Arial" w:cs="Arial" w:eastAsia="Arial" w:hAnsi="Arial"/>
          <w:sz w:val="11"/>
          <w:szCs w:val="11"/>
          <w:b w:val="1"/>
          <w:bCs w:val="1"/>
          <w:i w:val="1"/>
          <w:iCs w:val="1"/>
          <w:color w:val="auto"/>
        </w:rPr>
        <w:t>The market for our products and platform continues to evolve, and may decline or experience limited growth, and is dependent in part on developers continuing to adopt our platform and use our products.</w:t>
      </w:r>
    </w:p>
    <w:p>
      <w:pPr>
        <w:spacing w:after="0" w:line="162" w:lineRule="exact"/>
        <w:rPr>
          <w:sz w:val="20"/>
          <w:szCs w:val="20"/>
          <w:color w:val="auto"/>
        </w:rPr>
      </w:pPr>
    </w:p>
    <w:p>
      <w:pPr>
        <w:ind w:firstLine="324"/>
        <w:spacing w:after="0" w:line="145" w:lineRule="exact"/>
        <w:rPr>
          <w:sz w:val="20"/>
          <w:szCs w:val="20"/>
          <w:color w:val="auto"/>
        </w:rPr>
      </w:pPr>
      <w:r>
        <w:rPr>
          <w:rFonts w:ascii="Arial" w:cs="Arial" w:eastAsia="Arial" w:hAnsi="Arial"/>
          <w:sz w:val="11"/>
          <w:szCs w:val="11"/>
          <w:color w:val="auto"/>
        </w:rPr>
        <w:t>We were founded in 2008, and we have been developing and providing a cloud</w:t>
      </w:r>
      <w:r>
        <w:rPr>
          <w:rFonts w:ascii="MS PGothic" w:cs="MS PGothic" w:eastAsia="MS PGothic" w:hAnsi="MS PGothic"/>
          <w:sz w:val="11"/>
          <w:szCs w:val="11"/>
          <w:color w:val="auto"/>
        </w:rPr>
        <w:t>‑</w:t>
      </w:r>
      <w:r>
        <w:rPr>
          <w:rFonts w:ascii="Arial" w:cs="Arial" w:eastAsia="Arial" w:hAnsi="Arial"/>
          <w:sz w:val="11"/>
          <w:szCs w:val="11"/>
          <w:color w:val="auto"/>
        </w:rPr>
        <w:t>based platform that enables developers and organizations to integrate voice, messaging, video and email communications capabilities into their software applications. This market continues to evolve and is subject to a number of risks and uncertainties. We believe that our revenue currently constitutes a significant portion of the total revenue in this market, and therefore, we believe that our future success will depend in large part on the growth, if any, and evolution of this market. If developers and organizations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other potential customers about the benefits of our products and platform, expanding the functionality of our products and bringing new technologies to market to increase market acceptance and use of our platform. Our ability to expand the market that our products and platform address depends upon a number of factors, including the cost, performance and perceived value associated with such products and platform. The market for our products and platform could fail to grow significantly or there could be a reduction in demand for our products as a result of a lack of developer acceptance, technological challenges, competing products and services, decreases in spending by current and prospective customers, weakening economic conditions, including due to labor shortages, supply chain disruptions and inflationary pressures, and other causes. If our market does not experience significant growth or demand for our products decreases, then our business, results of operations and financial condition could be adversely affected.</w:t>
      </w:r>
    </w:p>
    <w:p>
      <w:pPr>
        <w:spacing w:after="0" w:line="136" w:lineRule="exact"/>
        <w:rPr>
          <w:sz w:val="20"/>
          <w:szCs w:val="20"/>
          <w:color w:val="auto"/>
        </w:rPr>
      </w:pPr>
    </w:p>
    <w:p>
      <w:pPr>
        <w:ind w:right="500" w:firstLine="324"/>
        <w:spacing w:after="0" w:line="276" w:lineRule="auto"/>
        <w:rPr>
          <w:sz w:val="20"/>
          <w:szCs w:val="20"/>
          <w:color w:val="auto"/>
        </w:rPr>
      </w:pPr>
      <w:r>
        <w:rPr>
          <w:rFonts w:ascii="Arial" w:cs="Arial" w:eastAsia="Arial" w:hAnsi="Arial"/>
          <w:sz w:val="12"/>
          <w:szCs w:val="12"/>
          <w:b w:val="1"/>
          <w:bCs w:val="1"/>
          <w:i w:val="1"/>
          <w:iCs w:val="1"/>
          <w:color w:val="auto"/>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spacing w:after="0" w:line="11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2"/>
          <w:szCs w:val="12"/>
          <w:color w:val="auto"/>
        </w:rPr>
        <w:t>We and our customers are subject to numerous domestic (for example, CCPA in California) and foreign (for example, the GDPR in the EU) privacy, data protection and data security laws and regulations that restrict the collection, use, disclosure and processing of personal information, including financial and health data. These laws and regulations are evolving, are being tested in courts, may result in increasing regulatory and public scrutiny of our practices relating to personal information and may increase our exposure to regulatory enforcement action, sanctions and litigation.</w:t>
      </w:r>
    </w:p>
    <w:p>
      <w:pPr>
        <w:spacing w:after="0" w:line="149" w:lineRule="exact"/>
        <w:rPr>
          <w:sz w:val="20"/>
          <w:szCs w:val="20"/>
          <w:color w:val="auto"/>
        </w:rPr>
      </w:pPr>
    </w:p>
    <w:p>
      <w:pPr>
        <w:ind w:right="60" w:firstLine="324"/>
        <w:spacing w:after="0" w:line="356" w:lineRule="auto"/>
        <w:rPr>
          <w:sz w:val="20"/>
          <w:szCs w:val="20"/>
          <w:color w:val="auto"/>
        </w:rPr>
      </w:pPr>
      <w:r>
        <w:rPr>
          <w:rFonts w:ascii="Arial" w:cs="Arial" w:eastAsia="Arial" w:hAnsi="Arial"/>
          <w:sz w:val="10"/>
          <w:szCs w:val="10"/>
          <w:color w:val="auto"/>
        </w:rPr>
        <w:t>The CCPA imposes obligations on businesses to which it applies. These obligations include, but are not limited to, providing specific disclosures in privacy notices and affording California residents certain rights related to their personal information. The CCPA allows for statutory fines for noncompliance. In addition, it is anticipated that the California Privacy Rights Act of 2020 (“CPRA”), effective January 1, 2023, will expand the CCPA. Similar laws have</w:t>
      </w:r>
    </w:p>
    <w:p>
      <w:pPr>
        <w:spacing w:after="0" w:line="1" w:lineRule="exact"/>
        <w:rPr>
          <w:sz w:val="20"/>
          <w:szCs w:val="20"/>
          <w:color w:val="auto"/>
        </w:rPr>
      </w:pPr>
    </w:p>
    <w:p>
      <w:pPr>
        <w:ind w:right="320"/>
        <w:spacing w:after="0" w:line="263" w:lineRule="auto"/>
        <w:rPr>
          <w:sz w:val="20"/>
          <w:szCs w:val="20"/>
          <w:color w:val="auto"/>
        </w:rPr>
      </w:pPr>
      <w:r>
        <w:rPr>
          <w:rFonts w:ascii="Arial" w:cs="Arial" w:eastAsia="Arial" w:hAnsi="Arial"/>
          <w:sz w:val="12"/>
          <w:szCs w:val="12"/>
          <w:color w:val="auto"/>
        </w:rPr>
        <w:t>been enacted or been proposed at the state and federal levels. For example, Virginia and Colorado have each passed laws similar to but different from the CPRA that take effect in 2023.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49" w:lineRule="exact"/>
        <w:rPr>
          <w:sz w:val="20"/>
          <w:szCs w:val="20"/>
          <w:color w:val="auto"/>
        </w:rPr>
      </w:pPr>
    </w:p>
    <w:p>
      <w:pPr>
        <w:ind w:right="20" w:firstLine="324"/>
        <w:spacing w:after="0" w:line="298" w:lineRule="auto"/>
        <w:rPr>
          <w:sz w:val="20"/>
          <w:szCs w:val="20"/>
          <w:color w:val="auto"/>
        </w:rPr>
      </w:pPr>
      <w:r>
        <w:rPr>
          <w:rFonts w:ascii="Arial" w:cs="Arial" w:eastAsia="Arial" w:hAnsi="Arial"/>
          <w:sz w:val="11"/>
          <w:szCs w:val="11"/>
          <w:color w:val="auto"/>
        </w:rPr>
        <w:t>Outside the United States, an increasing number of laws, regulations, and industry standards apply to privacy, data protection and data security. For example, the GDPR and the United Kingdom’s GDPR (“UK GDPR”) impose strict requirements for processing the personal information of individuals located, respectively within the European Economic Area (“EEA”) and the United Kingdom (“UK”). For example, under the GDPR, government regulators may</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impose temporary or definitive bans on data processing, as well as fines. Further, individuals may initiate litigation related to our processing of their personal information. As another example, the General Data Protection Law (Lei</w:t>
      </w:r>
    </w:p>
    <w:p>
      <w:pPr>
        <w:spacing w:after="0" w:line="45"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Geral de Proteção de Dados Pessoais, or “LGPD”) (Law No. 13,709/2018) may apply to our operations. The LGPD broadly regulates processing of personal information of individuals in Brazil and imposes compliance obligations and penalties comparable to those of the GDPR.</w:t>
      </w:r>
    </w:p>
    <w:p>
      <w:pPr>
        <w:spacing w:after="0" w:line="115" w:lineRule="exact"/>
        <w:rPr>
          <w:sz w:val="20"/>
          <w:szCs w:val="20"/>
          <w:color w:val="auto"/>
        </w:rPr>
      </w:pPr>
    </w:p>
    <w:p>
      <w:pPr>
        <w:ind w:right="400" w:firstLine="324"/>
        <w:spacing w:after="0" w:line="379" w:lineRule="auto"/>
        <w:rPr>
          <w:sz w:val="20"/>
          <w:szCs w:val="20"/>
          <w:color w:val="auto"/>
        </w:rPr>
      </w:pPr>
      <w:r>
        <w:rPr>
          <w:rFonts w:ascii="Arial" w:cs="Arial" w:eastAsia="Arial" w:hAnsi="Arial"/>
          <w:sz w:val="10"/>
          <w:szCs w:val="10"/>
          <w:color w:val="auto"/>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23" w:name="page24"/>
    <w:bookmarkEnd w:id="23"/>
    <w:p>
      <w:pPr>
        <w:jc w:val="both"/>
        <w:ind w:right="260" w:firstLine="324"/>
        <w:spacing w:after="0" w:line="234" w:lineRule="auto"/>
        <w:rPr>
          <w:sz w:val="20"/>
          <w:szCs w:val="20"/>
          <w:color w:val="auto"/>
        </w:rPr>
      </w:pPr>
      <w:r>
        <w:rPr>
          <w:rFonts w:ascii="Arial" w:cs="Arial" w:eastAsia="Arial" w:hAnsi="Arial"/>
          <w:sz w:val="12"/>
          <w:szCs w:val="12"/>
          <w:color w:val="auto"/>
        </w:rPr>
        <w:t>Similarly, with our registration as an interconnected VoIP provider with the Federal Communications Commission (“FCC”), we also must comply with privacy laws associated with customer proprietary network information (“CPNI”) rules in the U.S. If we fail to maintain compliance with these requirements, we could be subject to regulatory audits, civil and criminal penalties, fines and breach of contract claims, as well as reputational damage, which could impact the willingness of customers to do business with us.</w:t>
      </w:r>
    </w:p>
    <w:p>
      <w:pPr>
        <w:spacing w:after="0" w:line="127" w:lineRule="exact"/>
        <w:rPr>
          <w:sz w:val="20"/>
          <w:szCs w:val="20"/>
          <w:color w:val="auto"/>
        </w:rPr>
      </w:pPr>
    </w:p>
    <w:p>
      <w:pPr>
        <w:ind w:right="40" w:firstLine="324"/>
        <w:spacing w:after="0" w:line="289" w:lineRule="auto"/>
        <w:rPr>
          <w:sz w:val="20"/>
          <w:szCs w:val="20"/>
          <w:color w:val="auto"/>
        </w:rPr>
      </w:pPr>
      <w:r>
        <w:rPr>
          <w:rFonts w:ascii="Arial" w:cs="Arial" w:eastAsia="Arial" w:hAnsi="Arial"/>
          <w:sz w:val="11"/>
          <w:szCs w:val="11"/>
          <w:color w:val="auto"/>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have begun to support customer workloads that involve the processing of protected health information and are required to sign business associate agreements (“BAAs”) with customers that subject us to the requirements under the U.S. Health Insurance Portability and Accountability Act of 1996 and the U.S. Health Information Technology for Economic and Clinical Health Act as well as state laws that govern health information.</w:t>
      </w:r>
    </w:p>
    <w:p>
      <w:pPr>
        <w:spacing w:after="0" w:line="111" w:lineRule="exact"/>
        <w:rPr>
          <w:sz w:val="20"/>
          <w:szCs w:val="20"/>
          <w:color w:val="auto"/>
        </w:rPr>
      </w:pPr>
    </w:p>
    <w:p>
      <w:pPr>
        <w:ind w:right="400" w:firstLine="324"/>
        <w:spacing w:after="0" w:line="276" w:lineRule="auto"/>
        <w:rPr>
          <w:sz w:val="20"/>
          <w:szCs w:val="20"/>
          <w:color w:val="auto"/>
        </w:rPr>
      </w:pPr>
      <w:r>
        <w:rPr>
          <w:rFonts w:ascii="Arial" w:cs="Arial" w:eastAsia="Arial" w:hAnsi="Arial"/>
          <w:sz w:val="12"/>
          <w:szCs w:val="12"/>
          <w:color w:val="auto"/>
        </w:rPr>
        <w:t>Our actual or perceived failure to comply with laws, regulations or contractual commitments regarding privacy, data protection and data security could lead to costly legal action, adverse publicity, significant liability, and decreased demand for our services, which could adversely affect our business, results of operations and financial condition.</w:t>
      </w:r>
    </w:p>
    <w:p>
      <w:pPr>
        <w:spacing w:after="0" w:line="115" w:lineRule="exact"/>
        <w:rPr>
          <w:sz w:val="20"/>
          <w:szCs w:val="20"/>
          <w:color w:val="auto"/>
        </w:rPr>
      </w:pPr>
    </w:p>
    <w:p>
      <w:pPr>
        <w:ind w:right="20" w:firstLine="324"/>
        <w:spacing w:after="0" w:line="286" w:lineRule="auto"/>
        <w:rPr>
          <w:sz w:val="20"/>
          <w:szCs w:val="20"/>
          <w:color w:val="auto"/>
        </w:rPr>
      </w:pPr>
      <w:r>
        <w:rPr>
          <w:rFonts w:ascii="Arial" w:cs="Arial" w:eastAsia="Arial" w:hAnsi="Arial"/>
          <w:sz w:val="11"/>
          <w:szCs w:val="11"/>
          <w:color w:val="auto"/>
        </w:rPr>
        <w:t>As a cumulative example of these risks, because our primary data processing facilities are currently in the U.S., we have experienced hesitancy, reluctance, or refusal by European or multinational customers to continue to use our services due to the potential risk posed to such customers as a result of the Court of Justice July 2020 ruling in the “Schrems II” case, as well as related guidance from the European Data Protection Board. For example, absent appropriate safeguards or other circumstances, the GDPR and laws in Switzerland and the UK generally restrict the transfer of personal information to countries outside of the EEA, such as the United States, that the European Commission does not consider as providing an adequate level of privacy, data protection and data security. If we cannot implement a valid mechanism for cross-border data transfers, we may face increased exposure to regulatory</w:t>
      </w:r>
    </w:p>
    <w:p>
      <w:pPr>
        <w:spacing w:after="0" w:line="283" w:lineRule="auto"/>
        <w:rPr>
          <w:sz w:val="20"/>
          <w:szCs w:val="20"/>
          <w:color w:val="auto"/>
        </w:rPr>
      </w:pPr>
      <w:r>
        <w:rPr>
          <w:rFonts w:ascii="Arial" w:cs="Arial" w:eastAsia="Arial" w:hAnsi="Arial"/>
          <w:sz w:val="11"/>
          <w:szCs w:val="11"/>
          <w:color w:val="auto"/>
        </w:rPr>
        <w:t>actions, substantial fines, and injunctions against processing or transferring personal information from Europe or elsewhere. The inability to import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We and our customers are at risk of enforcement actions taken by an EU data protection authority during such time Twilio continues to require data transfers from the EEA for the provision of our services. While we are actively working to increase our data processing capabilities in Europe and other countries to limit or eliminate the need for data transfers out of the EEA, if we are unable to increase those capabilities quickly enough, and other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from Europe.</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0"/>
          <w:szCs w:val="10"/>
          <w:b w:val="1"/>
          <w:bCs w:val="1"/>
          <w:i w:val="1"/>
          <w:iCs w:val="1"/>
          <w:color w:val="auto"/>
        </w:rPr>
        <w:t>Our business depends on customers increasing their use of our products, and a loss of customers or decline in their use of our products could adversely affect our business, results of operations and financial condition.</w:t>
      </w:r>
    </w:p>
    <w:p>
      <w:pPr>
        <w:spacing w:after="0" w:line="182" w:lineRule="exact"/>
        <w:rPr>
          <w:sz w:val="20"/>
          <w:szCs w:val="20"/>
          <w:color w:val="auto"/>
        </w:rPr>
      </w:pPr>
    </w:p>
    <w:p>
      <w:pPr>
        <w:ind w:firstLine="324"/>
        <w:spacing w:after="0" w:line="245" w:lineRule="auto"/>
        <w:rPr>
          <w:sz w:val="20"/>
          <w:szCs w:val="20"/>
          <w:color w:val="auto"/>
        </w:rPr>
      </w:pPr>
      <w:r>
        <w:rPr>
          <w:rFonts w:ascii="Arial" w:cs="Arial" w:eastAsia="Arial" w:hAnsi="Arial"/>
          <w:sz w:val="11"/>
          <w:szCs w:val="11"/>
          <w:color w:val="auto"/>
        </w:rPr>
        <w:t>Our ability to grow and generate incremental revenue depends, in part, on our ability to maintain and grow our relationships with existing customers (including any customers acquired in connection with our acquisitions) and to have them increase their usage of our platform. If our customers do not increase their use of our products, then our revenue may decline, and our results of operations may be harmed. Customers are charged based on the usage of our products. Most of our customers do not have long-term contractual financial commitments to us and, therefore, most of our customers may reduce or cease their use of our products at any time without penalty or termination charges. Customers may terminate or reduce their use of our products for any number of reasons, including if they are not satisfied with our products, the value proposition of our products or our ability to meet their needs and expectations, or due to the introduction of new competing products by competitors. For example, on February 26, 2021, a critical feature enablement service on our platform became overloaded, which resulted in connection issues across multiple products in our cloud communications platform that affected our customers for a limited number of hours. The service disruption had a widespread impact on our customers’ ability to use several of our products. We incurred certain costs associated with offering credits to our affected customers, but the overall impact was not material to our business. To protect our system from similar disruptions in the near term, we have significantly increased our server capacity and added additional caching layers to accommodate usage spikes. We also have undertaken longer term improvements to mitigate against future service disruptions, but there can be no guarantee that these actions or improvements will be effective in preventing or reducing such service disruptions.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24" w:name="page25"/>
    <w:bookmarkEnd w:id="24"/>
    <w:p>
      <w:pPr>
        <w:ind w:right="160" w:firstLine="324"/>
        <w:spacing w:after="0" w:line="289" w:lineRule="auto"/>
        <w:rPr>
          <w:sz w:val="20"/>
          <w:szCs w:val="20"/>
          <w:color w:val="auto"/>
        </w:rPr>
      </w:pPr>
      <w:r>
        <w:rPr>
          <w:rFonts w:ascii="Arial" w:cs="Arial" w:eastAsia="Arial" w:hAnsi="Arial"/>
          <w:sz w:val="11"/>
          <w:szCs w:val="11"/>
          <w:color w:val="auto"/>
        </w:rPr>
        <w:t>We cannot accurately predict customers’ usage levels, and the loss of customers or reductions in their usage levels of our products may each have a negative impact on our business, results of operations and financial condition and may cause our Dollar-Based Net Expansion Rate to decline in the future if customers are not satisfied with our products, the value proposition of our products or our ability to meet their needs and expectations. If a significant number of customers cease using, or reduce their usage of our products,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111" w:lineRule="exact"/>
        <w:rPr>
          <w:sz w:val="20"/>
          <w:szCs w:val="20"/>
          <w:color w:val="auto"/>
        </w:rPr>
      </w:pPr>
    </w:p>
    <w:p>
      <w:pPr>
        <w:ind w:left="320"/>
        <w:spacing w:after="0" w:line="138" w:lineRule="exact"/>
        <w:rPr>
          <w:sz w:val="20"/>
          <w:szCs w:val="20"/>
          <w:color w:val="auto"/>
        </w:rPr>
      </w:pPr>
      <w:r>
        <w:rPr>
          <w:rFonts w:ascii="Arial" w:cs="Arial" w:eastAsia="Arial" w:hAnsi="Arial"/>
          <w:sz w:val="12"/>
          <w:szCs w:val="12"/>
          <w:b w:val="1"/>
          <w:bCs w:val="1"/>
          <w:i w:val="1"/>
          <w:iCs w:val="1"/>
          <w:color w:val="auto"/>
        </w:rPr>
        <w:t>If we are unable to attract new customers in a cost</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effective manner, then our business, results of operations and financial condition would be adversely affected.</w:t>
      </w:r>
    </w:p>
    <w:p>
      <w:pPr>
        <w:spacing w:after="0" w:line="150" w:lineRule="exact"/>
        <w:rPr>
          <w:sz w:val="20"/>
          <w:szCs w:val="20"/>
          <w:color w:val="auto"/>
        </w:rPr>
      </w:pPr>
    </w:p>
    <w:p>
      <w:pPr>
        <w:ind w:firstLine="324"/>
        <w:spacing w:after="0" w:line="281" w:lineRule="auto"/>
        <w:rPr>
          <w:sz w:val="20"/>
          <w:szCs w:val="20"/>
          <w:color w:val="auto"/>
        </w:rPr>
      </w:pPr>
      <w:r>
        <w:rPr>
          <w:rFonts w:ascii="Arial" w:cs="Arial" w:eastAsia="Arial" w:hAnsi="Arial"/>
          <w:sz w:val="11"/>
          <w:szCs w:val="11"/>
          <w:color w:val="auto"/>
        </w:rPr>
        <w:t>In order to grow our business, we must continue to attract new customers in a cost-effective manner. We use a variety of marketing channels to promote our products and platform, such as developer events and developer evangelism, as well as search engine marketing and optimization. We periodically adjust the mix of our other marketing programs such as regional customer events, email campaigns, billboard advertising and public relations initiatives.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and we cannot guarantee that any such investments will lead to the cost-effective acquisition of additional customers. If we are unable to maintain effective marketing programs, then our ability to attract new customers could be adversely affected, our advertising and marketing expenses could increase substantially, and our results of operations may suffer.</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1"/>
          <w:szCs w:val="11"/>
          <w:b w:val="1"/>
          <w:bCs w:val="1"/>
          <w:i w:val="1"/>
          <w:iCs w:val="1"/>
          <w:color w:val="auto"/>
        </w:rPr>
        <w:t>If we do not develop enhancements to our products and introduce new products that achieve market acceptance, our business, results of operations and financial condition could be adversely affected.</w:t>
      </w:r>
    </w:p>
    <w:p>
      <w:pPr>
        <w:spacing w:after="0" w:line="162" w:lineRule="exact"/>
        <w:rPr>
          <w:sz w:val="20"/>
          <w:szCs w:val="20"/>
          <w:color w:val="auto"/>
        </w:rPr>
      </w:pPr>
    </w:p>
    <w:p>
      <w:pPr>
        <w:ind w:firstLine="324"/>
        <w:spacing w:after="0" w:line="278" w:lineRule="auto"/>
        <w:rPr>
          <w:sz w:val="20"/>
          <w:szCs w:val="20"/>
          <w:color w:val="auto"/>
        </w:rPr>
      </w:pPr>
      <w:r>
        <w:rPr>
          <w:rFonts w:ascii="Arial" w:cs="Arial" w:eastAsia="Arial" w:hAnsi="Arial"/>
          <w:sz w:val="11"/>
          <w:szCs w:val="11"/>
          <w:color w:val="auto"/>
        </w:rPr>
        <w:t>Our ability to attract new customers and increase revenue from existing customers depends in part on our ability to enhance and improve our existing products, increase adoption and usage of our products and introduce new products. The success of any enhancements or new products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Furthermore, our ability to increase the usage of our products depends, in part, on the development of new use cases for our products, which is typically driven by our developer community and may be outside of our control. We also have invested, and may continue to invest, in the acquisition of complementary businesses, technologies, services, products and other assets that expand the products that we can offer our customers. We may make these investments without being certain that they will result in products or enhancements that will be accepted by existing or prospective customers. Our ability to generate usage of additional products by our customers may also require increasingly sophisticated and more costly sales efforts and result in a longer sales cycle. In addition, adoption of new products or enhancements may put additional strain on our customer support team, which could require us to make additional expenditures related to further hiring and training. If we are unable to successfully enhance our existing products to meet evolving customer requirements, increase adoption and usage of our products, develop new products, or if our efforts to increase the usage of our products are more expensive than we expect, then our business, results of operations and financial condition would be adversely affected.</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The market in which we participate is intensely competitive, and if we do not compete effectively, our business, results of operations and financial condition could be harmed.</w:t>
      </w:r>
    </w:p>
    <w:p>
      <w:pPr>
        <w:spacing w:after="0" w:line="150" w:lineRule="exact"/>
        <w:rPr>
          <w:sz w:val="20"/>
          <w:szCs w:val="20"/>
          <w:color w:val="auto"/>
        </w:rPr>
      </w:pPr>
    </w:p>
    <w:p>
      <w:pPr>
        <w:ind w:right="20" w:firstLine="324"/>
        <w:spacing w:after="0" w:line="263" w:lineRule="auto"/>
        <w:rPr>
          <w:sz w:val="20"/>
          <w:szCs w:val="20"/>
          <w:color w:val="auto"/>
        </w:rPr>
      </w:pPr>
      <w:r>
        <w:rPr>
          <w:rFonts w:ascii="Arial" w:cs="Arial" w:eastAsia="Arial" w:hAnsi="Arial"/>
          <w:sz w:val="12"/>
          <w:szCs w:val="12"/>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products. Our competitors fall into four primary categories:</w:t>
      </w:r>
    </w:p>
    <w:p>
      <w:pPr>
        <w:spacing w:after="0" w:line="122" w:lineRule="exact"/>
        <w:rPr>
          <w:sz w:val="20"/>
          <w:szCs w:val="20"/>
          <w:color w:val="auto"/>
        </w:rPr>
      </w:pPr>
    </w:p>
    <w:p>
      <w:pPr>
        <w:ind w:left="640" w:hanging="216"/>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legacy on-premises vendors;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25" w:name="page26"/>
    <w:bookmarkEnd w:id="25"/>
    <w:p>
      <w:pPr>
        <w:ind w:left="640" w:hanging="216"/>
        <w:spacing w:after="0"/>
        <w:tabs>
          <w:tab w:leader="none" w:pos="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regional network service providers that offer limited developer functionality on top of their own physical infrastructure;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smaller software companies that compete with portions of our product line;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software-as a-service (“SaaS”) companies and cloud platform vendors that offer prepackaged applications and platforms.</w:t>
      </w:r>
    </w:p>
    <w:p>
      <w:pPr>
        <w:spacing w:after="0" w:line="159" w:lineRule="exact"/>
        <w:rPr>
          <w:sz w:val="20"/>
          <w:szCs w:val="20"/>
          <w:color w:val="auto"/>
        </w:rPr>
      </w:pPr>
    </w:p>
    <w:p>
      <w:pPr>
        <w:ind w:firstLine="324"/>
        <w:spacing w:after="0" w:line="246" w:lineRule="auto"/>
        <w:rPr>
          <w:sz w:val="20"/>
          <w:szCs w:val="20"/>
          <w:color w:val="auto"/>
        </w:rPr>
      </w:pPr>
      <w:r>
        <w:rPr>
          <w:rFonts w:ascii="Arial" w:cs="Arial" w:eastAsia="Arial" w:hAnsi="Arial"/>
          <w:sz w:val="11"/>
          <w:szCs w:val="11"/>
          <w:color w:val="auto"/>
        </w:rPr>
        <w:t>Some of our competitors and potential competitors are larger and have greater name recognition, longer operating histories, more established customer relationships, larger budgets and significantly greater resources than we do. In addition, they have the operating flexibility to bundle competing products and services at little or no perceived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Customers utilize our products in many ways and use varying levels of functionality that our products offer or are capable of supporting or enabling within their applications. Customers that use many of the features of our products or use our products to support or enable core functionality for their applications may have difficulty or find it impractical to replace our products with a competitor’s products or services, while customers that use only limited functionality may be able to replace our products more easily with competitive offerings. Our customers also may choose to build some of the functionality our products provide or establish direct connectivity with network service providers, which may limit or eliminate their demand for our products.</w:t>
      </w:r>
    </w:p>
    <w:p>
      <w:pPr>
        <w:spacing w:after="0" w:line="124" w:lineRule="exact"/>
        <w:rPr>
          <w:sz w:val="20"/>
          <w:szCs w:val="20"/>
          <w:color w:val="auto"/>
        </w:rPr>
      </w:pPr>
    </w:p>
    <w:p>
      <w:pPr>
        <w:ind w:right="100" w:firstLine="324"/>
        <w:spacing w:after="0" w:line="276" w:lineRule="auto"/>
        <w:rPr>
          <w:sz w:val="20"/>
          <w:szCs w:val="20"/>
          <w:color w:val="auto"/>
        </w:rPr>
      </w:pPr>
      <w:r>
        <w:rPr>
          <w:rFonts w:ascii="Arial" w:cs="Arial" w:eastAsia="Arial" w:hAnsi="Arial"/>
          <w:sz w:val="12"/>
          <w:szCs w:val="12"/>
          <w:color w:val="auto"/>
        </w:rPr>
        <w:t>With the introduction of new products and services and new market entrants, we expect competition to intensify in the future. In addition, some of our customers may choose to use our products and our competitors’ products at the same time. Further, customers and consumers may choose to adopt other forms of electronic communications or alternative communication platforms.</w:t>
      </w:r>
    </w:p>
    <w:p>
      <w:pPr>
        <w:spacing w:after="0" w:line="124" w:lineRule="exact"/>
        <w:rPr>
          <w:sz w:val="20"/>
          <w:szCs w:val="20"/>
          <w:color w:val="auto"/>
        </w:rPr>
      </w:pPr>
    </w:p>
    <w:p>
      <w:pPr>
        <w:ind w:right="40" w:firstLine="324"/>
        <w:spacing w:after="0" w:line="291" w:lineRule="auto"/>
        <w:rPr>
          <w:sz w:val="20"/>
          <w:szCs w:val="20"/>
          <w:color w:val="auto"/>
        </w:rPr>
      </w:pPr>
      <w:r>
        <w:rPr>
          <w:rFonts w:ascii="Arial" w:cs="Arial" w:eastAsia="Arial" w:hAnsi="Arial"/>
          <w:sz w:val="10"/>
          <w:szCs w:val="10"/>
          <w:color w:val="auto"/>
        </w:rPr>
        <w:t>Moreover,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w:t>
      </w:r>
    </w:p>
    <w:p>
      <w:pPr>
        <w:ind w:right="300"/>
        <w:spacing w:after="0" w:line="230" w:lineRule="auto"/>
        <w:rPr>
          <w:sz w:val="20"/>
          <w:szCs w:val="20"/>
          <w:color w:val="auto"/>
        </w:rPr>
      </w:pPr>
      <w:r>
        <w:rPr>
          <w:rFonts w:ascii="Arial" w:cs="Arial" w:eastAsia="Arial" w:hAnsi="Arial"/>
          <w:sz w:val="12"/>
          <w:szCs w:val="12"/>
          <w:color w:val="auto"/>
        </w:rPr>
        <w:t>For example, certain of our competitors have engaged in acquisition activity in 2021 and may continue to do so in the future. In addition, some of our competitors have lower list prices than us, which may be attractive to certain customers even if those products have different or lesser functionality. If we are unable to maintain our current pricing due to competitive pressures, our margins will be reduced and our business, results of operations and financial condition would be adversely affected. In addition,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We have a history of losses and may not achieve or sustain profitability in the future.</w:t>
      </w:r>
    </w:p>
    <w:p>
      <w:pPr>
        <w:spacing w:after="0" w:line="150" w:lineRule="exact"/>
        <w:rPr>
          <w:sz w:val="20"/>
          <w:szCs w:val="20"/>
          <w:color w:val="auto"/>
        </w:rPr>
      </w:pPr>
    </w:p>
    <w:p>
      <w:pPr>
        <w:ind w:right="20" w:firstLine="324"/>
        <w:spacing w:after="0" w:line="263" w:lineRule="auto"/>
        <w:rPr>
          <w:sz w:val="20"/>
          <w:szCs w:val="20"/>
          <w:color w:val="auto"/>
        </w:rPr>
      </w:pPr>
      <w:r>
        <w:rPr>
          <w:rFonts w:ascii="Arial" w:cs="Arial" w:eastAsia="Arial" w:hAnsi="Arial"/>
          <w:sz w:val="12"/>
          <w:szCs w:val="12"/>
          <w:color w:val="auto"/>
        </w:rPr>
        <w:t>We have incurred net losses in each year since our inception, including net losses of $949.9 million, $491.0 million and $307.1 million in the years ended December 31, 2021, 2020 and 2019, respectively. We had an accumulated deficit of $2.1 billion as of December 31, 2021. We will need to generate and sustain increased revenue levels, and manage our operating expenses, in future periods to become profitable and, even if we do, we may not be able to maintain or increase our level of profitability. We expect to continue to expend substantial financial and other resources on, among other things:</w:t>
      </w:r>
    </w:p>
    <w:p>
      <w:pPr>
        <w:spacing w:after="0" w:line="122" w:lineRule="exact"/>
        <w:rPr>
          <w:sz w:val="20"/>
          <w:szCs w:val="20"/>
          <w:color w:val="auto"/>
        </w:rPr>
      </w:pPr>
    </w:p>
    <w:p>
      <w:pPr>
        <w:ind w:left="640" w:hanging="216"/>
        <w:spacing w:after="0"/>
        <w:tabs>
          <w:tab w:leader="none" w:pos="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investments in our engineering team, improvements in security and data protection, the development of new products, features and functionality and enhancements to our platform;</w:t>
      </w:r>
    </w:p>
    <w:p>
      <w:pPr>
        <w:spacing w:after="0" w:line="150" w:lineRule="exact"/>
        <w:rPr>
          <w:rFonts w:ascii="Arial" w:cs="Arial" w:eastAsia="Arial" w:hAnsi="Arial"/>
          <w:sz w:val="12"/>
          <w:szCs w:val="12"/>
          <w:color w:val="auto"/>
        </w:rPr>
      </w:pPr>
    </w:p>
    <w:p>
      <w:pPr>
        <w:ind w:left="640" w:right="160" w:hanging="216"/>
        <w:spacing w:after="0" w:line="276" w:lineRule="auto"/>
        <w:tabs>
          <w:tab w:leader="none" w:pos="637" w:val="left"/>
        </w:tabs>
        <w:numPr>
          <w:ilvl w:val="0"/>
          <w:numId w:val="24"/>
        </w:numPr>
        <w:rPr>
          <w:rFonts w:ascii="Arial" w:cs="Arial" w:eastAsia="Arial" w:hAnsi="Arial"/>
          <w:sz w:val="12"/>
          <w:szCs w:val="12"/>
          <w:color w:val="auto"/>
        </w:rPr>
      </w:pPr>
      <w:r>
        <w:rPr>
          <w:rFonts w:ascii="Arial" w:cs="Arial" w:eastAsia="Arial" w:hAnsi="Arial"/>
          <w:sz w:val="12"/>
          <w:szCs w:val="12"/>
          <w:color w:val="auto"/>
        </w:rPr>
        <w:t>sales and marketing, including the continued expansion of our direct sales organization and marketing programs, especially for enterprises and for organizations outside of the United States, and expanding our programs directed at increasing our brand awareness among current and new developers;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expansion of our operations and infrastructure, both domestically and internationally;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general administration, including legal, accounting and other expenses related to being a public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26" w:name="page27"/>
    <w:bookmarkEnd w:id="26"/>
    <w:p>
      <w:pPr>
        <w:jc w:val="both"/>
        <w:ind w:right="120" w:firstLine="324"/>
        <w:spacing w:after="0" w:line="263" w:lineRule="auto"/>
        <w:rPr>
          <w:sz w:val="20"/>
          <w:szCs w:val="20"/>
          <w:color w:val="auto"/>
        </w:rPr>
      </w:pPr>
      <w:r>
        <w:rPr>
          <w:rFonts w:ascii="Arial" w:cs="Arial" w:eastAsia="Arial" w:hAnsi="Arial"/>
          <w:sz w:val="12"/>
          <w:szCs w:val="12"/>
          <w:color w:val="auto"/>
        </w:rPr>
        <w:t>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achieve and sustain profitability, the value of our business and Class A common stock may significantly decrease.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If we are unable to increase adoption of our products by enterprises, our business, results of operations and financial condition may be adversely affected.</w:t>
      </w:r>
    </w:p>
    <w:p>
      <w:pPr>
        <w:spacing w:after="0" w:line="150" w:lineRule="exact"/>
        <w:rPr>
          <w:sz w:val="20"/>
          <w:szCs w:val="20"/>
          <w:color w:val="auto"/>
        </w:rPr>
      </w:pPr>
    </w:p>
    <w:p>
      <w:pPr>
        <w:ind w:right="320" w:firstLine="324"/>
        <w:spacing w:after="0" w:line="276" w:lineRule="auto"/>
        <w:rPr>
          <w:sz w:val="20"/>
          <w:szCs w:val="20"/>
          <w:color w:val="auto"/>
        </w:rPr>
      </w:pPr>
      <w:r>
        <w:rPr>
          <w:rFonts w:ascii="Arial" w:cs="Arial" w:eastAsia="Arial" w:hAnsi="Arial"/>
          <w:sz w:val="12"/>
          <w:szCs w:val="12"/>
          <w:color w:val="auto"/>
        </w:rPr>
        <w:t>Historically, we have relied on the adoption of our products by software developers through our self-service model for a majority of our revenue. Our ability to increase our customer base, especially among enterprises, and achieve broader market acceptance of our products will depend, in part, on our ability to effectively organize, focus and train our sales and marketing employees.</w:t>
      </w:r>
    </w:p>
    <w:p>
      <w:pPr>
        <w:spacing w:after="0" w:line="115" w:lineRule="exact"/>
        <w:rPr>
          <w:sz w:val="20"/>
          <w:szCs w:val="20"/>
          <w:color w:val="auto"/>
        </w:rPr>
      </w:pPr>
    </w:p>
    <w:p>
      <w:pPr>
        <w:ind w:firstLine="324"/>
        <w:spacing w:after="0" w:line="283" w:lineRule="auto"/>
        <w:rPr>
          <w:sz w:val="20"/>
          <w:szCs w:val="20"/>
          <w:color w:val="auto"/>
        </w:rPr>
      </w:pPr>
      <w:r>
        <w:rPr>
          <w:rFonts w:ascii="Arial" w:cs="Arial" w:eastAsia="Arial" w:hAnsi="Arial"/>
          <w:sz w:val="11"/>
          <w:szCs w:val="11"/>
          <w:color w:val="auto"/>
        </w:rPr>
        <w:t>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spacing w:after="0" w:line="113" w:lineRule="exact"/>
        <w:rPr>
          <w:sz w:val="20"/>
          <w:szCs w:val="20"/>
          <w:color w:val="auto"/>
        </w:rPr>
      </w:pPr>
    </w:p>
    <w:p>
      <w:pPr>
        <w:ind w:right="20" w:firstLine="324"/>
        <w:spacing w:after="0" w:line="280" w:lineRule="auto"/>
        <w:rPr>
          <w:sz w:val="20"/>
          <w:szCs w:val="20"/>
          <w:color w:val="auto"/>
        </w:rPr>
      </w:pPr>
      <w:r>
        <w:rPr>
          <w:rFonts w:ascii="Arial" w:cs="Arial" w:eastAsia="Arial" w:hAnsi="Arial"/>
          <w:sz w:val="11"/>
          <w:szCs w:val="11"/>
          <w:color w:val="auto"/>
        </w:rPr>
        <w:t>As we seek to increase the adoption of our products by enterprises, including products like Flex, which is primarily aimed at complex contact center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IT. In addition, while enterprise customers may quickly deploy our products on a limited basis, before they will commit to deploying our products at scale, they often require extensive education about our products and significant customer support time, engage in protracted pricing negotiations and seek to secure readily available development resources. In addition, sales cycles for enterprises are inherently more complex and less predictable than the sales through our self-service model, and some enterprise customers may not use our products enough to generate revenue that justifies the cost to obtain such customers. In addition, these complex and resource intensive sales efforts could place additional strain on our product and engineering resources. Further, enterprises, including some of our customers, may choose to develop their own solutions that do not include our products. They also may demand reductions in pricing as their usage of our products increases, which could have an adverse impact on our gross margin.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0"/>
          <w:szCs w:val="10"/>
          <w:b w:val="1"/>
          <w:bCs w:val="1"/>
          <w:i w:val="1"/>
          <w:iCs w:val="1"/>
          <w:color w:val="auto"/>
        </w:rPr>
        <w:t>If we are unable to expand our relationships with existing technology partner customers and add new technology partner customers, our business, results of operations and financial condition could be adversely affected.</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We believe that the continued growth of our business depends in part upon developing and expanding strategic relationships with technology partner customers. Technology partner customers embed our software products in their solutions, such as software applications for contact centers and sales force and marketing automation, and then sell such solutions to other businesses. When potential customers do not have the available developer resources to build their own applications, we refer them to either our technology partners who embed our products in the solutions that they sell to other businesses or our consulting partners who provide consulting and development services for organizations that have limited software development expertise to build our platform into their software applications.</w:t>
      </w:r>
    </w:p>
    <w:p>
      <w:pPr>
        <w:spacing w:after="0" w:line="124" w:lineRule="exact"/>
        <w:rPr>
          <w:sz w:val="20"/>
          <w:szCs w:val="20"/>
          <w:color w:val="auto"/>
        </w:rPr>
      </w:pPr>
    </w:p>
    <w:p>
      <w:pPr>
        <w:jc w:val="both"/>
        <w:ind w:right="60" w:firstLine="324"/>
        <w:spacing w:after="0" w:line="340" w:lineRule="auto"/>
        <w:rPr>
          <w:sz w:val="20"/>
          <w:szCs w:val="20"/>
          <w:color w:val="auto"/>
        </w:rPr>
      </w:pPr>
      <w:r>
        <w:rPr>
          <w:rFonts w:ascii="Arial" w:cs="Arial" w:eastAsia="Arial" w:hAnsi="Arial"/>
          <w:sz w:val="10"/>
          <w:szCs w:val="10"/>
          <w:color w:val="auto"/>
        </w:rPr>
        <w:t>As part of our growth strategy, we intend to expand our relationships with existing technology partner customers and add new technology partner customers. If we fail to expand our relationships with existing technology partner customers or establish relationships with new technology partner customers in a timely and cost-effective manner, or at all, then our business, results of operations and financial condition could be adversely affected. Additionally, even if we are successful at building these relationships but there are problems or issues with integrating our products into the solutions of these customers, our reputation and ability to grow our business may be harmed.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27" w:name="page28"/>
    <w:bookmarkEnd w:id="27"/>
    <w:p>
      <w:pPr>
        <w:ind w:right="220" w:firstLine="324"/>
        <w:spacing w:after="0" w:line="323" w:lineRule="auto"/>
        <w:rPr>
          <w:sz w:val="20"/>
          <w:szCs w:val="20"/>
          <w:color w:val="auto"/>
        </w:rPr>
      </w:pPr>
      <w:r>
        <w:rPr>
          <w:rFonts w:ascii="Arial" w:cs="Arial" w:eastAsia="Arial" w:hAnsi="Arial"/>
          <w:sz w:val="11"/>
          <w:szCs w:val="11"/>
          <w:b w:val="1"/>
          <w:bCs w:val="1"/>
          <w:i w:val="1"/>
          <w:iCs w:val="1"/>
          <w:color w:val="auto"/>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spacing w:after="0" w:line="92" w:lineRule="exact"/>
        <w:rPr>
          <w:sz w:val="20"/>
          <w:szCs w:val="20"/>
          <w:color w:val="auto"/>
        </w:rPr>
      </w:pPr>
    </w:p>
    <w:p>
      <w:pPr>
        <w:ind w:right="20" w:firstLine="324"/>
        <w:spacing w:after="0" w:line="259" w:lineRule="auto"/>
        <w:rPr>
          <w:sz w:val="20"/>
          <w:szCs w:val="20"/>
          <w:color w:val="auto"/>
        </w:rPr>
      </w:pPr>
      <w:r>
        <w:rPr>
          <w:rFonts w:ascii="Arial" w:cs="Arial" w:eastAsia="Arial" w:hAnsi="Arial"/>
          <w:sz w:val="12"/>
          <w:szCs w:val="12"/>
          <w:color w:val="auto"/>
        </w:rPr>
        <w:t>We currently interconnect with network service providers around the world to enable the use by our customers of our products over their networks. Although we are in the process of acquiring authorization in many countries for direct access to phone numbers and for the provision of voice services on the networks of network service providers, we expect that we will continue to rely on network service providers for these services. Where we don't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while we do not typically change our customers’ pricing as rapidly.</w:t>
      </w:r>
    </w:p>
    <w:p>
      <w:pPr>
        <w:spacing w:after="0" w:line="1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2"/>
          <w:szCs w:val="12"/>
          <w:color w:val="auto"/>
        </w:rPr>
        <w:t>At times, network service providers have instituted additional fees due to regulatory, competitive or other industry related changes that increase our network costs. For example, in early 2020, a major U.S. mobile carrier introduced a new Application to Person ("A2P") SMS service offering that adds a new fee for A2P SMS messages delivered to its subscribers, and other U.S. mobile carriers have added or are in the process of adding similar fees. While we have historically responded to these types of fee increases through a combination of further negotiating efforts with our network service providers, absorbing the increased costs or changing our prices to customers, there is no guarantee that we will continue to be able to do so in the future without a material negative impact to our business. In the case of these new carriers A2P SMS fees, after a short phase-in period where we absorbed the fees, we began on May 1, 2021 to pass these fees directly through to our customers who are sending SMS messages to these carriers' subscribers. We expect that this will increase our revenue and cost of revenue, but will not impact the gross profit dollars received for sending these messages. However, mathematically this will have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spacing w:after="0" w:line="128" w:lineRule="exact"/>
        <w:rPr>
          <w:sz w:val="20"/>
          <w:szCs w:val="20"/>
          <w:color w:val="auto"/>
        </w:rPr>
      </w:pPr>
    </w:p>
    <w:p>
      <w:pPr>
        <w:ind w:firstLine="324"/>
        <w:spacing w:after="0" w:line="320" w:lineRule="auto"/>
        <w:rPr>
          <w:sz w:val="20"/>
          <w:szCs w:val="20"/>
          <w:color w:val="auto"/>
        </w:rPr>
      </w:pPr>
      <w:r>
        <w:rPr>
          <w:rFonts w:ascii="Arial" w:cs="Arial" w:eastAsia="Arial" w:hAnsi="Arial"/>
          <w:sz w:val="10"/>
          <w:szCs w:val="10"/>
          <w:color w:val="auto"/>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or poor quality communications with our products, and we could encounter difficulty identifying the source of the problem. The occurrence of errors or poor 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spacing w:after="0" w:line="97" w:lineRule="exact"/>
        <w:rPr>
          <w:sz w:val="20"/>
          <w:szCs w:val="20"/>
          <w:color w:val="auto"/>
        </w:rPr>
      </w:pPr>
    </w:p>
    <w:p>
      <w:pPr>
        <w:ind w:right="80" w:firstLine="324"/>
        <w:spacing w:after="0" w:line="298" w:lineRule="auto"/>
        <w:rPr>
          <w:sz w:val="20"/>
          <w:szCs w:val="20"/>
          <w:color w:val="auto"/>
        </w:rPr>
      </w:pPr>
      <w:r>
        <w:rPr>
          <w:rFonts w:ascii="Arial" w:cs="Arial" w:eastAsia="Arial" w:hAnsi="Arial"/>
          <w:sz w:val="11"/>
          <w:szCs w:val="11"/>
          <w:color w:val="auto"/>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spacing w:after="0" w:line="10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2"/>
          <w:szCs w:val="12"/>
          <w:color w:val="auto"/>
        </w:rPr>
        <w:t>We also interconnect with internet service providers around the world to enable the use of our email products by our customers, and we expect that we will continue to rely on internet service providers for network connectivity going forward. Our reliance on internet service providers reduces our control over quality of service and exposes us to potential service outages and rate fluctuations.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Our future success depends in part on our ability to drive the adoption of our products by international customers.</w:t>
      </w:r>
    </w:p>
    <w:p>
      <w:pPr>
        <w:spacing w:after="0" w:line="150" w:lineRule="exact"/>
        <w:rPr>
          <w:sz w:val="20"/>
          <w:szCs w:val="20"/>
          <w:color w:val="auto"/>
        </w:rPr>
      </w:pPr>
    </w:p>
    <w:p>
      <w:pPr>
        <w:ind w:right="140" w:firstLine="324"/>
        <w:spacing w:after="0" w:line="276" w:lineRule="auto"/>
        <w:rPr>
          <w:sz w:val="20"/>
          <w:szCs w:val="20"/>
          <w:color w:val="auto"/>
        </w:rPr>
      </w:pPr>
      <w:r>
        <w:rPr>
          <w:rFonts w:ascii="Arial" w:cs="Arial" w:eastAsia="Arial" w:hAnsi="Arial"/>
          <w:sz w:val="12"/>
          <w:szCs w:val="12"/>
          <w:color w:val="auto"/>
        </w:rPr>
        <w:t>In the years ended December 31, 2021, 2020 and 2019, we derived 34%, 27% and 29% of our revenue, respectively, from customer accounts located outside the United States. The future success of our business will depend, in part, on our ability to expand our customer base worldwide. While we have been rapidly expanding our sales efforts internationally, our experience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28" w:name="page29"/>
    <w:bookmarkEnd w:id="28"/>
    <w:p>
      <w:pPr>
        <w:ind w:right="20"/>
        <w:spacing w:after="0" w:line="263" w:lineRule="auto"/>
        <w:rPr>
          <w:sz w:val="20"/>
          <w:szCs w:val="20"/>
          <w:color w:val="auto"/>
        </w:rPr>
      </w:pPr>
      <w:r>
        <w:rPr>
          <w:rFonts w:ascii="Arial" w:cs="Arial" w:eastAsia="Arial" w:hAnsi="Arial"/>
          <w:sz w:val="12"/>
          <w:szCs w:val="12"/>
          <w:color w:val="auto"/>
        </w:rPr>
        <w:t>in selling our products outside of the United States is, and our ability to conduct business in local currencies in certain jurisdictions may be or is, limited. Furthermore, our developer-first business model may not be successful or have the same traction outside the United States. As a result, our investment in marketing our products to these potential customers may not be successful. If we are unable to increase the revenue that we derive from international customers, then our business, results of operations and financial condition may be adversely affected.</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We are continuing to expand our international operations, which exposes us to significant risks.</w:t>
      </w:r>
    </w:p>
    <w:p>
      <w:pPr>
        <w:spacing w:after="0" w:line="150" w:lineRule="exact"/>
        <w:rPr>
          <w:sz w:val="20"/>
          <w:szCs w:val="20"/>
          <w:color w:val="auto"/>
        </w:rPr>
      </w:pPr>
    </w:p>
    <w:p>
      <w:pPr>
        <w:ind w:firstLine="324"/>
        <w:spacing w:after="0" w:line="289" w:lineRule="auto"/>
        <w:rPr>
          <w:sz w:val="20"/>
          <w:szCs w:val="20"/>
          <w:color w:val="auto"/>
        </w:rPr>
      </w:pPr>
      <w:r>
        <w:rPr>
          <w:rFonts w:ascii="Arial" w:cs="Arial" w:eastAsia="Arial" w:hAnsi="Arial"/>
          <w:sz w:val="11"/>
          <w:szCs w:val="11"/>
          <w:color w:val="auto"/>
        </w:rPr>
        <w:t>We are continuing to expand our international operations to increase our revenue from customers outside of the United States as part of our growth strategy. Between December 31, 2020 and December 31, 2021, our international headcount grew from 1,369 employees to 2,964 employees. We expect to open additional international offices and hire employees to work at these offices in order to reach new customers and gain access to additional technical talent. Operating in international markets requires significant resources and management attention and will subject us to regulatory, economic and political risks in addition to those we already face in the United States. Because of our limited experience with international operations or with developing and managing sales in international markets, our international expansion efforts may not be successful.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addition, we will face risks in doing business internationally that could adversely affect our business, including:</w:t>
      </w:r>
    </w:p>
    <w:p>
      <w:pPr>
        <w:spacing w:after="0" w:line="177" w:lineRule="exact"/>
        <w:rPr>
          <w:sz w:val="20"/>
          <w:szCs w:val="20"/>
          <w:color w:val="auto"/>
        </w:rPr>
      </w:pPr>
    </w:p>
    <w:p>
      <w:pPr>
        <w:ind w:left="640" w:hanging="216"/>
        <w:spacing w:after="0" w:line="263" w:lineRule="auto"/>
        <w:tabs>
          <w:tab w:leader="none" w:pos="637" w:val="left"/>
        </w:tabs>
        <w:numPr>
          <w:ilvl w:val="0"/>
          <w:numId w:val="25"/>
        </w:numPr>
        <w:rPr>
          <w:rFonts w:ascii="Arial" w:cs="Arial" w:eastAsia="Arial" w:hAnsi="Arial"/>
          <w:sz w:val="12"/>
          <w:szCs w:val="12"/>
          <w:color w:val="auto"/>
        </w:rPr>
      </w:pPr>
      <w:r>
        <w:rPr>
          <w:rFonts w:ascii="Arial" w:cs="Arial" w:eastAsia="Arial" w:hAnsi="Arial"/>
          <w:sz w:val="12"/>
          <w:szCs w:val="12"/>
          <w:color w:val="auto"/>
        </w:rPr>
        <w:t>any long–term impact from the United Kingdom’s withdrawal from the European Union, commonly referred to as Brexit, which formally took effect on January 31, 2020. In particular, any such long-term impact from Brexit on our business and operations will depend, in part, on the outcome of the U.K.'s continuing negotiations on a number of matters not definitively addressed in the UK-EU Trade and Cooperation Agreement and may require us to expend significant time and expense to make adjustments to our business and operations;</w:t>
      </w:r>
    </w:p>
    <w:p>
      <w:pPr>
        <w:spacing w:after="0" w:line="122" w:lineRule="exact"/>
        <w:rPr>
          <w:rFonts w:ascii="Arial" w:cs="Arial" w:eastAsia="Arial" w:hAnsi="Arial"/>
          <w:sz w:val="12"/>
          <w:szCs w:val="12"/>
          <w:color w:val="auto"/>
        </w:rPr>
      </w:pPr>
    </w:p>
    <w:p>
      <w:pPr>
        <w:ind w:left="640" w:right="280" w:hanging="216"/>
        <w:spacing w:after="0" w:line="276" w:lineRule="auto"/>
        <w:tabs>
          <w:tab w:leader="none" w:pos="637"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difficulty of managing and staffing international operations and the increased operations, travel, infrastructure and legal compliance costs associated with servicing international customers and operating numerous international locations;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ability to effectively price our products in competitive international markets;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new and different sources of competition or other changes to our current competitive landscape;</w:t>
      </w:r>
    </w:p>
    <w:p>
      <w:pPr>
        <w:spacing w:after="0" w:line="150" w:lineRule="exact"/>
        <w:rPr>
          <w:rFonts w:ascii="Arial" w:cs="Arial" w:eastAsia="Arial" w:hAnsi="Arial"/>
          <w:sz w:val="12"/>
          <w:szCs w:val="12"/>
          <w:color w:val="auto"/>
        </w:rPr>
      </w:pPr>
    </w:p>
    <w:p>
      <w:pPr>
        <w:ind w:left="640" w:right="260" w:hanging="216"/>
        <w:spacing w:after="0" w:line="276" w:lineRule="auto"/>
        <w:tabs>
          <w:tab w:leader="none" w:pos="637" w:val="left"/>
        </w:tabs>
        <w:numPr>
          <w:ilvl w:val="0"/>
          <w:numId w:val="25"/>
        </w:numPr>
        <w:rPr>
          <w:rFonts w:ascii="Arial" w:cs="Arial" w:eastAsia="Arial" w:hAnsi="Arial"/>
          <w:sz w:val="12"/>
          <w:szCs w:val="12"/>
          <w:color w:val="auto"/>
        </w:rPr>
      </w:pPr>
      <w:r>
        <w:rPr>
          <w:rFonts w:ascii="Arial" w:cs="Arial" w:eastAsia="Arial" w:hAnsi="Arial"/>
          <w:sz w:val="12"/>
          <w:szCs w:val="12"/>
          <w:color w:val="auto"/>
        </w:rPr>
        <w:t>understanding and reconciling different technical standards, data privacy and telecommunications regulations, registration and certification requirements outside the United States, which could prevent customers from deploying our products or limit their usage;</w:t>
      </w:r>
    </w:p>
    <w:p>
      <w:pPr>
        <w:spacing w:after="0" w:line="114" w:lineRule="exact"/>
        <w:rPr>
          <w:rFonts w:ascii="Arial" w:cs="Arial" w:eastAsia="Arial" w:hAnsi="Arial"/>
          <w:sz w:val="12"/>
          <w:szCs w:val="12"/>
          <w:color w:val="auto"/>
        </w:rPr>
      </w:pPr>
    </w:p>
    <w:p>
      <w:pPr>
        <w:ind w:left="640" w:hanging="216"/>
        <w:spacing w:after="0" w:line="276" w:lineRule="auto"/>
        <w:tabs>
          <w:tab w:leader="none" w:pos="637"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ability to comply with the GDPR and Brazil's General Data Protection Law (Lei Geral de Proteção de Dados Pessoais) (Law No. 13,709/2018), and laws, regulations and industry standards relating to data privacy, data protection, data localization and data security enacted in countries and other regions in which we operate or do business;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potentially greater difficulty collecting accounts receivable and longer payment cycles;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higher or more variable network service provider fees outside of the United States;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need to adapt and localize our products for specific countries;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need to offer customer support in various languages;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difficulties in understanding and complying with local laws, regulations and customs in non-U.S. jurisdictions;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5"/>
        </w:numPr>
        <w:rPr>
          <w:rFonts w:ascii="Arial" w:cs="Arial" w:eastAsia="Arial" w:hAnsi="Arial"/>
          <w:sz w:val="11"/>
          <w:szCs w:val="11"/>
          <w:color w:val="auto"/>
        </w:rPr>
      </w:pPr>
      <w:r>
        <w:rPr>
          <w:rFonts w:ascii="Arial" w:cs="Arial" w:eastAsia="Arial" w:hAnsi="Arial"/>
          <w:sz w:val="11"/>
          <w:szCs w:val="11"/>
          <w:color w:val="auto"/>
        </w:rPr>
        <w:t>compliance with export controls and economic sanctions regulations administered by the Department of Commerce's Bureau of Industry and Security and the Treasury Department’s Office of Foreign Assets Control;</w:t>
      </w:r>
    </w:p>
    <w:p>
      <w:pPr>
        <w:spacing w:after="0" w:line="161" w:lineRule="exact"/>
        <w:rPr>
          <w:rFonts w:ascii="Arial" w:cs="Arial" w:eastAsia="Arial" w:hAnsi="Arial"/>
          <w:sz w:val="11"/>
          <w:szCs w:val="11"/>
          <w:color w:val="auto"/>
        </w:rPr>
      </w:pPr>
    </w:p>
    <w:p>
      <w:pPr>
        <w:ind w:left="640" w:hanging="216"/>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compliance with various anti-bribery and anti-corruption laws such as the Foreign Corrupt Practices Act and United Kingdom Bribery Act of 2010;</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changes in international trade policies, tariffs and other non-tariff barriers, such as quotas and local content rules;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88" w:right="339" w:bottom="1440" w:gutter="0" w:footer="0" w:header="0"/>
        </w:sectPr>
      </w:pPr>
    </w:p>
    <w:bookmarkStart w:id="29" w:name="page30"/>
    <w:bookmarkEnd w:id="29"/>
    <w:p>
      <w:pPr>
        <w:ind w:left="640" w:hanging="216"/>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more limited protection for intellectual property rights in some countries;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adverse tax consequences;</w:t>
      </w:r>
    </w:p>
    <w:p>
      <w:pPr>
        <w:spacing w:after="0" w:line="150" w:lineRule="exact"/>
        <w:rPr>
          <w:rFonts w:ascii="Arial" w:cs="Arial" w:eastAsia="Arial" w:hAnsi="Arial"/>
          <w:sz w:val="12"/>
          <w:szCs w:val="12"/>
          <w:color w:val="auto"/>
        </w:rPr>
      </w:pPr>
    </w:p>
    <w:p>
      <w:pPr>
        <w:ind w:left="640" w:right="180" w:hanging="216"/>
        <w:spacing w:after="0" w:line="276" w:lineRule="auto"/>
        <w:tabs>
          <w:tab w:leader="none" w:pos="637" w:val="left"/>
        </w:tabs>
        <w:numPr>
          <w:ilvl w:val="0"/>
          <w:numId w:val="26"/>
        </w:numPr>
        <w:rPr>
          <w:rFonts w:ascii="Arial" w:cs="Arial" w:eastAsia="Arial" w:hAnsi="Arial"/>
          <w:sz w:val="12"/>
          <w:szCs w:val="12"/>
          <w:color w:val="auto"/>
        </w:rPr>
      </w:pPr>
      <w:r>
        <w:rPr>
          <w:rFonts w:ascii="Arial" w:cs="Arial" w:eastAsia="Arial" w:hAnsi="Arial"/>
          <w:sz w:val="12"/>
          <w:szCs w:val="12"/>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currency control regulations, which might restrict or prohibit our conversion of other currencies into U.S. dollars;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restrictions on the transfer of funds;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deterioration of political relations between the United States and other countries;</w:t>
      </w:r>
    </w:p>
    <w:p>
      <w:pPr>
        <w:spacing w:after="0" w:line="150" w:lineRule="exact"/>
        <w:rPr>
          <w:rFonts w:ascii="Arial" w:cs="Arial" w:eastAsia="Arial" w:hAnsi="Arial"/>
          <w:sz w:val="12"/>
          <w:szCs w:val="12"/>
          <w:color w:val="auto"/>
        </w:rPr>
      </w:pPr>
    </w:p>
    <w:p>
      <w:pPr>
        <w:ind w:left="640" w:right="80" w:hanging="216"/>
        <w:spacing w:after="0" w:line="276" w:lineRule="auto"/>
        <w:tabs>
          <w:tab w:leader="none" w:pos="637"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political or social unrest or economic instability in a specific country or region in which we operate, which could have an adverse impact on our operations in that location.</w:t>
      </w:r>
    </w:p>
    <w:p>
      <w:pPr>
        <w:spacing w:after="0" w:line="150"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color w:val="auto"/>
        </w:rPr>
        <w:t>Also, due to costs from our international expansion efforts and network service provider fees outside of the United States, which generally are higher than domestic rates, our gross margin for international customers is typically lower than our gross margin for domestic customers. As a result, our gross margin may be impacted and fluctuate as we expand our operations and customer base worldwide.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Our failure to manage any of these risks successfully could harm our international operations, and adversely affect our business, results of operations and financial condition.</w:t>
      </w:r>
    </w:p>
    <w:p>
      <w:pPr>
        <w:spacing w:after="0" w:line="150" w:lineRule="exact"/>
        <w:rPr>
          <w:sz w:val="20"/>
          <w:szCs w:val="20"/>
          <w:color w:val="auto"/>
        </w:rPr>
      </w:pPr>
    </w:p>
    <w:p>
      <w:pPr>
        <w:ind w:left="320"/>
        <w:spacing w:after="0" w:line="127" w:lineRule="exact"/>
        <w:rPr>
          <w:sz w:val="20"/>
          <w:szCs w:val="20"/>
          <w:color w:val="auto"/>
        </w:rPr>
      </w:pPr>
      <w:r>
        <w:rPr>
          <w:rFonts w:ascii="Arial" w:cs="Arial" w:eastAsia="Arial" w:hAnsi="Arial"/>
          <w:sz w:val="11"/>
          <w:szCs w:val="11"/>
          <w:b w:val="1"/>
          <w:bCs w:val="1"/>
          <w:i w:val="1"/>
          <w:iCs w:val="1"/>
          <w:color w:val="auto"/>
        </w:rPr>
        <w:t>Certain of our products are subject to telecommunications</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related regulations, and future legislative or regulatory actions could adversely affect our business, results of operations and financial condition.</w:t>
      </w:r>
    </w:p>
    <w:p>
      <w:pPr>
        <w:spacing w:after="0" w:line="162" w:lineRule="exact"/>
        <w:rPr>
          <w:sz w:val="20"/>
          <w:szCs w:val="20"/>
          <w:color w:val="auto"/>
        </w:rPr>
      </w:pPr>
    </w:p>
    <w:p>
      <w:pPr>
        <w:ind w:firstLine="324"/>
        <w:spacing w:after="0" w:line="283" w:lineRule="auto"/>
        <w:rPr>
          <w:sz w:val="20"/>
          <w:szCs w:val="20"/>
          <w:color w:val="auto"/>
        </w:rPr>
      </w:pPr>
      <w:r>
        <w:rPr>
          <w:rFonts w:ascii="Arial" w:cs="Arial" w:eastAsia="Arial" w:hAnsi="Arial"/>
          <w:sz w:val="11"/>
          <w:szCs w:val="11"/>
          <w:color w:val="auto"/>
        </w:rPr>
        <w:t>As a provider of communications products, we are subject to existing or potential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Any enforcement action by the FCC, which may be a public process, would hurt our reputation in the industry, could erode customer trust, possibly impair our ability to sell our VoIP products to customers and could adversely affect our business, results of operations and financial condition.</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Certain of our products are subject to a number of FCC regulations and laws that are administered by the FCC. Among others, we must comply (in whole or in part) with:</w:t>
      </w:r>
    </w:p>
    <w:p>
      <w:pPr>
        <w:spacing w:after="0" w:line="150" w:lineRule="exact"/>
        <w:rPr>
          <w:sz w:val="20"/>
          <w:szCs w:val="20"/>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Communications Act of 1934, as amended, which regulates communications services and the provision of such services;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Telephone Consumer Protection Act, which limits the use of automatic dialing systems for calls and texts, artificial or prerecorded voice messages and fax machines;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Communications Assistance for Law Enforcement Act, which requires covered entities to assist law enforcement in undertaking electronic surveillance;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requirements to safeguard the privacy of certain customer information;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payment of annual FCC regulatory fees and contributions to FCC-administered funds based on our interstate and international revenues; and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88" w:right="339" w:bottom="1440" w:gutter="0" w:footer="0" w:header="0"/>
        </w:sectPr>
      </w:pPr>
    </w:p>
    <w:bookmarkStart w:id="30" w:name="page31"/>
    <w:bookmarkEnd w:id="30"/>
    <w:p>
      <w:pPr>
        <w:ind w:left="640" w:hanging="216"/>
        <w:spacing w:after="0"/>
        <w:tabs>
          <w:tab w:leader="none" w:pos="6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rules pertaining to access to our services by people with disabilities and contributions to the Telecommunications Relay Services fund.</w:t>
      </w:r>
    </w:p>
    <w:p>
      <w:pPr>
        <w:spacing w:after="0" w:line="150" w:lineRule="exact"/>
        <w:rPr>
          <w:sz w:val="20"/>
          <w:szCs w:val="20"/>
          <w:color w:val="auto"/>
        </w:rPr>
      </w:pPr>
    </w:p>
    <w:p>
      <w:pPr>
        <w:ind w:right="220" w:firstLine="324"/>
        <w:spacing w:after="0" w:line="276" w:lineRule="auto"/>
        <w:rPr>
          <w:sz w:val="20"/>
          <w:szCs w:val="20"/>
          <w:color w:val="auto"/>
        </w:rPr>
      </w:pPr>
      <w:r>
        <w:rPr>
          <w:rFonts w:ascii="Arial" w:cs="Arial" w:eastAsia="Arial" w:hAnsi="Arial"/>
          <w:sz w:val="12"/>
          <w:szCs w:val="12"/>
          <w:color w:val="auto"/>
        </w:rPr>
        <w:t>In addition, Congress and the FCC are attempting to mitigate the scourge of robocalls by requiring participation in a technical standard called SHAKEN/STIR, which allows voice carriers to authenticate caller ID, prohibiting malicious spoofing.</w:t>
      </w:r>
    </w:p>
    <w:p>
      <w:pPr>
        <w:spacing w:after="0" w:line="115" w:lineRule="exact"/>
        <w:rPr>
          <w:sz w:val="20"/>
          <w:szCs w:val="20"/>
          <w:color w:val="auto"/>
        </w:rPr>
      </w:pPr>
    </w:p>
    <w:p>
      <w:pPr>
        <w:ind w:right="80" w:firstLine="324"/>
        <w:spacing w:after="0" w:line="285" w:lineRule="auto"/>
        <w:rPr>
          <w:sz w:val="20"/>
          <w:szCs w:val="20"/>
          <w:color w:val="auto"/>
        </w:rPr>
      </w:pPr>
      <w:r>
        <w:rPr>
          <w:rFonts w:ascii="Arial" w:cs="Arial" w:eastAsia="Arial" w:hAnsi="Arial"/>
          <w:sz w:val="11"/>
          <w:szCs w:val="11"/>
          <w:color w:val="auto"/>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spacing w:after="0" w:line="113" w:lineRule="exact"/>
        <w:rPr>
          <w:sz w:val="20"/>
          <w:szCs w:val="20"/>
          <w:color w:val="auto"/>
        </w:rPr>
      </w:pPr>
    </w:p>
    <w:p>
      <w:pPr>
        <w:ind w:right="140" w:firstLine="324"/>
        <w:spacing w:after="0" w:line="323" w:lineRule="auto"/>
        <w:rPr>
          <w:sz w:val="20"/>
          <w:szCs w:val="20"/>
          <w:color w:val="auto"/>
        </w:rPr>
      </w:pPr>
      <w:r>
        <w:rPr>
          <w:rFonts w:ascii="Arial" w:cs="Arial" w:eastAsia="Arial" w:hAnsi="Arial"/>
          <w:sz w:val="11"/>
          <w:szCs w:val="11"/>
          <w:color w:val="auto"/>
        </w:rPr>
        <w:t>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w:t>
      </w:r>
    </w:p>
    <w:p>
      <w:pPr>
        <w:spacing w:after="0" w:line="92" w:lineRule="exact"/>
        <w:rPr>
          <w:sz w:val="20"/>
          <w:szCs w:val="20"/>
          <w:color w:val="auto"/>
        </w:rPr>
      </w:pPr>
    </w:p>
    <w:p>
      <w:pPr>
        <w:ind w:right="200" w:firstLine="324"/>
        <w:spacing w:after="0" w:line="276" w:lineRule="auto"/>
        <w:rPr>
          <w:sz w:val="20"/>
          <w:szCs w:val="20"/>
          <w:color w:val="auto"/>
        </w:rPr>
      </w:pPr>
      <w:r>
        <w:rPr>
          <w:rFonts w:ascii="Arial" w:cs="Arial" w:eastAsia="Arial" w:hAnsi="Arial"/>
          <w:sz w:val="12"/>
          <w:szCs w:val="12"/>
          <w:color w:val="auto"/>
        </w:rPr>
        <w:t>As we continue to expand internationally, we have become subject to telecommunications laws and regulations in the foreign countries where we offer our products. Internationally, we currently offer our products in over 180 countries.</w:t>
      </w:r>
    </w:p>
    <w:p>
      <w:pPr>
        <w:spacing w:after="0" w:line="115" w:lineRule="exact"/>
        <w:rPr>
          <w:sz w:val="20"/>
          <w:szCs w:val="20"/>
          <w:color w:val="auto"/>
        </w:rPr>
      </w:pPr>
    </w:p>
    <w:p>
      <w:pPr>
        <w:ind w:firstLine="324"/>
        <w:spacing w:after="0" w:line="278" w:lineRule="auto"/>
        <w:rPr>
          <w:sz w:val="20"/>
          <w:szCs w:val="20"/>
          <w:color w:val="auto"/>
        </w:rPr>
      </w:pPr>
      <w:r>
        <w:rPr>
          <w:rFonts w:ascii="Arial" w:cs="Arial" w:eastAsia="Arial" w:hAnsi="Arial"/>
          <w:sz w:val="11"/>
          <w:szCs w:val="11"/>
          <w:color w:val="auto"/>
        </w:rPr>
        <w:t>Our international operations are subject to country-specific governmental regulation and related actions that have increased and will continue to increase our costs or impact our products and platform or prevent us from offering or providing our products in certain countries. Moreover, the regulation of communications platform-as-a-service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Specifically, the Australian Communications and Media Authority in 2019 issued a formal finding against several companies, including our Company, for failure to upload data into a centralized database for emergency services and, in the future, regulatory authorities in other jurisdictions in which we operate may also determine that we are a telecommunications company subject to similar regulations.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spacing w:after="0" w:line="119"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2"/>
          <w:szCs w:val="12"/>
          <w:color w:val="auto"/>
        </w:rPr>
        <w:t>Moreover,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31" w:name="page32"/>
    <w:bookmarkEnd w:id="31"/>
    <w:p>
      <w:pPr>
        <w:ind w:right="60" w:firstLine="324"/>
        <w:spacing w:after="0" w:line="149" w:lineRule="exact"/>
        <w:rPr>
          <w:sz w:val="20"/>
          <w:szCs w:val="20"/>
          <w:color w:val="auto"/>
        </w:rPr>
      </w:pPr>
      <w:r>
        <w:rPr>
          <w:rFonts w:ascii="Arial" w:cs="Arial" w:eastAsia="Arial" w:hAnsi="Arial"/>
          <w:sz w:val="12"/>
          <w:szCs w:val="12"/>
          <w:b w:val="1"/>
          <w:bCs w:val="1"/>
          <w:i w:val="1"/>
          <w:iCs w:val="1"/>
          <w:color w:val="auto"/>
        </w:rPr>
        <w:t>If we are unable to obtain or retain geographical, mobile, regional, local or toll</w:t>
      </w:r>
      <w:r>
        <w:rPr>
          <w:rFonts w:ascii="MS PGothic" w:cs="MS PGothic" w:eastAsia="MS PGothic" w:hAnsi="MS PGothic"/>
          <w:sz w:val="12"/>
          <w:szCs w:val="12"/>
          <w:color w:val="auto"/>
        </w:rPr>
        <w:t>‑</w:t>
      </w:r>
      <w:r>
        <w:rPr>
          <w:rFonts w:ascii="Arial" w:cs="Arial" w:eastAsia="Arial" w:hAnsi="Arial"/>
          <w:sz w:val="12"/>
          <w:szCs w:val="12"/>
          <w:b w:val="1"/>
          <w:bCs w:val="1"/>
          <w:i w:val="1"/>
          <w:iCs w:val="1"/>
          <w:color w:val="auto"/>
        </w:rPr>
        <w:t>free numbers, or to effectively process requests to port such numbers in a timely manner due to industry regulations, our business and results of operations may be adversely affected.</w:t>
      </w:r>
    </w:p>
    <w:p>
      <w:pPr>
        <w:spacing w:after="0" w:line="13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1"/>
          <w:szCs w:val="11"/>
          <w:color w:val="auto"/>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spacing w:after="0" w:line="111" w:lineRule="exact"/>
        <w:rPr>
          <w:sz w:val="20"/>
          <w:szCs w:val="20"/>
          <w:color w:val="auto"/>
        </w:rPr>
      </w:pPr>
    </w:p>
    <w:p>
      <w:pPr>
        <w:ind w:firstLine="324"/>
        <w:spacing w:after="0" w:line="279" w:lineRule="auto"/>
        <w:rPr>
          <w:sz w:val="20"/>
          <w:szCs w:val="20"/>
          <w:color w:val="auto"/>
        </w:rPr>
      </w:pPr>
      <w:r>
        <w:rPr>
          <w:rFonts w:ascii="Arial" w:cs="Arial" w:eastAsia="Arial" w:hAnsi="Arial"/>
          <w:sz w:val="11"/>
          <w:szCs w:val="11"/>
          <w:color w:val="auto"/>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spacing w:after="0" w:line="117" w:lineRule="exact"/>
        <w:rPr>
          <w:sz w:val="20"/>
          <w:szCs w:val="20"/>
          <w:color w:val="auto"/>
        </w:rPr>
      </w:pPr>
    </w:p>
    <w:p>
      <w:pPr>
        <w:ind w:right="20" w:firstLine="324"/>
        <w:spacing w:after="0" w:line="289" w:lineRule="auto"/>
        <w:rPr>
          <w:sz w:val="20"/>
          <w:szCs w:val="20"/>
          <w:color w:val="auto"/>
        </w:rPr>
      </w:pPr>
      <w:r>
        <w:rPr>
          <w:rFonts w:ascii="Arial" w:cs="Arial" w:eastAsia="Arial" w:hAnsi="Arial"/>
          <w:sz w:val="11"/>
          <w:szCs w:val="11"/>
          <w:color w:val="auto"/>
        </w:rPr>
        <w:t>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w:t>
      </w:r>
    </w:p>
    <w:p>
      <w:pPr>
        <w:spacing w:after="0" w:line="111" w:lineRule="exact"/>
        <w:rPr>
          <w:sz w:val="20"/>
          <w:szCs w:val="20"/>
          <w:color w:val="auto"/>
        </w:rPr>
      </w:pPr>
    </w:p>
    <w:p>
      <w:pPr>
        <w:ind w:right="220" w:firstLine="324"/>
        <w:spacing w:after="0" w:line="289" w:lineRule="auto"/>
        <w:rPr>
          <w:sz w:val="20"/>
          <w:szCs w:val="20"/>
          <w:color w:val="auto"/>
        </w:rPr>
      </w:pPr>
      <w:r>
        <w:rPr>
          <w:rFonts w:ascii="Arial" w:cs="Arial" w:eastAsia="Arial" w:hAnsi="Arial"/>
          <w:sz w:val="11"/>
          <w:szCs w:val="11"/>
          <w:color w:val="auto"/>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Any of the foregoing factors could adversely affect our business, results of operations and financial condition.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32" w:name="page33"/>
    <w:bookmarkEnd w:id="32"/>
    <w:p>
      <w:pPr>
        <w:ind w:right="320" w:firstLine="324"/>
        <w:spacing w:after="0" w:line="276" w:lineRule="auto"/>
        <w:rPr>
          <w:sz w:val="20"/>
          <w:szCs w:val="20"/>
          <w:color w:val="auto"/>
        </w:rPr>
      </w:pPr>
      <w:r>
        <w:rPr>
          <w:rFonts w:ascii="Arial" w:cs="Arial" w:eastAsia="Arial" w:hAnsi="Arial"/>
          <w:sz w:val="12"/>
          <w:szCs w:val="12"/>
          <w:b w:val="1"/>
          <w:bCs w:val="1"/>
          <w:i w:val="1"/>
          <w:iCs w:val="1"/>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11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2"/>
          <w:szCs w:val="12"/>
          <w:color w:val="auto"/>
        </w:rPr>
        <w:t>The market for communications in general, and cloud communications in particular, is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new products that satisfy our customers and provide enhancements and new features for our existing products that keep pace with rapid technological and industry change, including but not limited to SHAKEN/STIR and applicable industry standards, our business, results of operations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2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2"/>
          <w:szCs w:val="12"/>
          <w:color w:val="auto"/>
        </w:rPr>
        <w:t>Our platform must integrate with a variety of network, hardware, mobile and software platforms and technologies, and we need to continuously modify and enhance our products and platform to adapt to changes and innovation in these technologies. For example, Apple, Google and other cell-phone operating system providers or inbox service providers have developed and, may in the future develop, new applications or functions intended to filter spam and unwanted phone calls, messages or emails. Third party platforms may also implement changes to their privacy policies or practices that may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spacing w:after="0" w:line="128" w:lineRule="exact"/>
        <w:rPr>
          <w:sz w:val="20"/>
          <w:szCs w:val="20"/>
          <w:color w:val="auto"/>
        </w:rPr>
      </w:pPr>
    </w:p>
    <w:p>
      <w:pPr>
        <w:ind w:right="60" w:firstLine="324"/>
        <w:spacing w:after="0" w:line="276" w:lineRule="auto"/>
        <w:rPr>
          <w:sz w:val="20"/>
          <w:szCs w:val="20"/>
          <w:color w:val="auto"/>
        </w:rPr>
      </w:pPr>
      <w:r>
        <w:rPr>
          <w:rFonts w:ascii="Arial" w:cs="Arial" w:eastAsia="Arial" w:hAnsi="Arial"/>
          <w:sz w:val="12"/>
          <w:szCs w:val="12"/>
          <w:b w:val="1"/>
          <w:bCs w:val="1"/>
          <w:i w:val="1"/>
          <w:iCs w:val="1"/>
          <w:color w:val="auto"/>
        </w:rPr>
        <w:t>We substantially rely upon Amazon Web Services to operate our platform, and any disruption of or interference with our use of Amazon Web Services would adversely affect our business, results of operations and financial condition.</w:t>
      </w:r>
    </w:p>
    <w:p>
      <w:pPr>
        <w:spacing w:after="0" w:line="115" w:lineRule="exact"/>
        <w:rPr>
          <w:sz w:val="20"/>
          <w:szCs w:val="20"/>
          <w:color w:val="auto"/>
        </w:rPr>
      </w:pPr>
    </w:p>
    <w:p>
      <w:pPr>
        <w:ind w:firstLine="324"/>
        <w:spacing w:after="0" w:line="279" w:lineRule="auto"/>
        <w:rPr>
          <w:sz w:val="20"/>
          <w:szCs w:val="20"/>
          <w:color w:val="auto"/>
        </w:rPr>
      </w:pPr>
      <w:r>
        <w:rPr>
          <w:rFonts w:ascii="Arial" w:cs="Arial" w:eastAsia="Arial" w:hAnsi="Arial"/>
          <w:sz w:val="11"/>
          <w:szCs w:val="11"/>
          <w:color w:val="auto"/>
        </w:rPr>
        <w:t>We outsource a substantial majority of our cloud infrastructure to Amazon Web Services (“AWS”), which hosts our products and platform.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Capacity constraints could be due to a number of potential causes, including technical failures, natural disasters, pandemics such as COVID-19, fraud or security attacks. In addition, if our security, or that of AWS, is compromised, or our products or platform are unavailable or our users are unable to use our products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products become more complex and the usage of our products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 result in negative publicity which could harm our reputation and brand and may adversely affect the usage of our platform.</w:t>
      </w:r>
    </w:p>
    <w:p>
      <w:pPr>
        <w:spacing w:after="0" w:line="117" w:lineRule="exact"/>
        <w:rPr>
          <w:sz w:val="20"/>
          <w:szCs w:val="20"/>
          <w:color w:val="auto"/>
        </w:rPr>
      </w:pPr>
    </w:p>
    <w:p>
      <w:pPr>
        <w:ind w:right="60" w:firstLine="324"/>
        <w:spacing w:after="0" w:line="256" w:lineRule="auto"/>
        <w:rPr>
          <w:sz w:val="20"/>
          <w:szCs w:val="20"/>
          <w:color w:val="auto"/>
        </w:rPr>
      </w:pPr>
      <w:r>
        <w:rPr>
          <w:rFonts w:ascii="Arial" w:cs="Arial" w:eastAsia="Arial" w:hAnsi="Arial"/>
          <w:sz w:val="12"/>
          <w:szCs w:val="12"/>
          <w:color w:val="auto"/>
        </w:rPr>
        <w:t>The substantial majority of the services we use from AWS are for cloud-based server capacity and, to a lesser extent, storage and other optimization offerings. AWS enables us to order and reserve server capacity in varying amounts and sizes distributed across multiple regions. We access AWS infrastructure through standard IP connectivity. AWS provides us with computing and storage capacity pursuant to an agreement that continues until terminated by either party. AWS may terminate the agreement for cause upon notice and upon our failure to cure a breach within 30 days from the date of such notification and may, in some cases, suspend the agreement immediately for cause upon notice. Although we expect that we could receive similar services from other third parties, if any of our arrangements with AWS are terminated, we could experience interruptions on our platform and in our ability to make our products available to customers, as well as delays and additional expenses in arranging alternative cloud infrastructure services.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33" w:name="page34"/>
    <w:bookmarkEnd w:id="33"/>
    <w:p>
      <w:pPr>
        <w:ind w:right="40" w:firstLine="324"/>
        <w:spacing w:after="0" w:line="276" w:lineRule="auto"/>
        <w:rPr>
          <w:sz w:val="20"/>
          <w:szCs w:val="20"/>
          <w:color w:val="auto"/>
        </w:rPr>
      </w:pPr>
      <w:r>
        <w:rPr>
          <w:rFonts w:ascii="Arial" w:cs="Arial" w:eastAsia="Arial" w:hAnsi="Arial"/>
          <w:sz w:val="12"/>
          <w:szCs w:val="12"/>
          <w:color w:val="auto"/>
        </w:rPr>
        <w:t>Any of the above circumstances or events may harm our reputation, erode customer trust,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15" w:lineRule="exact"/>
        <w:rPr>
          <w:sz w:val="20"/>
          <w:szCs w:val="20"/>
          <w:color w:val="auto"/>
        </w:rPr>
      </w:pPr>
    </w:p>
    <w:p>
      <w:pPr>
        <w:ind w:right="20" w:firstLine="324"/>
        <w:spacing w:after="0" w:line="276" w:lineRule="auto"/>
        <w:rPr>
          <w:sz w:val="20"/>
          <w:szCs w:val="20"/>
          <w:color w:val="auto"/>
        </w:rPr>
      </w:pPr>
      <w:r>
        <w:rPr>
          <w:rFonts w:ascii="Arial" w:cs="Arial" w:eastAsia="Arial" w:hAnsi="Arial"/>
          <w:sz w:val="12"/>
          <w:szCs w:val="12"/>
          <w:b w:val="1"/>
          <w:bCs w:val="1"/>
          <w:i w:val="1"/>
          <w:iCs w:val="1"/>
          <w:color w:val="auto"/>
        </w:rPr>
        <w:t>We typically provide monthly uptime service level commitments of a minimum of 99.95% under our agreements with customers. If we fail to meet these contractual commitments, then our business, results of operations and financial condition could be adversely affected.</w:t>
      </w:r>
    </w:p>
    <w:p>
      <w:pPr>
        <w:spacing w:after="0" w:line="115" w:lineRule="exact"/>
        <w:rPr>
          <w:sz w:val="20"/>
          <w:szCs w:val="20"/>
          <w:color w:val="auto"/>
        </w:rPr>
      </w:pPr>
    </w:p>
    <w:p>
      <w:pPr>
        <w:ind w:right="20" w:firstLine="324"/>
        <w:spacing w:after="0" w:line="281" w:lineRule="auto"/>
        <w:rPr>
          <w:sz w:val="20"/>
          <w:szCs w:val="20"/>
          <w:color w:val="auto"/>
        </w:rPr>
      </w:pPr>
      <w:r>
        <w:rPr>
          <w:rFonts w:ascii="Arial" w:cs="Arial" w:eastAsia="Arial" w:hAnsi="Arial"/>
          <w:sz w:val="11"/>
          <w:szCs w:val="11"/>
          <w:color w:val="auto"/>
        </w:rPr>
        <w:t>Our agreements with customers typically provide for service level commitments. If we suffer extended periods of downtime for our products or platform and we are unable to meet these commitments, then we are contractually obligated to provide a service credit, which is typically 10% of the customer’s amounts due for the month in question. For example, on February 26, 2021, a critical feature enablement service on our platform became overloaded, which resulted in connection issues across multiple products in our cloud communications platform that affected our customers for a limited number of hours. The service disruption had a widespread impact on our customers’ ability to use several of our products. We incurred certain costs associated with offering credits to our affected customers, but the overall impact was not material to our business. We may also ultimately lose or see reduced utilization of our products by one or more customers as a result of the outage. In addition, the performance and availability of AWS or other service providers that provide our cloud infrastructures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 and erode customer trust.</w:t>
      </w:r>
    </w:p>
    <w:p>
      <w:pPr>
        <w:spacing w:after="0" w:line="115" w:lineRule="exact"/>
        <w:rPr>
          <w:sz w:val="20"/>
          <w:szCs w:val="20"/>
          <w:color w:val="auto"/>
        </w:rPr>
      </w:pPr>
    </w:p>
    <w:p>
      <w:pPr>
        <w:ind w:firstLine="324"/>
        <w:spacing w:after="0" w:line="379" w:lineRule="auto"/>
        <w:rPr>
          <w:sz w:val="20"/>
          <w:szCs w:val="20"/>
          <w:color w:val="auto"/>
        </w:rPr>
      </w:pPr>
      <w:r>
        <w:rPr>
          <w:rFonts w:ascii="Arial" w:cs="Arial" w:eastAsia="Arial" w:hAnsi="Arial"/>
          <w:sz w:val="10"/>
          <w:szCs w:val="10"/>
          <w:b w:val="1"/>
          <w:bCs w:val="1"/>
          <w:i w:val="1"/>
          <w:iCs w:val="1"/>
          <w:color w:val="auto"/>
        </w:rPr>
        <w:t>Breaches of our networks or systems, or those of AWS or our service providers, could degrade our ability to conduct our business, compromise the integrity of our products, platform and data,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6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1"/>
          <w:szCs w:val="11"/>
          <w:color w:val="auto"/>
        </w:rPr>
        <w:t>We depend upon our IT systems to conduct virtually all of our business operations, ranging from our internal operations and research and development activities to our marketing and sales efforts and communications with our customers and business partners.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0"/>
          <w:szCs w:val="10"/>
          <w:color w:val="auto"/>
        </w:rPr>
        <w:t>Individuals or entities may attempt to penetrate our network security, or that of our platform,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targeted in the past. In addition to threats from traditional computer hackers, malicious code, software vulnerabilities, supply chain attacks and vulnerabilities through our third-party partners, employees theft or misuse, password spraying, phishing,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w:t>
      </w:r>
    </w:p>
    <w:p>
      <w:pPr>
        <w:spacing w:after="0" w:line="3" w:lineRule="exact"/>
        <w:rPr>
          <w:sz w:val="20"/>
          <w:szCs w:val="20"/>
          <w:color w:val="auto"/>
        </w:rPr>
      </w:pPr>
    </w:p>
    <w:p>
      <w:pPr>
        <w:ind w:right="40"/>
        <w:spacing w:after="0" w:line="246" w:lineRule="auto"/>
        <w:rPr>
          <w:sz w:val="20"/>
          <w:szCs w:val="20"/>
          <w:color w:val="auto"/>
        </w:rPr>
      </w:pPr>
      <w:r>
        <w:rPr>
          <w:rFonts w:ascii="Arial" w:cs="Arial" w:eastAsia="Arial" w:hAnsi="Arial"/>
          <w:sz w:val="11"/>
          <w:szCs w:val="11"/>
          <w:color w:val="auto"/>
        </w:rPr>
        <w:t>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The COVID-19 pandemic and our remote workforce also pose increased risks to our IT systems and data. While we devote significant financial and employee resources to implement and maintain security measures, because the techniques used by such individuals or entities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to deploy our IT resources in a safe and secure manner that does not expose our network systems to security breaches or the loss of data. We have been and expect to be subject to cybersecurity threats and incidents, including denial-of-service attacks, employee errors or individual attempts to gain unauthorized access to information systems. Any data security incidents, including internal malfeasance or inadvertent disclosures by our employees or a third party's fraudulent inducement of our employees to disclose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34" w:name="page35"/>
    <w:bookmarkEnd w:id="34"/>
    <w:p>
      <w:pPr>
        <w:jc w:val="both"/>
        <w:ind w:right="140"/>
        <w:spacing w:after="0" w:line="234" w:lineRule="auto"/>
        <w:rPr>
          <w:sz w:val="20"/>
          <w:szCs w:val="20"/>
          <w:color w:val="auto"/>
        </w:rPr>
      </w:pPr>
      <w:r>
        <w:rPr>
          <w:rFonts w:ascii="Arial" w:cs="Arial" w:eastAsia="Arial" w:hAnsi="Arial"/>
          <w:sz w:val="12"/>
          <w:szCs w:val="12"/>
          <w:color w:val="auto"/>
        </w:rPr>
        <w:t>information, unauthorized access or usage, virus or similar breach or disruption of us or our service providers, such as AWS, could result in loss of confidential information, damage to our reputation, erosion of customer trust, loss of customers, litigation, regulatory investigations, fines, penalties and other liabilities. For example, in 2020, SolarWinds Inc., one of our third party software service providers, was subject to a data security incident. We have completed our investigations of this incident and concluded that there was no adverse impact to us.</w:t>
      </w:r>
    </w:p>
    <w:p>
      <w:pPr>
        <w:spacing w:after="0" w:line="127" w:lineRule="exact"/>
        <w:rPr>
          <w:sz w:val="20"/>
          <w:szCs w:val="20"/>
          <w:color w:val="auto"/>
        </w:rPr>
      </w:pPr>
    </w:p>
    <w:p>
      <w:pPr>
        <w:ind w:right="80" w:firstLine="324"/>
        <w:spacing w:after="0" w:line="280" w:lineRule="auto"/>
        <w:rPr>
          <w:sz w:val="20"/>
          <w:szCs w:val="20"/>
          <w:color w:val="auto"/>
        </w:rPr>
      </w:pPr>
      <w:r>
        <w:rPr>
          <w:rFonts w:ascii="Arial" w:cs="Arial" w:eastAsia="Arial" w:hAnsi="Arial"/>
          <w:sz w:val="11"/>
          <w:szCs w:val="11"/>
          <w:color w:val="auto"/>
        </w:rPr>
        <w:t>Furthermore, we are required to comply with laws and regulations that require us to maintain the security of personal information and we may have contractual and other legal obligations to notify customers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could lead to negative publicity, may cause our customers to lose confidence in the effectiveness of our security measures and require us to expend significant capital and other resources to respond to and/or mitigate the security breach. Accordingly, if our cybersecurity measures or those of AWS or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w:t>
      </w:r>
    </w:p>
    <w:p>
      <w:pPr>
        <w:spacing w:after="0" w:line="115" w:lineRule="exact"/>
        <w:rPr>
          <w:sz w:val="20"/>
          <w:szCs w:val="20"/>
          <w:color w:val="auto"/>
        </w:rPr>
      </w:pPr>
    </w:p>
    <w:p>
      <w:pPr>
        <w:ind w:right="260" w:firstLine="324"/>
        <w:spacing w:after="0" w:line="323" w:lineRule="auto"/>
        <w:rPr>
          <w:sz w:val="20"/>
          <w:szCs w:val="20"/>
          <w:color w:val="auto"/>
        </w:rPr>
      </w:pPr>
      <w:r>
        <w:rPr>
          <w:rFonts w:ascii="Arial" w:cs="Arial" w:eastAsia="Arial" w:hAnsi="Arial"/>
          <w:sz w:val="11"/>
          <w:szCs w:val="11"/>
          <w:color w:val="auto"/>
        </w:rPr>
        <w:t>While we maintain errors, omissions and cyber liability insurance policies covering certain security and privacy damages, we cannot be certain that our existing insurance coverage will continue to be available on acceptable terms or will be available, and in sufficient amounts, to cover the potentially significant losses that may result from a security incident or breach or that the insurer will not deny coverage as to any future claim.</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Defects or errors in our products could diminish demand for our products, harm our business and results of operations and subject us to liability.</w:t>
      </w:r>
    </w:p>
    <w:p>
      <w:pPr>
        <w:spacing w:after="0" w:line="150" w:lineRule="exact"/>
        <w:rPr>
          <w:sz w:val="20"/>
          <w:szCs w:val="20"/>
          <w:color w:val="auto"/>
        </w:rPr>
      </w:pPr>
    </w:p>
    <w:p>
      <w:pPr>
        <w:ind w:firstLine="324"/>
        <w:spacing w:after="0" w:line="255" w:lineRule="auto"/>
        <w:rPr>
          <w:sz w:val="20"/>
          <w:szCs w:val="20"/>
          <w:color w:val="auto"/>
        </w:rPr>
      </w:pPr>
      <w:r>
        <w:rPr>
          <w:rFonts w:ascii="Arial" w:cs="Arial" w:eastAsia="Arial" w:hAnsi="Arial"/>
          <w:sz w:val="12"/>
          <w:szCs w:val="12"/>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and erode customer trust.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products. As a result, our reputation and our brand could be harmed, and our business, results of operations and financial condition may be adversely affected.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1"/>
          <w:szCs w:val="11"/>
          <w:b w:val="1"/>
          <w:bCs w:val="1"/>
          <w:i w:val="1"/>
          <w:iCs w:val="1"/>
          <w:color w:val="auto"/>
        </w:rPr>
        <w:t>We currently generate significant revenue from our largest customers, and the loss or decline in revenue from any of these customers could harm our business, results of operations and financial condition.</w:t>
      </w:r>
    </w:p>
    <w:p>
      <w:pPr>
        <w:spacing w:after="0" w:line="162"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In the years ended December 31, 2021, 2020 and 2019, our 10 largest Active Customer Accounts generated an aggregate of 11%, 14% and 13% of our revenue, respectively. In the event that any of our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35" w:right="319" w:bottom="1440" w:gutter="0" w:footer="0" w:header="0"/>
        </w:sectPr>
      </w:pPr>
    </w:p>
    <w:bookmarkStart w:id="35" w:name="page36"/>
    <w:bookmarkEnd w:id="35"/>
    <w:p>
      <w:pPr>
        <w:ind w:left="320"/>
        <w:spacing w:after="0"/>
        <w:rPr>
          <w:sz w:val="20"/>
          <w:szCs w:val="20"/>
          <w:color w:val="auto"/>
        </w:rPr>
      </w:pPr>
      <w:r>
        <w:rPr>
          <w:rFonts w:ascii="Arial" w:cs="Arial" w:eastAsia="Arial" w:hAnsi="Arial"/>
          <w:sz w:val="12"/>
          <w:szCs w:val="12"/>
          <w:b w:val="1"/>
          <w:bCs w:val="1"/>
          <w:i w:val="1"/>
          <w:iCs w:val="1"/>
          <w:color w:val="auto"/>
        </w:rPr>
        <w:t>If we are unable to develop and maintain successful relationships with consulting partners, our business, results of operations and financial condition could be adversely affected.</w:t>
      </w:r>
    </w:p>
    <w:p>
      <w:pPr>
        <w:spacing w:after="0" w:line="150" w:lineRule="exact"/>
        <w:rPr>
          <w:sz w:val="20"/>
          <w:szCs w:val="20"/>
          <w:color w:val="auto"/>
        </w:rPr>
      </w:pPr>
    </w:p>
    <w:p>
      <w:pPr>
        <w:ind w:firstLine="324"/>
        <w:spacing w:after="0" w:line="147" w:lineRule="exact"/>
        <w:rPr>
          <w:sz w:val="20"/>
          <w:szCs w:val="20"/>
          <w:color w:val="auto"/>
        </w:rPr>
      </w:pPr>
      <w:r>
        <w:rPr>
          <w:rFonts w:ascii="Arial" w:cs="Arial" w:eastAsia="Arial" w:hAnsi="Arial"/>
          <w:sz w:val="12"/>
          <w:szCs w:val="12"/>
          <w:color w:val="auto"/>
        </w:rPr>
        <w:t>We believe that continued growth of our business depends in part upon identifying, developing and maintaining strategic relationships with consulting partners. As part of our growth strategy, we intend to further develop partnerships and specific solution areas with consulting partners. If we fail to establish these relationships in a timely and cost</w:t>
      </w:r>
      <w:r>
        <w:rPr>
          <w:rFonts w:ascii="MS PGothic" w:cs="MS PGothic" w:eastAsia="MS PGothic" w:hAnsi="MS PGothic"/>
          <w:sz w:val="12"/>
          <w:szCs w:val="12"/>
          <w:color w:val="auto"/>
        </w:rPr>
        <w:t>‑</w:t>
      </w:r>
      <w:r>
        <w:rPr>
          <w:rFonts w:ascii="Arial" w:cs="Arial" w:eastAsia="Arial" w:hAnsi="Arial"/>
          <w:sz w:val="12"/>
          <w:szCs w:val="12"/>
          <w:color w:val="auto"/>
        </w:rPr>
        <w:t>effective manner, or at all, then our business, results of operations and financial condition could be adversely affected. Additionally, even if we are successful at developing these relationships but there are problems or issues with the integrations or enterprises are not willing to purchase through consulting partners, our reputation and ability to grow our business may be adversely affected.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0"/>
          <w:szCs w:val="10"/>
          <w:b w:val="1"/>
          <w:bCs w:val="1"/>
          <w:i w:val="1"/>
          <w:iCs w:val="1"/>
          <w:color w:val="auto"/>
        </w:rPr>
        <w:t>Any failure to offer high quality customer support may adversely affect our relationships with our customers and prospective customers, and adversely affect our business, results of operations and financial condition.</w:t>
      </w:r>
    </w:p>
    <w:p>
      <w:pPr>
        <w:spacing w:after="0" w:line="173" w:lineRule="exact"/>
        <w:rPr>
          <w:sz w:val="20"/>
          <w:szCs w:val="20"/>
          <w:color w:val="auto"/>
        </w:rPr>
      </w:pPr>
    </w:p>
    <w:p>
      <w:pPr>
        <w:ind w:firstLine="324"/>
        <w:spacing w:after="0" w:line="146" w:lineRule="exact"/>
        <w:rPr>
          <w:sz w:val="20"/>
          <w:szCs w:val="20"/>
          <w:color w:val="auto"/>
        </w:rPr>
      </w:pPr>
      <w:r>
        <w:rPr>
          <w:rFonts w:ascii="Arial" w:cs="Arial" w:eastAsia="Arial" w:hAnsi="Arial"/>
          <w:sz w:val="11"/>
          <w:szCs w:val="11"/>
          <w:color w:val="auto"/>
        </w:rPr>
        <w:t>Many of our customers depend on our customer support team to assist them in deploying our products effectively to help them to resolve post</w:t>
      </w:r>
      <w:r>
        <w:rPr>
          <w:rFonts w:ascii="MS PGothic" w:cs="MS PGothic" w:eastAsia="MS PGothic" w:hAnsi="MS PGothic"/>
          <w:sz w:val="11"/>
          <w:szCs w:val="11"/>
          <w:color w:val="auto"/>
        </w:rPr>
        <w:t>‑</w:t>
      </w:r>
      <w:r>
        <w:rPr>
          <w:rFonts w:ascii="Arial" w:cs="Arial" w:eastAsia="Arial" w:hAnsi="Arial"/>
          <w:sz w:val="11"/>
          <w:szCs w:val="11"/>
          <w:color w:val="auto"/>
        </w:rPr>
        <w: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w:t>
      </w:r>
      <w:r>
        <w:rPr>
          <w:rFonts w:ascii="MS PGothic" w:cs="MS PGothic" w:eastAsia="MS PGothic" w:hAnsi="MS PGothic"/>
          <w:sz w:val="11"/>
          <w:szCs w:val="11"/>
          <w:color w:val="auto"/>
        </w:rPr>
        <w:t>‑</w:t>
      </w:r>
      <w:r>
        <w:rPr>
          <w:rFonts w:ascii="Arial" w:cs="Arial" w:eastAsia="Arial" w:hAnsi="Arial"/>
          <w:sz w:val="11"/>
          <w:szCs w:val="11"/>
          <w:color w:val="auto"/>
        </w:rPr>
        <w: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developers.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Failure to set optimal prices for our products could adversely impact our business, results of operations and financial condition.</w:t>
      </w:r>
    </w:p>
    <w:p>
      <w:pPr>
        <w:spacing w:after="0" w:line="15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2"/>
          <w:szCs w:val="12"/>
          <w:color w:val="auto"/>
        </w:rPr>
        <w:t>For certain of our products, we primarily charge our customers based on their use of such products ("usage-based pricing"). One of the challenges to our usage-based pricing is that the fees that we pay to network service providers over whose networks we transmit communications can vary daily or weekly and are affected by volume and other factors that may be outside of our control and difficult to predict. This can result in us incurring increased costs that we may be unable or unwilling to pass through to our customers, which could adversely impact our business, results of operations and financial condition.</w:t>
      </w:r>
    </w:p>
    <w:p>
      <w:pPr>
        <w:spacing w:after="0" w:line="122" w:lineRule="exact"/>
        <w:rPr>
          <w:sz w:val="20"/>
          <w:szCs w:val="20"/>
          <w:color w:val="auto"/>
        </w:rPr>
      </w:pPr>
    </w:p>
    <w:p>
      <w:pPr>
        <w:ind w:right="20" w:firstLine="324"/>
        <w:spacing w:after="0" w:line="146" w:lineRule="exact"/>
        <w:rPr>
          <w:sz w:val="20"/>
          <w:szCs w:val="20"/>
          <w:color w:val="auto"/>
        </w:rPr>
      </w:pPr>
      <w:r>
        <w:rPr>
          <w:rFonts w:ascii="Arial" w:cs="Arial" w:eastAsia="Arial" w:hAnsi="Arial"/>
          <w:sz w:val="12"/>
          <w:szCs w:val="12"/>
          <w:color w:val="auto"/>
        </w:rPr>
        <w:t>We expect that we may need to change our pricing from time to time. In the past, we have sometimes reduced our prices either for individual customers in connection with long</w:t>
      </w:r>
      <w:r>
        <w:rPr>
          <w:rFonts w:ascii="MS PGothic" w:cs="MS PGothic" w:eastAsia="MS PGothic" w:hAnsi="MS PGothic"/>
          <w:sz w:val="12"/>
          <w:szCs w:val="12"/>
          <w:color w:val="auto"/>
        </w:rPr>
        <w:t>‑</w:t>
      </w:r>
      <w:r>
        <w:rPr>
          <w:rFonts w:ascii="Arial" w:cs="Arial" w:eastAsia="Arial" w:hAnsi="Arial"/>
          <w:sz w:val="12"/>
          <w:szCs w:val="12"/>
          <w:color w:val="auto"/>
        </w:rPr>
        <w:t>term agreements or for a particular product. Further, as competitors introduce new products or services that compete with ours or reduce their prices, we may be unable to attract new customers or retain existing customers based on our historical pricing. As we expand internationally, we also must determine the appropriate price to enable us to compete effectively internationally. Moreover, enterprises, which are a primary focus for our direct sales efforts, may demand substantial price concessions. In addition, if the mix of products sold changes, including for a shift to IP</w:t>
      </w:r>
      <w:r>
        <w:rPr>
          <w:rFonts w:ascii="MS PGothic" w:cs="MS PGothic" w:eastAsia="MS PGothic" w:hAnsi="MS PGothic"/>
          <w:sz w:val="12"/>
          <w:szCs w:val="12"/>
          <w:color w:val="auto"/>
        </w:rPr>
        <w:t>‑</w:t>
      </w:r>
      <w:r>
        <w:rPr>
          <w:rFonts w:ascii="Arial" w:cs="Arial" w:eastAsia="Arial" w:hAnsi="Arial"/>
          <w:sz w:val="12"/>
          <w:szCs w:val="12"/>
          <w:color w:val="auto"/>
        </w:rPr>
        <w:t>based products, then we may need to, or choose to, revise our pricing. As a result, in the future we may be required or choose to reduce our prices or change our pricing model, which could adversely affect our business, results of operations and financial condition.</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1"/>
          <w:szCs w:val="11"/>
          <w:b w:val="1"/>
          <w:bCs w:val="1"/>
          <w:i w:val="1"/>
          <w:iCs w:val="1"/>
          <w:color w:val="auto"/>
        </w:rPr>
        <w:t>We have been sued and may, in the future, be sued by third parties for alleged infringement of their proprietary rights, which could adversely affect our business, results of operations and financial condition.</w:t>
      </w:r>
    </w:p>
    <w:p>
      <w:pPr>
        <w:spacing w:after="0" w:line="162" w:lineRule="exact"/>
        <w:rPr>
          <w:sz w:val="20"/>
          <w:szCs w:val="20"/>
          <w:color w:val="auto"/>
        </w:rPr>
      </w:pPr>
    </w:p>
    <w:p>
      <w:pPr>
        <w:ind w:right="20" w:firstLine="324"/>
        <w:spacing w:after="0" w:line="146" w:lineRule="exact"/>
        <w:rPr>
          <w:sz w:val="20"/>
          <w:szCs w:val="20"/>
          <w:color w:val="auto"/>
        </w:rPr>
      </w:pPr>
      <w:r>
        <w:rPr>
          <w:rFonts w:ascii="Arial" w:cs="Arial" w:eastAsia="Arial" w:hAnsi="Arial"/>
          <w:sz w:val="11"/>
          <w:szCs w:val="11"/>
          <w:color w:val="auto"/>
        </w:rPr>
        <w:t>There is considerable patent and other intellectual property development activity in our industry. We may also introduce or acquire new products or technologies, including in areas where we historically have not participated, which could increase our exposure to third party intellectual property claims. Our future success depends, in part, on not infringing the intellectual property rights of others and we may be unaware of the intellectual property rights of others that may cover some or all of our technology. Our competitors or other third parties have claimed and may, in the future, claim that our products or platform and underlying technology are infringing upon their intellectual property rights, and we may be found to be infringing upon such rights. For example, Telesign Corporation (“Telesign”) sued us in 2015 and 2016 alleging that we infringed four U.S. patents. The patent infringement allegations in the lawsuits related to our two</w:t>
      </w:r>
      <w:r>
        <w:rPr>
          <w:rFonts w:ascii="MS PGothic" w:cs="MS PGothic" w:eastAsia="MS PGothic" w:hAnsi="MS PGothic"/>
          <w:sz w:val="11"/>
          <w:szCs w:val="11"/>
          <w:color w:val="auto"/>
        </w:rPr>
        <w:t>‑</w:t>
      </w:r>
      <w:r>
        <w:rPr>
          <w:rFonts w:ascii="Arial" w:cs="Arial" w:eastAsia="Arial" w:hAnsi="Arial"/>
          <w:sz w:val="11"/>
          <w:szCs w:val="11"/>
          <w:color w:val="auto"/>
        </w:rPr>
        <w:t xml:space="preserve">factor authentication use case, </w:t>
      </w:r>
      <w:r>
        <w:rPr>
          <w:rFonts w:ascii="Arial" w:cs="Arial" w:eastAsia="Arial" w:hAnsi="Arial"/>
          <w:sz w:val="11"/>
          <w:szCs w:val="11"/>
          <w:i w:val="1"/>
          <w:iCs w:val="1"/>
          <w:color w:val="auto"/>
        </w:rPr>
        <w:t>Authy</w:t>
      </w:r>
      <w:r>
        <w:rPr>
          <w:rFonts w:ascii="Arial" w:cs="Arial" w:eastAsia="Arial" w:hAnsi="Arial"/>
          <w:sz w:val="11"/>
          <w:szCs w:val="11"/>
          <w:color w:val="auto"/>
        </w:rPr>
        <w:t>, and an API tool to find information about a phone number. On October 19, 2018, a United States District Court in the Northern District of California entered judgment in our favor on all asserted claims, which was affirmed on appeal. We intend to vigorously defend ourselves against such lawsuits. During the course of these lawsuits, there may be announcements of the results of hearings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36" w:name="page37"/>
    <w:bookmarkEnd w:id="36"/>
    <w:p>
      <w:pPr>
        <w:spacing w:after="0"/>
        <w:rPr>
          <w:sz w:val="20"/>
          <w:szCs w:val="20"/>
          <w:color w:val="auto"/>
        </w:rPr>
      </w:pPr>
      <w:r>
        <w:rPr>
          <w:rFonts w:ascii="Arial" w:cs="Arial" w:eastAsia="Arial" w:hAnsi="Arial"/>
          <w:sz w:val="12"/>
          <w:szCs w:val="12"/>
          <w:color w:val="auto"/>
        </w:rPr>
        <w:t>motions and other interim developments related to the litigation. If securities analysts or investors regard these announcements as negative, the trading price of our Class A common stock may decline.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0"/>
          <w:szCs w:val="10"/>
          <w:color w:val="auto"/>
        </w:rPr>
        <w:t>Any claims or litigation could cause us to incur significant expenses and, if successfully asserted against us, could require that we pay substantial damages or ongoing royalty payments, prevent us from offering our products, or</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require that we comply with other unfavorable terms. We may also be obligated to indemnify our customers or business partners in connection with any such litigation and to obtain licenses or modify our products or platform, which</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could further exhaust our resources. Litigation is inherently uncertain and even if we were to prevail in the event of claims or litigation against us, any claim or litigation regarding intellectual property could be costly and</w:t>
      </w:r>
    </w:p>
    <w:p>
      <w:pPr>
        <w:spacing w:after="0" w:line="18"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time</w:t>
      </w:r>
      <w:r>
        <w:rPr>
          <w:rFonts w:ascii="MS PGothic" w:cs="MS PGothic" w:eastAsia="MS PGothic" w:hAnsi="MS PGothic"/>
          <w:sz w:val="11"/>
          <w:szCs w:val="11"/>
          <w:color w:val="auto"/>
        </w:rPr>
        <w:t>‑</w:t>
      </w:r>
      <w:r>
        <w:rPr>
          <w:rFonts w:ascii="Arial" w:cs="Arial" w:eastAsia="Arial" w:hAnsi="Arial"/>
          <w:sz w:val="11"/>
          <w:szCs w:val="11"/>
          <w:color w:val="auto"/>
        </w:rPr>
        <w:t>consuming and divert the attention of our management and other employees from our business. Patent infringement, trademark infringement, trade secret misappropriation and other intellectual property claims and proceedings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brought against us, whether successful or not, could harm our brand, business, results of operations and financial condition.</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Indemnity provisions in various agreements potentially expose us to substantial liability for data breach, intellectual property infringement and other losses.</w:t>
      </w:r>
    </w:p>
    <w:p>
      <w:pPr>
        <w:spacing w:after="0" w:line="150" w:lineRule="exact"/>
        <w:rPr>
          <w:sz w:val="20"/>
          <w:szCs w:val="20"/>
          <w:color w:val="auto"/>
        </w:rPr>
      </w:pPr>
    </w:p>
    <w:p>
      <w:pPr>
        <w:ind w:firstLine="324"/>
        <w:spacing w:after="0" w:line="283" w:lineRule="auto"/>
        <w:rPr>
          <w:sz w:val="20"/>
          <w:szCs w:val="20"/>
          <w:color w:val="auto"/>
        </w:rPr>
      </w:pPr>
      <w:r>
        <w:rPr>
          <w:rFonts w:ascii="Arial" w:cs="Arial" w:eastAsia="Arial" w:hAnsi="Arial"/>
          <w:sz w:val="11"/>
          <w:szCs w:val="11"/>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loss or exposure of confidential or sensitive data</w:t>
      </w:r>
      <w:r>
        <w:rPr>
          <w:rFonts w:ascii="Arial" w:cs="Arial" w:eastAsia="Arial" w:hAnsi="Arial"/>
          <w:sz w:val="12"/>
          <w:szCs w:val="12"/>
          <w:color w:val="auto"/>
        </w:rPr>
        <w:t>,</w:t>
      </w:r>
      <w:r>
        <w:rPr>
          <w:rFonts w:ascii="Arial" w:cs="Arial" w:eastAsia="Arial" w:hAnsi="Arial"/>
          <w:sz w:val="11"/>
          <w:szCs w:val="11"/>
          <w:color w:val="auto"/>
        </w:rPr>
        <w:t xml:space="preserve">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results of operations and financial condition.</w:t>
      </w:r>
    </w:p>
    <w:p>
      <w:pPr>
        <w:spacing w:after="0" w:line="114" w:lineRule="exact"/>
        <w:rPr>
          <w:sz w:val="20"/>
          <w:szCs w:val="20"/>
          <w:color w:val="auto"/>
        </w:rPr>
      </w:pPr>
    </w:p>
    <w:p>
      <w:pPr>
        <w:ind w:right="460" w:firstLine="324"/>
        <w:spacing w:after="0" w:line="276" w:lineRule="auto"/>
        <w:rPr>
          <w:sz w:val="20"/>
          <w:szCs w:val="20"/>
          <w:color w:val="auto"/>
        </w:rPr>
      </w:pPr>
      <w:r>
        <w:rPr>
          <w:rFonts w:ascii="Arial" w:cs="Arial" w:eastAsia="Arial" w:hAnsi="Arial"/>
          <w:sz w:val="12"/>
          <w:szCs w:val="12"/>
          <w:b w:val="1"/>
          <w:bCs w:val="1"/>
          <w:i w:val="1"/>
          <w:iCs w:val="1"/>
          <w:color w:val="auto"/>
        </w:rPr>
        <w:t>We could incur substantial costs in protecting or defending our intellectual property rights, and any failure to protect our intellectual property could adversely affect our business, results of operations and financial condition.</w:t>
      </w:r>
    </w:p>
    <w:p>
      <w:pPr>
        <w:spacing w:after="0" w:line="115" w:lineRule="exact"/>
        <w:rPr>
          <w:sz w:val="20"/>
          <w:szCs w:val="20"/>
          <w:color w:val="auto"/>
        </w:rPr>
      </w:pPr>
    </w:p>
    <w:p>
      <w:pPr>
        <w:ind w:right="40" w:firstLine="324"/>
        <w:spacing w:after="0" w:line="255" w:lineRule="auto"/>
        <w:rPr>
          <w:sz w:val="20"/>
          <w:szCs w:val="20"/>
          <w:color w:val="auto"/>
        </w:rPr>
      </w:pPr>
      <w:r>
        <w:rPr>
          <w:rFonts w:ascii="Arial" w:cs="Arial" w:eastAsia="Arial" w:hAnsi="Arial"/>
          <w:sz w:val="12"/>
          <w:szCs w:val="12"/>
          <w:color w:val="auto"/>
        </w:rPr>
        <w:t>Our success depends, in part, on our ability to protect our brand and the proprietary methods and technologies that we develop under patent and other intellectual property laws in the U.S. and in non-U.S. jurisdictions so that we can prevent others from using our inventions and proprietary information. As of December 31, 2021, in the United States, we had been issued 197 patents, which expire between 2029 and 2040. As of such date, we also had 36 issued patents in non-U.S. jurisdictions, all of which are related to U.S. patents and patent applications. We have also filed various applications for protection of certain aspects of our intellectual property in the United States and internationally. There can be no assurance that additional patents will be issued or that any patents that have been issued or that may be issued in the future will provide significant protection for our intellectual property. As of December 31, 2021, we had 50 registered trademarks in the United States and 416 registered trademarks in non-U.S. jurisdictions. If we fail to protect our intellectual property rights adequately, our competitors might gain access to our technology and our business, results of operations and financial condition may be adversely affected.</w:t>
      </w:r>
    </w:p>
    <w:p>
      <w:pPr>
        <w:spacing w:after="0" w:line="128" w:lineRule="exact"/>
        <w:rPr>
          <w:sz w:val="20"/>
          <w:szCs w:val="20"/>
          <w:color w:val="auto"/>
        </w:rPr>
      </w:pPr>
    </w:p>
    <w:p>
      <w:pPr>
        <w:ind w:right="20" w:firstLine="324"/>
        <w:spacing w:after="0" w:line="146" w:lineRule="exact"/>
        <w:rPr>
          <w:sz w:val="20"/>
          <w:szCs w:val="20"/>
          <w:color w:val="auto"/>
        </w:rPr>
      </w:pPr>
      <w:r>
        <w:rPr>
          <w:rFonts w:ascii="Arial" w:cs="Arial" w:eastAsia="Arial" w:hAnsi="Arial"/>
          <w:sz w:val="11"/>
          <w:szCs w:val="11"/>
          <w:color w:val="auto"/>
        </w:rPr>
        <w:t>There can be no assurance that the particular forms of intellectual property protection that we seek, including business decisions about when to file patent applications and trademark applications, will be adequate to protect our business. We could be required to spend significant resources to monitor and protect our intellectual property rights. Litigation has in the past, and may be necessary in the future, to enforce our intellectual property rights, determine the validity and scope of our proprietary rights or those of others, or defend against claims of infringement or invalidity. Such litigation could be costly, time</w:t>
      </w:r>
      <w:r>
        <w:rPr>
          <w:rFonts w:ascii="MS PGothic" w:cs="MS PGothic" w:eastAsia="MS PGothic" w:hAnsi="MS PGothic"/>
          <w:sz w:val="11"/>
          <w:szCs w:val="11"/>
          <w:color w:val="auto"/>
        </w:rPr>
        <w:t>‑</w:t>
      </w:r>
      <w:r>
        <w:rPr>
          <w:rFonts w:ascii="Arial" w:cs="Arial" w:eastAsia="Arial" w:hAnsi="Arial"/>
          <w:sz w:val="11"/>
          <w:szCs w:val="11"/>
          <w:color w:val="auto"/>
        </w:rPr>
        <w:t>consuming and distracting to management, result in a diversion of significant resources, the narrowing or invalidation of portions of our intellectual property and have an adverse effect on our business, results of operations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copyrights, trademarks or other intellectual property rights could be challenged by others or invalidated through administrative process or litigation.</w:t>
      </w:r>
    </w:p>
    <w:p>
      <w:pPr>
        <w:spacing w:after="0" w:line="135" w:lineRule="exact"/>
        <w:rPr>
          <w:sz w:val="20"/>
          <w:szCs w:val="20"/>
          <w:color w:val="auto"/>
        </w:rPr>
      </w:pPr>
    </w:p>
    <w:p>
      <w:pPr>
        <w:ind w:firstLine="324"/>
        <w:spacing w:after="0" w:line="146" w:lineRule="exact"/>
        <w:rPr>
          <w:sz w:val="20"/>
          <w:szCs w:val="20"/>
          <w:color w:val="auto"/>
        </w:rPr>
      </w:pPr>
      <w:r>
        <w:rPr>
          <w:rFonts w:ascii="Arial" w:cs="Arial" w:eastAsia="Arial" w:hAnsi="Arial"/>
          <w:sz w:val="11"/>
          <w:szCs w:val="11"/>
          <w:color w:val="auto"/>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 In addition, others may independently discover our trade secrets and proprietary information, and in these cases, we would not be able to assert any trade secret rights against those parties. Costly and time</w:t>
      </w:r>
      <w:r>
        <w:rPr>
          <w:rFonts w:ascii="MS PGothic" w:cs="MS PGothic" w:eastAsia="MS PGothic" w:hAnsi="MS PGothic"/>
          <w:sz w:val="11"/>
          <w:szCs w:val="11"/>
          <w:color w:val="auto"/>
        </w:rPr>
        <w:t>‑</w:t>
      </w:r>
      <w:r>
        <w:rPr>
          <w:rFonts w:ascii="Arial" w:cs="Arial" w:eastAsia="Arial" w:hAnsi="Arial"/>
          <w:sz w:val="11"/>
          <w:szCs w:val="11"/>
          <w:color w:val="auto"/>
        </w:rPr>
        <w:t>consuming litigation could be necessary to enforce and determine the scope of our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37" w:name="page38"/>
    <w:bookmarkEnd w:id="37"/>
    <w:p>
      <w:pPr>
        <w:spacing w:after="0"/>
        <w:rPr>
          <w:sz w:val="20"/>
          <w:szCs w:val="20"/>
          <w:color w:val="auto"/>
        </w:rPr>
      </w:pPr>
      <w:r>
        <w:rPr>
          <w:rFonts w:ascii="Arial" w:cs="Arial" w:eastAsia="Arial" w:hAnsi="Arial"/>
          <w:sz w:val="12"/>
          <w:szCs w:val="12"/>
          <w:color w:val="auto"/>
        </w:rPr>
        <w:t>proprietary rights, and failure to obtain or maintain trade secret protection could adversely affect our competitive business position.</w:t>
      </w:r>
    </w:p>
    <w:p>
      <w:pPr>
        <w:spacing w:after="0" w:line="150" w:lineRule="exact"/>
        <w:rPr>
          <w:sz w:val="20"/>
          <w:szCs w:val="20"/>
          <w:color w:val="auto"/>
        </w:rPr>
      </w:pPr>
    </w:p>
    <w:p>
      <w:pPr>
        <w:ind w:right="100" w:firstLine="324"/>
        <w:spacing w:after="0" w:line="263" w:lineRule="auto"/>
        <w:rPr>
          <w:sz w:val="20"/>
          <w:szCs w:val="20"/>
          <w:color w:val="auto"/>
        </w:rPr>
      </w:pPr>
      <w:r>
        <w:rPr>
          <w:rFonts w:ascii="Arial" w:cs="Arial" w:eastAsia="Arial" w:hAnsi="Arial"/>
          <w:sz w:val="12"/>
          <w:szCs w:val="12"/>
          <w:color w:val="auto"/>
        </w:rPr>
        <w:t>In addition, the laws of some countries do not protect intellectual property and other proprietary rights to the same extent as the laws of the United States. To the extent we expand our international activities, whether through acquisitions, international product development, regulatory compliance of local data sovereignty, or improving our services (e.g. reducing latency or ensuring redundancy) our exposure to unauthorized copying, transfer and use of our proprietary technology or information may increase.</w:t>
      </w:r>
    </w:p>
    <w:p>
      <w:pPr>
        <w:spacing w:after="0" w:line="12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2"/>
          <w:szCs w:val="12"/>
          <w:color w:val="auto"/>
        </w:rPr>
        <w:t>We cannot be certain that our means of protecting our intellectual property and proprietary rights will be adequate or that our competitors will not independently develop similar technology. If we fail to meaningfully protect our intellectual property and proprietary rights, our business, results of operations and financial condition could be adversely affected.</w:t>
      </w:r>
    </w:p>
    <w:p>
      <w:pPr>
        <w:spacing w:after="0" w:line="11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2"/>
          <w:szCs w:val="12"/>
          <w:b w:val="1"/>
          <w:bCs w:val="1"/>
          <w:i w:val="1"/>
          <w:iCs w:val="1"/>
          <w:color w:val="auto"/>
        </w:rPr>
        <w:t>We may acquire or invest in companies, which may divert our management’s attention and result in debt or dilution to our stockholders. We may be unable to integrate acquired businesses and technologies successfully or achieve the expected benefits of such acquisitions or investments.</w:t>
      </w:r>
    </w:p>
    <w:p>
      <w:pPr>
        <w:spacing w:after="0" w:line="115" w:lineRule="exact"/>
        <w:rPr>
          <w:sz w:val="20"/>
          <w:szCs w:val="20"/>
          <w:color w:val="auto"/>
        </w:rPr>
      </w:pPr>
    </w:p>
    <w:p>
      <w:pPr>
        <w:ind w:firstLine="324"/>
        <w:spacing w:after="0" w:line="255" w:lineRule="auto"/>
        <w:rPr>
          <w:sz w:val="20"/>
          <w:szCs w:val="20"/>
          <w:color w:val="auto"/>
        </w:rPr>
      </w:pPr>
      <w:r>
        <w:rPr>
          <w:rFonts w:ascii="Arial" w:cs="Arial" w:eastAsia="Arial" w:hAnsi="Arial"/>
          <w:sz w:val="12"/>
          <w:szCs w:val="12"/>
          <w:color w:val="auto"/>
        </w:rPr>
        <w:t>We actively evaluate and consider potential strategic transactions, including acquisitions of, or investments in, businesses, technologies, services, products and other assets in the future. For example, in November 2020, we acquired Segment for a total purchase price of $3.0 billion, of which approximately $2.5 billion represented the value of our Class A common stock issued at closing. The estimated transaction value of $3.2 billion, as previously announced, included certain shares of Class A common stock and assumed equity awards that are subject to future vesting. Accordingly, at closing, our stockholders incurred substantial dilution. Any future acquisitions or strategic transactions may result in additional dilution or require us to take on debt in order to finance any such transactions. For further risks related to our acquisitions, please see below under “Risks Related to our Acquisitions.” We also may enter into relationships with other businesses to expand our products and platform, which could involve preferred or exclusive licenses, additional channels of distribution, discount pricing or investments in other companies, such as our recent proposed minority investment of $500.0 million to $750.0 million in Syniverse Corporation.</w:t>
      </w:r>
    </w:p>
    <w:p>
      <w:pPr>
        <w:spacing w:after="0" w:line="128" w:lineRule="exact"/>
        <w:rPr>
          <w:sz w:val="20"/>
          <w:szCs w:val="20"/>
          <w:color w:val="auto"/>
        </w:rPr>
      </w:pPr>
    </w:p>
    <w:p>
      <w:pPr>
        <w:ind w:firstLine="324"/>
        <w:spacing w:after="0" w:line="255" w:lineRule="auto"/>
        <w:rPr>
          <w:sz w:val="20"/>
          <w:szCs w:val="20"/>
          <w:color w:val="auto"/>
        </w:rPr>
      </w:pPr>
      <w:r>
        <w:rPr>
          <w:rFonts w:ascii="Arial" w:cs="Arial" w:eastAsia="Arial" w:hAnsi="Arial"/>
          <w:sz w:val="12"/>
          <w:szCs w:val="12"/>
          <w:color w:val="auto"/>
        </w:rPr>
        <w:t>Any acquisition, investment or business relationship may result in unforeseen operating difficulties and expenditures. In particular, we may encounter difficulties or delays in assimilating or integrating the businesses, technologies, products, employees or operations of the acquired companies, particularly if the key employees of the acquired company choose not to work for us, their products or services are not easily adapted to work with our platform, or we have difficulty retaining the customers of any acquired business due to changes in ownership, management or otherwise. In addition, we may discover liabilities or deficiencies associated with the assets or companies we acquire or ineffective or inadequate controls, procedures or policies at an acquired business that were not identified in advance, any of which could result in significant unanticipated costs.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28"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Negotiating these transactions can be time 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115" w:lineRule="exact"/>
        <w:rPr>
          <w:sz w:val="20"/>
          <w:szCs w:val="20"/>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issue additional equity securities that would dilute our existing stockholders;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use cash that we may need in the future to operate our business;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incur large charges or substantial liabilities;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incur debt on terms unfavorable to us or that we are unable to repay;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encounter difficulties retaining key employees of the acquired company or integrating diverse software codes or business cultures;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invest in securities that are illiquid or decline in value;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encounter difficulties retaining the acquired company's customers; 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38" w:name="page39"/>
    <w:bookmarkEnd w:id="38"/>
    <w:p>
      <w:pPr>
        <w:ind w:left="640" w:hanging="216"/>
        <w:spacing w:after="0"/>
        <w:tabs>
          <w:tab w:leader="none" w:pos="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become subject to adverse tax consequences, substantial depreciation, or deferred compensation charges.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occurrence of any of these foregoing could adversely affect our business, results of operations and financial condition.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0"/>
          <w:szCs w:val="10"/>
          <w:b w:val="1"/>
          <w:bCs w:val="1"/>
          <w:i w:val="1"/>
          <w:iCs w:val="1"/>
          <w:color w:val="auto"/>
        </w:rPr>
        <w:t>We depend largely on the continued services of our senior management and other key employees, the loss or incapacitation of any of whom could adversely affect our business, results of operations and financial condition.</w:t>
      </w:r>
    </w:p>
    <w:p>
      <w:pPr>
        <w:spacing w:after="0" w:line="173" w:lineRule="exact"/>
        <w:rPr>
          <w:sz w:val="20"/>
          <w:szCs w:val="20"/>
          <w:color w:val="auto"/>
        </w:rPr>
      </w:pPr>
    </w:p>
    <w:p>
      <w:pPr>
        <w:ind w:right="40" w:firstLine="324"/>
        <w:spacing w:after="0" w:line="146" w:lineRule="exact"/>
        <w:rPr>
          <w:sz w:val="20"/>
          <w:szCs w:val="20"/>
          <w:color w:val="auto"/>
        </w:rPr>
      </w:pPr>
      <w:r>
        <w:rPr>
          <w:rFonts w:ascii="Arial" w:cs="Arial" w:eastAsia="Arial" w:hAnsi="Arial"/>
          <w:sz w:val="12"/>
          <w:szCs w:val="12"/>
          <w:color w:val="auto"/>
        </w:rPr>
        <w:t>Our future performance depends on the continued services and contributions of our senior management and other key employees to execute on our business plan, to develop our products and platform, to deliver our products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w:t>
      </w:r>
      <w:r>
        <w:rPr>
          <w:rFonts w:ascii="MS PGothic" w:cs="MS PGothic" w:eastAsia="MS PGothic" w:hAnsi="MS PGothic"/>
          <w:sz w:val="12"/>
          <w:szCs w:val="12"/>
          <w:color w:val="auto"/>
        </w:rPr>
        <w:t>‑</w:t>
      </w:r>
      <w:r>
        <w:rPr>
          <w:rFonts w:ascii="Arial" w:cs="Arial" w:eastAsia="Arial" w:hAnsi="Arial"/>
          <w:sz w:val="12"/>
          <w:szCs w:val="12"/>
          <w:color w:val="auto"/>
        </w:rPr>
        <w:t>founder and Chief Executive Officer, Jeff Lawson. None of our executive officers or other senior management are bound by a written employment agreement and any of them may terminate employment with us at any time with no advance notice. The replacement of any of our senior management would likely involve significant time and costs, and such loss could significantly delay or prevent the achievement of our business objectives. The loss of the services of any of our senior management or other key employees for any reason could adversely affect our business, results of operations and financial condition.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If we are unable to hire, retain and motivate qualified employees, our business will suffer.</w:t>
      </w:r>
    </w:p>
    <w:p>
      <w:pPr>
        <w:spacing w:after="0" w:line="150" w:lineRule="exact"/>
        <w:rPr>
          <w:sz w:val="20"/>
          <w:szCs w:val="20"/>
          <w:color w:val="auto"/>
        </w:rPr>
      </w:pPr>
    </w:p>
    <w:p>
      <w:pPr>
        <w:ind w:firstLine="324"/>
        <w:spacing w:after="0" w:line="283" w:lineRule="auto"/>
        <w:rPr>
          <w:sz w:val="20"/>
          <w:szCs w:val="20"/>
          <w:color w:val="auto"/>
        </w:rPr>
      </w:pPr>
      <w:r>
        <w:rPr>
          <w:rFonts w:ascii="Arial" w:cs="Arial" w:eastAsia="Arial" w:hAnsi="Arial"/>
          <w:sz w:val="11"/>
          <w:szCs w:val="11"/>
          <w:color w:val="auto"/>
        </w:rPr>
        <w:t>Our future success depends, in part, on our ability to continue to attract and retain highly skilled employees. We believe that there is, and will continue to be, intense competition for highly skilled management, technical, sales and other employees with experience in our industry. In addition, we have experienced and may continue to experience employee turnover as a result of the ongoing “great resignation” occurring throughout the U.S. economy. New employees require training, take time before they achieve full productivity, and may not become as productive as we expect, and we may be unable to hire or retain sufficient numbers of qualified individuals. In addition, our new Open Work hybrid approach to work, announced in February 2021, may not meet the expectations of our workforce. Further, labor is subject to external factors that are beyond our control, including our industry’s highly competitive market for skilled workers and leaders, cost inflation, the COVID-19 pandemic and workforce participation rates. We must provide competitive compensation packages and a high quality work environment to hire, retain and motivate</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To the extent we hire employees from competitors, we also may be subject to allegations that they have been improperly solicited or divulged proprietary or other confidential information. Volatility in, or lack of performance of, our stock price may also affect our ability to attract and retain key employees. If we are unable to retain our employees, our business, results of operations and financial condition could be adversely affected.</w:t>
      </w:r>
    </w:p>
    <w:p>
      <w:pPr>
        <w:spacing w:after="0" w:line="124"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b w:val="1"/>
          <w:bCs w:val="1"/>
          <w:i w:val="1"/>
          <w:iCs w:val="1"/>
          <w:color w:val="auto"/>
        </w:rPr>
        <w:t>United States federal legislation and international laws impose certain obligations on the senders of commercial emails, which could minimize the effectiveness of our platform, and establish financial penalties for non-compliance, which could increase the costs of our business.</w:t>
      </w:r>
    </w:p>
    <w:p>
      <w:pPr>
        <w:spacing w:after="0" w:line="115" w:lineRule="exact"/>
        <w:rPr>
          <w:sz w:val="20"/>
          <w:szCs w:val="20"/>
          <w:color w:val="auto"/>
        </w:rPr>
      </w:pPr>
    </w:p>
    <w:p>
      <w:pPr>
        <w:ind w:right="40" w:firstLine="324"/>
        <w:spacing w:after="0" w:line="279" w:lineRule="auto"/>
        <w:rPr>
          <w:sz w:val="20"/>
          <w:szCs w:val="20"/>
          <w:color w:val="auto"/>
        </w:rPr>
      </w:pPr>
      <w:r>
        <w:rPr>
          <w:rFonts w:ascii="Arial" w:cs="Arial" w:eastAsia="Arial" w:hAnsi="Arial"/>
          <w:sz w:val="11"/>
          <w:szCs w:val="11"/>
          <w:color w:val="auto"/>
        </w:rPr>
        <w:t>The Federal Controlling the Assault of Non-Solicited Pornography and Marketing Act of 2003, or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39" w:name="page40"/>
    <w:bookmarkEnd w:id="39"/>
    <w:p>
      <w:pPr>
        <w:jc w:val="both"/>
        <w:ind w:right="20"/>
        <w:spacing w:after="0" w:line="276" w:lineRule="auto"/>
        <w:rPr>
          <w:sz w:val="20"/>
          <w:szCs w:val="20"/>
          <w:color w:val="auto"/>
        </w:rPr>
      </w:pPr>
      <w:r>
        <w:rPr>
          <w:rFonts w:ascii="Arial" w:cs="Arial" w:eastAsia="Arial" w:hAnsi="Arial"/>
          <w:sz w:val="12"/>
          <w:szCs w:val="12"/>
          <w:color w:val="auto"/>
        </w:rPr>
        <w:t>company in connection with any of the foregoing laws may also require us to change one or more aspects of the way we operate our business, which could impair our ability to attract and retain customers or could increase our operating costs.</w:t>
      </w:r>
    </w:p>
    <w:p>
      <w:pPr>
        <w:spacing w:after="0" w:line="1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b w:val="1"/>
          <w:bCs w:val="1"/>
          <w:i w:val="1"/>
          <w:iCs w:val="1"/>
          <w:color w:val="auto"/>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spacing w:after="0" w:line="122" w:lineRule="exact"/>
        <w:rPr>
          <w:sz w:val="20"/>
          <w:szCs w:val="20"/>
          <w:color w:val="auto"/>
        </w:rPr>
      </w:pPr>
    </w:p>
    <w:p>
      <w:pPr>
        <w:jc w:val="both"/>
        <w:ind w:right="20" w:firstLine="324"/>
        <w:spacing w:after="0" w:line="328" w:lineRule="auto"/>
        <w:rPr>
          <w:sz w:val="20"/>
          <w:szCs w:val="20"/>
          <w:color w:val="auto"/>
        </w:rPr>
      </w:pPr>
      <w:r>
        <w:rPr>
          <w:rFonts w:ascii="Arial" w:cs="Arial" w:eastAsia="Arial" w:hAnsi="Arial"/>
          <w:sz w:val="10"/>
          <w:szCs w:val="10"/>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w:t>
      </w:r>
    </w:p>
    <w:p>
      <w:pPr>
        <w:spacing w:after="0" w:line="1" w:lineRule="exact"/>
        <w:rPr>
          <w:sz w:val="20"/>
          <w:szCs w:val="20"/>
          <w:color w:val="auto"/>
        </w:rPr>
      </w:pPr>
    </w:p>
    <w:p>
      <w:pPr>
        <w:ind w:right="40"/>
        <w:spacing w:after="0" w:line="147" w:lineRule="exact"/>
        <w:rPr>
          <w:sz w:val="20"/>
          <w:szCs w:val="20"/>
          <w:color w:val="auto"/>
        </w:rPr>
      </w:pPr>
      <w:r>
        <w:rPr>
          <w:rFonts w:ascii="Arial" w:cs="Arial" w:eastAsia="Arial" w:hAnsi="Arial"/>
          <w:sz w:val="12"/>
          <w:szCs w:val="12"/>
          <w:color w:val="auto"/>
        </w:rPr>
        <w:t>businesses can incur penalties or criminal fines imposed by the FCC or be fined up to $1,500 per violation through private litigation or state attorneys general or other state actor enforcement. Class action suits are the most common method for private enforcement. This has resulted in civil claims against our company and requests for information through third</w:t>
      </w:r>
      <w:r>
        <w:rPr>
          <w:rFonts w:ascii="MS PGothic" w:cs="MS PGothic" w:eastAsia="MS PGothic" w:hAnsi="MS PGothic"/>
          <w:sz w:val="12"/>
          <w:szCs w:val="12"/>
          <w:color w:val="auto"/>
        </w:rPr>
        <w:t>‑</w:t>
      </w:r>
      <w:r>
        <w:rPr>
          <w:rFonts w:ascii="Arial" w:cs="Arial" w:eastAsia="Arial" w:hAnsi="Arial"/>
          <w:sz w:val="12"/>
          <w:szCs w:val="12"/>
          <w:color w:val="auto"/>
        </w:rPr>
        <w:t>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spacing w:after="0" w:line="136" w:lineRule="exact"/>
        <w:rPr>
          <w:sz w:val="20"/>
          <w:szCs w:val="20"/>
          <w:color w:val="auto"/>
        </w:rPr>
      </w:pPr>
    </w:p>
    <w:p>
      <w:pPr>
        <w:ind w:right="40" w:firstLine="324"/>
        <w:spacing w:after="0" w:line="320" w:lineRule="auto"/>
        <w:rPr>
          <w:sz w:val="20"/>
          <w:szCs w:val="20"/>
          <w:color w:val="auto"/>
        </w:rPr>
      </w:pPr>
      <w:r>
        <w:rPr>
          <w:rFonts w:ascii="Arial" w:cs="Arial" w:eastAsia="Arial" w:hAnsi="Arial"/>
          <w:sz w:val="10"/>
          <w:szCs w:val="10"/>
          <w:color w:val="auto"/>
        </w:rPr>
        <w:t>Moreover, despite our ongoing and substantial efforts to limit such use,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spacing w:after="0" w:line="97" w:lineRule="exact"/>
        <w:rPr>
          <w:sz w:val="20"/>
          <w:szCs w:val="20"/>
          <w:color w:val="auto"/>
        </w:rPr>
      </w:pPr>
    </w:p>
    <w:p>
      <w:pPr>
        <w:ind w:right="20" w:firstLine="324"/>
        <w:spacing w:after="0" w:line="278" w:lineRule="auto"/>
        <w:rPr>
          <w:sz w:val="20"/>
          <w:szCs w:val="20"/>
          <w:color w:val="auto"/>
        </w:rPr>
      </w:pPr>
      <w:r>
        <w:rPr>
          <w:rFonts w:ascii="Arial" w:cs="Arial" w:eastAsia="Arial" w:hAnsi="Arial"/>
          <w:sz w:val="11"/>
          <w:szCs w:val="11"/>
          <w:color w:val="auto"/>
        </w:rPr>
        <w:t>Moreover, our customers’ and other users’ promotion of their products and services through our platform might not comply with federal, state, and foreign laws or of contractual requirements imposed by carriers, such as the CTIA Shortcode Agreement and associated policies. We rely on contractual representations made to us by our customers that their use 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There are various Congressional, FCC and executive efforts to eliminate or restrict the scope of the protections under Section 230, which limits the liability of internet platforms for third-party content that is transmitted via those platforms and for good-faith moderation of offensive content. In addition, Florida and Texas adopted statutes intended to reduce or eliminate the protections granted under Section 230, although implementation of both statutes has been stayed by federal courts, and similar legislation was introduced in other states in 2021.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Our use of open source software could negatively affect our ability to sell our products and subject us to possible litigation.</w:t>
      </w:r>
    </w:p>
    <w:p>
      <w:pPr>
        <w:spacing w:after="0" w:line="15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2"/>
          <w:szCs w:val="12"/>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40" w:name="page41"/>
    <w:bookmarkEnd w:id="40"/>
    <w:p>
      <w:pPr>
        <w:spacing w:after="0" w:line="145" w:lineRule="exact"/>
        <w:rPr>
          <w:sz w:val="20"/>
          <w:szCs w:val="20"/>
          <w:color w:val="auto"/>
        </w:rPr>
      </w:pPr>
      <w:r>
        <w:rPr>
          <w:rFonts w:ascii="Arial" w:cs="Arial" w:eastAsia="Arial" w:hAnsi="Arial"/>
          <w:sz w:val="12"/>
          <w:szCs w:val="12"/>
          <w:color w:val="auto"/>
        </w:rPr>
        <w:t>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w:t>
      </w:r>
      <w:r>
        <w:rPr>
          <w:rFonts w:ascii="MS PGothic" w:cs="MS PGothic" w:eastAsia="MS PGothic" w:hAnsi="MS PGothic"/>
          <w:sz w:val="12"/>
          <w:szCs w:val="12"/>
          <w:color w:val="auto"/>
        </w:rPr>
        <w:t>‑</w:t>
      </w:r>
      <w:r>
        <w:rPr>
          <w:rFonts w:ascii="Arial" w:cs="Arial" w:eastAsia="Arial" w:hAnsi="Arial"/>
          <w:sz w:val="12"/>
          <w:szCs w:val="12"/>
          <w:color w:val="auto"/>
        </w:rPr>
        <w:t>engineer our products or platform or discontinue offering our products to customers in the event re</w:t>
      </w:r>
      <w:r>
        <w:rPr>
          <w:rFonts w:ascii="MS PGothic" w:cs="MS PGothic" w:eastAsia="MS PGothic" w:hAnsi="MS PGothic"/>
          <w:sz w:val="12"/>
          <w:szCs w:val="12"/>
          <w:color w:val="auto"/>
        </w:rPr>
        <w:t>‑</w:t>
      </w:r>
      <w:r>
        <w:rPr>
          <w:rFonts w:ascii="Arial" w:cs="Arial" w:eastAsia="Arial" w:hAnsi="Arial"/>
          <w:sz w:val="12"/>
          <w:szCs w:val="12"/>
          <w:color w:val="auto"/>
        </w:rPr>
        <w:t>engineering cannot be accomplished on a timely basis. Any of the foregoing could require us to devote additional research and development resources to re</w:t>
      </w:r>
      <w:r>
        <w:rPr>
          <w:rFonts w:ascii="MS PGothic" w:cs="MS PGothic" w:eastAsia="MS PGothic" w:hAnsi="MS PGothic"/>
          <w:sz w:val="12"/>
          <w:szCs w:val="12"/>
          <w:color w:val="auto"/>
        </w:rPr>
        <w:t>‑</w:t>
      </w:r>
      <w:r>
        <w:rPr>
          <w:rFonts w:ascii="Arial" w:cs="Arial" w:eastAsia="Arial" w:hAnsi="Arial"/>
          <w:sz w:val="12"/>
          <w:szCs w:val="12"/>
          <w:color w:val="auto"/>
        </w:rPr>
        <w:t>engineer our products or platform, could result in customer dissatisfaction and may adversely affect our business, results of operations and financial condition.</w:t>
      </w:r>
    </w:p>
    <w:p>
      <w:pPr>
        <w:spacing w:after="0" w:line="137" w:lineRule="exact"/>
        <w:rPr>
          <w:sz w:val="20"/>
          <w:szCs w:val="20"/>
          <w:color w:val="auto"/>
        </w:rPr>
      </w:pPr>
    </w:p>
    <w:p>
      <w:pPr>
        <w:ind w:right="20" w:firstLine="324"/>
        <w:spacing w:after="0" w:line="276" w:lineRule="auto"/>
        <w:rPr>
          <w:sz w:val="20"/>
          <w:szCs w:val="20"/>
          <w:color w:val="auto"/>
        </w:rPr>
      </w:pPr>
      <w:r>
        <w:rPr>
          <w:rFonts w:ascii="Arial" w:cs="Arial" w:eastAsia="Arial" w:hAnsi="Arial"/>
          <w:sz w:val="12"/>
          <w:szCs w:val="12"/>
          <w:b w:val="1"/>
          <w:bCs w:val="1"/>
          <w:i w:val="1"/>
          <w:iCs w:val="1"/>
          <w:color w:val="auto"/>
        </w:rPr>
        <w:t>Changes in laws and regulations related to the Internet or changes in the Internet infrastructure itself may diminish the demand for our products, and could adversely affect our business, results of operations and financial condition.</w:t>
      </w:r>
    </w:p>
    <w:p>
      <w:pPr>
        <w:spacing w:after="0" w:line="124" w:lineRule="exact"/>
        <w:rPr>
          <w:sz w:val="20"/>
          <w:szCs w:val="20"/>
          <w:color w:val="auto"/>
        </w:rPr>
      </w:pPr>
    </w:p>
    <w:p>
      <w:pPr>
        <w:ind w:right="20" w:firstLine="324"/>
        <w:spacing w:after="0" w:line="129" w:lineRule="exact"/>
        <w:rPr>
          <w:sz w:val="20"/>
          <w:szCs w:val="20"/>
          <w:color w:val="auto"/>
        </w:rPr>
      </w:pPr>
      <w:r>
        <w:rPr>
          <w:rFonts w:ascii="Arial" w:cs="Arial" w:eastAsia="Arial" w:hAnsi="Arial"/>
          <w:sz w:val="11"/>
          <w:szCs w:val="11"/>
          <w:color w:val="auto"/>
        </w:rPr>
        <w:t>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w:t>
      </w:r>
      <w:r>
        <w:rPr>
          <w:rFonts w:ascii="MS PGothic" w:cs="MS PGothic" w:eastAsia="MS PGothic" w:hAnsi="MS PGothic"/>
          <w:sz w:val="11"/>
          <w:szCs w:val="11"/>
          <w:color w:val="auto"/>
        </w:rPr>
        <w:t>‑</w:t>
      </w:r>
      <w:r>
        <w:rPr>
          <w:rFonts w:ascii="Arial" w:cs="Arial" w:eastAsia="Arial" w:hAnsi="Arial"/>
          <w:sz w:val="11"/>
          <w:szCs w:val="11"/>
          <w:color w:val="auto"/>
        </w:rPr>
        <w:t>related commerce or communications generally or result in reductions in the demand for Internet</w:t>
      </w:r>
      <w:r>
        <w:rPr>
          <w:rFonts w:ascii="MS PGothic" w:cs="MS PGothic" w:eastAsia="MS PGothic" w:hAnsi="MS PGothic"/>
          <w:sz w:val="11"/>
          <w:szCs w:val="11"/>
          <w:color w:val="auto"/>
        </w:rPr>
        <w:t>‑</w:t>
      </w:r>
      <w:r>
        <w:rPr>
          <w:rFonts w:ascii="Arial" w:cs="Arial" w:eastAsia="Arial" w:hAnsi="Arial"/>
          <w:sz w:val="11"/>
          <w:szCs w:val="11"/>
          <w:color w:val="auto"/>
        </w:rPr>
        <w:t>based products and services such as our products and platform. In particular, a re-adoption of “network neutrality” rules in the United States, which President Biden supported during his campaign, could affect the services used by us and our customers. California’s state network neutrality law went into effect after a federal district court denied a motion for preliminary injunction on March 10, 2021, and that decision was affirmed by the U.S. Court of Appeals for the Ninth Circuit on January 28, 2022. A number of other states have adopted or are adopting or considering legislation or executive actions that would regulate the conduct of broadband providers. In addition, the use of the Internet as a business tool could be adversely affected due to delays in the development or adoption of new standards and protocols to handle increased demands of Internet activity, security, reliability, cost, ease</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The technology industry is subject to increasing scrutiny that could result in government actions that would negatively affect our business.</w:t>
      </w:r>
    </w:p>
    <w:p>
      <w:pPr>
        <w:spacing w:after="0" w:line="150" w:lineRule="exact"/>
        <w:rPr>
          <w:sz w:val="20"/>
          <w:szCs w:val="20"/>
          <w:color w:val="auto"/>
        </w:rPr>
      </w:pPr>
    </w:p>
    <w:p>
      <w:pPr>
        <w:ind w:right="40" w:firstLine="324"/>
        <w:spacing w:after="0" w:line="313" w:lineRule="auto"/>
        <w:rPr>
          <w:sz w:val="20"/>
          <w:szCs w:val="20"/>
          <w:color w:val="auto"/>
        </w:rPr>
      </w:pPr>
      <w:r>
        <w:rPr>
          <w:rFonts w:ascii="Arial" w:cs="Arial" w:eastAsia="Arial" w:hAnsi="Arial"/>
          <w:sz w:val="10"/>
          <w:szCs w:val="10"/>
          <w:color w:val="auto"/>
        </w:rPr>
        <w:t>The technology industry is subject to intense media, political and regulatory scrutiny, both domestic and foreign, including on issues related to antitrust, privacy, and artificial intelligence, which exposes us to government investigations, legal actions and penalties. For instance, various regulatory agencies, including competition and consumer protection authorities, have active proceedings and investigations concerning multiple technology companies on antitrust and other issues. If we become subject to such investigations, we could be liable for substantial fines and penalties, be required to change our products and services or alter our business operations, receive negative publicity, or be subject to civil litigation, all of which could harm our business. Lawmakers also have proposed new laws and regulations, and modifications to existing laws and regulations, that affect the activities of technology companies, such as the recent legislative efforts to eliminate or modify Section 230 of the Communications Decency Act and to regulate platforms that offer apps and other similar actions in some U.S. states. If such laws and regulations are enacted or modified, they could impact us, even if they are not intended to affect our company. In addition, the introduction of new products and services, expansion of our activities in certain jurisdictions, or other actions that we may take may subject us to additional laws, regulations, and other scrutiny. The increased scrutiny of certain acquisitions in the technology industry also could affect our ability to enter into strategic transactions or to acquire other businesses.</w:t>
      </w:r>
    </w:p>
    <w:p>
      <w:pPr>
        <w:spacing w:after="0" w:line="102"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Compliance with new or modified laws and regulations could increase the cost of conducting our business, limit the opportunities to increase our revenues, or prevent us from offering products or services. While we have adopted policies and procedures designed to ensure compliance with applicable laws and regulations, there can be no assurance that our employees, contractors or agents will not violate such laws and regulations. If we are found to have violated laws and regulations, it could materially adversely affect our reputation, financial condition and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41" w:name="page42"/>
    <w:bookmarkEnd w:id="41"/>
    <w:p>
      <w:pPr>
        <w:ind w:right="80" w:firstLine="324"/>
        <w:spacing w:after="0" w:line="263" w:lineRule="auto"/>
        <w:rPr>
          <w:sz w:val="20"/>
          <w:szCs w:val="20"/>
          <w:color w:val="auto"/>
        </w:rPr>
      </w:pPr>
      <w:r>
        <w:rPr>
          <w:rFonts w:ascii="Arial" w:cs="Arial" w:eastAsia="Arial" w:hAnsi="Arial"/>
          <w:sz w:val="12"/>
          <w:szCs w:val="12"/>
          <w:color w:val="auto"/>
        </w:rPr>
        <w:t>We also could be harmed by government investigations, litigation, or changes in laws and regulations directed at our customers, business partners, or suppliers in the technology industry that have the effect of limiting our ability to do business with those entities. There can be no assurance that our business will not be materially adversely affected, individually or in the aggregate, by the outcomes of such investigations, litigation or changes to laws and regulations in the future.</w:t>
      </w:r>
    </w:p>
    <w:p>
      <w:pPr>
        <w:spacing w:after="0" w:line="12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b w:val="1"/>
          <w:bCs w:val="1"/>
          <w:i w:val="1"/>
          <w:iCs w:val="1"/>
          <w:color w:val="auto"/>
        </w:rPr>
        <w:t>The standards imposed by private entities and inbox service providers to regulate the use and delivery of email have in the past interfered with, and may continue to interfere with, the effectiveness of our platform and our ability to conduct business.</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From time to time,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w:t>
      </w:r>
    </w:p>
    <w:p>
      <w:pPr>
        <w:spacing w:after="0" w:line="12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2"/>
          <w:szCs w:val="12"/>
          <w:color w:val="auto"/>
        </w:rPr>
        <w:t>Additionally, inbox service providers can block emails from reaching their users or categorize certain emails as “promotional” emails and, as a result, direct them to an alternate or “tabbed” section of the recipient’s inbox. While we continually improve our own technology and work closely with inbox service providers to maintain our deliverability rates,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spacing w:after="0" w:line="12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b w:val="1"/>
          <w:bCs w:val="1"/>
          <w:i w:val="1"/>
          <w:iCs w:val="1"/>
          <w:color w:val="auto"/>
        </w:rPr>
        <w:t>Our global operations subject us to potential liability under export control, economic trade sanctions, anti-corruption, and other laws and regulations, and such violations could impair our ability to compete in international markets and could subject us to liability for compliance violations.</w:t>
      </w:r>
    </w:p>
    <w:p>
      <w:pPr>
        <w:spacing w:after="0" w:line="115" w:lineRule="exact"/>
        <w:rPr>
          <w:sz w:val="20"/>
          <w:szCs w:val="20"/>
          <w:color w:val="auto"/>
        </w:rPr>
      </w:pPr>
    </w:p>
    <w:p>
      <w:pPr>
        <w:ind w:right="20" w:firstLine="324"/>
        <w:spacing w:after="0" w:line="145" w:lineRule="exact"/>
        <w:rPr>
          <w:sz w:val="20"/>
          <w:szCs w:val="20"/>
          <w:color w:val="auto"/>
        </w:rPr>
      </w:pPr>
      <w:r>
        <w:rPr>
          <w:rFonts w:ascii="Arial" w:cs="Arial" w:eastAsia="Arial" w:hAnsi="Arial"/>
          <w:sz w:val="11"/>
          <w:szCs w:val="11"/>
          <w:color w:val="auto"/>
        </w:rPr>
        <w:t>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Exports of our products and the provision of our services must be made in compliance with these requirements. Although we take precautions to prevent our products from being provided in violation of such laws, we are aware of previous exports of certain of our products to a small number of persons and organizations that are the subject of U.S. sanctions or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w:t>
      </w:r>
      <w:r>
        <w:rPr>
          <w:rFonts w:ascii="MS PGothic" w:cs="MS PGothic" w:eastAsia="MS PGothic" w:hAnsi="MS PGothic"/>
          <w:sz w:val="11"/>
          <w:szCs w:val="11"/>
          <w:color w:val="auto"/>
        </w:rPr>
        <w:t>‑</w:t>
      </w:r>
      <w:r>
        <w:rPr>
          <w:rFonts w:ascii="Arial" w:cs="Arial" w:eastAsia="Arial" w:hAnsi="Arial"/>
          <w:sz w:val="11"/>
          <w:szCs w:val="11"/>
          <w:color w:val="auto"/>
        </w:rPr>
        <w:t>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spacing w:after="0" w:line="140" w:lineRule="exact"/>
        <w:rPr>
          <w:sz w:val="20"/>
          <w:szCs w:val="20"/>
          <w:color w:val="auto"/>
        </w:rPr>
      </w:pPr>
    </w:p>
    <w:p>
      <w:pPr>
        <w:ind w:right="40" w:firstLine="324"/>
        <w:spacing w:after="0" w:line="256" w:lineRule="auto"/>
        <w:rPr>
          <w:sz w:val="20"/>
          <w:szCs w:val="20"/>
          <w:color w:val="auto"/>
        </w:rPr>
      </w:pPr>
      <w:r>
        <w:rPr>
          <w:rFonts w:ascii="Arial" w:cs="Arial" w:eastAsia="Arial" w:hAnsi="Arial"/>
          <w:sz w:val="12"/>
          <w:szCs w:val="12"/>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42" w:name="page43"/>
    <w:bookmarkEnd w:id="42"/>
    <w:p>
      <w:pPr>
        <w:spacing w:after="0" w:line="127" w:lineRule="exact"/>
        <w:rPr>
          <w:sz w:val="20"/>
          <w:szCs w:val="20"/>
          <w:color w:val="auto"/>
        </w:rPr>
      </w:pPr>
      <w:r>
        <w:rPr>
          <w:rFonts w:ascii="Arial" w:cs="Arial" w:eastAsia="Arial" w:hAnsi="Arial"/>
          <w:sz w:val="11"/>
          <w:szCs w:val="11"/>
          <w:color w:val="auto"/>
        </w:rPr>
        <w:t>operations from deploying our products and using our services throughout their globally</w:t>
      </w:r>
      <w:r>
        <w:rPr>
          <w:rFonts w:ascii="MS PGothic" w:cs="MS PGothic" w:eastAsia="MS PGothic" w:hAnsi="MS PGothic"/>
          <w:sz w:val="11"/>
          <w:szCs w:val="11"/>
          <w:color w:val="auto"/>
        </w:rPr>
        <w:t>‑</w:t>
      </w:r>
      <w:r>
        <w:rPr>
          <w:rFonts w:ascii="Arial" w:cs="Arial" w:eastAsia="Arial" w:hAnsi="Arial"/>
          <w:sz w:val="11"/>
          <w:szCs w:val="11"/>
          <w:color w:val="auto"/>
        </w:rPr>
        <w:t>distributed systems or, in some cases, prevent the export of our products or provision of our services to some countries altogether.</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We are also subject to U.S. and foreign anti-corruption and anti-bribery laws, including the Foreign Corrupt Practices Act, as amended, the UK Bribery Act 2010, and other anti-corruption laws and regulations in the countries in</w:t>
      </w:r>
    </w:p>
    <w:p>
      <w:pPr>
        <w:spacing w:after="0" w:line="45" w:lineRule="exact"/>
        <w:rPr>
          <w:sz w:val="20"/>
          <w:szCs w:val="20"/>
          <w:color w:val="auto"/>
        </w:rPr>
      </w:pPr>
    </w:p>
    <w:p>
      <w:pPr>
        <w:jc w:val="both"/>
        <w:ind w:right="80"/>
        <w:spacing w:after="0" w:line="289" w:lineRule="auto"/>
        <w:rPr>
          <w:sz w:val="20"/>
          <w:szCs w:val="20"/>
          <w:color w:val="auto"/>
        </w:rPr>
      </w:pPr>
      <w:r>
        <w:rPr>
          <w:rFonts w:ascii="Arial" w:cs="Arial" w:eastAsia="Arial" w:hAnsi="Arial"/>
          <w:sz w:val="11"/>
          <w:szCs w:val="11"/>
          <w:color w:val="auto"/>
        </w:rPr>
        <w:t>which we conduct activities. Anti-corruption laws are interpreted broadly and generally prohibit corrupt payments by our employees and third parties acting on our behalf from directly or indirectly authorizing, offering, or providing, improper payments or things of value to recipients in the public or private sector, and also require that we maintain accurate books and records and adequate internal controls. While we have implemented a global compliance program designed to reduce the risk of bribery and corruption-related violations, our employees or third parties acting on our behalf may fail to comply with our policies, resulting in violations of applicable anti-corruption laws and regulations. Such violations could result in significant fines and penalties, criminal liability for us, our individual officers or employees, prohibitions on our ability to conduct business, and potential reputational damage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Our reliance on SaaS technologies from third parties may adversely affect our business, results of operations and financial condition.</w:t>
      </w:r>
    </w:p>
    <w:p>
      <w:pPr>
        <w:spacing w:after="0" w:line="150" w:lineRule="exact"/>
        <w:rPr>
          <w:sz w:val="20"/>
          <w:szCs w:val="20"/>
          <w:color w:val="auto"/>
        </w:rPr>
      </w:pPr>
    </w:p>
    <w:p>
      <w:pPr>
        <w:ind w:right="40" w:firstLine="324"/>
        <w:spacing w:after="0" w:line="259" w:lineRule="auto"/>
        <w:rPr>
          <w:sz w:val="20"/>
          <w:szCs w:val="20"/>
          <w:color w:val="auto"/>
        </w:rPr>
      </w:pPr>
      <w:r>
        <w:rPr>
          <w:rFonts w:ascii="Arial" w:cs="Arial" w:eastAsia="Arial" w:hAnsi="Arial"/>
          <w:sz w:val="12"/>
          <w:szCs w:val="12"/>
          <w:color w:val="auto"/>
        </w:rPr>
        <w:t>We rely on hosted SaaS technologies from third parties in order to operate critical internal functions of our business, including enterprise resource planning, customer support and customer relations management services. If these services become unavailable due to extended outages or interruptions, or because they are no longer available on commercially reasonable terms or prices, our expenses could increase.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results of operations and financial condition.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We may have additional tax liabilities, which could harm our business, results of operations and financial condition.</w:t>
      </w:r>
    </w:p>
    <w:p>
      <w:pPr>
        <w:spacing w:after="0" w:line="159" w:lineRule="exact"/>
        <w:rPr>
          <w:sz w:val="20"/>
          <w:szCs w:val="20"/>
          <w:color w:val="auto"/>
        </w:rPr>
      </w:pPr>
    </w:p>
    <w:p>
      <w:pPr>
        <w:ind w:right="40" w:firstLine="324"/>
        <w:spacing w:after="0" w:line="133" w:lineRule="exact"/>
        <w:rPr>
          <w:sz w:val="20"/>
          <w:szCs w:val="20"/>
          <w:color w:val="auto"/>
        </w:rPr>
      </w:pPr>
      <w:r>
        <w:rPr>
          <w:rFonts w:ascii="Arial" w:cs="Arial" w:eastAsia="Arial" w:hAnsi="Arial"/>
          <w:sz w:val="11"/>
          <w:szCs w:val="11"/>
          <w:color w:val="auto"/>
        </w:rPr>
        <w:t>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w:t>
      </w:r>
      <w:r>
        <w:rPr>
          <w:rFonts w:ascii="MS PGothic" w:cs="MS PGothic" w:eastAsia="MS PGothic" w:hAnsi="MS PGothic"/>
          <w:sz w:val="11"/>
          <w:szCs w:val="11"/>
          <w:color w:val="auto"/>
        </w:rPr>
        <w:t>‑</w:t>
      </w:r>
      <w:r>
        <w:rPr>
          <w:rFonts w:ascii="Arial" w:cs="Arial" w:eastAsia="Arial" w:hAnsi="Arial"/>
          <w:sz w:val="11"/>
          <w:szCs w:val="11"/>
          <w:color w:val="auto"/>
        </w:rPr>
        <w:t>length pricing standards for our intercompany transactions and our indirect tax positions. In determining the adequacy of our provision for 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w:t>
      </w:r>
    </w:p>
    <w:p>
      <w:pPr>
        <w:spacing w:after="0" w:line="128" w:lineRule="exact"/>
        <w:rPr>
          <w:sz w:val="20"/>
          <w:szCs w:val="20"/>
          <w:color w:val="auto"/>
        </w:rPr>
      </w:pPr>
    </w:p>
    <w:p>
      <w:pPr>
        <w:ind w:right="100" w:firstLine="324"/>
        <w:spacing w:after="0" w:line="147" w:lineRule="exact"/>
        <w:rPr>
          <w:sz w:val="20"/>
          <w:szCs w:val="20"/>
          <w:color w:val="auto"/>
        </w:rPr>
      </w:pPr>
      <w:r>
        <w:rPr>
          <w:rFonts w:ascii="Arial" w:cs="Arial" w:eastAsia="Arial" w:hAnsi="Arial"/>
          <w:sz w:val="12"/>
          <w:szCs w:val="12"/>
          <w:color w:val="auto"/>
        </w:rPr>
        <w:t>We conduct operations in many tax jurisdictions throughout the United States and internationally. In many of these jurisdictions, non</w:t>
      </w:r>
      <w:r>
        <w:rPr>
          <w:rFonts w:ascii="MS PGothic" w:cs="MS PGothic" w:eastAsia="MS PGothic" w:hAnsi="MS PGothic"/>
          <w:sz w:val="12"/>
          <w:szCs w:val="12"/>
          <w:color w:val="auto"/>
        </w:rPr>
        <w:t>‑</w:t>
      </w:r>
      <w:r>
        <w:rPr>
          <w:rFonts w:ascii="Arial" w:cs="Arial" w:eastAsia="Arial" w:hAnsi="Arial"/>
          <w:sz w:val="12"/>
          <w:szCs w:val="12"/>
          <w:color w:val="auto"/>
        </w:rPr>
        <w:t>income</w:t>
      </w:r>
      <w:r>
        <w:rPr>
          <w:rFonts w:ascii="MS PGothic" w:cs="MS PGothic" w:eastAsia="MS PGothic" w:hAnsi="MS PGothic"/>
          <w:sz w:val="12"/>
          <w:szCs w:val="12"/>
          <w:color w:val="auto"/>
        </w:rPr>
        <w:t>‑</w:t>
      </w:r>
      <w:r>
        <w:rPr>
          <w:rFonts w:ascii="Arial" w:cs="Arial" w:eastAsia="Arial" w:hAnsi="Arial"/>
          <w:sz w:val="12"/>
          <w:szCs w:val="12"/>
          <w:color w:val="auto"/>
        </w:rPr>
        <w:t>based taxes, such as sales, VAT, GST, and telecommunications taxes, are assessed on our operations or our sales to customers. We are subject to indirect taxes, and may be subject to certain other taxes, in some of these jurisdictions. We collect certain telecommunications</w:t>
      </w:r>
      <w:r>
        <w:rPr>
          <w:rFonts w:ascii="MS PGothic" w:cs="MS PGothic" w:eastAsia="MS PGothic" w:hAnsi="MS PGothic"/>
          <w:sz w:val="12"/>
          <w:szCs w:val="12"/>
          <w:color w:val="auto"/>
        </w:rPr>
        <w:t>‑</w:t>
      </w:r>
      <w:r>
        <w:rPr>
          <w:rFonts w:ascii="Arial" w:cs="Arial" w:eastAsia="Arial" w:hAnsi="Arial"/>
          <w:sz w:val="12"/>
          <w:szCs w:val="12"/>
          <w:color w:val="auto"/>
        </w:rPr>
        <w:t>based taxes from our customers in certain jurisdictions, and we expect to continue expanding the number of jurisdictions in which we will collect these taxes in the future.</w:t>
      </w:r>
    </w:p>
    <w:p>
      <w:pPr>
        <w:spacing w:after="0" w:line="136" w:lineRule="exact"/>
        <w:rPr>
          <w:sz w:val="20"/>
          <w:szCs w:val="20"/>
          <w:color w:val="auto"/>
        </w:rPr>
      </w:pPr>
    </w:p>
    <w:p>
      <w:pPr>
        <w:ind w:right="20" w:firstLine="324"/>
        <w:spacing w:after="0" w:line="263" w:lineRule="auto"/>
        <w:rPr>
          <w:sz w:val="20"/>
          <w:szCs w:val="20"/>
          <w:color w:val="auto"/>
        </w:rPr>
      </w:pPr>
      <w:r>
        <w:rPr>
          <w:rFonts w:ascii="Arial" w:cs="Arial" w:eastAsia="Arial" w:hAnsi="Arial"/>
          <w:sz w:val="12"/>
          <w:szCs w:val="12"/>
          <w:color w:val="auto"/>
        </w:rPr>
        <w:t>Many states are also pursuing legislative expansion of the scope of goods and services that are subject to sales and similar taxes as well as the circumstances in which a vendor of goods and services must collect such taxes. Following the U.S.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spacing w:after="0" w:line="122" w:lineRule="exact"/>
        <w:rPr>
          <w:sz w:val="20"/>
          <w:szCs w:val="20"/>
          <w:color w:val="auto"/>
        </w:rPr>
      </w:pPr>
    </w:p>
    <w:p>
      <w:pPr>
        <w:ind w:firstLine="324"/>
        <w:spacing w:after="0" w:line="283" w:lineRule="auto"/>
        <w:rPr>
          <w:sz w:val="20"/>
          <w:szCs w:val="20"/>
          <w:color w:val="auto"/>
        </w:rPr>
      </w:pPr>
      <w:r>
        <w:rPr>
          <w:rFonts w:ascii="Arial" w:cs="Arial" w:eastAsia="Arial" w:hAnsi="Arial"/>
          <w:sz w:val="11"/>
          <w:szCs w:val="11"/>
          <w:color w:val="auto"/>
        </w:rPr>
        <w:t>Historically, we have not billed or collected taxes in certain jurisdictions and, in accordance with generally accepted accounting principles in the United States (“U.S. GAAP”), we have recorded a provision for our tax exposure in these jurisdictions when it is both probable that a liability has been incurred and the amount of the exposure can be reasonably estimated. We reserved $25.4 million and $17.7 million for domestic jurisdictions and jurisdictions outside of the U.S., respectively, on our December 31, 2021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43" w:name="page44"/>
    <w:bookmarkEnd w:id="43"/>
    <w:p>
      <w:pPr>
        <w:ind w:right="60" w:firstLine="324"/>
        <w:spacing w:after="0" w:line="256" w:lineRule="auto"/>
        <w:rPr>
          <w:sz w:val="20"/>
          <w:szCs w:val="20"/>
          <w:color w:val="auto"/>
        </w:rPr>
      </w:pPr>
      <w:r>
        <w:rPr>
          <w:rFonts w:ascii="Arial" w:cs="Arial" w:eastAsia="Arial" w:hAnsi="Arial"/>
          <w:sz w:val="12"/>
          <w:szCs w:val="12"/>
          <w:color w:val="auto"/>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For example, San Francisco City and County has assessed us for $38.8 million in taxes, including interest and penalties, which exceeded the $11.5 million we had accrued for that assessment. We have paid the full amount, as required by law, and the payment made in excess of the accrued amount is reflected as a deposit on our balance sheet. We believe, however, that this assessment is incorrect and, after failing to reach a settlement, filed a lawsuit on May 27, 2021 contesting the assessment. However, litigation is uncertain and a ruling against us may adversely affect our financial position and results of operation.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Our global operations and structure subject us to potentially adverse tax consequences.</w:t>
      </w:r>
    </w:p>
    <w:p>
      <w:pPr>
        <w:spacing w:after="0" w:line="150" w:lineRule="exact"/>
        <w:rPr>
          <w:sz w:val="20"/>
          <w:szCs w:val="20"/>
          <w:color w:val="auto"/>
        </w:rPr>
      </w:pPr>
    </w:p>
    <w:p>
      <w:pPr>
        <w:ind w:right="140" w:firstLine="324"/>
        <w:spacing w:after="0" w:line="146" w:lineRule="exact"/>
        <w:rPr>
          <w:sz w:val="20"/>
          <w:szCs w:val="20"/>
          <w:color w:val="auto"/>
        </w:rPr>
      </w:pPr>
      <w:r>
        <w:rPr>
          <w:rFonts w:ascii="Arial" w:cs="Arial" w:eastAsia="Arial" w:hAnsi="Arial"/>
          <w:sz w:val="10"/>
          <w:szCs w:val="10"/>
          <w:color w:val="auto"/>
        </w:rPr>
        <w:t>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w:t>
      </w:r>
      <w:r>
        <w:rPr>
          <w:rFonts w:ascii="MS PGothic" w:cs="MS PGothic" w:eastAsia="MS PGothic" w:hAnsi="MS PGothic"/>
          <w:sz w:val="10"/>
          <w:szCs w:val="10"/>
          <w:color w:val="auto"/>
        </w:rPr>
        <w:t>‑</w:t>
      </w:r>
      <w:r>
        <w:rPr>
          <w:rFonts w:ascii="Arial" w:cs="Arial" w:eastAsia="Arial" w:hAnsi="Arial"/>
          <w:sz w:val="10"/>
          <w:szCs w:val="10"/>
          <w:color w:val="auto"/>
        </w:rPr>
        <w:t>time tax charges, higher effective tax rates, reduced cash flows and lower overall profitability of our operations.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Changes in global and U.S. tax legislation may adversely affect our financial condition, results of operations, and cash flows.</w:t>
      </w:r>
    </w:p>
    <w:p>
      <w:pPr>
        <w:spacing w:after="0" w:line="1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2"/>
          <w:szCs w:val="12"/>
          <w:color w:val="auto"/>
        </w:rPr>
        <w:t>We are unable to predict what global or U.S. tax reforms may be proposed or enacted in the future or what effects such future changes would have on our business. Any such changes in tax legislation, regulations, policies or practices in the jurisdictions in which we operate could increase the estimated tax liability that we have expensed to date and paid or accrued on our balance sheet; affect our financial position, future results of operations, cash flows, and effective tax rates where we have operations; reduce post-tax returns to our stockholders; and increase the complexity, burden, and cost of tax compliance. We are subject to potential changes in relevant tax, accounting, and other laws, regulations, and interpretations, including changes to tax laws applicable to corporate multinationals. For example, in the United States, Congress and the Biden administration have recently proposed legislation (which has not yet been enacted) to make various tax law changes, including to increase U.S. taxation of international business operations and impose a global minimum tax. While it is too early to predict the outcome of these proposals and they are subject to change, if enacted, they could have a material effect on our income tax liability.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Certain government agencies in jurisdictions where we and our affiliates do business have had an extended focus on issues related to the taxation of multinational companies. In addition, the Organisation for Economic</w:t>
      </w:r>
    </w:p>
    <w:p>
      <w:pPr>
        <w:spacing w:after="0" w:line="26"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Co</w:t>
      </w:r>
      <w:r>
        <w:rPr>
          <w:rFonts w:ascii="MS PGothic" w:cs="MS PGothic" w:eastAsia="MS PGothic" w:hAnsi="MS PGothic"/>
          <w:sz w:val="11"/>
          <w:szCs w:val="11"/>
          <w:color w:val="auto"/>
        </w:rPr>
        <w:t>‑</w:t>
      </w:r>
      <w:r>
        <w:rPr>
          <w:rFonts w:ascii="Arial" w:cs="Arial" w:eastAsia="Arial" w:hAnsi="Arial"/>
          <w:sz w:val="11"/>
          <w:szCs w:val="11"/>
          <w:color w:val="auto"/>
        </w:rPr>
        <w:t>operation and Development (the “OECD”) is conducting a project focused on base erosion and profit shifting in international structures, which seeks to establish certain international standards for taxing the worldwide income of</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multinational companies. In addition, the OECD is working on a “BEPS 2.0” initiative, which is aimed at (i) shifting taxing rights to the jurisdiction of the consumer and (ii) ensuring all companies pay a global minimum tax. On</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October 8, 2021, the OECD announced an agreement by members of the Inclusive Framework delineating an implementation plan, and on December 20, 2021, the OECD released model rules for the domestic implementation of a 15%</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global minimum tax. Further, several countries have proposed or enacted taxes applicable to digital services, which could apply to our business. As a result of these developments, the tax laws of certain countries in which we and our</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affiliates do business could change on a prospective or retroactive basis, and any such changes could increase our liabilities for taxes, interest and penalties, and therefore could harm our business, cash flows, results of operations and</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financial position.</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The governments of countries in which we operate and other governmental bodies could make unprecedented assertions about how taxation is determined in their jurisdictions that are contrary to the way in which we have interpreted and historically applied the rules and regulations in our tax returns filed in such jurisdictions. New laws could significantly increase our tax obligations in the countries in which we do business or require us to change the way we operate our business. As a result of the large and expanding scale of our international business activities, many of these changes to the taxation of our activities could increase our worldwide effective tax rate and harm our financial position, results of operations, and cash flows.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44" w:name="page45"/>
    <w:bookmarkEnd w:id="44"/>
    <w:p>
      <w:pPr>
        <w:ind w:left="320"/>
        <w:spacing w:after="0"/>
        <w:rPr>
          <w:sz w:val="20"/>
          <w:szCs w:val="20"/>
          <w:color w:val="auto"/>
        </w:rPr>
      </w:pPr>
      <w:r>
        <w:rPr>
          <w:rFonts w:ascii="Arial" w:cs="Arial" w:eastAsia="Arial" w:hAnsi="Arial"/>
          <w:sz w:val="12"/>
          <w:szCs w:val="12"/>
          <w:b w:val="1"/>
          <w:bCs w:val="1"/>
          <w:i w:val="1"/>
          <w:iCs w:val="1"/>
          <w:color w:val="auto"/>
        </w:rPr>
        <w:t>If we experience fraudulent activity relating to our products, we could incur substantial costs.</w:t>
      </w:r>
    </w:p>
    <w:p>
      <w:pPr>
        <w:spacing w:after="0" w:line="150" w:lineRule="exact"/>
        <w:rPr>
          <w:sz w:val="20"/>
          <w:szCs w:val="20"/>
          <w:color w:val="auto"/>
        </w:rPr>
      </w:pPr>
    </w:p>
    <w:p>
      <w:pPr>
        <w:ind w:firstLine="324"/>
        <w:spacing w:after="0" w:line="256" w:lineRule="auto"/>
        <w:rPr>
          <w:sz w:val="20"/>
          <w:szCs w:val="20"/>
          <w:color w:val="auto"/>
        </w:rPr>
      </w:pPr>
      <w:r>
        <w:rPr>
          <w:rFonts w:ascii="Arial" w:cs="Arial" w:eastAsia="Arial" w:hAnsi="Arial"/>
          <w:sz w:val="12"/>
          <w:szCs w:val="12"/>
          <w:color w:val="auto"/>
        </w:rPr>
        <w:t>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We may require additional capital to support our business, and this capital might not be available on acceptable terms, if at all.</w:t>
      </w:r>
    </w:p>
    <w:p>
      <w:pPr>
        <w:spacing w:after="0" w:line="150" w:lineRule="exact"/>
        <w:rPr>
          <w:sz w:val="20"/>
          <w:szCs w:val="20"/>
          <w:color w:val="auto"/>
        </w:rPr>
      </w:pPr>
    </w:p>
    <w:p>
      <w:pPr>
        <w:ind w:right="20" w:firstLine="324"/>
        <w:spacing w:after="0" w:line="280" w:lineRule="auto"/>
        <w:rPr>
          <w:sz w:val="20"/>
          <w:szCs w:val="20"/>
          <w:color w:val="auto"/>
        </w:rPr>
      </w:pPr>
      <w:r>
        <w:rPr>
          <w:rFonts w:ascii="Arial" w:cs="Arial" w:eastAsia="Arial" w:hAnsi="Arial"/>
          <w:sz w:val="11"/>
          <w:szCs w:val="11"/>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We face exposure to foreign currency exchange rate fluctuations, and such fluctuations could adversely affect our business, results of operations and financial condition.</w:t>
      </w:r>
    </w:p>
    <w:p>
      <w:pPr>
        <w:spacing w:after="0" w:line="150" w:lineRule="exact"/>
        <w:rPr>
          <w:sz w:val="20"/>
          <w:szCs w:val="20"/>
          <w:color w:val="auto"/>
        </w:rPr>
      </w:pPr>
    </w:p>
    <w:p>
      <w:pPr>
        <w:ind w:right="20" w:firstLine="324"/>
        <w:spacing w:after="0" w:line="146" w:lineRule="exact"/>
        <w:rPr>
          <w:sz w:val="20"/>
          <w:szCs w:val="20"/>
          <w:color w:val="auto"/>
        </w:rPr>
      </w:pPr>
      <w:r>
        <w:rPr>
          <w:rFonts w:ascii="Arial" w:cs="Arial" w:eastAsia="Arial" w:hAnsi="Arial"/>
          <w:sz w:val="11"/>
          <w:szCs w:val="11"/>
          <w:color w:val="auto"/>
        </w:rPr>
        <w:t>As our international operations expand, our exposure to the effects of fluctuations in currency exchange rates grows. For example, global political and economic events, such as the COVID-19 pandemic, trade tariff developments and other geopolitical events have caused global economic uncertainty and variability in foreign currency exchange rates. While we have primarily transacted with customers and business partners in U.S. dollars, we have also conducted business in currencies other than the U.S. dollar. We expect to significantly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w:t>
      </w:r>
      <w:r>
        <w:rPr>
          <w:rFonts w:ascii="MS PGothic" w:cs="MS PGothic" w:eastAsia="MS PGothic" w:hAnsi="MS PGothic"/>
          <w:sz w:val="11"/>
          <w:szCs w:val="11"/>
          <w:color w:val="auto"/>
        </w:rPr>
        <w:t>‑</w:t>
      </w:r>
      <w:r>
        <w:rPr>
          <w:rFonts w:ascii="Arial" w:cs="Arial" w:eastAsia="Arial" w:hAnsi="Arial"/>
          <w:sz w:val="11"/>
          <w:szCs w:val="11"/>
          <w:color w:val="auto"/>
        </w:rPr>
        <w:t>U.S. locations in the respective local currency. Fluctuations in the exchange rates between the U.S. dollar and other currencies could result in an increase to the U.S. dollar equivalent of such expenses.</w:t>
      </w:r>
    </w:p>
    <w:p>
      <w:pPr>
        <w:spacing w:after="0" w:line="137" w:lineRule="exact"/>
        <w:rPr>
          <w:sz w:val="20"/>
          <w:szCs w:val="20"/>
          <w:color w:val="auto"/>
        </w:rPr>
      </w:pPr>
    </w:p>
    <w:p>
      <w:pPr>
        <w:ind w:right="60" w:firstLine="324"/>
        <w:spacing w:after="0" w:line="326" w:lineRule="auto"/>
        <w:rPr>
          <w:sz w:val="20"/>
          <w:szCs w:val="20"/>
          <w:color w:val="auto"/>
        </w:rPr>
      </w:pPr>
      <w:r>
        <w:rPr>
          <w:rFonts w:ascii="Arial" w:cs="Arial" w:eastAsia="Arial" w:hAnsi="Arial"/>
          <w:sz w:val="10"/>
          <w:szCs w:val="10"/>
          <w:color w:val="auto"/>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Class A common stock could be adversely affected.</w:t>
      </w:r>
    </w:p>
    <w:p>
      <w:pPr>
        <w:spacing w:after="0" w:line="95" w:lineRule="exact"/>
        <w:rPr>
          <w:sz w:val="20"/>
          <w:szCs w:val="20"/>
          <w:color w:val="auto"/>
        </w:rPr>
      </w:pPr>
    </w:p>
    <w:p>
      <w:pPr>
        <w:ind w:right="20" w:firstLine="324"/>
        <w:spacing w:after="0" w:line="298" w:lineRule="auto"/>
        <w:rPr>
          <w:sz w:val="20"/>
          <w:szCs w:val="20"/>
          <w:color w:val="auto"/>
        </w:rPr>
      </w:pPr>
      <w:r>
        <w:rPr>
          <w:rFonts w:ascii="Arial" w:cs="Arial" w:eastAsia="Arial" w:hAnsi="Arial"/>
          <w:sz w:val="11"/>
          <w:szCs w:val="11"/>
          <w:color w:val="auto"/>
        </w:rPr>
        <w:t>We recently implemented a program to hedge transactional exposure against the Euro, and may do so in the future with respect to other foreign currencies. We also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45" w:name="page46"/>
    <w:bookmarkEnd w:id="45"/>
    <w:p>
      <w:pPr>
        <w:ind w:left="320"/>
        <w:spacing w:after="0"/>
        <w:rPr>
          <w:sz w:val="20"/>
          <w:szCs w:val="20"/>
          <w:color w:val="auto"/>
        </w:rPr>
      </w:pPr>
      <w:r>
        <w:rPr>
          <w:rFonts w:ascii="Arial" w:cs="Arial" w:eastAsia="Arial" w:hAnsi="Arial"/>
          <w:sz w:val="12"/>
          <w:szCs w:val="12"/>
          <w:b w:val="1"/>
          <w:bCs w:val="1"/>
          <w:i w:val="1"/>
          <w:iCs w:val="1"/>
          <w:color w:val="auto"/>
        </w:rPr>
        <w:t>Our ability to use our net operating losses and certain other tax attributes to offset future taxable income and taxes may be subject to certain limitations.</w:t>
      </w:r>
    </w:p>
    <w:p>
      <w:pPr>
        <w:spacing w:after="0" w:line="150"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As of December 31, 2021, we had federal, state and foreign net operating loss carryforwards (“NOLs”), of $4.2 billion, $2.7 billion and $268.7 million,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w:t>
      </w:r>
    </w:p>
    <w:p>
      <w:pPr>
        <w:spacing w:after="0" w:line="12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2"/>
          <w:szCs w:val="12"/>
          <w:color w:val="auto"/>
        </w:rPr>
        <w:t>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spacing w:after="0" w:line="122" w:lineRule="exact"/>
        <w:rPr>
          <w:sz w:val="20"/>
          <w:szCs w:val="20"/>
          <w:color w:val="auto"/>
        </w:rPr>
      </w:pPr>
    </w:p>
    <w:p>
      <w:pPr>
        <w:ind w:right="20" w:firstLine="324"/>
        <w:spacing w:after="0" w:line="146" w:lineRule="exact"/>
        <w:rPr>
          <w:sz w:val="20"/>
          <w:szCs w:val="20"/>
          <w:color w:val="auto"/>
        </w:rPr>
      </w:pPr>
      <w:r>
        <w:rPr>
          <w:rFonts w:ascii="Arial" w:cs="Arial" w:eastAsia="Arial" w:hAnsi="Arial"/>
          <w:sz w:val="11"/>
          <w:szCs w:val="11"/>
          <w:color w:val="auto"/>
        </w:rPr>
        <w:t>Under Sections 382 and 383 of the Internal Revenue Code of 1986, as amended (the “Code”), and corresponding provisions of state law, a corporation that undergoes an “ownership change” (generally defined as a greater than 50</w:t>
      </w:r>
      <w:r>
        <w:rPr>
          <w:rFonts w:ascii="MS PGothic" w:cs="MS PGothic" w:eastAsia="MS PGothic" w:hAnsi="MS PGothic"/>
          <w:sz w:val="11"/>
          <w:szCs w:val="11"/>
          <w:color w:val="auto"/>
        </w:rPr>
        <w:t>‑</w:t>
      </w:r>
      <w:r>
        <w:rPr>
          <w:rFonts w:ascii="Arial" w:cs="Arial" w:eastAsia="Arial" w:hAnsi="Arial"/>
          <w:sz w:val="11"/>
          <w:szCs w:val="11"/>
          <w:color w:val="auto"/>
        </w:rPr>
        <w:t>percentage</w:t>
      </w:r>
      <w:r>
        <w:rPr>
          <w:rFonts w:ascii="MS PGothic" w:cs="MS PGothic" w:eastAsia="MS PGothic" w:hAnsi="MS PGothic"/>
          <w:sz w:val="11"/>
          <w:szCs w:val="11"/>
          <w:color w:val="auto"/>
        </w:rPr>
        <w:t>‑</w:t>
      </w:r>
      <w:r>
        <w:rPr>
          <w:rFonts w:ascii="Arial" w:cs="Arial" w:eastAsia="Arial" w:hAnsi="Arial"/>
          <w:sz w:val="11"/>
          <w:szCs w:val="11"/>
          <w:color w:val="auto"/>
        </w:rPr>
        <w:t>point cumulative change (by value) in the equity ownership of certain stockholders over a rolling three</w:t>
      </w:r>
      <w:r>
        <w:rPr>
          <w:rFonts w:ascii="MS PGothic" w:cs="MS PGothic" w:eastAsia="MS PGothic" w:hAnsi="MS PGothic"/>
          <w:sz w:val="11"/>
          <w:szCs w:val="11"/>
          <w:color w:val="auto"/>
        </w:rPr>
        <w:t>‑</w:t>
      </w:r>
      <w:r>
        <w:rPr>
          <w:rFonts w:ascii="Arial" w:cs="Arial" w:eastAsia="Arial" w:hAnsi="Arial"/>
          <w:sz w:val="11"/>
          <w:szCs w:val="11"/>
          <w:color w:val="auto"/>
        </w:rPr>
        <w:t>year period) is subject to limitations on its ability to utilize its pre</w:t>
      </w:r>
      <w:r>
        <w:rPr>
          <w:rFonts w:ascii="MS PGothic" w:cs="MS PGothic" w:eastAsia="MS PGothic" w:hAnsi="MS PGothic"/>
          <w:sz w:val="11"/>
          <w:szCs w:val="11"/>
          <w:color w:val="auto"/>
        </w:rPr>
        <w:t>‑</w:t>
      </w:r>
      <w:r>
        <w:rPr>
          <w:rFonts w:ascii="Arial" w:cs="Arial" w:eastAsia="Arial" w:hAnsi="Arial"/>
          <w:sz w:val="11"/>
          <w:szCs w:val="11"/>
          <w:color w:val="auto"/>
        </w:rPr>
        <w:t>change NOLs and other pre-change tax attributes to offset post</w:t>
      </w:r>
      <w:r>
        <w:rPr>
          <w:rFonts w:ascii="MS PGothic" w:cs="MS PGothic" w:eastAsia="MS PGothic" w:hAnsi="MS PGothic"/>
          <w:sz w:val="11"/>
          <w:szCs w:val="11"/>
          <w:color w:val="auto"/>
        </w:rPr>
        <w:t>‑</w:t>
      </w:r>
      <w:r>
        <w:rPr>
          <w:rFonts w:ascii="Arial" w:cs="Arial" w:eastAsia="Arial" w:hAnsi="Arial"/>
          <w:sz w:val="11"/>
          <w:szCs w:val="11"/>
          <w:color w:val="auto"/>
        </w:rPr>
        <w: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If our estimates or judgments relating to our critical accounting policies prove to be incorrect, our results of operations could be adversely affected.</w:t>
      </w:r>
    </w:p>
    <w:p>
      <w:pPr>
        <w:spacing w:after="0" w:line="150" w:lineRule="exact"/>
        <w:rPr>
          <w:sz w:val="20"/>
          <w:szCs w:val="20"/>
          <w:color w:val="auto"/>
        </w:rPr>
      </w:pPr>
    </w:p>
    <w:p>
      <w:pPr>
        <w:ind w:firstLine="324"/>
        <w:spacing w:after="0" w:line="255"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Changes in financial accounting standards or practices may cause adverse, unexpected financial reporting fluctuations and affect our results of operations.</w:t>
      </w:r>
    </w:p>
    <w:p>
      <w:pPr>
        <w:spacing w:after="0" w:line="150"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22" w:lineRule="exact"/>
        <w:rPr>
          <w:sz w:val="20"/>
          <w:szCs w:val="20"/>
          <w:color w:val="auto"/>
        </w:rPr>
      </w:pPr>
    </w:p>
    <w:p>
      <w:pPr>
        <w:ind w:firstLine="324"/>
        <w:spacing w:after="0" w:line="340" w:lineRule="auto"/>
        <w:rPr>
          <w:sz w:val="20"/>
          <w:szCs w:val="20"/>
          <w:color w:val="auto"/>
        </w:rPr>
      </w:pPr>
      <w:r>
        <w:rPr>
          <w:rFonts w:ascii="Arial" w:cs="Arial" w:eastAsia="Arial" w:hAnsi="Arial"/>
          <w:sz w:val="10"/>
          <w:szCs w:val="10"/>
          <w:color w:val="auto"/>
        </w:rPr>
        <w:t xml:space="preserve">For example, Accounting Standards Codification (“ASC”) 842, </w:t>
      </w:r>
      <w:r>
        <w:rPr>
          <w:rFonts w:ascii="Arial" w:cs="Arial" w:eastAsia="Arial" w:hAnsi="Arial"/>
          <w:sz w:val="10"/>
          <w:szCs w:val="10"/>
          <w:i w:val="1"/>
          <w:iCs w:val="1"/>
          <w:color w:val="auto"/>
        </w:rPr>
        <w:t>“Leases”</w:t>
      </w:r>
      <w:r>
        <w:rPr>
          <w:rFonts w:ascii="Arial" w:cs="Arial" w:eastAsia="Arial" w:hAnsi="Arial"/>
          <w:sz w:val="10"/>
          <w:szCs w:val="10"/>
          <w:color w:val="auto"/>
        </w:rPr>
        <w:t xml:space="preserve"> that became effective January 1, 2019, had a material impact on our consolidated financial statements as described in detail in Note 2 to the consolidated financial statements included in our Annual Report on Form 10-K for the year ended December 31, 2020, filed with the SEC on February 26, 2021.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spacing w:after="0" w:line="87" w:lineRule="exact"/>
        <w:rPr>
          <w:sz w:val="20"/>
          <w:szCs w:val="20"/>
          <w:color w:val="auto"/>
        </w:rPr>
      </w:pPr>
    </w:p>
    <w:p>
      <w:pPr>
        <w:ind w:right="160" w:firstLine="324"/>
        <w:spacing w:after="0" w:line="276" w:lineRule="auto"/>
        <w:rPr>
          <w:sz w:val="20"/>
          <w:szCs w:val="20"/>
          <w:color w:val="auto"/>
        </w:rPr>
      </w:pPr>
      <w:r>
        <w:rPr>
          <w:rFonts w:ascii="Arial" w:cs="Arial" w:eastAsia="Arial" w:hAnsi="Arial"/>
          <w:sz w:val="12"/>
          <w:szCs w:val="12"/>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5" w:lineRule="exact"/>
        <w:rPr>
          <w:sz w:val="20"/>
          <w:szCs w:val="20"/>
          <w:color w:val="auto"/>
        </w:rPr>
      </w:pPr>
    </w:p>
    <w:p>
      <w:pPr>
        <w:ind w:right="240" w:firstLine="324"/>
        <w:spacing w:after="0" w:line="149" w:lineRule="exact"/>
        <w:rPr>
          <w:sz w:val="20"/>
          <w:szCs w:val="20"/>
          <w:color w:val="auto"/>
        </w:rPr>
      </w:pPr>
      <w:r>
        <w:rPr>
          <w:rFonts w:ascii="Arial" w:cs="Arial" w:eastAsia="Arial" w:hAnsi="Arial"/>
          <w:sz w:val="12"/>
          <w:szCs w:val="12"/>
          <w:color w:val="auto"/>
        </w:rPr>
        <w:t>As a public company, we are required to maintain internal control over financial reporting and to report any material weaknesses in such internal control. Section 404 of the Sarbanes</w:t>
      </w:r>
      <w:r>
        <w:rPr>
          <w:rFonts w:ascii="MS PGothic" w:cs="MS PGothic" w:eastAsia="MS PGothic" w:hAnsi="MS PGothic"/>
          <w:sz w:val="12"/>
          <w:szCs w:val="12"/>
          <w:color w:val="auto"/>
        </w:rPr>
        <w:t>‑</w:t>
      </w:r>
      <w:r>
        <w:rPr>
          <w:rFonts w:ascii="Arial" w:cs="Arial" w:eastAsia="Arial" w:hAnsi="Arial"/>
          <w:sz w:val="12"/>
          <w:szCs w:val="12"/>
          <w:color w:val="auto"/>
        </w:rPr>
        <w:t>Oxley Act of 2002 (the “Sarbanes</w:t>
      </w:r>
      <w:r>
        <w:rPr>
          <w:rFonts w:ascii="MS PGothic" w:cs="MS PGothic" w:eastAsia="MS PGothic" w:hAnsi="MS PGothic"/>
          <w:sz w:val="12"/>
          <w:szCs w:val="12"/>
          <w:color w:val="auto"/>
        </w:rPr>
        <w:t>‑</w:t>
      </w:r>
      <w:r>
        <w:rPr>
          <w:rFonts w:ascii="Arial" w:cs="Arial" w:eastAsia="Arial" w:hAnsi="Arial"/>
          <w:sz w:val="12"/>
          <w:szCs w:val="12"/>
          <w:color w:val="auto"/>
        </w:rPr>
        <w:t>Oxley Act”) requires that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46" w:name="page47"/>
    <w:bookmarkEnd w:id="46"/>
    <w:p>
      <w:pPr>
        <w:ind w:right="520"/>
        <w:spacing w:after="0" w:line="323" w:lineRule="auto"/>
        <w:rPr>
          <w:sz w:val="20"/>
          <w:szCs w:val="20"/>
          <w:color w:val="auto"/>
        </w:rPr>
      </w:pPr>
      <w:r>
        <w:rPr>
          <w:rFonts w:ascii="Arial" w:cs="Arial" w:eastAsia="Arial" w:hAnsi="Arial"/>
          <w:sz w:val="11"/>
          <w:szCs w:val="11"/>
          <w:color w:val="auto"/>
        </w:rPr>
        <w:t>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92" w:lineRule="exact"/>
        <w:rPr>
          <w:sz w:val="20"/>
          <w:szCs w:val="20"/>
          <w:color w:val="auto"/>
        </w:rPr>
      </w:pPr>
    </w:p>
    <w:p>
      <w:pPr>
        <w:ind w:right="20" w:firstLine="324"/>
        <w:spacing w:after="0" w:line="280" w:lineRule="auto"/>
        <w:rPr>
          <w:sz w:val="20"/>
          <w:szCs w:val="20"/>
          <w:color w:val="auto"/>
        </w:rPr>
      </w:pPr>
      <w:r>
        <w:rPr>
          <w:rFonts w:ascii="Arial" w:cs="Arial" w:eastAsia="Arial" w:hAnsi="Arial"/>
          <w:sz w:val="11"/>
          <w:szCs w:val="11"/>
          <w:color w:val="auto"/>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Class A common stock. In addition, if we are unable to continue to meet these requirements, we may not be able to remain listed on the New York Stock Exchange or the Long-Term Stock Exchange.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If our goodwill or intangible assets become impaired, we may be required to record a significant charge to earnings.</w:t>
      </w:r>
    </w:p>
    <w:p>
      <w:pPr>
        <w:spacing w:after="0" w:line="150"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We review our intangible assets for impairment when events or changes in circumstances indicate the carrying value may not be recoverable. Goodwill is required to be tested for impairment at least annually. As of December 31, 2021, we carried a net $6.3 billion of goodwill and intangible assets.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01"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Risks Related to Ownership of Our Class A Common Stock</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The trading price of our Class A common stock has been volatile and may continue to be volatile, and you could lose all or part of your investment.</w:t>
      </w:r>
    </w:p>
    <w:p>
      <w:pPr>
        <w:spacing w:after="0" w:line="150" w:lineRule="exact"/>
        <w:rPr>
          <w:sz w:val="20"/>
          <w:szCs w:val="20"/>
          <w:color w:val="auto"/>
        </w:rPr>
      </w:pPr>
    </w:p>
    <w:p>
      <w:pPr>
        <w:ind w:right="220" w:firstLine="324"/>
        <w:spacing w:after="0" w:line="298" w:lineRule="auto"/>
        <w:rPr>
          <w:sz w:val="20"/>
          <w:szCs w:val="20"/>
          <w:color w:val="auto"/>
        </w:rPr>
      </w:pPr>
      <w:r>
        <w:rPr>
          <w:rFonts w:ascii="Arial" w:cs="Arial" w:eastAsia="Arial" w:hAnsi="Arial"/>
          <w:sz w:val="11"/>
          <w:szCs w:val="11"/>
          <w:color w:val="auto"/>
        </w:rPr>
        <w:t>Prior to our initial public offering in June 2016, there was no public market for shares of our Class A common stock. On June 23, 2016, we sold shares of our Class A common stock to the public at $15.00 per share. From June 23, 2016, the date that our Class A common stock started trading on the New York Stock Exchange, through December 31, 2021, the trading price of our Class A common stock has ranged from $22.80 per share to $457.30 per share. The trading price of our Class A common stock may continue to fluctuate significantly in response to numerous factors, many of which are beyond our control, including:</w:t>
      </w:r>
    </w:p>
    <w:p>
      <w:pPr>
        <w:spacing w:after="0" w:line="105" w:lineRule="exact"/>
        <w:rPr>
          <w:sz w:val="20"/>
          <w:szCs w:val="20"/>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price and volume fluctuations in the overall stock market from time to time;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volatility in the trading prices and trading volumes of technology stocks;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changes in operating performance and stock market valuations of other technology companies generally, or those in our industry in particular;</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sales of shares of our Class A common stock by us or our stockholders;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1"/>
          <w:szCs w:val="11"/>
          <w:color w:val="auto"/>
        </w:rPr>
      </w:pPr>
      <w:r>
        <w:rPr>
          <w:rFonts w:ascii="Arial" w:cs="Arial" w:eastAsia="Arial" w:hAnsi="Arial"/>
          <w:sz w:val="11"/>
          <w:szCs w:val="11"/>
          <w:color w:val="auto"/>
        </w:rPr>
        <w:t>failure of securities analysts to maintain coverage of us, changes in financial estimates by securities analysts who follow our company, or our failure to meet these estimates or the expectations of investors;</w:t>
      </w:r>
    </w:p>
    <w:p>
      <w:pPr>
        <w:spacing w:after="0" w:line="161" w:lineRule="exact"/>
        <w:rPr>
          <w:rFonts w:ascii="Arial" w:cs="Arial" w:eastAsia="Arial" w:hAnsi="Arial"/>
          <w:sz w:val="11"/>
          <w:szCs w:val="11"/>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financial projections we may provide to the public, any changes in those projections or our failure to meet those projections;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announcements by us or our competitors of new products or services;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public’s reaction to our press releases, other public announcements and filings with the SEC;</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47" w:name="page48"/>
    <w:bookmarkEnd w:id="47"/>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rumors and market speculation involving us or other companies in our industry;</w:t>
      </w:r>
    </w:p>
    <w:p>
      <w:pPr>
        <w:spacing w:after="0" w:line="150" w:lineRule="exact"/>
        <w:rPr>
          <w:rFonts w:ascii="Arial" w:cs="Arial" w:eastAsia="Arial" w:hAnsi="Arial"/>
          <w:sz w:val="12"/>
          <w:szCs w:val="12"/>
          <w:color w:val="auto"/>
        </w:rPr>
      </w:pPr>
    </w:p>
    <w:p>
      <w:pPr>
        <w:ind w:left="640" w:right="40" w:hanging="216"/>
        <w:spacing w:after="0" w:line="263" w:lineRule="auto"/>
        <w:tabs>
          <w:tab w:leader="none" w:pos="6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changes in laws, industry standards, regulations or regulatory enforcement in the United States or internationally, GDPR, the California Consumer Privacy Act of 2018 and other privacy or cybersecurity regulations that may be implemented in the future, including the Schrems II decision invalidating the EU-U.S. Privacy Shield, SHAKEN/STIR and other robocalling prevention and anti-spam standards and increased costs associated with such compliance, as well as enhanced Know-Your-Client processes that impact our ability to market, sell or deliver our products;</w:t>
      </w:r>
    </w:p>
    <w:p>
      <w:pPr>
        <w:spacing w:after="0" w:line="122"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actual or anticipated changes in our results of operations or fluctuations in our results of operations;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actual or anticipated developments in our business, our competitors’ businesses or the competitive landscape generally;</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litigation involving us, our industry or both, or investigations by regulators into our operations or those of our competitors;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developments or disputes concerning our intellectual property or other proprietary rights;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announced or completed acquisitions of businesses, products, services or technologies by us or our competitors;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changes in accounting standards, policies, guidelines, interpretations or principles;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any significant change in our management; and</w:t>
      </w:r>
    </w:p>
    <w:p>
      <w:pPr>
        <w:spacing w:after="0" w:line="7" w:lineRule="exact"/>
        <w:rPr>
          <w:rFonts w:ascii="Arial" w:cs="Arial" w:eastAsia="Arial" w:hAnsi="Arial"/>
          <w:sz w:val="12"/>
          <w:szCs w:val="12"/>
          <w:color w:val="auto"/>
        </w:rPr>
      </w:pPr>
    </w:p>
    <w:p>
      <w:pPr>
        <w:ind w:left="640" w:hanging="216"/>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general economic conditions, including due to the COVID-19 pandemic, labor shortages, supply chain disruptions, inflation and slow or negative growth of our markets.</w:t>
      </w:r>
    </w:p>
    <w:p>
      <w:pPr>
        <w:spacing w:after="0" w:line="131" w:lineRule="exact"/>
        <w:rPr>
          <w:sz w:val="20"/>
          <w:szCs w:val="20"/>
          <w:color w:val="auto"/>
        </w:rPr>
      </w:pPr>
    </w:p>
    <w:p>
      <w:pPr>
        <w:ind w:right="380" w:firstLine="324"/>
        <w:spacing w:after="0" w:line="276" w:lineRule="auto"/>
        <w:rPr>
          <w:sz w:val="20"/>
          <w:szCs w:val="20"/>
          <w:color w:val="auto"/>
        </w:rPr>
      </w:pPr>
      <w:r>
        <w:rPr>
          <w:rFonts w:ascii="Arial" w:cs="Arial" w:eastAsia="Arial" w:hAnsi="Arial"/>
          <w:sz w:val="12"/>
          <w:szCs w:val="12"/>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Substantial future sales of shares of our Class A common stock could cause the market price of our Class A common stock to decline.</w:t>
      </w:r>
    </w:p>
    <w:p>
      <w:pPr>
        <w:spacing w:after="0" w:line="150"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1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2"/>
          <w:szCs w:val="12"/>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48" w:name="page49"/>
    <w:bookmarkEnd w:id="48"/>
    <w:p>
      <w:pPr>
        <w:jc w:val="both"/>
        <w:ind w:right="40" w:firstLine="324"/>
        <w:spacing w:after="0" w:line="298" w:lineRule="auto"/>
        <w:rPr>
          <w:sz w:val="20"/>
          <w:szCs w:val="20"/>
          <w:color w:val="auto"/>
        </w:rPr>
      </w:pPr>
      <w:r>
        <w:rPr>
          <w:rFonts w:ascii="Arial" w:cs="Arial" w:eastAsia="Arial" w:hAnsi="Arial"/>
          <w:sz w:val="11"/>
          <w:szCs w:val="11"/>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their respective affiliates. This limits or precludes holders of our Class A common stock from the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05" w:lineRule="exact"/>
        <w:rPr>
          <w:sz w:val="20"/>
          <w:szCs w:val="20"/>
          <w:color w:val="auto"/>
        </w:rPr>
      </w:pPr>
    </w:p>
    <w:p>
      <w:pPr>
        <w:ind w:firstLine="324"/>
        <w:spacing w:after="0" w:line="146" w:lineRule="exact"/>
        <w:rPr>
          <w:sz w:val="20"/>
          <w:szCs w:val="20"/>
          <w:color w:val="auto"/>
        </w:rPr>
      </w:pPr>
      <w:r>
        <w:rPr>
          <w:rFonts w:ascii="Arial" w:cs="Arial" w:eastAsia="Arial" w:hAnsi="Arial"/>
          <w:sz w:val="11"/>
          <w:szCs w:val="11"/>
          <w:color w:val="auto"/>
        </w:rPr>
        <w:t>Our Class B common stock has 10 votes per share, and our Class A common stock has one vote per share. As of December 31, 2021, our directors, executive officers and their respective affiliates, held in the aggregate 21.3% of the voting power of our capital stock. Because of the 10</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one voting ratio between our Class B common stock and Class A common stock, the holders of our Class B common stock collectively will continue to have concentrated control of the combined voting power of our common stock and therefore may be able to control certain matters submitted to our stockholders for approval until the earlier of (i) June 28, 2023, or (ii) the date the holders of two</w:t>
      </w:r>
      <w:r>
        <w:rPr>
          <w:rFonts w:ascii="MS PGothic" w:cs="MS PGothic" w:eastAsia="MS PGothic" w:hAnsi="MS PGothic"/>
          <w:sz w:val="11"/>
          <w:szCs w:val="11"/>
          <w:color w:val="auto"/>
        </w:rPr>
        <w:t>‑</w:t>
      </w:r>
      <w:r>
        <w:rPr>
          <w:rFonts w:ascii="Arial" w:cs="Arial" w:eastAsia="Arial" w:hAnsi="Arial"/>
          <w:sz w:val="11"/>
          <w:szCs w:val="11"/>
          <w:color w:val="auto"/>
        </w:rPr>
        <w:t>thirds of our Class B common stock elect to convert the Class B common stock to Class A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35" w:lineRule="exact"/>
        <w:rPr>
          <w:sz w:val="20"/>
          <w:szCs w:val="20"/>
          <w:color w:val="auto"/>
        </w:rPr>
      </w:pPr>
    </w:p>
    <w:p>
      <w:pPr>
        <w:ind w:right="180" w:firstLine="324"/>
        <w:spacing w:after="0" w:line="323" w:lineRule="auto"/>
        <w:rPr>
          <w:sz w:val="20"/>
          <w:szCs w:val="20"/>
          <w:color w:val="auto"/>
        </w:rPr>
      </w:pPr>
      <w:r>
        <w:rPr>
          <w:rFonts w:ascii="Arial" w:cs="Arial" w:eastAsia="Arial" w:hAnsi="Arial"/>
          <w:sz w:val="11"/>
          <w:szCs w:val="11"/>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92" w:lineRule="exact"/>
        <w:rPr>
          <w:sz w:val="20"/>
          <w:szCs w:val="20"/>
          <w:color w:val="auto"/>
        </w:rPr>
      </w:pPr>
    </w:p>
    <w:p>
      <w:pPr>
        <w:ind w:right="60" w:firstLine="324"/>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15" w:lineRule="exact"/>
        <w:rPr>
          <w:sz w:val="20"/>
          <w:szCs w:val="20"/>
          <w:color w:val="auto"/>
        </w:rPr>
      </w:pPr>
    </w:p>
    <w:p>
      <w:pPr>
        <w:ind w:right="80" w:firstLine="324"/>
        <w:spacing w:after="0" w:line="259" w:lineRule="auto"/>
        <w:rPr>
          <w:sz w:val="20"/>
          <w:szCs w:val="20"/>
          <w:color w:val="auto"/>
        </w:rPr>
      </w:pPr>
      <w:r>
        <w:rPr>
          <w:rFonts w:ascii="Arial" w:cs="Arial" w:eastAsia="Arial" w:hAnsi="Arial"/>
          <w:sz w:val="12"/>
          <w:szCs w:val="12"/>
          <w:color w:val="auto"/>
        </w:rPr>
        <w:t>The trading market for our Class A common stock is influenced by the research and reports that securities or industry analysts may publish about us, our business, our market or our competitors. If any of the analysts who cover us change their recommendation regarding our Class A common stock adversely, or provide more favorable relative recommendations about our competitors,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24" w:lineRule="exact"/>
        <w:rPr>
          <w:sz w:val="20"/>
          <w:szCs w:val="20"/>
          <w:color w:val="auto"/>
        </w:rPr>
      </w:pPr>
    </w:p>
    <w:p>
      <w:pPr>
        <w:ind w:left="320"/>
        <w:spacing w:after="0" w:line="127" w:lineRule="exact"/>
        <w:rPr>
          <w:sz w:val="20"/>
          <w:szCs w:val="20"/>
          <w:color w:val="auto"/>
        </w:rPr>
      </w:pPr>
      <w:r>
        <w:rPr>
          <w:rFonts w:ascii="Arial" w:cs="Arial" w:eastAsia="Arial" w:hAnsi="Arial"/>
          <w:sz w:val="11"/>
          <w:szCs w:val="11"/>
          <w:b w:val="1"/>
          <w:bCs w:val="1"/>
          <w:i w:val="1"/>
          <w:iCs w:val="1"/>
          <w:color w:val="auto"/>
        </w:rPr>
        <w:t>Anti</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takeover provisions contained in our amended and restated certificate of incorporation and second amended and restated bylaws, as well as provisions of Delaware law, could impair a takeover attempt.</w:t>
      </w:r>
    </w:p>
    <w:p>
      <w:pPr>
        <w:spacing w:after="0" w:line="162" w:lineRule="exact"/>
        <w:rPr>
          <w:sz w:val="20"/>
          <w:szCs w:val="20"/>
          <w:color w:val="auto"/>
        </w:rPr>
      </w:pPr>
    </w:p>
    <w:p>
      <w:pPr>
        <w:ind w:right="200" w:firstLine="324"/>
        <w:spacing w:after="0" w:line="323" w:lineRule="auto"/>
        <w:rPr>
          <w:sz w:val="20"/>
          <w:szCs w:val="20"/>
          <w:color w:val="auto"/>
        </w:rPr>
      </w:pPr>
      <w:r>
        <w:rPr>
          <w:rFonts w:ascii="Arial" w:cs="Arial" w:eastAsia="Arial" w:hAnsi="Arial"/>
          <w:sz w:val="11"/>
          <w:szCs w:val="11"/>
          <w:color w:val="auto"/>
        </w:rPr>
        <w:t>Our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second amended and restated bylaws include provisions:</w:t>
      </w:r>
    </w:p>
    <w:p>
      <w:pPr>
        <w:spacing w:after="0" w:line="92" w:lineRule="exact"/>
        <w:rPr>
          <w:sz w:val="20"/>
          <w:szCs w:val="20"/>
          <w:color w:val="auto"/>
        </w:rPr>
      </w:pPr>
    </w:p>
    <w:p>
      <w:pPr>
        <w:ind w:left="640" w:right="80" w:hanging="216"/>
        <w:spacing w:after="0" w:line="276" w:lineRule="auto"/>
        <w:tabs>
          <w:tab w:leader="none" w:pos="637" w:val="left"/>
        </w:tabs>
        <w:numPr>
          <w:ilvl w:val="0"/>
          <w:numId w:val="33"/>
        </w:numPr>
        <w:rPr>
          <w:rFonts w:ascii="Arial" w:cs="Arial" w:eastAsia="Arial" w:hAnsi="Arial"/>
          <w:sz w:val="12"/>
          <w:szCs w:val="12"/>
          <w:color w:val="auto"/>
        </w:rPr>
      </w:pPr>
      <w:r>
        <w:rPr>
          <w:rFonts w:ascii="Arial" w:cs="Arial" w:eastAsia="Arial" w:hAnsi="Arial"/>
          <w:sz w:val="12"/>
          <w:szCs w:val="12"/>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limiting the liability of, and providing indemnification to, our directors and officers;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limiting the ability of our stockholders to call and bring business before special meetings;</w:t>
      </w:r>
    </w:p>
    <w:p>
      <w:pPr>
        <w:spacing w:after="0" w:line="150" w:lineRule="exact"/>
        <w:rPr>
          <w:rFonts w:ascii="Arial" w:cs="Arial" w:eastAsia="Arial" w:hAnsi="Arial"/>
          <w:sz w:val="12"/>
          <w:szCs w:val="12"/>
          <w:color w:val="auto"/>
        </w:rPr>
      </w:pPr>
    </w:p>
    <w:p>
      <w:pPr>
        <w:ind w:left="640" w:right="20" w:hanging="216"/>
        <w:spacing w:after="0" w:line="323" w:lineRule="auto"/>
        <w:tabs>
          <w:tab w:leader="none" w:pos="637" w:val="left"/>
        </w:tabs>
        <w:numPr>
          <w:ilvl w:val="0"/>
          <w:numId w:val="33"/>
        </w:numPr>
        <w:rPr>
          <w:rFonts w:ascii="Arial" w:cs="Arial" w:eastAsia="Arial" w:hAnsi="Arial"/>
          <w:sz w:val="11"/>
          <w:szCs w:val="11"/>
          <w:color w:val="auto"/>
        </w:rPr>
      </w:pPr>
      <w:r>
        <w:rPr>
          <w:rFonts w:ascii="Arial" w:cs="Arial" w:eastAsia="Arial" w:hAnsi="Arial"/>
          <w:sz w:val="11"/>
          <w:szCs w:val="11"/>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1" w:lineRule="exact"/>
        <w:rPr>
          <w:rFonts w:ascii="Arial" w:cs="Arial" w:eastAsia="Arial" w:hAnsi="Arial"/>
          <w:sz w:val="11"/>
          <w:szCs w:val="11"/>
          <w:color w:val="auto"/>
        </w:rPr>
      </w:pPr>
    </w:p>
    <w:p>
      <w:pPr>
        <w:ind w:left="640" w:hanging="216"/>
        <w:spacing w:after="0" w:line="138" w:lineRule="exact"/>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providing that our board of directors is classified into three classes of directors with staggered three</w:t>
      </w:r>
      <w:r>
        <w:rPr>
          <w:rFonts w:ascii="MS PGothic" w:cs="MS PGothic" w:eastAsia="MS PGothic" w:hAnsi="MS PGothic"/>
          <w:sz w:val="12"/>
          <w:szCs w:val="12"/>
          <w:color w:val="auto"/>
        </w:rPr>
        <w:t>‑</w:t>
      </w:r>
      <w:r>
        <w:rPr>
          <w:rFonts w:ascii="Arial" w:cs="Arial" w:eastAsia="Arial" w:hAnsi="Arial"/>
          <w:sz w:val="12"/>
          <w:szCs w:val="12"/>
          <w:color w:val="auto"/>
        </w:rPr>
        <w:t>year terms;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88" w:right="339" w:bottom="1440" w:gutter="0" w:footer="0" w:header="0"/>
        </w:sectPr>
      </w:pPr>
    </w:p>
    <w:bookmarkStart w:id="49" w:name="page50"/>
    <w:bookmarkEnd w:id="49"/>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prohibit stockholder action by written consent, which requires all stockholder actions to be taken at a meeting of our stockholders;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requiring advance notice of stockholder proposals for business to be conducted at meetings of our stockholders and for nominations of candidates for election to our board of directors;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controlling the procedures for the conduct and scheduling of board of directors and stockholder meetings; and</w:t>
      </w:r>
    </w:p>
    <w:p>
      <w:pPr>
        <w:spacing w:after="0" w:line="150" w:lineRule="exact"/>
        <w:rPr>
          <w:rFonts w:ascii="Arial" w:cs="Arial" w:eastAsia="Arial" w:hAnsi="Arial"/>
          <w:sz w:val="12"/>
          <w:szCs w:val="12"/>
          <w:color w:val="auto"/>
        </w:rPr>
      </w:pPr>
    </w:p>
    <w:p>
      <w:pPr>
        <w:ind w:left="640" w:right="340" w:hanging="216"/>
        <w:spacing w:after="0" w:line="323" w:lineRule="auto"/>
        <w:tabs>
          <w:tab w:leader="none" w:pos="637" w:val="left"/>
        </w:tabs>
        <w:numPr>
          <w:ilvl w:val="0"/>
          <w:numId w:val="34"/>
        </w:numPr>
        <w:rPr>
          <w:rFonts w:ascii="Arial" w:cs="Arial" w:eastAsia="Arial" w:hAnsi="Arial"/>
          <w:sz w:val="11"/>
          <w:szCs w:val="11"/>
          <w:color w:val="auto"/>
        </w:rPr>
      </w:pPr>
      <w:r>
        <w:rPr>
          <w:rFonts w:ascii="Arial" w:cs="Arial" w:eastAsia="Arial" w:hAnsi="Arial"/>
          <w:sz w:val="11"/>
          <w:szCs w:val="11"/>
          <w:color w:val="auto"/>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These provisions, alone or together, could delay or prevent hostile takeovers and changes in control or changes in our management.</w:t>
      </w:r>
    </w:p>
    <w:p>
      <w:pPr>
        <w:spacing w:after="0" w:line="150" w:lineRule="exact"/>
        <w:rPr>
          <w:sz w:val="20"/>
          <w:szCs w:val="20"/>
          <w:color w:val="auto"/>
        </w:rPr>
      </w:pPr>
    </w:p>
    <w:p>
      <w:pPr>
        <w:ind w:right="220" w:firstLine="324"/>
        <w:spacing w:after="0" w:line="149" w:lineRule="exact"/>
        <w:rPr>
          <w:sz w:val="20"/>
          <w:szCs w:val="20"/>
          <w:color w:val="auto"/>
        </w:rPr>
      </w:pPr>
      <w:r>
        <w:rPr>
          <w:rFonts w:ascii="Arial" w:cs="Arial" w:eastAsia="Arial" w:hAnsi="Arial"/>
          <w:sz w:val="11"/>
          <w:szCs w:val="11"/>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w:t>
      </w:r>
      <w:r>
        <w:rPr>
          <w:rFonts w:ascii="MS PGothic" w:cs="MS PGothic" w:eastAsia="MS PGothic" w:hAnsi="MS PGothic"/>
          <w:sz w:val="11"/>
          <w:szCs w:val="11"/>
          <w:color w:val="auto"/>
        </w:rPr>
        <w:t>‑</w:t>
      </w:r>
      <w:r>
        <w:rPr>
          <w:rFonts w:ascii="Arial" w:cs="Arial" w:eastAsia="Arial" w:hAnsi="Arial"/>
          <w:sz w:val="11"/>
          <w:szCs w:val="11"/>
          <w:color w:val="auto"/>
        </w:rPr>
        <w:t>thirds of our outstanding common stock not held by such 15% or greater stockholder.</w:t>
      </w:r>
    </w:p>
    <w:p>
      <w:pPr>
        <w:spacing w:after="0" w:line="136"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Any provision of our amended and restated certificate of incorporation, second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15" w:lineRule="exact"/>
        <w:rPr>
          <w:sz w:val="20"/>
          <w:szCs w:val="20"/>
          <w:color w:val="auto"/>
        </w:rPr>
      </w:pPr>
    </w:p>
    <w:p>
      <w:pPr>
        <w:ind w:right="560" w:firstLine="324"/>
        <w:spacing w:after="0" w:line="276" w:lineRule="auto"/>
        <w:rPr>
          <w:sz w:val="20"/>
          <w:szCs w:val="20"/>
          <w:color w:val="auto"/>
        </w:rPr>
      </w:pPr>
      <w:r>
        <w:rPr>
          <w:rFonts w:ascii="Arial" w:cs="Arial" w:eastAsia="Arial" w:hAnsi="Arial"/>
          <w:sz w:val="12"/>
          <w:szCs w:val="12"/>
          <w:b w:val="1"/>
          <w:bCs w:val="1"/>
          <w:i w:val="1"/>
          <w:iCs w:val="1"/>
          <w:color w:val="auto"/>
        </w:rPr>
        <w:t>Our second amended and restated bylaws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Our second amended and restated bylaws provides that the Court of Chancery of the State of Delaware is the exclusive forum for the following types of actions or proceedings under Delaware statutory or common law:</w:t>
      </w:r>
    </w:p>
    <w:p>
      <w:pPr>
        <w:spacing w:after="0" w:line="162" w:lineRule="exact"/>
        <w:rPr>
          <w:sz w:val="20"/>
          <w:szCs w:val="20"/>
          <w:color w:val="auto"/>
        </w:rPr>
      </w:pPr>
    </w:p>
    <w:p>
      <w:pPr>
        <w:ind w:left="640" w:hanging="216"/>
        <w:spacing w:after="0"/>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any derivative action or proceeding brought on our behalf;</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any action asserting a breach of fiduciary duty owed by our directors, officers, employees or our stockholders;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any action asserting a claim against us arising under the Delaware General Corporation Law;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any action asserting a claim against us that is governed by the internal-affairs doctrine (the “Delaware Forum Provision”).</w:t>
      </w:r>
    </w:p>
    <w:p>
      <w:pPr>
        <w:spacing w:after="0" w:line="150"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2"/>
          <w:szCs w:val="12"/>
          <w:color w:val="auto"/>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second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24" w:lineRule="exact"/>
        <w:rPr>
          <w:sz w:val="20"/>
          <w:szCs w:val="20"/>
          <w:color w:val="auto"/>
        </w:rPr>
      </w:pPr>
    </w:p>
    <w:p>
      <w:pPr>
        <w:ind w:right="20" w:firstLine="324"/>
        <w:spacing w:after="0" w:line="263" w:lineRule="auto"/>
        <w:rPr>
          <w:sz w:val="20"/>
          <w:szCs w:val="20"/>
          <w:color w:val="auto"/>
        </w:rPr>
      </w:pPr>
      <w:r>
        <w:rPr>
          <w:rFonts w:ascii="Arial" w:cs="Arial" w:eastAsia="Arial" w:hAnsi="Arial"/>
          <w:sz w:val="12"/>
          <w:szCs w:val="12"/>
          <w:color w:val="auto"/>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second amended and restated bylaws to be inapplicable or unenforceable in an action, we may incur additional costs associated with resolving the dispute in other jurisdictions, which could seriously harm our business.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88" w:right="359" w:bottom="1440" w:gutter="0" w:footer="0" w:header="0"/>
        </w:sectPr>
      </w:pPr>
    </w:p>
    <w:bookmarkStart w:id="50" w:name="page51"/>
    <w:bookmarkEnd w:id="50"/>
    <w:p>
      <w:pPr>
        <w:ind w:left="320"/>
        <w:spacing w:after="0"/>
        <w:rPr>
          <w:sz w:val="20"/>
          <w:szCs w:val="20"/>
          <w:color w:val="auto"/>
        </w:rPr>
      </w:pPr>
      <w:r>
        <w:rPr>
          <w:rFonts w:ascii="Arial" w:cs="Arial" w:eastAsia="Arial" w:hAnsi="Arial"/>
          <w:sz w:val="12"/>
          <w:szCs w:val="12"/>
          <w:b w:val="1"/>
          <w:bCs w:val="1"/>
          <w:i w:val="1"/>
          <w:iCs w:val="1"/>
          <w:color w:val="auto"/>
        </w:rPr>
        <w:t>We do not expect to declare any dividends in the foreseeable future.</w:t>
      </w:r>
    </w:p>
    <w:p>
      <w:pPr>
        <w:spacing w:after="0" w:line="150" w:lineRule="exact"/>
        <w:rPr>
          <w:sz w:val="20"/>
          <w:szCs w:val="20"/>
          <w:color w:val="auto"/>
        </w:rPr>
      </w:pPr>
    </w:p>
    <w:p>
      <w:pPr>
        <w:ind w:right="180" w:firstLine="324"/>
        <w:spacing w:after="0" w:line="323" w:lineRule="auto"/>
        <w:rPr>
          <w:sz w:val="20"/>
          <w:szCs w:val="20"/>
          <w:color w:val="auto"/>
        </w:rPr>
      </w:pPr>
      <w:r>
        <w:rPr>
          <w:rFonts w:ascii="Arial" w:cs="Arial" w:eastAsia="Arial" w:hAnsi="Arial"/>
          <w:sz w:val="11"/>
          <w:szCs w:val="11"/>
          <w:color w:val="auto"/>
        </w:rPr>
        <w:t>We have never paid dividends and we do not anticipate declaring any cash dividends to holders of our common stock in the foreseeable future. Consequently, investors may need to rely on sales of their Class A common stock after price appreciation, which may never occur, as the only way to realize any future gains on their investment. Investors seeking cash dividends should not purchase our Class A common stock.</w:t>
      </w:r>
    </w:p>
    <w:p>
      <w:pPr>
        <w:spacing w:after="0" w:line="88"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Risks Related to our Indebtedness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Our indebtedness could adversely affect our financial condition.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December 31, 2021, we had $1.0 billion of indebtedness outstanding (excluding intercompany indebtedness). Our indebtedness could have important consequences, including:</w:t>
      </w:r>
    </w:p>
    <w:p>
      <w:pPr>
        <w:spacing w:after="0" w:line="150" w:lineRule="exact"/>
        <w:rPr>
          <w:sz w:val="20"/>
          <w:szCs w:val="20"/>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limiting our ability to obtain additional financing to fund future working capital, capital expenditures, acquisitions or other general corporate requirements;</w:t>
      </w:r>
    </w:p>
    <w:p>
      <w:pPr>
        <w:spacing w:after="0" w:line="150" w:lineRule="exact"/>
        <w:rPr>
          <w:rFonts w:ascii="Arial" w:cs="Arial" w:eastAsia="Arial" w:hAnsi="Arial"/>
          <w:sz w:val="12"/>
          <w:szCs w:val="12"/>
          <w:color w:val="auto"/>
        </w:rPr>
      </w:pPr>
    </w:p>
    <w:p>
      <w:pPr>
        <w:ind w:left="640" w:right="20" w:hanging="216"/>
        <w:spacing w:after="0" w:line="276" w:lineRule="auto"/>
        <w:tabs>
          <w:tab w:leader="none" w:pos="637"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increasing our vulnerability to adverse changes in general economic, industry and competitive conditions;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exposing us to the risk of increased interest rates as certain of our borrowings, including borrowings under a future revolving credit facility, may be at variable rates of interest;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increasing our cost of borrowing.</w:t>
      </w:r>
    </w:p>
    <w:p>
      <w:pPr>
        <w:spacing w:after="0" w:line="303" w:lineRule="exact"/>
        <w:rPr>
          <w:sz w:val="20"/>
          <w:szCs w:val="20"/>
          <w:color w:val="auto"/>
        </w:rPr>
      </w:pPr>
    </w:p>
    <w:p>
      <w:pPr>
        <w:ind w:right="160" w:firstLine="324"/>
        <w:spacing w:after="0" w:line="230" w:lineRule="auto"/>
        <w:rPr>
          <w:sz w:val="20"/>
          <w:szCs w:val="20"/>
          <w:color w:val="auto"/>
        </w:rPr>
      </w:pPr>
      <w:r>
        <w:rPr>
          <w:rFonts w:ascii="Arial" w:cs="Arial" w:eastAsia="Arial" w:hAnsi="Arial"/>
          <w:sz w:val="12"/>
          <w:szCs w:val="12"/>
          <w:color w:val="auto"/>
        </w:rPr>
        <w:t>In addition, the indenture governs our 3.625% notes due 2029 (the “2029 Notes”) and our 3.875% notes due 2031 (the “2031 Notes,” and together with the 2029 Notes, the “Notes”) and contains restrictive covenants that limit our ability to engage in activities that may be in our long-term best interest. Our failure to comply with those covenants could result in an event of default which, under the indenture governing the Notes,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0"/>
          <w:szCs w:val="10"/>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73"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Our ability to make scheduled payments on or to refinance our debt obligations, including the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51" w:name="page52"/>
    <w:bookmarkEnd w:id="51"/>
    <w:p>
      <w:pPr>
        <w:ind w:right="200" w:firstLine="324"/>
        <w:spacing w:after="0" w:line="276" w:lineRule="auto"/>
        <w:rPr>
          <w:sz w:val="20"/>
          <w:szCs w:val="20"/>
          <w:color w:val="auto"/>
        </w:rPr>
      </w:pPr>
      <w:r>
        <w:rPr>
          <w:rFonts w:ascii="Arial" w:cs="Arial" w:eastAsia="Arial" w:hAnsi="Arial"/>
          <w:sz w:val="12"/>
          <w:szCs w:val="12"/>
          <w:b w:val="1"/>
          <w:bCs w:val="1"/>
          <w:i w:val="1"/>
          <w:iCs w:val="1"/>
          <w:color w:val="auto"/>
        </w:rPr>
        <w:t>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15" w:lineRule="exact"/>
        <w:rPr>
          <w:sz w:val="20"/>
          <w:szCs w:val="20"/>
          <w:color w:val="auto"/>
        </w:rPr>
      </w:pPr>
    </w:p>
    <w:p>
      <w:pPr>
        <w:ind w:right="100" w:firstLine="324"/>
        <w:spacing w:after="0" w:line="340" w:lineRule="auto"/>
        <w:rPr>
          <w:sz w:val="20"/>
          <w:szCs w:val="20"/>
          <w:color w:val="auto"/>
        </w:rPr>
      </w:pPr>
      <w:r>
        <w:rPr>
          <w:rFonts w:ascii="Arial" w:cs="Arial" w:eastAsia="Arial" w:hAnsi="Arial"/>
          <w:sz w:val="10"/>
          <w:szCs w:val="10"/>
          <w:color w:val="auto"/>
        </w:rPr>
        <w:t>If we cannot make scheduled payments on our indebtedness, we will be in default and holders of the Notes and other indebtedness could declare all outstanding principal and interest to be due and payable, the lenders under a future revolving credit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The indenture governing the Notes contain cross-default provisions that could result in the acceleration of all of our indebtedness.</w:t>
      </w:r>
    </w:p>
    <w:p>
      <w:pPr>
        <w:spacing w:after="0" w:line="150" w:lineRule="exact"/>
        <w:rPr>
          <w:sz w:val="20"/>
          <w:szCs w:val="20"/>
          <w:color w:val="auto"/>
        </w:rPr>
      </w:pPr>
    </w:p>
    <w:p>
      <w:pPr>
        <w:ind w:firstLine="324"/>
        <w:spacing w:after="0" w:line="256" w:lineRule="auto"/>
        <w:rPr>
          <w:sz w:val="20"/>
          <w:szCs w:val="20"/>
          <w:color w:val="auto"/>
        </w:rPr>
      </w:pPr>
      <w:r>
        <w:rPr>
          <w:rFonts w:ascii="Arial" w:cs="Arial" w:eastAsia="Arial" w:hAnsi="Arial"/>
          <w:sz w:val="12"/>
          <w:szCs w:val="12"/>
          <w:color w:val="auto"/>
        </w:rPr>
        <w:t>A breach of the covenants under the indenture governing the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a revolving credit facility may permit the lenders thereunder to terminate all commitments to extend further credit under that facility. Furthermore, if we were unable to repay amounts due and payable under a secured credit facility, those lenders could proceed against the collateral granted to them to secure that indebtedness. In the event our note 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Risks Related to our Acquisitions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1"/>
          <w:szCs w:val="11"/>
          <w:b w:val="1"/>
          <w:bCs w:val="1"/>
          <w:i w:val="1"/>
          <w:iCs w:val="1"/>
          <w:color w:val="auto"/>
        </w:rPr>
        <w:t>We may not realize potential benefits from our recent acquisitions, partnerships and investments because of difficulties related to integration, the achievement of synergies, and other challenges.</w:t>
      </w:r>
    </w:p>
    <w:p>
      <w:pPr>
        <w:spacing w:after="0" w:line="162" w:lineRule="exact"/>
        <w:rPr>
          <w:sz w:val="20"/>
          <w:szCs w:val="20"/>
          <w:color w:val="auto"/>
        </w:rPr>
      </w:pPr>
    </w:p>
    <w:p>
      <w:pPr>
        <w:ind w:right="60" w:firstLine="324"/>
        <w:spacing w:after="0" w:line="146" w:lineRule="exact"/>
        <w:rPr>
          <w:sz w:val="20"/>
          <w:szCs w:val="20"/>
          <w:color w:val="auto"/>
        </w:rPr>
      </w:pPr>
      <w:r>
        <w:rPr>
          <w:rFonts w:ascii="Arial" w:cs="Arial" w:eastAsia="Arial" w:hAnsi="Arial"/>
          <w:sz w:val="11"/>
          <w:szCs w:val="11"/>
          <w:color w:val="auto"/>
        </w:rPr>
        <w:t>We regularly acquire or invest in businesses and technologies that are complementary to our business through acquisitions, partnerships or investments, including several transactions in fiscal year 2021.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w:t>
      </w:r>
      <w:r>
        <w:rPr>
          <w:rFonts w:ascii="MS PGothic" w:cs="MS PGothic" w:eastAsia="MS PGothic" w:hAnsi="MS PGothic"/>
          <w:sz w:val="11"/>
          <w:szCs w:val="11"/>
          <w:color w:val="auto"/>
        </w:rPr>
        <w:t>‑</w:t>
      </w:r>
      <w:r>
        <w:rPr>
          <w:rFonts w:ascii="Arial" w:cs="Arial" w:eastAsia="Arial" w:hAnsi="Arial"/>
          <w:sz w:val="11"/>
          <w:szCs w:val="11"/>
          <w:color w:val="auto"/>
        </w:rPr>
        <w:t>completion process that takes longer than originally anticipated. In addition, the following issues, among others, must be addressed in order to realize the anticipated benefits of our acquisitions, partnerships or investments:</w:t>
      </w:r>
    </w:p>
    <w:p>
      <w:pPr>
        <w:spacing w:after="0" w:line="135" w:lineRule="exact"/>
        <w:rPr>
          <w:sz w:val="20"/>
          <w:szCs w:val="20"/>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combining the acquired businesses' corporate functions with our corporate functions;</w:t>
      </w:r>
    </w:p>
    <w:p>
      <w:pPr>
        <w:spacing w:after="0" w:line="150" w:lineRule="exact"/>
        <w:rPr>
          <w:rFonts w:ascii="Arial" w:cs="Arial" w:eastAsia="Arial" w:hAnsi="Arial"/>
          <w:sz w:val="12"/>
          <w:szCs w:val="12"/>
          <w:color w:val="auto"/>
        </w:rPr>
      </w:pPr>
    </w:p>
    <w:p>
      <w:pPr>
        <w:ind w:left="640" w:right="460" w:hanging="216"/>
        <w:spacing w:after="0" w:line="276" w:lineRule="auto"/>
        <w:tabs>
          <w:tab w:leader="none" w:pos="637"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combining acquired businesses with our business in a manner that permits us to achieve the synergies anticipated to result from such acquisitions, the failure of which would result in the anticipated benefits of our acquisitions not being realized in the time frame currently anticipated or at all;</w:t>
      </w:r>
    </w:p>
    <w:p>
      <w:pPr>
        <w:spacing w:after="0" w:line="114"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1"/>
          <w:szCs w:val="11"/>
          <w:color w:val="auto"/>
        </w:rPr>
      </w:pPr>
      <w:r>
        <w:rPr>
          <w:rFonts w:ascii="Arial" w:cs="Arial" w:eastAsia="Arial" w:hAnsi="Arial"/>
          <w:sz w:val="11"/>
          <w:szCs w:val="11"/>
          <w:color w:val="auto"/>
        </w:rPr>
        <w:t>maintaining existing agreements with customers, distributors, providers, talent and vendors and avoiding delays in entering into new agreements with prospective customers, distributors, providers, talent and vendors;</w:t>
      </w:r>
    </w:p>
    <w:p>
      <w:pPr>
        <w:spacing w:after="0" w:line="161" w:lineRule="exact"/>
        <w:rPr>
          <w:rFonts w:ascii="Arial" w:cs="Arial" w:eastAsia="Arial" w:hAnsi="Arial"/>
          <w:sz w:val="11"/>
          <w:szCs w:val="11"/>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determining whether and how to address possible differences in corporate cultures and management philosophies;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integrating the companies’ administrative and information technology infrastructure;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developing products and technology that allow value to be unlocked in the future;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evaluating and forecasting the financial impact of such acquisitions, partnerships and investments, including accounting charges; and</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effecting potential actions that may be required in connection with obtaining regulatory approvals.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52" w:name="page53"/>
    <w:bookmarkEnd w:id="52"/>
    <w:p>
      <w:pPr>
        <w:ind w:right="60" w:firstLine="324"/>
        <w:spacing w:after="0" w:line="149" w:lineRule="exact"/>
        <w:rPr>
          <w:sz w:val="20"/>
          <w:szCs w:val="20"/>
          <w:color w:val="auto"/>
        </w:rPr>
      </w:pPr>
      <w:r>
        <w:rPr>
          <w:rFonts w:ascii="Arial" w:cs="Arial" w:eastAsia="Arial" w:hAnsi="Arial"/>
          <w:sz w:val="12"/>
          <w:szCs w:val="12"/>
          <w:color w:val="auto"/>
        </w:rPr>
        <w:t>In addition, at times the attention of certain members of our management and resources may be focused on integration of the acquired businesses and diverted from day</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day business operations, which may disrupt our ongoing business.</w:t>
      </w:r>
    </w:p>
    <w:p>
      <w:pPr>
        <w:spacing w:after="0" w:line="13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2"/>
          <w:szCs w:val="12"/>
          <w:color w:val="auto"/>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122" w:lineRule="exact"/>
        <w:rPr>
          <w:sz w:val="20"/>
          <w:szCs w:val="20"/>
          <w:color w:val="auto"/>
        </w:rPr>
      </w:pPr>
    </w:p>
    <w:p>
      <w:pPr>
        <w:ind w:right="420" w:firstLine="324"/>
        <w:spacing w:after="0" w:line="276" w:lineRule="auto"/>
        <w:rPr>
          <w:sz w:val="20"/>
          <w:szCs w:val="20"/>
          <w:color w:val="auto"/>
        </w:rPr>
      </w:pPr>
      <w:r>
        <w:rPr>
          <w:rFonts w:ascii="Arial" w:cs="Arial" w:eastAsia="Arial" w:hAnsi="Arial"/>
          <w:sz w:val="12"/>
          <w:szCs w:val="12"/>
          <w:b w:val="1"/>
          <w:bCs w:val="1"/>
          <w:i w:val="1"/>
          <w:iCs w:val="1"/>
          <w:color w:val="auto"/>
        </w:rPr>
        <w:t>Purchase price accounting in connection with our acquisitions requires estimates that may be subject to change and could impact our consolidated financial statements and future results of operations and financial position.</w:t>
      </w:r>
    </w:p>
    <w:p>
      <w:pPr>
        <w:spacing w:after="0" w:line="115" w:lineRule="exact"/>
        <w:rPr>
          <w:sz w:val="20"/>
          <w:szCs w:val="20"/>
          <w:color w:val="auto"/>
        </w:rPr>
      </w:pPr>
    </w:p>
    <w:p>
      <w:pPr>
        <w:ind w:right="20" w:firstLine="324"/>
        <w:spacing w:after="0" w:line="298" w:lineRule="auto"/>
        <w:rPr>
          <w:sz w:val="20"/>
          <w:szCs w:val="20"/>
          <w:color w:val="auto"/>
        </w:rPr>
      </w:pPr>
      <w:r>
        <w:rPr>
          <w:rFonts w:ascii="Arial" w:cs="Arial" w:eastAsia="Arial" w:hAnsi="Arial"/>
          <w:sz w:val="11"/>
          <w:szCs w:val="11"/>
          <w:color w:val="auto"/>
        </w:rPr>
        <w:t>Pursuant to the acquisition method of accounting, the purchase price we pay for our acquired businesses is allocated to the underlying tangible and intangible assets acquired and liabilities assumed based on their respective fair market values with any excess purchase price allocated to goodwill. The acquisition method of accounting is dependent upon certain valuations and other studies that are preliminary. Differences between these preliminary estimates and the final acquisition accounting may occur, and these differences could have a material impact on the consolidated financial statements and the combined company’s future results of operations and financial position.</w:t>
      </w:r>
    </w:p>
    <w:p>
      <w:pPr>
        <w:spacing w:after="0" w:line="101"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General Risks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Any legal proceedings or claims against us could be costly and time-consuming to defend and could harm our reputation regardless of the outcome.</w:t>
      </w:r>
    </w:p>
    <w:p>
      <w:pPr>
        <w:spacing w:after="0" w:line="1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2"/>
          <w:szCs w:val="12"/>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0"/>
          <w:szCs w:val="10"/>
          <w:b w:val="1"/>
          <w:bCs w:val="1"/>
          <w:i w:val="1"/>
          <w:iCs w:val="1"/>
          <w:color w:val="auto"/>
        </w:rPr>
        <w:t>Unfavorable conditions in our industry or the global economy or reductions in spending on information technology and communications could adversely affect our business, results of operations and financial condition.</w:t>
      </w:r>
    </w:p>
    <w:p>
      <w:pPr>
        <w:spacing w:after="0" w:line="173" w:lineRule="exact"/>
        <w:rPr>
          <w:sz w:val="20"/>
          <w:szCs w:val="20"/>
          <w:color w:val="auto"/>
        </w:rPr>
      </w:pPr>
    </w:p>
    <w:p>
      <w:pPr>
        <w:ind w:firstLine="324"/>
        <w:spacing w:after="0" w:line="281" w:lineRule="auto"/>
        <w:rPr>
          <w:sz w:val="20"/>
          <w:szCs w:val="20"/>
          <w:color w:val="auto"/>
        </w:rPr>
      </w:pPr>
      <w:r>
        <w:rPr>
          <w:rFonts w:ascii="Arial" w:cs="Arial" w:eastAsia="Arial" w:hAnsi="Arial"/>
          <w:sz w:val="11"/>
          <w:szCs w:val="11"/>
          <w:color w:val="auto"/>
        </w:rPr>
        <w:t>Our results of operations may vary based on the impact of changes in our industry or the global economy on our customers. Our results of operations depend in part on demand for information technology and cloud communications. In addition, our revenue is dependent on the usage of our products, which in turn is influenced by the scale of business that our customers are conducting. To the extent that weak economic conditions, including due to the COVID-19 pandemic, labor shortages, supply chain disruptions and inflation, geopolitical developments, such as existing and potential trade wars, and other events outside of our control such as the COVID-19 pandemic, result in a reduced volume of business for, and communications by, our customers and prospective customers, demand for, and use of, our products may decline. Furthermore, weak economic conditions may make it more difficult to collect on outstanding accounts receivable and increase our expenses. Additionally, we generate a portion of our revenue from small and medium-sized businesses, which may be affected by economic downturns and other adverse macroeconomic conditions to a greater extent than enterprises, and typically have more limited financial resources, including capital borrowing capacity, than enterprises. If our customers reduce their use of our products, or prospective customers delay adoption or elect not to adopt our products, as a result of a weak economy or rising inflation and increased costs, this could adversely affect our business, results of operations and financial condition.</w:t>
      </w:r>
    </w:p>
    <w:p>
      <w:pPr>
        <w:spacing w:after="0" w:line="115" w:lineRule="exact"/>
        <w:rPr>
          <w:sz w:val="20"/>
          <w:szCs w:val="20"/>
          <w:color w:val="auto"/>
        </w:rPr>
      </w:pPr>
    </w:p>
    <w:p>
      <w:pPr>
        <w:ind w:right="360" w:firstLine="324"/>
        <w:spacing w:after="0" w:line="276" w:lineRule="auto"/>
        <w:rPr>
          <w:sz w:val="20"/>
          <w:szCs w:val="20"/>
          <w:color w:val="auto"/>
        </w:rPr>
      </w:pPr>
      <w:r>
        <w:rPr>
          <w:rFonts w:ascii="Arial" w:cs="Arial" w:eastAsia="Arial" w:hAnsi="Arial"/>
          <w:sz w:val="12"/>
          <w:szCs w:val="12"/>
          <w:b w:val="1"/>
          <w:bCs w:val="1"/>
          <w:i w:val="1"/>
          <w:iCs w:val="1"/>
          <w:color w:val="auto"/>
        </w:rPr>
        <w:t>Our business is subject to the risks of pandemics, earthquakes, fire, floods and other natural catastrophic events, and to interruption by man-made problems such as power disruptions, computer viruses, data security breaches or terrorism.</w:t>
      </w:r>
    </w:p>
    <w:p>
      <w:pPr>
        <w:spacing w:after="0" w:line="115" w:lineRule="exact"/>
        <w:rPr>
          <w:sz w:val="20"/>
          <w:szCs w:val="20"/>
          <w:color w:val="auto"/>
        </w:rPr>
      </w:pPr>
    </w:p>
    <w:p>
      <w:pPr>
        <w:ind w:right="60" w:firstLine="324"/>
        <w:spacing w:after="0" w:line="256" w:lineRule="auto"/>
        <w:rPr>
          <w:sz w:val="20"/>
          <w:szCs w:val="20"/>
          <w:color w:val="auto"/>
        </w:rPr>
      </w:pPr>
      <w:r>
        <w:rPr>
          <w:rFonts w:ascii="Arial" w:cs="Arial" w:eastAsia="Arial" w:hAnsi="Arial"/>
          <w:sz w:val="12"/>
          <w:szCs w:val="12"/>
          <w:color w:val="auto"/>
        </w:rPr>
        <w:t>Our business operations are subject to interruption by natural disasters, flooding, fire, power shortages, pandemics such as COVID-19,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pandemics, such as the COVID-19 pandemic, and acts of terrorism could cause disruptions in our or our customers’ businesses, national economies or the world economy as a whole.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8" w:right="299" w:bottom="1440" w:gutter="0" w:footer="0" w:header="0"/>
        </w:sectPr>
      </w:pPr>
    </w:p>
    <w:bookmarkStart w:id="53" w:name="page54"/>
    <w:bookmarkEnd w:id="53"/>
    <w:p>
      <w:pPr>
        <w:ind w:right="280" w:firstLine="324"/>
        <w:spacing w:after="0" w:line="298" w:lineRule="auto"/>
        <w:rPr>
          <w:sz w:val="20"/>
          <w:szCs w:val="20"/>
          <w:color w:val="auto"/>
        </w:rPr>
      </w:pPr>
      <w:r>
        <w:rPr>
          <w:rFonts w:ascii="Arial" w:cs="Arial" w:eastAsia="Arial" w:hAnsi="Arial"/>
          <w:sz w:val="11"/>
          <w:szCs w:val="11"/>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05" w:lineRule="exact"/>
        <w:rPr>
          <w:sz w:val="20"/>
          <w:szCs w:val="20"/>
          <w:color w:val="auto"/>
        </w:rPr>
      </w:pPr>
    </w:p>
    <w:p>
      <w:pPr>
        <w:ind w:right="60" w:firstLine="324"/>
        <w:spacing w:after="0" w:line="256" w:lineRule="auto"/>
        <w:rPr>
          <w:sz w:val="20"/>
          <w:szCs w:val="20"/>
          <w:color w:val="auto"/>
        </w:rPr>
      </w:pPr>
      <w:r>
        <w:rPr>
          <w:rFonts w:ascii="Arial" w:cs="Arial" w:eastAsia="Arial" w:hAnsi="Arial"/>
          <w:sz w:val="12"/>
          <w:szCs w:val="12"/>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users may harm our reputation and our ability to retain existing users and attract new users.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Climate change may have an impact on our business.</w:t>
      </w:r>
    </w:p>
    <w:p>
      <w:pPr>
        <w:spacing w:after="0" w:line="150" w:lineRule="exact"/>
        <w:rPr>
          <w:sz w:val="20"/>
          <w:szCs w:val="20"/>
          <w:color w:val="auto"/>
        </w:rPr>
      </w:pPr>
    </w:p>
    <w:p>
      <w:pPr>
        <w:ind w:firstLine="324"/>
        <w:spacing w:after="0" w:line="320" w:lineRule="auto"/>
        <w:rPr>
          <w:sz w:val="20"/>
          <w:szCs w:val="20"/>
          <w:color w:val="auto"/>
        </w:rPr>
      </w:pPr>
      <w:r>
        <w:rPr>
          <w:rFonts w:ascii="Arial" w:cs="Arial" w:eastAsia="Arial" w:hAnsi="Arial"/>
          <w:sz w:val="10"/>
          <w:szCs w:val="10"/>
          <w:color w:val="auto"/>
        </w:rPr>
        <w:t>While we seek to mitigate our business risks associated with climate change (such as drought, wildfires, hurricanes, increased storm severity and sea level rise), we recognize that there are inherent climate-related risks wherever business is conducted. Our primary locations may be vulnerable to the adverse effects of climate change. For example, certain of our offices have experienced, and are projected to continue to experience, climate-related events at an increasing frequency, including drought, heat waves, wildfires and resultant air quality impacts and power shutoffs associated with wildfire prevention.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1B. </w:t>
      </w:r>
      <w:r>
        <w:rPr>
          <w:rFonts w:ascii="Arial" w:cs="Arial" w:eastAsia="Arial" w:hAnsi="Arial"/>
          <w:sz w:val="12"/>
          <w:szCs w:val="12"/>
          <w:b w:val="1"/>
          <w:bCs w:val="1"/>
          <w:i w:val="1"/>
          <w:iCs w:val="1"/>
          <w:color w:val="auto"/>
        </w:rPr>
        <w:t>Unresolved Staff Comments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Properties</w:t>
      </w:r>
    </w:p>
    <w:p>
      <w:pPr>
        <w:spacing w:after="0" w:line="136"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We lease all of our facilities and do not own any real property. Our headquarters is located in San Francisco, California, where we have sub-leased several floors, consisting of 259,416 square feet of office space at 101 Spear Street. The sub-lease covers several floors for which the terms commenced on December 1, 2018 and April 1, 2020 and will be expiring at various dates between March 2025 and June 2028. Our existing lease obligations are secured by letters of credit with a cumulative value of $23.7 million as of December 31, 2021.</w:t>
      </w:r>
    </w:p>
    <w:p>
      <w:pPr>
        <w:spacing w:after="0" w:line="95" w:lineRule="exact"/>
        <w:rPr>
          <w:sz w:val="20"/>
          <w:szCs w:val="20"/>
          <w:color w:val="auto"/>
        </w:rPr>
      </w:pPr>
    </w:p>
    <w:p>
      <w:pPr>
        <w:ind w:right="240" w:firstLine="324"/>
        <w:spacing w:after="0" w:line="276" w:lineRule="auto"/>
        <w:rPr>
          <w:sz w:val="20"/>
          <w:szCs w:val="20"/>
          <w:color w:val="auto"/>
        </w:rPr>
      </w:pPr>
      <w:r>
        <w:rPr>
          <w:rFonts w:ascii="Arial" w:cs="Arial" w:eastAsia="Arial" w:hAnsi="Arial"/>
          <w:sz w:val="12"/>
          <w:szCs w:val="12"/>
          <w:color w:val="auto"/>
        </w:rPr>
        <w:t>We also lease approximately 600,000 square feet in various locations in North America, South America, Europe and Asia. This includes our international headquarters in Dublin, Ireland and regional offices used for business operations, sales, support, and product development.</w:t>
      </w:r>
    </w:p>
    <w:p>
      <w:pPr>
        <w:spacing w:after="0" w:line="88" w:lineRule="exact"/>
        <w:rPr>
          <w:sz w:val="20"/>
          <w:szCs w:val="20"/>
          <w:color w:val="auto"/>
        </w:rPr>
      </w:pPr>
    </w:p>
    <w:p>
      <w:pPr>
        <w:ind w:right="300" w:firstLine="324"/>
        <w:spacing w:after="0" w:line="276" w:lineRule="auto"/>
        <w:rPr>
          <w:sz w:val="20"/>
          <w:szCs w:val="20"/>
          <w:color w:val="auto"/>
        </w:rPr>
      </w:pPr>
      <w:r>
        <w:rPr>
          <w:rFonts w:ascii="Arial" w:cs="Arial" w:eastAsia="Arial" w:hAnsi="Arial"/>
          <w:sz w:val="12"/>
          <w:szCs w:val="12"/>
          <w:color w:val="auto"/>
        </w:rPr>
        <w:t>Additional information regarding our lease commitments is available in Note 6 of our consolidated financial statements included in Part II, Item 8, “Financial Statements and Supplementary Data” included elsewhere in this Annual Report on Form 10-K.</w:t>
      </w:r>
    </w:p>
    <w:p>
      <w:pPr>
        <w:spacing w:after="0" w:line="97" w:lineRule="exact"/>
        <w:rPr>
          <w:sz w:val="20"/>
          <w:szCs w:val="20"/>
          <w:color w:val="auto"/>
        </w:rPr>
      </w:pPr>
    </w:p>
    <w:p>
      <w:pPr>
        <w:ind w:right="400" w:firstLine="324"/>
        <w:spacing w:after="0" w:line="276" w:lineRule="auto"/>
        <w:rPr>
          <w:sz w:val="20"/>
          <w:szCs w:val="20"/>
          <w:color w:val="auto"/>
        </w:rPr>
      </w:pPr>
      <w:r>
        <w:rPr>
          <w:rFonts w:ascii="Arial" w:cs="Arial" w:eastAsia="Arial" w:hAnsi="Arial"/>
          <w:sz w:val="12"/>
          <w:szCs w:val="12"/>
          <w:color w:val="auto"/>
        </w:rPr>
        <w:t>We intend to procure additional space in the future as we continue expand geographically and add employees. We believe our facilities are adequate and suitable for our current needs and that, should it be needed, suitable additional or alternative space will be available to accommodate our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i w:val="1"/>
          <w:iCs w:val="1"/>
          <w:color w:val="auto"/>
        </w:rPr>
        <w:t>Legal Proceedings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Refer to Note 13(b) of our consolidated financial statements included elsewhere in this Annual Report on Form 10-K for a description of our current material legal proceedings.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54" w:name="page55"/>
    <w:bookmarkEnd w:id="54"/>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Mine Safety Disclosures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Not applicable.</w:t>
      </w:r>
    </w:p>
    <w:p>
      <w:pPr>
        <w:spacing w:after="0" w:line="213"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784" w:right="1440" w:bottom="1440" w:gutter="0" w:footer="0" w:header="0"/>
        </w:sectPr>
      </w:pPr>
    </w:p>
    <w:bookmarkStart w:id="55" w:name="page56"/>
    <w:bookmarkEnd w:id="55"/>
    <w:p>
      <w:pPr>
        <w:ind w:left="5420"/>
        <w:spacing w:after="0"/>
        <w:rPr>
          <w:sz w:val="20"/>
          <w:szCs w:val="20"/>
          <w:color w:val="auto"/>
        </w:rPr>
      </w:pPr>
      <w:r>
        <w:rPr>
          <w:rFonts w:ascii="Arial" w:cs="Arial" w:eastAsia="Arial" w:hAnsi="Arial"/>
          <w:sz w:val="12"/>
          <w:szCs w:val="12"/>
          <w:b w:val="1"/>
          <w:bCs w:val="1"/>
          <w:color w:val="auto"/>
        </w:rPr>
        <w:t>PART II</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5. </w:t>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Market Price of Our Class A Common Stock</w:t>
      </w:r>
    </w:p>
    <w:p>
      <w:pPr>
        <w:spacing w:after="0" w:line="123" w:lineRule="exact"/>
        <w:rPr>
          <w:sz w:val="20"/>
          <w:szCs w:val="20"/>
          <w:color w:val="auto"/>
        </w:rPr>
      </w:pPr>
    </w:p>
    <w:p>
      <w:pPr>
        <w:ind w:right="20" w:firstLine="324"/>
        <w:spacing w:after="0" w:line="379" w:lineRule="auto"/>
        <w:rPr>
          <w:sz w:val="20"/>
          <w:szCs w:val="20"/>
          <w:color w:val="auto"/>
        </w:rPr>
      </w:pPr>
      <w:r>
        <w:rPr>
          <w:rFonts w:ascii="Arial" w:cs="Arial" w:eastAsia="Arial" w:hAnsi="Arial"/>
          <w:sz w:val="10"/>
          <w:szCs w:val="10"/>
          <w:color w:val="auto"/>
        </w:rPr>
        <w:t>Our Class A common stock is traded on the New York Stock Exchange and, as of August 2021, the Long-Term Stock Exchange under the symbol “TWLO.” As of January 31, 2022, we had 196 holders of record of our Class A and Class B common stock. The actual number of stockholders is greater than this number of record holders and includes stockholders who are beneficial owners but whose shares are held in street name by brokers and other nominees.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Dividend Policy</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have never declared or paid any cash dividends on our capital stock. We intend to retain any future earnings and do not expect to pay any dividends in the foreseeable future.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Stock Performance Graph</w:t>
      </w:r>
    </w:p>
    <w:p>
      <w:pPr>
        <w:spacing w:after="0" w:line="123" w:lineRule="exact"/>
        <w:rPr>
          <w:sz w:val="20"/>
          <w:szCs w:val="20"/>
          <w:color w:val="auto"/>
        </w:rPr>
      </w:pPr>
    </w:p>
    <w:p>
      <w:pPr>
        <w:ind w:right="20" w:firstLine="324"/>
        <w:spacing w:after="0" w:line="276" w:lineRule="auto"/>
        <w:rPr>
          <w:sz w:val="20"/>
          <w:szCs w:val="20"/>
          <w:color w:val="auto"/>
        </w:rPr>
      </w:pPr>
      <w:r>
        <w:rPr>
          <w:rFonts w:ascii="Arial" w:cs="Arial" w:eastAsia="Arial" w:hAnsi="Arial"/>
          <w:sz w:val="12"/>
          <w:szCs w:val="12"/>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Twilio Inc. under the Securities Act or the Exchange Act.</w:t>
      </w:r>
    </w:p>
    <w:p>
      <w:pPr>
        <w:spacing w:after="0" w:line="97"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We have presented below the cumulative total return to our stockholders between June 23, 2016 (the date our Class A common stock commenced trading on the NYSE) through December 31, 2021, in comparison to the S&amp;P 500 Index and S&amp;P 500 Information Technology Index. All values assume a $100 initial investment and data for the S&amp;P 500 Index and S&amp;P 500 Information Technology Index assume reinvestment of dividends. The comparisons are based on historical data and are not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66040</wp:posOffset>
            </wp:positionV>
            <wp:extent cx="3909060" cy="2331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0906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640" w:right="339" w:bottom="1440" w:gutter="0" w:footer="0" w:header="0"/>
        </w:sectPr>
      </w:pPr>
    </w:p>
    <w:bookmarkStart w:id="56" w:name="page57"/>
    <w:bookmarkEnd w:id="5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Sales of Unregistered Securities and Use of Proceeds from Registered Securities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(a) Sales of Unregistered Securities</w:t>
      </w:r>
    </w:p>
    <w:p>
      <w:pPr>
        <w:spacing w:after="0" w:line="123" w:lineRule="exact"/>
        <w:rPr>
          <w:sz w:val="20"/>
          <w:szCs w:val="20"/>
          <w:color w:val="auto"/>
        </w:rPr>
      </w:pPr>
    </w:p>
    <w:p>
      <w:pPr>
        <w:ind w:right="180" w:firstLine="324"/>
        <w:spacing w:after="0" w:line="379" w:lineRule="auto"/>
        <w:rPr>
          <w:sz w:val="20"/>
          <w:szCs w:val="20"/>
          <w:color w:val="auto"/>
        </w:rPr>
      </w:pPr>
      <w:r>
        <w:rPr>
          <w:rFonts w:ascii="Arial" w:cs="Arial" w:eastAsia="Arial" w:hAnsi="Arial"/>
          <w:sz w:val="10"/>
          <w:szCs w:val="10"/>
          <w:color w:val="auto"/>
        </w:rPr>
        <w:t>In each of the years ended December 31, 2021 and 2020, Twilio.org donated 88,408 shares of our unregistered Class A common stock to an independent donor advised fund to further our philanthropic goals. The shares were “restricted securities” for purposes of Rule 144 under the Securities Act of 1933, as amended (the "Securities Act"), and had an aggregate fair market value on the date of donation of $31.2 million and $19.0 million, respectively.</w:t>
      </w:r>
    </w:p>
    <w:p>
      <w:pPr>
        <w:spacing w:after="0" w:line="42" w:lineRule="exact"/>
        <w:rPr>
          <w:sz w:val="20"/>
          <w:szCs w:val="20"/>
          <w:color w:val="auto"/>
        </w:rPr>
      </w:pPr>
    </w:p>
    <w:p>
      <w:pPr>
        <w:ind w:right="100" w:firstLine="324"/>
        <w:spacing w:after="0" w:line="289" w:lineRule="auto"/>
        <w:rPr>
          <w:sz w:val="20"/>
          <w:szCs w:val="20"/>
          <w:color w:val="auto"/>
        </w:rPr>
      </w:pPr>
      <w:r>
        <w:rPr>
          <w:rFonts w:ascii="Arial" w:cs="Arial" w:eastAsia="Arial" w:hAnsi="Arial"/>
          <w:sz w:val="11"/>
          <w:szCs w:val="11"/>
          <w:color w:val="auto"/>
        </w:rPr>
        <w:t>In 2018, we issued $550.0 million in aggregate principal amount of 0.25% Convertible Senior Notes due 2023 (the “Convertible Notes”). In connection with the offering of the Convertible Notes, we entered into privately-negotiated capped call transactions with certain counterparties (the “capped calls”). The capped calls each had an initial strike price of approximately $70.90 per share, subject to certain adjustments, which corresponds to the initial conversion price of the Convertible Notes. The capped calls had initial cap prices of $105.04 per share, subject to certain adjustments. The capped calls covered, subject to anti-dilution adjustments, approximately 7,757,200 shares of Class A Common Stock. Refer to Note 10 to our consolidated financial statements included elsewhere in this Annual Report on Form 10-K for additional information about the Convertible Notes and capped calls.</w:t>
      </w:r>
    </w:p>
    <w:p>
      <w:pPr>
        <w:spacing w:after="0" w:line="93" w:lineRule="exact"/>
        <w:rPr>
          <w:sz w:val="20"/>
          <w:szCs w:val="20"/>
          <w:color w:val="auto"/>
        </w:rPr>
      </w:pPr>
    </w:p>
    <w:p>
      <w:pPr>
        <w:ind w:right="80" w:firstLine="324"/>
        <w:spacing w:after="0" w:line="289" w:lineRule="auto"/>
        <w:rPr>
          <w:sz w:val="20"/>
          <w:szCs w:val="20"/>
          <w:color w:val="auto"/>
        </w:rPr>
      </w:pPr>
      <w:r>
        <w:rPr>
          <w:rFonts w:ascii="Arial" w:cs="Arial" w:eastAsia="Arial" w:hAnsi="Arial"/>
          <w:sz w:val="11"/>
          <w:szCs w:val="11"/>
          <w:color w:val="auto"/>
        </w:rPr>
        <w:t>We offered and sold the Convertible Notes to the initial purchasers in reliance on the exemption from registration provided by Section 4(a)(2) of the Securities Act and for resale by the initial purchasers to qualified institutional buyers pursuant to the exemption from registration provided by Rule 144A under the Securities Act. We relied on these exemptions from registration based in part on representations made by the initial purchasers in the purchase agreement dated May 14, 2018. On May 18, 2021, we issued a notice of redemption for our Convertible Notes and in June 2021, we redeemed all of the remaining outstanding principal amount of the Convertible Notes and settled all related capped call arrangements. These transactions are described in detail in Note 10 to our consolidated financial statements included elsewhere in this Annual Report on Form 10-K.</w:t>
      </w:r>
    </w:p>
    <w:p>
      <w:pPr>
        <w:spacing w:after="0" w:line="84" w:lineRule="exact"/>
        <w:rPr>
          <w:sz w:val="20"/>
          <w:szCs w:val="20"/>
          <w:color w:val="auto"/>
        </w:rPr>
      </w:pPr>
    </w:p>
    <w:p>
      <w:pPr>
        <w:ind w:right="20" w:firstLine="324"/>
        <w:spacing w:after="0" w:line="276" w:lineRule="auto"/>
        <w:rPr>
          <w:sz w:val="20"/>
          <w:szCs w:val="20"/>
          <w:color w:val="auto"/>
        </w:rPr>
      </w:pPr>
      <w:r>
        <w:rPr>
          <w:rFonts w:ascii="Arial" w:cs="Arial" w:eastAsia="Arial" w:hAnsi="Arial"/>
          <w:sz w:val="12"/>
          <w:szCs w:val="12"/>
          <w:color w:val="auto"/>
        </w:rPr>
        <w:t>In connection with our acquisition of Zipwhip in July 2021, we issued an additional 526 shares of unregistered Class A common stock on November 15, 2021, pursuant to a post-closing adjustment. These issuances were exempt from registration under the Securities Act by virtue of Section 4(a)(2) of the Securities Act and Rule 506 of Regulation D promulgated thereunder.</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(b) Use of Proceeds</w:t>
      </w:r>
    </w:p>
    <w:p>
      <w:pPr>
        <w:spacing w:after="0" w:line="132" w:lineRule="exact"/>
        <w:rPr>
          <w:sz w:val="20"/>
          <w:szCs w:val="20"/>
          <w:color w:val="auto"/>
        </w:rPr>
      </w:pPr>
    </w:p>
    <w:p>
      <w:pPr>
        <w:ind w:firstLine="324"/>
        <w:spacing w:after="0" w:line="281" w:lineRule="auto"/>
        <w:rPr>
          <w:sz w:val="20"/>
          <w:szCs w:val="20"/>
          <w:color w:val="auto"/>
        </w:rPr>
      </w:pPr>
      <w:r>
        <w:rPr>
          <w:rFonts w:ascii="Arial" w:cs="Arial" w:eastAsia="Arial" w:hAnsi="Arial"/>
          <w:sz w:val="11"/>
          <w:szCs w:val="11"/>
          <w:color w:val="auto"/>
        </w:rPr>
        <w:t>In February 2021, we closed a follow-on public offering, in which we sold 4,312,500 shares of Class A common stock at a price to the public of $409.60 per share, including shares sold in connection with the exercise of the underwriters' option to purchase additional shares. The offer and sale of all of the shares in the follow-on offering were registered under the Securities Act pursuant to a registration statement on Form S-3 (File No. 333-231794), which was declared effective by the SEC on May 29, 2019. We raised $1.8 billion in net proceeds after deducting offering expenses paid by us. No payments were made by us to directors, officers or persons owning 10 percent or more of our capital stock or to their associates, or to our affiliates, other than payments in the ordinary course of business to officers for salaries. There has been no material change in the planned use of proceeds from our follow-on offering as described in our final prospectus filed with the SEC on February 22, 2021, pursuant to Rule 424(b)(5). We invested the funds received in accordance with our board-approved investment policy, which provides for investments in obligations of the U.S. government, money market instruments, registered money market funds and corporate bonds. The managing underwriters of our follow-on offering were Morgan Stanley &amp; Co. LLC, J.P. Morgan Securities LLC, Academy Securities, Inc., Cabrera Capital Markets LLC, and Siebert Williams Shank &amp; Co., LLC.</w:t>
      </w:r>
    </w:p>
    <w:p>
      <w:pPr>
        <w:spacing w:after="0" w:line="88" w:lineRule="exact"/>
        <w:rPr>
          <w:sz w:val="20"/>
          <w:szCs w:val="20"/>
          <w:color w:val="auto"/>
        </w:rPr>
      </w:pPr>
    </w:p>
    <w:p>
      <w:pPr>
        <w:ind w:firstLine="324"/>
        <w:spacing w:after="0" w:line="281" w:lineRule="auto"/>
        <w:rPr>
          <w:sz w:val="20"/>
          <w:szCs w:val="20"/>
          <w:color w:val="auto"/>
        </w:rPr>
      </w:pPr>
      <w:r>
        <w:rPr>
          <w:rFonts w:ascii="Arial" w:cs="Arial" w:eastAsia="Arial" w:hAnsi="Arial"/>
          <w:sz w:val="11"/>
          <w:szCs w:val="11"/>
          <w:color w:val="auto"/>
        </w:rPr>
        <w:t>In August 2020, we closed a follow-on public offering, in which we sold 5,819,838 shares of Class A common stock at a price to the public of $247.00 per share, including shares sold in connection with the exercise of the underwriters' option to purchase additional shares. The offer and sale of all of the shares in the follow-on offering were registered under the Securities Act pursuant to a registration statement on Form S-3 (File No. 333-231794), which was declared effective by the SEC on May 29, 2019. We raised $1.4 billion in net proceeds after deducting underwriting discounts and commissions and offering expenses paid by us. No payments were made by us to directors, officers or persons owning 10 percent or more of our capital stock or to their associates, or to our affiliates, other than payments in the ordinary course of business to officers for salaries. There has been no material change in the planned use of proceeds from our follow-on offering as described in our final prospectus filed with the SEC on August 7, 2020, pursuant to Rule 424(b)(5). We invested the funds received in accordance with our board-approved investment policy, which provides for investments in obligations of the U.S. government, money market instruments, registered money market funds and corporate bonds. The managing underwriters of our follow-on offering were J.P. Morgan Securities LLC, Morgan Stanley &amp; Co. LLC, Goldman, Sachs &amp; Co. and BofA Securities, Inc.</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57" w:name="page58"/>
    <w:bookmarkEnd w:id="5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ind w:firstLine="324"/>
        <w:spacing w:after="0" w:line="254" w:lineRule="auto"/>
        <w:rPr>
          <w:sz w:val="20"/>
          <w:szCs w:val="20"/>
          <w:color w:val="auto"/>
        </w:rPr>
      </w:pPr>
      <w:r>
        <w:rPr>
          <w:rFonts w:ascii="Arial" w:cs="Arial" w:eastAsia="Arial" w:hAnsi="Arial"/>
          <w:sz w:val="12"/>
          <w:szCs w:val="12"/>
          <w:color w:val="auto"/>
        </w:rPr>
        <w:t>In June 2019, we closed a follow-on public offering, in which we sold 8,064,515 shares of Class A common stock at a price to the public of $124.00 per share, including shares sold in connection with the exercise of the underwriters' option to purchase additional shares. The offer and sale of all of the shares in the follow-on offering were registered under the Securities Act pursuant to a registration statement on Form S-3 (File No. 333-231794), which was declared effective by the SEC on May 29, 2019. We raised $979.0 million in net proceeds after deducting underwriting discounts and commissions and offering expenses paid by us. No payments were made by us to directors, officers or persons owning 10 percent or more of our capital stock or to their associates, or to our affiliates, other than payments in the ordinary course of business to officers for salaries. There has been no material change in the planned use of proceeds from our follow-on offering as described in our final prospectus filed with the SEC on May 31, 2019, pursuant to Rule 424(b). We invested the funds received in accordance with our board-approved investment policy, which provides for investments in obligations of the U.S. government, money market instruments, registered money market funds and corporate bonds. The managing underwriters of our follow-on offering were Goldman, Sachs &amp; Co. and J.P. Morgan Securities LLC.</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 Issuer Purchases of Equity Securities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6. </w:t>
      </w:r>
      <w:r>
        <w:rPr>
          <w:rFonts w:ascii="Arial" w:cs="Arial" w:eastAsia="Arial" w:hAnsi="Arial"/>
          <w:sz w:val="12"/>
          <w:szCs w:val="12"/>
          <w:b w:val="1"/>
          <w:bCs w:val="1"/>
          <w:i w:val="1"/>
          <w:iCs w:val="1"/>
          <w:color w:val="auto"/>
        </w:rPr>
        <w:t>[Reserved]</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7. </w:t>
      </w:r>
      <w:r>
        <w:rPr>
          <w:rFonts w:ascii="Arial" w:cs="Arial" w:eastAsia="Arial" w:hAnsi="Arial"/>
          <w:sz w:val="12"/>
          <w:szCs w:val="12"/>
          <w:b w:val="1"/>
          <w:bCs w:val="1"/>
          <w:i w:val="1"/>
          <w:iCs w:val="1"/>
          <w:color w:val="auto"/>
        </w:rPr>
        <w:t>Management’s Discussion and Analysis of Financial Condition and Results of Operations</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 Item 1A, “Risk Factors” in this Annual Report on Form 10-K. Our fiscal year ends on December 31.</w:t>
      </w:r>
    </w:p>
    <w:p>
      <w:pPr>
        <w:spacing w:after="0" w:line="120"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right="20" w:firstLine="324"/>
        <w:spacing w:after="0" w:line="146" w:lineRule="exact"/>
        <w:rPr>
          <w:sz w:val="20"/>
          <w:szCs w:val="20"/>
          <w:color w:val="auto"/>
        </w:rPr>
      </w:pPr>
      <w:r>
        <w:rPr>
          <w:rFonts w:ascii="Arial" w:cs="Arial" w:eastAsia="Arial" w:hAnsi="Arial"/>
          <w:sz w:val="11"/>
          <w:szCs w:val="11"/>
          <w:color w:val="auto"/>
        </w:rPr>
        <w:t>We are the leader in the cloud communications platform category. We enable developers to build, scale and operate real</w:t>
      </w:r>
      <w:r>
        <w:rPr>
          <w:rFonts w:ascii="MS PGothic" w:cs="MS PGothic" w:eastAsia="MS PGothic" w:hAnsi="MS PGothic"/>
          <w:sz w:val="11"/>
          <w:szCs w:val="11"/>
          <w:color w:val="auto"/>
        </w:rPr>
        <w:t>‑</w:t>
      </w:r>
      <w:r>
        <w:rPr>
          <w:rFonts w:ascii="Arial" w:cs="Arial" w:eastAsia="Arial" w:hAnsi="Arial"/>
          <w:sz w:val="11"/>
          <w:szCs w:val="11"/>
          <w:color w:val="auto"/>
        </w:rPr>
        <w:t>time customer engagement within their software applications. We offer a customer engagement platform with software designed to address specific use cases like account security and contact centers, and a set of Application Programming Interfaces (“APIs”) that handles the higher level communication logic needed for nearly every type of customer engagement. The power, flexibility and reliability offered by our software building blocks empower companies of virtually every shape and size to build world-class engagement into their customer experience. For additional detail on the description of our business and products please refer to Part I, Item 1, “Business”, included elsewhere on this Annual Report on Form 10-K.</w:t>
      </w:r>
    </w:p>
    <w:p>
      <w:pPr>
        <w:spacing w:after="0" w:line="136" w:lineRule="exact"/>
        <w:rPr>
          <w:sz w:val="20"/>
          <w:szCs w:val="20"/>
          <w:color w:val="auto"/>
        </w:rPr>
      </w:pPr>
    </w:p>
    <w:p>
      <w:pPr>
        <w:ind w:right="80" w:firstLine="324"/>
        <w:spacing w:after="0" w:line="323" w:lineRule="auto"/>
        <w:rPr>
          <w:sz w:val="20"/>
          <w:szCs w:val="20"/>
          <w:color w:val="auto"/>
        </w:rPr>
      </w:pPr>
      <w:r>
        <w:rPr>
          <w:rFonts w:ascii="Arial" w:cs="Arial" w:eastAsia="Arial" w:hAnsi="Arial"/>
          <w:sz w:val="11"/>
          <w:szCs w:val="11"/>
          <w:color w:val="auto"/>
        </w:rPr>
        <w:t>We have achieved significant growth in recent periods. In the years ended December 31, 2021, 2020 and 2019, our revenue was $2.8 billion, $1.8 billion and $1.1 billion, respectively, and our net loss was $949.9 million, $491.0 million and $307.1 million, respectively. In the years ended December 31, 2021, 2020 and 2019, our 10 largest Active Customer Accounts generated an aggregate of 11%, 14% and 13% of our total revenue, respectively.</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Acquisition of Zipwhip, Inc. in 2021</w:t>
      </w:r>
    </w:p>
    <w:p>
      <w:pPr>
        <w:spacing w:after="0" w:line="1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2"/>
          <w:szCs w:val="12"/>
          <w:color w:val="auto"/>
        </w:rPr>
        <w:t>In July 2021, we acquired Zipwhip, Inc. (“Zipwhip”), a leading provider of toll-free messaging in the United States, for a purchase price of $838.8 million. The purchase price was paid in the form of shares of our Class A common stock and cash and included fair value of pre-combination services of Zipwhip employees that was embedded in the unvested equity awards which we assumed on the acquisition closing date. Part of the cash was paid to settle the vested stock options of Zipwhip employees that were outstanding on the acquisition closing date. We assumed all unvested and outstanding stock options and restricted stock units of Zipwhip continuing employees as converted into our own respective equity awards at the conversion ratio provided in the Agreement and Plan of Merger and Reorganization. Vesting of Class A shares of our common stock and assumed equity awards that were subject to service conditions is recorded into our stock-based compensation expense as the services are provided. This acquisition is described in detail in Note 7 to our consolidated financial statements included elsewhere in this Annual Report on Form 10-K.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8" w:name="page59"/>
    <w:bookmarkEnd w:id="5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2"/>
          <w:szCs w:val="12"/>
          <w:color w:val="auto"/>
        </w:rPr>
        <w:t>Because the acquisition of Zipwhip occurred during the year ended December 31, 2021, the information presented in this section with respect to the year ended December 31, 2021 includes the contribution of Zipwhip starting from July 14, 2021, the date of acquisition. The information with respect to the periods prior to the date of acquisition relates to Twilio on a standalone basis, not including Zipwhip. As a result, comparisons to prior periods may not be indicative of future results or future rates of growth.</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Acquisition of Segment.io, Inc. in 2020</w:t>
      </w:r>
    </w:p>
    <w:p>
      <w:pPr>
        <w:spacing w:after="0" w:line="150" w:lineRule="exact"/>
        <w:rPr>
          <w:sz w:val="20"/>
          <w:szCs w:val="20"/>
          <w:color w:val="auto"/>
        </w:rPr>
      </w:pPr>
    </w:p>
    <w:p>
      <w:pPr>
        <w:ind w:right="40" w:firstLine="324"/>
        <w:spacing w:after="0" w:line="285" w:lineRule="auto"/>
        <w:rPr>
          <w:sz w:val="20"/>
          <w:szCs w:val="20"/>
          <w:color w:val="auto"/>
        </w:rPr>
      </w:pPr>
      <w:r>
        <w:rPr>
          <w:rFonts w:ascii="Arial" w:cs="Arial" w:eastAsia="Arial" w:hAnsi="Arial"/>
          <w:sz w:val="11"/>
          <w:szCs w:val="11"/>
          <w:color w:val="auto"/>
        </w:rPr>
        <w:t>In November 2020, we acquired Segment.io, Inc. (“Segment”), the market-leading customer data platform, for a purchase price of $3.0 billion. The purchase price was paid in the form of shares of our Class A common stock and cash and included fair value of pre-combination services of Segment employees that was embedded in the unvested equity awards which we assumed on the acquisition closing date. Part of the cash was paid to settle the vested equity awards of Segment employees that were outstanding on the acquisition closing date. We assumed all unvested and outstanding equity awards of Segment continuing employees as converted into our own equity awards at the conversion ratio provided in the Agreement and Plan of Reorganization. Vesting of Class A shares of our common stock and assumed equity awards that were subject to service conditions is recorded into our stock-based compensation expense over the period the services are provided. This acquisition is described in detail in Note 7 to our consolidated financial statements included elsewhere in this Annual Report on Form 10-K.</w:t>
      </w:r>
    </w:p>
    <w:p>
      <w:pPr>
        <w:spacing w:after="0" w:line="113" w:lineRule="exact"/>
        <w:rPr>
          <w:sz w:val="20"/>
          <w:szCs w:val="20"/>
          <w:color w:val="auto"/>
        </w:rPr>
      </w:pPr>
    </w:p>
    <w:p>
      <w:pPr>
        <w:ind w:right="160" w:firstLine="324"/>
        <w:spacing w:after="0" w:line="298" w:lineRule="auto"/>
        <w:rPr>
          <w:sz w:val="20"/>
          <w:szCs w:val="20"/>
          <w:color w:val="auto"/>
        </w:rPr>
      </w:pPr>
      <w:r>
        <w:rPr>
          <w:rFonts w:ascii="Arial" w:cs="Arial" w:eastAsia="Arial" w:hAnsi="Arial"/>
          <w:sz w:val="11"/>
          <w:szCs w:val="11"/>
          <w:color w:val="auto"/>
        </w:rPr>
        <w:t>Because the acquisition of Twilio Segment occurred during the year ended December 31, 2020, the information presented in this section with respect to the year ended December 31, 2020 includes the contribution of Twilio Segment starting from November 2, 2020, the date of acquisition. The information with respect to periods prior to the date of acquisition relates to Twilio on a standalone basis, not including Segment. The information with respect to year 2021 includes Segment results for the full year. As a result, comparisons to prior periods or the current full year period may not be indicative of future results or future rates of growth.</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Investment in Syniverse Corporation</w:t>
      </w:r>
    </w:p>
    <w:p>
      <w:pPr>
        <w:spacing w:after="0" w:line="150"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2"/>
          <w:szCs w:val="12"/>
          <w:color w:val="auto"/>
        </w:rPr>
        <w:t>In February 2021, we entered into a Framework Agreement, as amended, with Syniverse Corporation (“Syniverse”) and Carlyle Partners V Holdings, L.P., (“Framework Agreement”), pursuant to which Syniverse would issue to us shares of Syniverse common stock in consideration for an investment by us of up to $750.0 million, subject to certain terms and conditions. The initial agreements and conditions to closing of this transaction are described in detail in Note 13(a) to our consolidated financial statements included elsewhere in this Annual Report on Form 10-K.</w:t>
      </w:r>
    </w:p>
    <w:p>
      <w:pPr>
        <w:spacing w:after="0" w:line="122" w:lineRule="exact"/>
        <w:rPr>
          <w:sz w:val="20"/>
          <w:szCs w:val="20"/>
          <w:color w:val="auto"/>
        </w:rPr>
      </w:pPr>
    </w:p>
    <w:p>
      <w:pPr>
        <w:ind w:right="20" w:firstLine="324"/>
        <w:spacing w:after="0" w:line="263" w:lineRule="auto"/>
        <w:rPr>
          <w:sz w:val="20"/>
          <w:szCs w:val="20"/>
          <w:color w:val="auto"/>
        </w:rPr>
      </w:pPr>
      <w:r>
        <w:rPr>
          <w:rFonts w:ascii="Arial" w:cs="Arial" w:eastAsia="Arial" w:hAnsi="Arial"/>
          <w:sz w:val="12"/>
          <w:szCs w:val="12"/>
          <w:color w:val="auto"/>
        </w:rPr>
        <w:t>On February 9, 2022, Syniverse mutually terminated a proposed Agreement and Plan of Merger with M-3 Brigade Acquisition II Corp. (“MBAC”) because the rate of MBAC shareholder redemptions for the proposed transaction would have exceeded the minimum cash condition for closing, which occurred as a result of recent changes in market conditions (“MBAC Transaction Termination”). Because of the MBAC Transaction Termination, Twilio will not purchase any shares of common stock of, or make any investment in, MBAC.</w:t>
      </w:r>
    </w:p>
    <w:p>
      <w:pPr>
        <w:spacing w:after="0" w:line="122" w:lineRule="exact"/>
        <w:rPr>
          <w:sz w:val="20"/>
          <w:szCs w:val="20"/>
          <w:color w:val="auto"/>
        </w:rPr>
      </w:pPr>
    </w:p>
    <w:p>
      <w:pPr>
        <w:ind w:right="380" w:firstLine="324"/>
        <w:spacing w:after="0" w:line="298" w:lineRule="auto"/>
        <w:rPr>
          <w:sz w:val="20"/>
          <w:szCs w:val="20"/>
          <w:color w:val="auto"/>
        </w:rPr>
      </w:pPr>
      <w:r>
        <w:rPr>
          <w:rFonts w:ascii="Arial" w:cs="Arial" w:eastAsia="Arial" w:hAnsi="Arial"/>
          <w:sz w:val="11"/>
          <w:szCs w:val="11"/>
          <w:color w:val="auto"/>
        </w:rPr>
        <w:t>The Framework Agreement, dated as of February 26, 2021, by and between Twilio, Syniverse and Carlyle Partners V Holdings, L.P., remains in full force and effect. The amendment, dated as of August 16, 2021, to the Framework Agreement terminated on February 9, 2022, as a result of the MBAC Transaction Termination. Pursuant to the terms and subject to the closing conditions set forth in the Framework Agreement, the parties thereto are pursuing the alternative transaction, whereby Twilio will make a minority investment of $500.0 million to $750.0 million in Syniverse and the parties (or their applicable subsidiaries) will enter into a wholesale agreement.</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Public Equity Offerings</w:t>
      </w:r>
    </w:p>
    <w:p>
      <w:pPr>
        <w:spacing w:after="0" w:line="150"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In February 2021, August 2020 and June 2019, we completed public equity offerings in which we sold 4,312,500 shares, 5,819,838 shares and 8,064,515 shares, respectively, of our Class A common stock at public offering prices of $409.60 per share, $247.00 per share and $124.00 per share, respectively. We received aggregate proceeds of $1.8 billion, $1.4 billion and $979.0 million, respectively, after deducting underwriting discounts and offering expenses paid by us.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Issuance of 2029 and 2031 Senior Notes</w:t>
      </w:r>
    </w:p>
    <w:p>
      <w:pPr>
        <w:spacing w:after="0" w:line="150" w:lineRule="exact"/>
        <w:rPr>
          <w:sz w:val="20"/>
          <w:szCs w:val="20"/>
          <w:color w:val="auto"/>
        </w:rPr>
      </w:pPr>
    </w:p>
    <w:p>
      <w:pPr>
        <w:ind w:right="240" w:firstLine="324"/>
        <w:spacing w:after="0" w:line="276" w:lineRule="auto"/>
        <w:rPr>
          <w:sz w:val="20"/>
          <w:szCs w:val="20"/>
          <w:color w:val="auto"/>
        </w:rPr>
      </w:pPr>
      <w:r>
        <w:rPr>
          <w:rFonts w:ascii="Arial" w:cs="Arial" w:eastAsia="Arial" w:hAnsi="Arial"/>
          <w:sz w:val="12"/>
          <w:szCs w:val="12"/>
          <w:color w:val="auto"/>
        </w:rPr>
        <w:t>In March 2021, we issued and sold $1.0 billion aggregate principal amount of senior notes, consisting of $500.0 million principal amount of 3.625% notes due 2029 (the “2029 Notes”) and $500.0 million principal amount of 3.875% notes due 2031 (the “2031 Notes,” and together with the 2029 Notes, the “Notes”). The net proceeds from the offering of these Notes were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9" w:name="page60"/>
    <w:bookmarkEnd w:id="5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approximately $984.7 million, after deducting underwriting discounts and issuance costs paid by us. These Notes are described in detail in Note 10 to our consolidated financial statements included elsewhere in this Annual Report on Form 10-K.</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Redemption of Convertible Senior Notes and Capped Call Transactions</w:t>
      </w:r>
    </w:p>
    <w:p>
      <w:pPr>
        <w:spacing w:after="0" w:line="141" w:lineRule="exact"/>
        <w:rPr>
          <w:sz w:val="20"/>
          <w:szCs w:val="20"/>
          <w:color w:val="auto"/>
        </w:rPr>
      </w:pPr>
    </w:p>
    <w:p>
      <w:pPr>
        <w:ind w:firstLine="324"/>
        <w:spacing w:after="0" w:line="234" w:lineRule="auto"/>
        <w:rPr>
          <w:sz w:val="20"/>
          <w:szCs w:val="20"/>
          <w:color w:val="auto"/>
        </w:rPr>
      </w:pPr>
      <w:r>
        <w:rPr>
          <w:rFonts w:ascii="Arial" w:cs="Arial" w:eastAsia="Arial" w:hAnsi="Arial"/>
          <w:sz w:val="12"/>
          <w:szCs w:val="12"/>
          <w:color w:val="auto"/>
        </w:rPr>
        <w:t>During 2021 we issued a notice of redemption for our convertible senior notes due 2023 (the “Convertible Notes”) and on June 2, 2021, we redeemed all of the remaining outstanding principal amount of the notes. During 2021 and through the date of the redemption, we converted $343.7 million aggregate principal amount of the Convertible Notes by issuing 4,846,965 shares of our Class A common stock. The extinguishment of these notes resulted in a $29.0 million loss that is included in other (expenses) income, net, in our consolidated statement of operations included elsewhere in this Annual Report on Form 10-K.</w:t>
      </w:r>
    </w:p>
    <w:p>
      <w:pPr>
        <w:spacing w:after="0" w:line="136" w:lineRule="exact"/>
        <w:rPr>
          <w:sz w:val="20"/>
          <w:szCs w:val="20"/>
          <w:color w:val="auto"/>
        </w:rPr>
      </w:pPr>
    </w:p>
    <w:p>
      <w:pPr>
        <w:ind w:right="40" w:firstLine="324"/>
        <w:spacing w:after="0" w:line="234" w:lineRule="auto"/>
        <w:rPr>
          <w:sz w:val="20"/>
          <w:szCs w:val="20"/>
          <w:color w:val="auto"/>
        </w:rPr>
      </w:pPr>
      <w:r>
        <w:rPr>
          <w:rFonts w:ascii="Arial" w:cs="Arial" w:eastAsia="Arial" w:hAnsi="Arial"/>
          <w:sz w:val="12"/>
          <w:szCs w:val="12"/>
          <w:color w:val="auto"/>
        </w:rPr>
        <w:t>Concurrently with the principal redemption, we settled the related capped call arrangements that were entered into contemporaneously with the Convertible Notes offering in May 2018. The capped call arrangements were settled for gross cash consideration of $229.8 million that we received and recorded as additional paid-in-capital, net of $1.4 million of transaction costs and a $3.2 million realized gain. These transactions are described in detail in Note 10 to our consolidated financial statements included elsewhere in this Annual Report on Form 10-K.</w:t>
      </w:r>
    </w:p>
    <w:p>
      <w:pPr>
        <w:spacing w:after="0" w:line="123"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COVID-19 UPDATE</w:t>
      </w:r>
    </w:p>
    <w:p>
      <w:pPr>
        <w:spacing w:after="0" w:line="145" w:lineRule="exact"/>
        <w:rPr>
          <w:sz w:val="20"/>
          <w:szCs w:val="20"/>
          <w:color w:val="auto"/>
        </w:rPr>
      </w:pPr>
    </w:p>
    <w:p>
      <w:pPr>
        <w:ind w:right="20" w:firstLine="324"/>
        <w:spacing w:after="0" w:line="251" w:lineRule="auto"/>
        <w:rPr>
          <w:sz w:val="20"/>
          <w:szCs w:val="20"/>
          <w:color w:val="auto"/>
        </w:rPr>
      </w:pPr>
      <w:r>
        <w:rPr>
          <w:rFonts w:ascii="Arial" w:cs="Arial" w:eastAsia="Arial" w:hAnsi="Arial"/>
          <w:sz w:val="11"/>
          <w:szCs w:val="11"/>
          <w:color w:val="auto"/>
        </w:rPr>
        <w:t>The rapid spread of the COVID-19 globally has disrupted, and may continue to disrupt, our day-to-day operations and the operations of our customers, partners and service providers for an indefinite period of time, including as a result of changing public health recommendations, travel restrictions and limitations, the duration, spread and severity and potential recurrence of the virus and its variants, as well as the efficacy of vaccines and vaccine distribution and the timing and trajectory of the economic recovery, all of which could negatively impact our business and results of operations and financial condition. Since mid-March 2020, we have taken precautionary measures to protect our employees and contingent workers and to help minimize the spread of the virus by temporarily closing our worldwide offices and minimizing business travel. We have continued to monitor the progress of vaccination efforts around the world. In the second half of 2021, as COVID-19 related restrictions have eased in some geographies, we commenced a phased reopening for certain offices.</w:t>
      </w:r>
    </w:p>
    <w:p>
      <w:pPr>
        <w:spacing w:after="0" w:line="131" w:lineRule="exact"/>
        <w:rPr>
          <w:sz w:val="20"/>
          <w:szCs w:val="20"/>
          <w:color w:val="auto"/>
        </w:rPr>
      </w:pPr>
    </w:p>
    <w:p>
      <w:pPr>
        <w:ind w:right="80" w:firstLine="324"/>
        <w:spacing w:after="0" w:line="225" w:lineRule="auto"/>
        <w:rPr>
          <w:sz w:val="20"/>
          <w:szCs w:val="20"/>
          <w:color w:val="auto"/>
        </w:rPr>
      </w:pPr>
      <w:r>
        <w:rPr>
          <w:rFonts w:ascii="Arial" w:cs="Arial" w:eastAsia="Arial" w:hAnsi="Arial"/>
          <w:sz w:val="12"/>
          <w:szCs w:val="12"/>
          <w:color w:val="auto"/>
        </w:rPr>
        <w:t>The broader implications of COVID-19 on our results of operations and overall financial performance remain uncertain. The COVID-19 pandemic and its adverse effects on economic and market conditions, including labor shortages, supply chain disruptions and inflation, have been prevalent in the locations where we, our customers, our suppliers or our third-party business partners conduct business. These adverse conditions may continue for an extended period and there may be additional impacts to the economy and our business as a result of COVID-19. This could result in decreased business spending by our customers and prospective customers and business partners and third-party business partners, reduced demand for our solutions, lower renewal rates by our customers, longer or delayed sales cycles, including customers and prospective customers delaying contract signing or contract renewals, or reducing budgets or minimum commitments related to the product and services that we offer, all of which could have an adverse impact on our business operations and financial condition. See the risk factor titled “The global COVID-19 pandemic may adversely impact our business, results of operations and financial condition” in Part I, Item 1A, “Risk Factors” of this Annual Report on Form 10-K for further discussion of the possible impact of the COVID-19 pandemic on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0" w:name="page61"/>
    <w:bookmarkEnd w:id="6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Key Business Metrics</w:t>
      </w:r>
    </w:p>
    <w:p>
      <w:pPr>
        <w:spacing w:after="0" w:line="175" w:lineRule="exact"/>
        <w:rPr>
          <w:sz w:val="20"/>
          <w:szCs w:val="20"/>
          <w:color w:val="auto"/>
        </w:rPr>
      </w:pPr>
    </w:p>
    <w:tbl>
      <w:tblPr>
        <w:tblLayout w:type="fixed"/>
        <w:tblInd w:w="5180" w:type="dxa"/>
        <w:tblCellMar>
          <w:top w:w="0" w:type="dxa"/>
          <w:left w:w="0" w:type="dxa"/>
          <w:bottom w:w="0" w:type="dxa"/>
          <w:right w:w="0" w:type="dxa"/>
        </w:tblCellMar>
      </w:tblPr>
      <w:tr>
        <w:trPr>
          <w:trHeight w:val="127"/>
        </w:trPr>
        <w:tc>
          <w:tcPr>
            <w:tcW w:w="194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Year Ended December 31,</w:t>
            </w:r>
          </w:p>
        </w:tc>
        <w:tc>
          <w:tcPr>
            <w:tcW w:w="1620" w:type="dxa"/>
            <w:vAlign w:val="bottom"/>
            <w:tcBorders>
              <w:bottom w:val="single" w:sz="8" w:color="auto"/>
            </w:tcBorders>
          </w:tcPr>
          <w:p>
            <w:pPr>
              <w:spacing w:after="0"/>
              <w:rPr>
                <w:sz w:val="11"/>
                <w:szCs w:val="11"/>
                <w:color w:val="auto"/>
              </w:rPr>
            </w:pPr>
          </w:p>
        </w:tc>
      </w:tr>
      <w:tr>
        <w:trPr>
          <w:trHeight w:val="116"/>
        </w:trPr>
        <w:tc>
          <w:tcPr>
            <w:tcW w:w="1940" w:type="dxa"/>
            <w:vAlign w:val="bottom"/>
          </w:tcPr>
          <w:p>
            <w:pPr>
              <w:jc w:val="right"/>
              <w:ind w:right="652"/>
              <w:spacing w:after="0"/>
              <w:rPr>
                <w:sz w:val="20"/>
                <w:szCs w:val="20"/>
                <w:color w:val="auto"/>
              </w:rPr>
            </w:pPr>
            <w:r>
              <w:rPr>
                <w:rFonts w:ascii="Arial" w:cs="Arial" w:eastAsia="Arial" w:hAnsi="Arial"/>
                <w:sz w:val="10"/>
                <w:szCs w:val="10"/>
                <w:b w:val="1"/>
                <w:bCs w:val="1"/>
                <w:color w:val="auto"/>
              </w:rPr>
              <w:t>2021</w:t>
            </w:r>
          </w:p>
        </w:tc>
        <w:tc>
          <w:tcPr>
            <w:tcW w:w="2480" w:type="dxa"/>
            <w:vAlign w:val="bottom"/>
          </w:tcPr>
          <w:p>
            <w:pPr>
              <w:jc w:val="right"/>
              <w:ind w:right="1092"/>
              <w:spacing w:after="0"/>
              <w:rPr>
                <w:sz w:val="20"/>
                <w:szCs w:val="20"/>
                <w:color w:val="auto"/>
              </w:rPr>
            </w:pPr>
            <w:r>
              <w:rPr>
                <w:rFonts w:ascii="Arial" w:cs="Arial" w:eastAsia="Arial" w:hAnsi="Arial"/>
                <w:sz w:val="10"/>
                <w:szCs w:val="10"/>
                <w:b w:val="1"/>
                <w:bCs w:val="1"/>
                <w:color w:val="auto"/>
              </w:rPr>
              <w:t>2020</w:t>
            </w:r>
          </w:p>
        </w:tc>
        <w:tc>
          <w:tcPr>
            <w:tcW w:w="1620" w:type="dxa"/>
            <w:vAlign w:val="bottom"/>
          </w:tcPr>
          <w:p>
            <w:pPr>
              <w:jc w:val="right"/>
              <w:ind w:right="672"/>
              <w:spacing w:after="0"/>
              <w:rPr>
                <w:sz w:val="20"/>
                <w:szCs w:val="20"/>
                <w:color w:val="auto"/>
              </w:rPr>
            </w:pPr>
            <w:r>
              <w:rPr>
                <w:rFonts w:ascii="Arial" w:cs="Arial" w:eastAsia="Arial" w:hAnsi="Arial"/>
                <w:sz w:val="10"/>
                <w:szCs w:val="10"/>
                <w:b w:val="1"/>
                <w:bCs w:val="1"/>
                <w:color w:val="auto"/>
              </w:rPr>
              <w:t>2019</w:t>
            </w:r>
          </w:p>
        </w:tc>
      </w:tr>
    </w:tbl>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136"/>
        </w:trPr>
        <w:tc>
          <w:tcPr>
            <w:tcW w:w="4800" w:type="dxa"/>
            <w:vAlign w:val="bottom"/>
            <w:tcBorders>
              <w:top w:val="single" w:sz="8" w:color="CCEEFF"/>
            </w:tcBorders>
            <w:shd w:val="clear" w:color="auto" w:fill="CCEEFF"/>
          </w:tcPr>
          <w:p>
            <w:pPr>
              <w:ind w:left="340"/>
              <w:spacing w:after="0" w:line="136" w:lineRule="exact"/>
              <w:rPr>
                <w:sz w:val="20"/>
                <w:szCs w:val="20"/>
                <w:color w:val="auto"/>
              </w:rPr>
            </w:pPr>
            <w:r>
              <w:rPr>
                <w:rFonts w:ascii="Arial" w:cs="Arial" w:eastAsia="Arial" w:hAnsi="Arial"/>
                <w:sz w:val="11"/>
                <w:szCs w:val="11"/>
                <w:color w:val="auto"/>
              </w:rPr>
              <w:t xml:space="preserve">Number of Active Customer Accounts (as of end date of period) </w:t>
            </w:r>
            <w:r>
              <w:rPr>
                <w:rFonts w:ascii="Arial" w:cs="Arial" w:eastAsia="Arial" w:hAnsi="Arial"/>
                <w:sz w:val="14"/>
                <w:szCs w:val="14"/>
                <w:color w:val="auto"/>
                <w:vertAlign w:val="superscript"/>
              </w:rPr>
              <w:t>(1)</w:t>
            </w:r>
          </w:p>
        </w:tc>
        <w:tc>
          <w:tcPr>
            <w:tcW w:w="7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256,000</w:t>
            </w: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221,000</w:t>
            </w:r>
          </w:p>
        </w:tc>
        <w:tc>
          <w:tcPr>
            <w:tcW w:w="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179,000</w:t>
            </w:r>
          </w:p>
        </w:tc>
        <w:tc>
          <w:tcPr>
            <w:tcW w:w="280" w:type="dxa"/>
            <w:vAlign w:val="bottom"/>
            <w:tcBorders>
              <w:top w:val="single" w:sz="8" w:color="auto"/>
            </w:tcBorders>
            <w:shd w:val="clear" w:color="auto" w:fill="CCEEFF"/>
          </w:tcPr>
          <w:p>
            <w:pPr>
              <w:spacing w:after="0"/>
              <w:rPr>
                <w:sz w:val="11"/>
                <w:szCs w:val="11"/>
                <w:color w:val="auto"/>
              </w:rPr>
            </w:pPr>
          </w:p>
        </w:tc>
      </w:tr>
      <w:tr>
        <w:trPr>
          <w:trHeight w:val="144"/>
        </w:trPr>
        <w:tc>
          <w:tcPr>
            <w:tcW w:w="4800" w:type="dxa"/>
            <w:vAlign w:val="bottom"/>
          </w:tcPr>
          <w:p>
            <w:pPr>
              <w:ind w:left="340"/>
              <w:spacing w:after="0" w:line="144" w:lineRule="exact"/>
              <w:rPr>
                <w:sz w:val="20"/>
                <w:szCs w:val="20"/>
                <w:color w:val="auto"/>
              </w:rPr>
            </w:pPr>
            <w:r>
              <w:rPr>
                <w:rFonts w:ascii="Arial" w:cs="Arial" w:eastAsia="Arial" w:hAnsi="Arial"/>
                <w:sz w:val="11"/>
                <w:szCs w:val="11"/>
                <w:color w:val="auto"/>
              </w:rPr>
              <w:t xml:space="preserve">Total Revenue (in thousands) </w:t>
            </w:r>
            <w:r>
              <w:rPr>
                <w:rFonts w:ascii="Arial" w:cs="Arial" w:eastAsia="Arial" w:hAnsi="Arial"/>
                <w:sz w:val="14"/>
                <w:szCs w:val="14"/>
                <w:color w:val="auto"/>
                <w:vertAlign w:val="superscript"/>
              </w:rPr>
              <w:t>(1)</w:t>
            </w:r>
          </w:p>
        </w:tc>
        <w:tc>
          <w:tcPr>
            <w:tcW w:w="74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2,841,839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26"/>
              <w:spacing w:after="0"/>
              <w:rPr>
                <w:sz w:val="20"/>
                <w:szCs w:val="20"/>
                <w:color w:val="auto"/>
              </w:rPr>
            </w:pPr>
            <w:r>
              <w:rPr>
                <w:rFonts w:ascii="Arial" w:cs="Arial" w:eastAsia="Arial" w:hAnsi="Arial"/>
                <w:sz w:val="11"/>
                <w:szCs w:val="11"/>
                <w:color w:val="auto"/>
              </w:rPr>
              <w:t>1,761,776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28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1,134,468</w:t>
            </w:r>
          </w:p>
        </w:tc>
        <w:tc>
          <w:tcPr>
            <w:tcW w:w="280" w:type="dxa"/>
            <w:vAlign w:val="bottom"/>
          </w:tcPr>
          <w:p>
            <w:pPr>
              <w:spacing w:after="0"/>
              <w:rPr>
                <w:sz w:val="12"/>
                <w:szCs w:val="12"/>
                <w:color w:val="auto"/>
              </w:rPr>
            </w:pPr>
          </w:p>
        </w:tc>
      </w:tr>
      <w:tr>
        <w:trPr>
          <w:trHeight w:val="144"/>
        </w:trPr>
        <w:tc>
          <w:tcPr>
            <w:tcW w:w="4800" w:type="dxa"/>
            <w:vAlign w:val="bottom"/>
            <w:shd w:val="clear" w:color="auto" w:fill="CCEEFF"/>
          </w:tcPr>
          <w:p>
            <w:pPr>
              <w:ind w:left="420"/>
              <w:spacing w:after="0" w:line="144" w:lineRule="exact"/>
              <w:rPr>
                <w:sz w:val="20"/>
                <w:szCs w:val="20"/>
                <w:color w:val="auto"/>
              </w:rPr>
            </w:pPr>
            <w:r>
              <w:rPr>
                <w:rFonts w:ascii="Arial" w:cs="Arial" w:eastAsia="Arial" w:hAnsi="Arial"/>
                <w:sz w:val="11"/>
                <w:szCs w:val="11"/>
                <w:i w:val="1"/>
                <w:iCs w:val="1"/>
                <w:color w:val="auto"/>
              </w:rPr>
              <w:t xml:space="preserve">Total Revenue Growth Rate </w:t>
            </w:r>
            <w:r>
              <w:rPr>
                <w:rFonts w:ascii="Arial" w:cs="Arial" w:eastAsia="Arial" w:hAnsi="Arial"/>
                <w:sz w:val="14"/>
                <w:szCs w:val="14"/>
                <w:i w:val="1"/>
                <w:iCs w:val="1"/>
                <w:color w:val="auto"/>
                <w:vertAlign w:val="superscript"/>
              </w:rPr>
              <w:t>(1)</w:t>
            </w: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61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55</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75</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4800" w:type="dxa"/>
            <w:vAlign w:val="bottom"/>
          </w:tcPr>
          <w:p>
            <w:pPr>
              <w:ind w:left="340"/>
              <w:spacing w:after="0" w:line="146" w:lineRule="exact"/>
              <w:rPr>
                <w:sz w:val="20"/>
                <w:szCs w:val="20"/>
                <w:color w:val="auto"/>
              </w:rPr>
            </w:pPr>
            <w:r>
              <w:rPr>
                <w:rFonts w:ascii="Arial" w:cs="Arial" w:eastAsia="Arial" w:hAnsi="Arial"/>
                <w:sz w:val="11"/>
                <w:szCs w:val="11"/>
                <w:color w:val="auto"/>
              </w:rPr>
              <w:t xml:space="preserve">Dollar-Based Net Expansion Rate </w:t>
            </w:r>
            <w:r>
              <w:rPr>
                <w:rFonts w:ascii="Arial" w:cs="Arial" w:eastAsia="Arial" w:hAnsi="Arial"/>
                <w:sz w:val="14"/>
                <w:szCs w:val="14"/>
                <w:color w:val="auto"/>
                <w:vertAlign w:val="superscript"/>
              </w:rPr>
              <w:t>(2)</w:t>
            </w:r>
          </w:p>
        </w:tc>
        <w:tc>
          <w:tcPr>
            <w:tcW w:w="740" w:type="dxa"/>
            <w:vAlign w:val="bottom"/>
          </w:tcPr>
          <w:p>
            <w:pPr>
              <w:spacing w:after="0"/>
              <w:rPr>
                <w:sz w:val="12"/>
                <w:szCs w:val="12"/>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131</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jc w:val="right"/>
              <w:ind w:right="126"/>
              <w:spacing w:after="0"/>
              <w:rPr>
                <w:sz w:val="20"/>
                <w:szCs w:val="20"/>
                <w:color w:val="auto"/>
              </w:rPr>
            </w:pPr>
            <w:r>
              <w:rPr>
                <w:rFonts w:ascii="Arial" w:cs="Arial" w:eastAsia="Arial" w:hAnsi="Arial"/>
                <w:sz w:val="11"/>
                <w:szCs w:val="11"/>
                <w:color w:val="auto"/>
              </w:rPr>
              <w:t>137</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right"/>
              <w:ind w:right="126"/>
              <w:spacing w:after="0"/>
              <w:rPr>
                <w:sz w:val="20"/>
                <w:szCs w:val="20"/>
                <w:color w:val="auto"/>
              </w:rPr>
            </w:pPr>
            <w:r>
              <w:rPr>
                <w:rFonts w:ascii="Arial" w:cs="Arial" w:eastAsia="Arial" w:hAnsi="Arial"/>
                <w:sz w:val="11"/>
                <w:szCs w:val="11"/>
                <w:color w:val="auto"/>
              </w:rPr>
              <w:t>135</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90"/>
        </w:trPr>
        <w:tc>
          <w:tcPr>
            <w:tcW w:w="4800" w:type="dxa"/>
            <w:vAlign w:val="bottom"/>
          </w:tcPr>
          <w:p>
            <w:pPr>
              <w:ind w:left="340"/>
              <w:spacing w:after="0"/>
              <w:rPr>
                <w:sz w:val="20"/>
                <w:szCs w:val="20"/>
                <w:color w:val="auto"/>
              </w:rPr>
            </w:pPr>
            <w:r>
              <w:rPr>
                <w:rFonts w:ascii="Arial" w:cs="Arial" w:eastAsia="Arial" w:hAnsi="Arial"/>
                <w:sz w:val="7"/>
                <w:szCs w:val="7"/>
                <w:color w:val="auto"/>
              </w:rPr>
              <w:t>____________________</w:t>
            </w: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r>
    </w:tbl>
    <w:p>
      <w:pPr>
        <w:spacing w:after="0" w:line="13" w:lineRule="exact"/>
        <w:rPr>
          <w:sz w:val="20"/>
          <w:szCs w:val="20"/>
          <w:color w:val="auto"/>
        </w:rPr>
      </w:pPr>
    </w:p>
    <w:p>
      <w:pPr>
        <w:ind w:left="400" w:right="300" w:firstLine="324"/>
        <w:spacing w:after="0" w:line="220" w:lineRule="auto"/>
        <w:tabs>
          <w:tab w:leader="none" w:pos="820" w:val="left"/>
        </w:tabs>
        <w:numPr>
          <w:ilvl w:val="0"/>
          <w:numId w:val="38"/>
        </w:numPr>
        <w:rPr>
          <w:rFonts w:ascii="Arial" w:cs="Arial" w:eastAsia="Arial" w:hAnsi="Arial"/>
          <w:sz w:val="11"/>
          <w:szCs w:val="11"/>
          <w:color w:val="auto"/>
          <w:vertAlign w:val="superscript"/>
        </w:rPr>
      </w:pPr>
      <w:r>
        <w:rPr>
          <w:rFonts w:ascii="Arial" w:cs="Arial" w:eastAsia="Arial" w:hAnsi="Arial"/>
          <w:sz w:val="9"/>
          <w:szCs w:val="9"/>
          <w:color w:val="auto"/>
        </w:rPr>
        <w:t>Includes the contributions from our Zipwhip business, acquired July 14, 2021; Twilio Segment business, acquired November 2, 2020; Twilio SendGrid business, acquired February 1, 2019; and other smaller acquisitions from the dates of their respective acquisitions except for the Number of Active Customer Accounts, which excludes customer accounts from our Zipwhip business.</w:t>
      </w:r>
    </w:p>
    <w:p>
      <w:pPr>
        <w:spacing w:after="0" w:line="41" w:lineRule="exact"/>
        <w:rPr>
          <w:rFonts w:ascii="Arial" w:cs="Arial" w:eastAsia="Arial" w:hAnsi="Arial"/>
          <w:sz w:val="11"/>
          <w:szCs w:val="11"/>
          <w:color w:val="auto"/>
          <w:vertAlign w:val="superscript"/>
        </w:rPr>
      </w:pPr>
    </w:p>
    <w:p>
      <w:pPr>
        <w:ind w:left="400" w:right="120" w:firstLine="324"/>
        <w:spacing w:after="0" w:line="213" w:lineRule="auto"/>
        <w:tabs>
          <w:tab w:leader="none" w:pos="820" w:val="left"/>
        </w:tabs>
        <w:numPr>
          <w:ilvl w:val="0"/>
          <w:numId w:val="38"/>
        </w:numPr>
        <w:rPr>
          <w:rFonts w:ascii="Arial" w:cs="Arial" w:eastAsia="Arial" w:hAnsi="Arial"/>
          <w:sz w:val="11"/>
          <w:szCs w:val="11"/>
          <w:color w:val="auto"/>
          <w:vertAlign w:val="superscript"/>
        </w:rPr>
      </w:pPr>
      <w:r>
        <w:rPr>
          <w:rFonts w:ascii="Arial" w:cs="Arial" w:eastAsia="Arial" w:hAnsi="Arial"/>
          <w:sz w:val="9"/>
          <w:szCs w:val="9"/>
          <w:color w:val="auto"/>
        </w:rPr>
        <w:t>As previously announced in our Annual Report on Form 10-K filed with the SEC on March 2, 2020, commencing with the three-month period ended March 31, 2020, we calculate our Dollar-Based Net Expansion Rate by comparing total revenue from a cohort of Active Customer Accounts in a period to the same period in the prior year (the “New DBNE Definition”). To facilitate comparison between the periods presented, Dollar-Based Net Expansion Rate as presented in the table above has been calculated as if the New DBNE Definition had been in effect during that period. As a result of the New DBNE Definition, unless specifically identified as being calculated using total revenue, any Dollar-Based Net Expansion Rates disclosed by us in our SEC filings, press releases and presentations prior to the date of our press release for the three months ended March 31, 2020, will not be directly comparable to our Dollar-Based Net Expansion Rates going forward. Unless an acquisition closes on the first day of a quarter, revenue from an acquisition will not impact this calculation until the quarter following the one year anniversary of the acquisition.</w:t>
      </w:r>
    </w:p>
    <w:p>
      <w:pPr>
        <w:spacing w:after="0" w:line="208" w:lineRule="exact"/>
        <w:rPr>
          <w:sz w:val="20"/>
          <w:szCs w:val="20"/>
          <w:color w:val="auto"/>
        </w:rPr>
      </w:pPr>
    </w:p>
    <w:p>
      <w:pPr>
        <w:ind w:right="180" w:firstLine="324"/>
        <w:spacing w:after="0" w:line="256" w:lineRule="auto"/>
        <w:rPr>
          <w:sz w:val="20"/>
          <w:szCs w:val="20"/>
          <w:color w:val="auto"/>
        </w:rPr>
      </w:pPr>
      <w:r>
        <w:rPr>
          <w:rFonts w:ascii="Arial" w:cs="Arial" w:eastAsia="Arial" w:hAnsi="Arial"/>
          <w:sz w:val="12"/>
          <w:szCs w:val="12"/>
          <w:b w:val="1"/>
          <w:bCs w:val="1"/>
          <w:i w:val="1"/>
          <w:iCs w:val="1"/>
          <w:color w:val="auto"/>
        </w:rPr>
        <w:t xml:space="preserve">Number of Active Customer Accounts. </w:t>
      </w:r>
      <w:r>
        <w:rPr>
          <w:rFonts w:ascii="Arial" w:cs="Arial" w:eastAsia="Arial" w:hAnsi="Arial"/>
          <w:sz w:val="12"/>
          <w:szCs w:val="12"/>
          <w:color w:val="auto"/>
        </w:rPr>
        <w:t>We believe that the number of Active Customer Accounts is an important indicator of the growth of our business, the market acceptance of our platform and future revenue trends.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define an “Active Customer Account” at the end of any period as an individual account, as identified by a unique account identifier, for which we have recognized at least $5 of revenue in the last month of the period. We believe that use of our platform by customers at or above the $5 per month threshold is a stronger indicator of potential future engagement than trial usage of our platform or usage at levels below $5 per month. In the years ended December 31, 2021, 2020 and 2019, revenue from Active Customer Accounts represented over 99% of total revenue in each period. A single organization may constitute multiple unique Active Customer Accounts if it has multiple account identifiers, each of which is treated as a separate Active Customer Account.</w:t>
      </w:r>
    </w:p>
    <w:p>
      <w:pPr>
        <w:spacing w:after="0" w:line="128" w:lineRule="exact"/>
        <w:rPr>
          <w:sz w:val="20"/>
          <w:szCs w:val="20"/>
          <w:color w:val="auto"/>
        </w:rPr>
      </w:pPr>
    </w:p>
    <w:p>
      <w:pPr>
        <w:ind w:right="80" w:firstLine="324"/>
        <w:spacing w:after="0" w:line="145" w:lineRule="exact"/>
        <w:rPr>
          <w:sz w:val="20"/>
          <w:szCs w:val="20"/>
          <w:color w:val="auto"/>
        </w:rPr>
      </w:pPr>
      <w:r>
        <w:rPr>
          <w:rFonts w:ascii="Arial" w:cs="Arial" w:eastAsia="Arial" w:hAnsi="Arial"/>
          <w:sz w:val="11"/>
          <w:szCs w:val="11"/>
          <w:b w:val="1"/>
          <w:bCs w:val="1"/>
          <w:i w:val="1"/>
          <w:iCs w:val="1"/>
          <w:color w:val="auto"/>
        </w:rPr>
        <w:t>Dollar</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 xml:space="preserve">Based Net Expansion Rate. </w:t>
      </w:r>
      <w:r>
        <w:rPr>
          <w:rFonts w:ascii="Arial" w:cs="Arial" w:eastAsia="Arial" w:hAnsi="Arial"/>
          <w:sz w:val="11"/>
          <w:szCs w:val="11"/>
          <w:color w:val="auto"/>
        </w:rPr>
        <w:t>Our ability to drive growth and generate incremental revenue depends, in part, on our ability to maintain and grow our relationships with existing Active Customer Accounts and to increase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We believe that measuring Dollar-Based Net Expansion Rate provides a more meaningful indication of the performance of our efforts to increase revenue from existing customers.</w:t>
      </w:r>
    </w:p>
    <w:p>
      <w:pPr>
        <w:spacing w:after="0" w:line="137" w:lineRule="exact"/>
        <w:rPr>
          <w:sz w:val="20"/>
          <w:szCs w:val="20"/>
          <w:color w:val="auto"/>
        </w:rPr>
      </w:pPr>
    </w:p>
    <w:p>
      <w:pPr>
        <w:ind w:firstLine="324"/>
        <w:spacing w:after="0" w:line="280" w:lineRule="auto"/>
        <w:rPr>
          <w:sz w:val="20"/>
          <w:szCs w:val="20"/>
          <w:color w:val="auto"/>
        </w:rPr>
      </w:pPr>
      <w:r>
        <w:rPr>
          <w:rFonts w:ascii="Arial" w:cs="Arial" w:eastAsia="Arial" w:hAnsi="Arial"/>
          <w:sz w:val="11"/>
          <w:szCs w:val="11"/>
          <w:color w:val="auto"/>
        </w:rPr>
        <w:t>For historical periods through December 31, 2019, our Dollar-Based Net Expansion Rate compared the revenue from Active Customer Accounts, other than large Active Customer Accounts that have never entered into 12-month minimum revenue commitment contracts with us, in a quarter to the same quarter in the prior year. For reporting periods starting with the three months ended March 31, 2020, our Dollar-Based Net Expansion Rate compares the revenue from all Active Customer Accounts in a quarter to the same quarter in the prior year. To calculate the Dollar-Based Net Expansion Rate, we first identify the cohort of Active Customer Accounts that were Active Customer Accounts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As a result of the change in calculation of Dollar-Based Net Expansion Rate, unless specifically identified as being calculated based on total revenue, any Dollar-Based Net Expansion Rates disclosed by us in our SEC filings, press releases and presentations prior to the date of our press release for the three months ended March 31, 2020, will not be directly comparable to our Dollar-Based Net Expansion Rates going forward.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1" w:name="page62"/>
    <w:bookmarkEnd w:id="6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Net Loss Carryforwards</w:t>
      </w:r>
    </w:p>
    <w:p>
      <w:pPr>
        <w:spacing w:after="0" w:line="15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2"/>
          <w:szCs w:val="12"/>
          <w:color w:val="auto"/>
        </w:rPr>
        <w:t>At December 31, 2021, we had federal, state and foreign net operating loss carryforwards of approximately $4.2 billion, $2.7 billion and $268.7 million, respectively, and federal and state tax credits of approximately $132.9 million and $84.9 million, respectively. If not utilized, the federal and state loss carryforwards will expire at various dates beginning in 2029 and 2025, respectively, and the federal tax credits will expire at various dates beginning in 2029. The state tax credits can be carried forward indefinitely. At present, we believe that it is more likely than not that the federal and state net operating loss and credit carryforwards will not be realized. Accordingly, a full valuation allowance has been established for these tax attributes, as well as the rest of the federal and state deferred tax assets.</w:t>
      </w:r>
    </w:p>
    <w:p>
      <w:pPr>
        <w:spacing w:after="0" w:line="120" w:lineRule="exact"/>
        <w:rPr>
          <w:sz w:val="20"/>
          <w:szCs w:val="20"/>
          <w:color w:val="auto"/>
        </w:rPr>
      </w:pPr>
    </w:p>
    <w:p>
      <w:pPr>
        <w:jc w:val="center"/>
        <w:ind w:left="320"/>
        <w:spacing w:after="0"/>
        <w:rPr>
          <w:sz w:val="20"/>
          <w:szCs w:val="20"/>
          <w:color w:val="auto"/>
        </w:rPr>
      </w:pPr>
      <w:r>
        <w:rPr>
          <w:rFonts w:ascii="Arial" w:cs="Arial" w:eastAsia="Arial" w:hAnsi="Arial"/>
          <w:sz w:val="12"/>
          <w:szCs w:val="12"/>
          <w:b w:val="1"/>
          <w:bCs w:val="1"/>
          <w:color w:val="auto"/>
        </w:rPr>
        <w:t>Key Components of Statements of Operations</w:t>
      </w:r>
    </w:p>
    <w:p>
      <w:pPr>
        <w:spacing w:after="0" w:line="154" w:lineRule="exact"/>
        <w:rPr>
          <w:sz w:val="20"/>
          <w:szCs w:val="20"/>
          <w:color w:val="auto"/>
        </w:rPr>
      </w:pPr>
    </w:p>
    <w:p>
      <w:pPr>
        <w:ind w:firstLine="324"/>
        <w:spacing w:after="0" w:line="146" w:lineRule="exact"/>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We derive our revenue primarily from usage</w:t>
      </w:r>
      <w:r>
        <w:rPr>
          <w:rFonts w:ascii="MS PGothic" w:cs="MS PGothic" w:eastAsia="MS PGothic" w:hAnsi="MS PGothic"/>
          <w:sz w:val="12"/>
          <w:szCs w:val="12"/>
          <w:color w:val="auto"/>
        </w:rPr>
        <w:t>‑</w:t>
      </w:r>
      <w:r>
        <w:rPr>
          <w:rFonts w:ascii="Arial" w:cs="Arial" w:eastAsia="Arial" w:hAnsi="Arial"/>
          <w:sz w:val="12"/>
          <w:szCs w:val="12"/>
          <w:color w:val="auto"/>
        </w:rPr>
        <w:t>based fees earned from customers using the software products within our Channel APIs. These usage</w:t>
      </w:r>
      <w:r>
        <w:rPr>
          <w:rFonts w:ascii="MS PGothic" w:cs="MS PGothic" w:eastAsia="MS PGothic" w:hAnsi="MS PGothic"/>
          <w:sz w:val="12"/>
          <w:szCs w:val="12"/>
          <w:color w:val="auto"/>
        </w:rPr>
        <w:t>‑</w:t>
      </w:r>
      <w:r>
        <w:rPr>
          <w:rFonts w:ascii="Arial" w:cs="Arial" w:eastAsia="Arial" w:hAnsi="Arial"/>
          <w:sz w:val="12"/>
          <w:szCs w:val="12"/>
          <w:color w:val="auto"/>
        </w:rPr>
        <w:t>based software products include offerings, such as Programmable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Messaging, Programmable Voice and Programmable Video, among others. Some examples of the usage</w:t>
      </w:r>
      <w:r>
        <w:rPr>
          <w:rFonts w:ascii="MS PGothic" w:cs="MS PGothic" w:eastAsia="MS PGothic" w:hAnsi="MS PGothic"/>
          <w:sz w:val="12"/>
          <w:szCs w:val="12"/>
          <w:color w:val="auto"/>
        </w:rPr>
        <w:t>‑</w:t>
      </w:r>
      <w:r>
        <w:rPr>
          <w:rFonts w:ascii="Arial" w:cs="Arial" w:eastAsia="Arial" w:hAnsi="Arial"/>
          <w:sz w:val="12"/>
          <w:szCs w:val="12"/>
          <w:color w:val="auto"/>
        </w:rPr>
        <w:t>based fees that we charge include the number of text messages sent or received using our Programmable Messaging products, minutes of call duration activity for our Programmable Voice products and the number of authentications for our Verify product. In the years ended December 31, 2021, 2020 and 2019, we generated 72%, 76% and 75% of our revenue, respectively, from usage</w:t>
      </w:r>
      <w:r>
        <w:rPr>
          <w:rFonts w:ascii="MS PGothic" w:cs="MS PGothic" w:eastAsia="MS PGothic" w:hAnsi="MS PGothic"/>
          <w:sz w:val="12"/>
          <w:szCs w:val="12"/>
          <w:color w:val="auto"/>
        </w:rPr>
        <w:t>‑</w:t>
      </w:r>
      <w:r>
        <w:rPr>
          <w:rFonts w:ascii="Arial" w:cs="Arial" w:eastAsia="Arial" w:hAnsi="Arial"/>
          <w:sz w:val="12"/>
          <w:szCs w:val="12"/>
          <w:color w:val="auto"/>
        </w:rPr>
        <w:t>based fees. We also earn monthly flat fees from certain fee</w:t>
      </w:r>
      <w:r>
        <w:rPr>
          <w:rFonts w:ascii="MS PGothic" w:cs="MS PGothic" w:eastAsia="MS PGothic" w:hAnsi="MS PGothic"/>
          <w:sz w:val="12"/>
          <w:szCs w:val="12"/>
          <w:color w:val="auto"/>
        </w:rPr>
        <w:t>‑</w:t>
      </w:r>
      <w:r>
        <w:rPr>
          <w:rFonts w:ascii="Arial" w:cs="Arial" w:eastAsia="Arial" w:hAnsi="Arial"/>
          <w:sz w:val="12"/>
          <w:szCs w:val="12"/>
          <w:color w:val="auto"/>
        </w:rPr>
        <w:t>based products, such as our Email API, Marketing Campaigns, Twilio Flex, our cloud contact center platform, and Twilio Segment, our customer data platform.</w:t>
      </w:r>
    </w:p>
    <w:p>
      <w:pPr>
        <w:spacing w:after="0" w:line="137" w:lineRule="exact"/>
        <w:rPr>
          <w:sz w:val="20"/>
          <w:szCs w:val="20"/>
          <w:color w:val="auto"/>
        </w:rPr>
      </w:pPr>
    </w:p>
    <w:p>
      <w:pPr>
        <w:ind w:right="220" w:firstLine="324"/>
        <w:spacing w:after="0" w:line="323" w:lineRule="auto"/>
        <w:rPr>
          <w:sz w:val="20"/>
          <w:szCs w:val="20"/>
          <w:color w:val="auto"/>
        </w:rPr>
      </w:pPr>
      <w:r>
        <w:rPr>
          <w:rFonts w:ascii="Arial" w:cs="Arial" w:eastAsia="Arial" w:hAnsi="Arial"/>
          <w:sz w:val="11"/>
          <w:szCs w:val="11"/>
          <w:color w:val="auto"/>
        </w:rPr>
        <w:t>When customers first begin using our platform, they typically pay upfront via credit card in monthly prepaid amounts and draw down their balances as they purchase or use our products. Our larger customers often enter into contracts for at least 12 months, that contain minimum revenue commitments, which may contain more favorable pricing. Customers on such contracts typically are invoiced monthly in arrears for products used.</w:t>
      </w:r>
    </w:p>
    <w:p>
      <w:pPr>
        <w:spacing w:after="0" w:line="92"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2"/>
          <w:szCs w:val="12"/>
          <w:color w:val="auto"/>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spacing w:after="0" w:line="122" w:lineRule="exact"/>
        <w:rPr>
          <w:sz w:val="20"/>
          <w:szCs w:val="20"/>
          <w:color w:val="auto"/>
        </w:rPr>
      </w:pPr>
    </w:p>
    <w:p>
      <w:pPr>
        <w:ind w:right="280" w:firstLine="324"/>
        <w:spacing w:after="0" w:line="276" w:lineRule="auto"/>
        <w:rPr>
          <w:sz w:val="20"/>
          <w:szCs w:val="20"/>
          <w:color w:val="auto"/>
        </w:rPr>
      </w:pPr>
      <w:r>
        <w:rPr>
          <w:rFonts w:ascii="Arial" w:cs="Arial" w:eastAsia="Arial" w:hAnsi="Arial"/>
          <w:sz w:val="12"/>
          <w:szCs w:val="12"/>
          <w:color w:val="auto"/>
        </w:rPr>
        <w:t>We define U.S. revenue as revenue from customers with IP addresses or mailing addresses at the time of registration in the United States, and we define international revenue as revenue from customers with IP addresses or mailing addresses at the time of registration outside of the United States.</w:t>
      </w:r>
    </w:p>
    <w:p>
      <w:pPr>
        <w:spacing w:after="0" w:line="115" w:lineRule="exact"/>
        <w:rPr>
          <w:sz w:val="20"/>
          <w:szCs w:val="20"/>
          <w:color w:val="auto"/>
        </w:rPr>
      </w:pPr>
    </w:p>
    <w:p>
      <w:pPr>
        <w:ind w:right="20" w:firstLine="324"/>
        <w:spacing w:after="0" w:line="146" w:lineRule="exact"/>
        <w:rPr>
          <w:sz w:val="20"/>
          <w:szCs w:val="20"/>
          <w:color w:val="auto"/>
        </w:rPr>
      </w:pPr>
      <w:r>
        <w:rPr>
          <w:rFonts w:ascii="Arial" w:cs="Arial" w:eastAsia="Arial" w:hAnsi="Arial"/>
          <w:sz w:val="11"/>
          <w:szCs w:val="11"/>
          <w:b w:val="1"/>
          <w:bCs w:val="1"/>
          <w:i w:val="1"/>
          <w:iCs w:val="1"/>
          <w:color w:val="auto"/>
        </w:rPr>
        <w:t xml:space="preserve">Cost of Revenue and Gross Margin. </w:t>
      </w:r>
      <w:r>
        <w:rPr>
          <w:rFonts w:ascii="Arial" w:cs="Arial" w:eastAsia="Arial" w:hAnsi="Arial"/>
          <w:sz w:val="11"/>
          <w:szCs w:val="11"/>
          <w:color w:val="auto"/>
        </w:rPr>
        <w:t>Cost of revenue consists primarily of fees paid to network service providers. Cost of revenue also includes cloud infrastructure fees, direct costs of personnel, such as salaries and stock</w:t>
      </w:r>
      <w:r>
        <w:rPr>
          <w:rFonts w:ascii="MS PGothic" w:cs="MS PGothic" w:eastAsia="MS PGothic" w:hAnsi="MS PGothic"/>
          <w:sz w:val="11"/>
          <w:szCs w:val="11"/>
          <w:color w:val="auto"/>
        </w:rPr>
        <w:t>‑</w:t>
      </w:r>
      <w:r>
        <w:rPr>
          <w:rFonts w:ascii="Arial" w:cs="Arial" w:eastAsia="Arial" w:hAnsi="Arial"/>
          <w:sz w:val="11"/>
          <w:szCs w:val="11"/>
          <w:color w:val="auto"/>
        </w:rPr>
        <w:t>based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compensation for our customer support employees, and non</w:t>
      </w:r>
      <w:r>
        <w:rPr>
          <w:rFonts w:ascii="MS PGothic" w:cs="MS PGothic" w:eastAsia="MS PGothic" w:hAnsi="MS PGothic"/>
          <w:sz w:val="11"/>
          <w:szCs w:val="11"/>
          <w:color w:val="auto"/>
        </w:rPr>
        <w:t>‑</w:t>
      </w:r>
      <w:r>
        <w:rPr>
          <w:rFonts w:ascii="Arial" w:cs="Arial" w:eastAsia="Arial" w:hAnsi="Arial"/>
          <w:sz w:val="11"/>
          <w:szCs w:val="11"/>
          <w:color w:val="auto"/>
        </w:rPr>
        <w:t>personnel costs, such as depreciation and amortization expense related to data centers and hosting equipment, amortization of capitalized internal use software development costs and acquired intangibles. Our arrangements with network service providers require us to pay fees based on the volume of phone calls initiated or text messages sent, as well as the number of telephone numbers acquired by us to service our customers. Our arrangements with our cloud infrastructure provider require us to pay fees based on our server capacity consumption.</w:t>
      </w:r>
    </w:p>
    <w:p>
      <w:pPr>
        <w:spacing w:after="0" w:line="136" w:lineRule="exact"/>
        <w:rPr>
          <w:sz w:val="20"/>
          <w:szCs w:val="20"/>
          <w:color w:val="auto"/>
        </w:rPr>
      </w:pPr>
    </w:p>
    <w:p>
      <w:pPr>
        <w:ind w:right="140" w:firstLine="324"/>
        <w:spacing w:after="0" w:line="147" w:lineRule="exact"/>
        <w:rPr>
          <w:sz w:val="20"/>
          <w:szCs w:val="20"/>
          <w:color w:val="auto"/>
        </w:rPr>
      </w:pPr>
      <w:r>
        <w:rPr>
          <w:rFonts w:ascii="Arial" w:cs="Arial" w:eastAsia="Arial" w:hAnsi="Arial"/>
          <w:sz w:val="11"/>
          <w:szCs w:val="11"/>
          <w:color w:val="auto"/>
        </w:rPr>
        <w:t>Our gross margin has been and will continue to be affected by a number of factors, including the timing and extent of our investments in our operations; our product mix; our ability to manage our network service provider and cloud infrastructure</w:t>
      </w:r>
      <w:r>
        <w:rPr>
          <w:rFonts w:ascii="MS PGothic" w:cs="MS PGothic" w:eastAsia="MS PGothic" w:hAnsi="MS PGothic"/>
          <w:sz w:val="11"/>
          <w:szCs w:val="11"/>
          <w:color w:val="auto"/>
        </w:rPr>
        <w:t>‑</w:t>
      </w:r>
      <w:r>
        <w:rPr>
          <w:rFonts w:ascii="Arial" w:cs="Arial" w:eastAsia="Arial" w:hAnsi="Arial"/>
          <w:sz w:val="11"/>
          <w:szCs w:val="11"/>
          <w:color w:val="auto"/>
        </w:rPr>
        <w:t>related fees, including A2P SMS fees; the mix of U.S. revenue compared to international revenue; changes in foreign exchange rates; the timing of amortization of capitalized software development costs and acquired intangibles; and the extent to which we periodically choose to pass on our cost savings from platform optimization efforts to our customers in the form of lower usage prices.</w:t>
      </w:r>
    </w:p>
    <w:p>
      <w:pPr>
        <w:spacing w:after="0" w:line="136" w:lineRule="exact"/>
        <w:rPr>
          <w:sz w:val="20"/>
          <w:szCs w:val="20"/>
          <w:color w:val="auto"/>
        </w:rPr>
      </w:pPr>
    </w:p>
    <w:p>
      <w:pPr>
        <w:ind w:right="540" w:firstLine="324"/>
        <w:spacing w:after="0" w:line="149" w:lineRule="exact"/>
        <w:rPr>
          <w:sz w:val="20"/>
          <w:szCs w:val="20"/>
          <w:color w:val="auto"/>
        </w:rPr>
      </w:pPr>
      <w:r>
        <w:rPr>
          <w:rFonts w:ascii="Arial" w:cs="Arial" w:eastAsia="Arial" w:hAnsi="Arial"/>
          <w:sz w:val="10"/>
          <w:szCs w:val="10"/>
          <w:b w:val="1"/>
          <w:bCs w:val="1"/>
          <w:i w:val="1"/>
          <w:iCs w:val="1"/>
          <w:color w:val="auto"/>
        </w:rPr>
        <w:t xml:space="preserve">Operating Expenses. </w:t>
      </w:r>
      <w:r>
        <w:rPr>
          <w:rFonts w:ascii="Arial" w:cs="Arial" w:eastAsia="Arial" w:hAnsi="Arial"/>
          <w:sz w:val="10"/>
          <w:szCs w:val="10"/>
          <w:color w:val="auto"/>
        </w:rPr>
        <w:t>The most significant components of operating expenses are personnel costs, which consist of salaries, benefits, sales commissions and bonuses and stock</w:t>
      </w:r>
      <w:r>
        <w:rPr>
          <w:rFonts w:ascii="MS PGothic" w:cs="MS PGothic" w:eastAsia="MS PGothic" w:hAnsi="MS PGothic"/>
          <w:sz w:val="10"/>
          <w:szCs w:val="10"/>
          <w:color w:val="auto"/>
        </w:rPr>
        <w:t>‑</w:t>
      </w:r>
      <w:r>
        <w:rPr>
          <w:rFonts w:ascii="Arial" w:cs="Arial" w:eastAsia="Arial" w:hAnsi="Arial"/>
          <w:sz w:val="10"/>
          <w:szCs w:val="10"/>
          <w:color w:val="auto"/>
        </w:rPr>
        <w:t>based compensation. We also incur other</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non</w:t>
      </w:r>
      <w:r>
        <w:rPr>
          <w:rFonts w:ascii="MS PGothic" w:cs="MS PGothic" w:eastAsia="MS PGothic" w:hAnsi="MS PGothic"/>
          <w:sz w:val="10"/>
          <w:szCs w:val="10"/>
          <w:color w:val="auto"/>
        </w:rPr>
        <w:t>‑</w:t>
      </w:r>
      <w:r>
        <w:rPr>
          <w:rFonts w:ascii="Arial" w:cs="Arial" w:eastAsia="Arial" w:hAnsi="Arial"/>
          <w:sz w:val="10"/>
          <w:szCs w:val="10"/>
          <w:color w:val="auto"/>
        </w:rPr>
        <w:t>personnel costs related to our general overhead expenses. We expect that our operating costs will increase in absolute dollars as we add additional employees and invest in our infrastructure to grow our business.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62" w:name="page63"/>
    <w:bookmarkEnd w:id="6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120" w:firstLine="324"/>
        <w:spacing w:after="0" w:line="323" w:lineRule="auto"/>
        <w:rPr>
          <w:sz w:val="20"/>
          <w:szCs w:val="20"/>
          <w:color w:val="auto"/>
        </w:rPr>
      </w:pPr>
      <w:r>
        <w:rPr>
          <w:rFonts w:ascii="Arial" w:cs="Arial" w:eastAsia="Arial" w:hAnsi="Arial"/>
          <w:sz w:val="11"/>
          <w:szCs w:val="11"/>
          <w:i w:val="1"/>
          <w:iCs w:val="1"/>
          <w:color w:val="auto"/>
        </w:rPr>
        <w:t xml:space="preserve">Research and Development. </w:t>
      </w:r>
      <w:r>
        <w:rPr>
          <w:rFonts w:ascii="Arial" w:cs="Arial" w:eastAsia="Arial" w:hAnsi="Arial"/>
          <w:sz w:val="11"/>
          <w:szCs w:val="11"/>
          <w:color w:val="auto"/>
        </w:rPr>
        <w:t>Research and development expenses consist primarily of personnel costs, outsourced engineering services, cloud infrastructure fees for staging and development, amortization of capitalized internal</w:t>
      </w:r>
      <w:r>
        <w:rPr>
          <w:rFonts w:ascii="Arial" w:cs="Arial" w:eastAsia="Arial" w:hAnsi="Arial"/>
          <w:sz w:val="11"/>
          <w:szCs w:val="11"/>
          <w:i w:val="1"/>
          <w:iCs w:val="1"/>
          <w:color w:val="auto"/>
        </w:rPr>
        <w:t xml:space="preserve"> </w:t>
      </w:r>
      <w:r>
        <w:rPr>
          <w:rFonts w:ascii="Arial" w:cs="Arial" w:eastAsia="Arial" w:hAnsi="Arial"/>
          <w:sz w:val="11"/>
          <w:szCs w:val="11"/>
          <w:color w:val="auto"/>
        </w:rPr>
        <w:t>use software development costs, depreciation and an allocation of our general overhead expenses. We capitalize the portion of our software development costs that meets the criteria for capitalization.</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continue to focus our research and development efforts on adding new features and products, including new use cases, improving our platform and increasing the functionality of our existing products.</w:t>
      </w:r>
    </w:p>
    <w:p>
      <w:pPr>
        <w:spacing w:after="0" w:line="15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i w:val="1"/>
          <w:iCs w:val="1"/>
          <w:color w:val="auto"/>
        </w:rPr>
        <w:t xml:space="preserve">Sales and Marketing. </w:t>
      </w:r>
      <w:r>
        <w:rPr>
          <w:rFonts w:ascii="Arial" w:cs="Arial" w:eastAsia="Arial" w:hAnsi="Arial"/>
          <w:sz w:val="12"/>
          <w:szCs w:val="12"/>
          <w:color w:val="auto"/>
        </w:rPr>
        <w:t>Sales and marketing expenses consist primarily of personnel costs, including commissions for our sales employees. Sales and marketing expenses also include expenditures related to advertising, marketing,</w:t>
      </w:r>
      <w:r>
        <w:rPr>
          <w:rFonts w:ascii="Arial" w:cs="Arial" w:eastAsia="Arial" w:hAnsi="Arial"/>
          <w:sz w:val="12"/>
          <w:szCs w:val="12"/>
          <w:i w:val="1"/>
          <w:iCs w:val="1"/>
          <w:color w:val="auto"/>
        </w:rPr>
        <w:t xml:space="preserve"> </w:t>
      </w:r>
      <w:r>
        <w:rPr>
          <w:rFonts w:ascii="Arial" w:cs="Arial" w:eastAsia="Arial" w:hAnsi="Arial"/>
          <w:sz w:val="12"/>
          <w:szCs w:val="12"/>
          <w:color w:val="auto"/>
        </w:rPr>
        <w:t>our brand awareness activities and developer evangelism, costs related to our SIGNAL customer and developer conferences, credit card processing fees, professional services fees, depreciation, amortization of acquired intangibles and an allocation of our general overhead expenses.</w:t>
      </w:r>
    </w:p>
    <w:p>
      <w:pPr>
        <w:spacing w:after="0" w:line="122" w:lineRule="exact"/>
        <w:rPr>
          <w:sz w:val="20"/>
          <w:szCs w:val="20"/>
          <w:color w:val="auto"/>
        </w:rPr>
      </w:pPr>
    </w:p>
    <w:p>
      <w:pPr>
        <w:jc w:val="both"/>
        <w:ind w:firstLine="324"/>
        <w:spacing w:after="0" w:line="147" w:lineRule="exact"/>
        <w:rPr>
          <w:sz w:val="20"/>
          <w:szCs w:val="20"/>
          <w:color w:val="auto"/>
        </w:rPr>
      </w:pPr>
      <w:r>
        <w:rPr>
          <w:rFonts w:ascii="Arial" w:cs="Arial" w:eastAsia="Arial" w:hAnsi="Arial"/>
          <w:sz w:val="12"/>
          <w:szCs w:val="12"/>
          <w:color w:val="auto"/>
        </w:rPr>
        <w:t>We focus our sales and marketing efforts on generating awareness of our company, platform and products, creating sales leads and establishing and promoting our brand, both domestically and internationally. We plan to continue investing in sales and marketing by increasing our sales and marketing headcount, supplementing our self</w:t>
      </w:r>
      <w:r>
        <w:rPr>
          <w:rFonts w:ascii="MS PGothic" w:cs="MS PGothic" w:eastAsia="MS PGothic" w:hAnsi="MS PGothic"/>
          <w:sz w:val="12"/>
          <w:szCs w:val="12"/>
          <w:color w:val="auto"/>
        </w:rPr>
        <w:t>‑</w:t>
      </w:r>
      <w:r>
        <w:rPr>
          <w:rFonts w:ascii="Arial" w:cs="Arial" w:eastAsia="Arial" w:hAnsi="Arial"/>
          <w:sz w:val="12"/>
          <w:szCs w:val="12"/>
          <w:color w:val="auto"/>
        </w:rPr>
        <w:t>service model with an enterprise sales approach, expanding our sales channels, driving our go</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market strategies, building our brand awareness and sponsoring additional marketing events.</w:t>
      </w:r>
    </w:p>
    <w:p>
      <w:pPr>
        <w:spacing w:after="0" w:line="136" w:lineRule="exact"/>
        <w:rPr>
          <w:sz w:val="20"/>
          <w:szCs w:val="20"/>
          <w:color w:val="auto"/>
        </w:rPr>
      </w:pPr>
    </w:p>
    <w:p>
      <w:pPr>
        <w:ind w:right="20" w:firstLine="324"/>
        <w:spacing w:after="0" w:line="259" w:lineRule="auto"/>
        <w:rPr>
          <w:sz w:val="20"/>
          <w:szCs w:val="20"/>
          <w:color w:val="auto"/>
        </w:rPr>
      </w:pPr>
      <w:r>
        <w:rPr>
          <w:rFonts w:ascii="Arial" w:cs="Arial" w:eastAsia="Arial" w:hAnsi="Arial"/>
          <w:sz w:val="12"/>
          <w:szCs w:val="12"/>
          <w:i w:val="1"/>
          <w:iCs w:val="1"/>
          <w:color w:val="auto"/>
        </w:rPr>
        <w:t xml:space="preserve">General and Administrative. </w:t>
      </w:r>
      <w:r>
        <w:rPr>
          <w:rFonts w:ascii="Arial" w:cs="Arial" w:eastAsia="Arial" w:hAnsi="Arial"/>
          <w:sz w:val="12"/>
          <w:szCs w:val="12"/>
          <w:color w:val="auto"/>
        </w:rPr>
        <w:t>General and administrative expenses consist primarily of personnel costs for our accounting, finance, legal, human resources and administrative support personnel. General and administrative</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also include costs related to business acquisitions, legal and other professional services fees, certain taxes, depreciation and amortization, charitable contributions and an allocation of our general overhead expenses. We expect that we will incur costs associated with supporting the growth of our business and to meet the increased compliance requirements associated with our international expansion. We may also incur higher than usual losses related to deterioration of quality of certain financial assets caused by the macroeconomic conditions and uncertainly in the COVID-19 environment.</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0"/>
          <w:szCs w:val="10"/>
          <w:color w:val="auto"/>
        </w:rPr>
        <w:t>Our general and administrative expenses include a certain amount of prior non-income-based taxes in certain domestic and international jurisdictions that we are subject to based on the manner we sell and deliver our products.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Additional details are provided in Note 13(d) to our consolidated financial statements included elsewhere in this Annual Report on Form 10-K.</w:t>
      </w:r>
    </w:p>
    <w:p>
      <w:pPr>
        <w:spacing w:after="0" w:line="141"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b w:val="1"/>
          <w:bCs w:val="1"/>
          <w:i w:val="1"/>
          <w:iCs w:val="1"/>
          <w:color w:val="auto"/>
        </w:rPr>
        <w:t xml:space="preserve">Provision for Income Taxes. </w:t>
      </w:r>
      <w:r>
        <w:rPr>
          <w:rFonts w:ascii="Arial" w:cs="Arial" w:eastAsia="Arial" w:hAnsi="Arial"/>
          <w:sz w:val="12"/>
          <w:szCs w:val="12"/>
          <w:color w:val="auto"/>
        </w:rPr>
        <w:t>Our income tax provision or benefit consists primarily of income taxes, withholding taxes in foreign jurisdictions in which the Company conducts business and the tax benefit related to the release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valuation allowance from acquisitions. The primary difference between our effective tax rate and the federal statutory rate relates to the full valuation allowance the Company established on the federal, state and certain foreign net operating losses and credits.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Non-GAAP Financial Measures:</w:t>
      </w:r>
    </w:p>
    <w:p>
      <w:pPr>
        <w:spacing w:after="0" w:line="154" w:lineRule="exact"/>
        <w:rPr>
          <w:sz w:val="20"/>
          <w:szCs w:val="20"/>
          <w:color w:val="auto"/>
        </w:rPr>
      </w:pPr>
    </w:p>
    <w:p>
      <w:pPr>
        <w:ind w:right="280" w:firstLine="324"/>
        <w:spacing w:after="0" w:line="146" w:lineRule="exact"/>
        <w:rPr>
          <w:sz w:val="20"/>
          <w:szCs w:val="20"/>
          <w:color w:val="auto"/>
        </w:rPr>
      </w:pPr>
      <w:r>
        <w:rPr>
          <w:rFonts w:ascii="Arial" w:cs="Arial" w:eastAsia="Arial" w:hAnsi="Arial"/>
          <w:sz w:val="11"/>
          <w:szCs w:val="11"/>
          <w:color w:val="auto"/>
        </w:rPr>
        <w:t>We use the following non</w:t>
      </w:r>
      <w:r>
        <w:rPr>
          <w:rFonts w:ascii="MS PGothic" w:cs="MS PGothic" w:eastAsia="MS PGothic" w:hAnsi="MS PGothic"/>
          <w:sz w:val="11"/>
          <w:szCs w:val="11"/>
          <w:color w:val="auto"/>
        </w:rPr>
        <w:t>‑</w:t>
      </w:r>
      <w:r>
        <w:rPr>
          <w:rFonts w:ascii="Arial" w:cs="Arial" w:eastAsia="Arial" w:hAnsi="Arial"/>
          <w:sz w:val="11"/>
          <w:szCs w:val="11"/>
          <w:color w:val="auto"/>
        </w:rPr>
        <w:t>GAAP financial information, collectively, to evaluate our ongoing operations and for internal planning and forecasting purposes. We believe that non</w:t>
      </w:r>
      <w:r>
        <w:rPr>
          <w:rFonts w:ascii="MS PGothic" w:cs="MS PGothic" w:eastAsia="MS PGothic" w:hAnsi="MS PGothic"/>
          <w:sz w:val="11"/>
          <w:szCs w:val="11"/>
          <w:color w:val="auto"/>
        </w:rPr>
        <w:t>‑</w:t>
      </w:r>
      <w:r>
        <w:rPr>
          <w:rFonts w:ascii="Arial" w:cs="Arial" w:eastAsia="Arial" w:hAnsi="Arial"/>
          <w:sz w:val="11"/>
          <w:szCs w:val="11"/>
          <w:color w:val="auto"/>
        </w:rPr>
        <w:t>GAAP financial information, when taken collectively, may be helpful to investors because it provides consistency and comparability with past financial performance, facilitates period</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period comparisons of results of operations and assists in comparisons with other companies, many of which use similar non</w:t>
      </w:r>
      <w:r>
        <w:rPr>
          <w:rFonts w:ascii="MS PGothic" w:cs="MS PGothic" w:eastAsia="MS PGothic" w:hAnsi="MS PGothic"/>
          <w:sz w:val="11"/>
          <w:szCs w:val="11"/>
          <w:color w:val="auto"/>
        </w:rPr>
        <w:t>‑</w:t>
      </w:r>
      <w:r>
        <w:rPr>
          <w:rFonts w:ascii="Arial" w:cs="Arial" w:eastAsia="Arial" w:hAnsi="Arial"/>
          <w:sz w:val="11"/>
          <w:szCs w:val="11"/>
          <w:color w:val="auto"/>
        </w:rPr>
        <w:t>GAAP financial information to supplement their GAAP results. Non</w:t>
      </w:r>
      <w:r>
        <w:rPr>
          <w:rFonts w:ascii="MS PGothic" w:cs="MS PGothic" w:eastAsia="MS PGothic" w:hAnsi="MS PGothic"/>
          <w:sz w:val="11"/>
          <w:szCs w:val="11"/>
          <w:color w:val="auto"/>
        </w:rPr>
        <w:t>‑</w:t>
      </w:r>
      <w:r>
        <w:rPr>
          <w:rFonts w:ascii="Arial" w:cs="Arial" w:eastAsia="Arial" w:hAnsi="Arial"/>
          <w:sz w:val="11"/>
          <w:szCs w:val="11"/>
          <w:color w:val="auto"/>
        </w:rPr>
        <w:t>GAAP financial information is presented for supplemental informational purposes only, should not be considered a substitute for financial information presented in accordance with generally accepted accounting principles, and may be different from similarly</w:t>
      </w:r>
      <w:r>
        <w:rPr>
          <w:rFonts w:ascii="MS PGothic" w:cs="MS PGothic" w:eastAsia="MS PGothic" w:hAnsi="MS PGothic"/>
          <w:sz w:val="11"/>
          <w:szCs w:val="11"/>
          <w:color w:val="auto"/>
        </w:rPr>
        <w:t>‑</w:t>
      </w:r>
      <w:r>
        <w:rPr>
          <w:rFonts w:ascii="Arial" w:cs="Arial" w:eastAsia="Arial" w:hAnsi="Arial"/>
          <w:sz w:val="11"/>
          <w:szCs w:val="11"/>
          <w:color w:val="auto"/>
        </w:rPr>
        <w:t>titled non</w:t>
      </w:r>
      <w:r>
        <w:rPr>
          <w:rFonts w:ascii="MS PGothic" w:cs="MS PGothic" w:eastAsia="MS PGothic" w:hAnsi="MS PGothic"/>
          <w:sz w:val="11"/>
          <w:szCs w:val="11"/>
          <w:color w:val="auto"/>
        </w:rPr>
        <w:t>‑</w:t>
      </w:r>
      <w:r>
        <w:rPr>
          <w:rFonts w:ascii="Arial" w:cs="Arial" w:eastAsia="Arial" w:hAnsi="Arial"/>
          <w:sz w:val="11"/>
          <w:szCs w:val="11"/>
          <w:color w:val="auto"/>
        </w:rPr>
        <w:t>GAAP measures used by other companies. Whenever we use a non</w:t>
      </w:r>
      <w:r>
        <w:rPr>
          <w:rFonts w:ascii="MS PGothic" w:cs="MS PGothic" w:eastAsia="MS PGothic" w:hAnsi="MS PGothic"/>
          <w:sz w:val="11"/>
          <w:szCs w:val="11"/>
          <w:color w:val="auto"/>
        </w:rPr>
        <w:t>‑</w:t>
      </w:r>
      <w:r>
        <w:rPr>
          <w:rFonts w:ascii="Arial" w:cs="Arial" w:eastAsia="Arial" w:hAnsi="Arial"/>
          <w:sz w:val="11"/>
          <w:szCs w:val="11"/>
          <w:color w:val="auto"/>
        </w:rPr>
        <w:t>GAAP financial measure, a reconciliation is provided to the most closely applicable financial measure stated in accordance with generally accepted accounting principles. Investors are encouraged to review the related GAAP financial measures and the reconciliation of these non</w:t>
      </w:r>
      <w:r>
        <w:rPr>
          <w:rFonts w:ascii="MS PGothic" w:cs="MS PGothic" w:eastAsia="MS PGothic" w:hAnsi="MS PGothic"/>
          <w:sz w:val="11"/>
          <w:szCs w:val="11"/>
          <w:color w:val="auto"/>
        </w:rPr>
        <w:t>‑</w:t>
      </w:r>
      <w:r>
        <w:rPr>
          <w:rFonts w:ascii="Arial" w:cs="Arial" w:eastAsia="Arial" w:hAnsi="Arial"/>
          <w:sz w:val="11"/>
          <w:szCs w:val="11"/>
          <w:color w:val="auto"/>
        </w:rPr>
        <w:t>GAAP financial measures to their most directly comparable GAAP financial measures.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63" w:name="page64"/>
    <w:bookmarkEnd w:id="6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right="140" w:firstLine="324"/>
        <w:spacing w:after="0" w:line="151" w:lineRule="exact"/>
        <w:rPr>
          <w:sz w:val="20"/>
          <w:szCs w:val="20"/>
          <w:color w:val="auto"/>
        </w:rPr>
      </w:pPr>
      <w:r>
        <w:rPr>
          <w:rFonts w:ascii="Arial" w:cs="Arial" w:eastAsia="Arial" w:hAnsi="Arial"/>
          <w:sz w:val="12"/>
          <w:szCs w:val="12"/>
          <w:b w:val="1"/>
          <w:bCs w:val="1"/>
          <w:color w:val="auto"/>
        </w:rPr>
        <w:t>Non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GAAP Gross Profit and Non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 xml:space="preserve">GAAP Gross Margin. </w:t>
      </w:r>
      <w:r>
        <w:rPr>
          <w:rFonts w:ascii="Arial" w:cs="Arial" w:eastAsia="Arial" w:hAnsi="Arial"/>
          <w:sz w:val="12"/>
          <w:szCs w:val="12"/>
          <w:color w:val="auto"/>
        </w:rPr>
        <w:t>For the periods presented, we define non</w:t>
      </w:r>
      <w:r>
        <w:rPr>
          <w:rFonts w:ascii="MS PGothic" w:cs="MS PGothic" w:eastAsia="MS PGothic" w:hAnsi="MS PGothic"/>
          <w:sz w:val="12"/>
          <w:szCs w:val="12"/>
          <w:color w:val="auto"/>
        </w:rPr>
        <w:t>‑</w:t>
      </w:r>
      <w:r>
        <w:rPr>
          <w:rFonts w:ascii="Arial" w:cs="Arial" w:eastAsia="Arial" w:hAnsi="Arial"/>
          <w:sz w:val="12"/>
          <w:szCs w:val="12"/>
          <w:color w:val="auto"/>
        </w:rPr>
        <w:t>GAAP gross profit and non</w:t>
      </w:r>
      <w:r>
        <w:rPr>
          <w:rFonts w:ascii="MS PGothic" w:cs="MS PGothic" w:eastAsia="MS PGothic" w:hAnsi="MS PGothic"/>
          <w:sz w:val="12"/>
          <w:szCs w:val="12"/>
          <w:color w:val="auto"/>
        </w:rPr>
        <w:t>‑</w:t>
      </w:r>
      <w:r>
        <w:rPr>
          <w:rFonts w:ascii="Arial" w:cs="Arial" w:eastAsia="Arial" w:hAnsi="Arial"/>
          <w:sz w:val="12"/>
          <w:szCs w:val="12"/>
          <w:color w:val="auto"/>
        </w:rPr>
        <w:t>GAAP gross margin as GAAP gross profit and GAAP gross margin, respectively, adjusted to</w:t>
      </w:r>
      <w:r>
        <w:rPr>
          <w:rFonts w:ascii="Arial" w:cs="Arial" w:eastAsia="Arial" w:hAnsi="Arial"/>
          <w:sz w:val="12"/>
          <w:szCs w:val="12"/>
          <w:b w:val="1"/>
          <w:bCs w:val="1"/>
          <w:color w:val="auto"/>
        </w:rPr>
        <w:t xml:space="preserve"> </w:t>
      </w:r>
      <w:r>
        <w:rPr>
          <w:rFonts w:ascii="Arial" w:cs="Arial" w:eastAsia="Arial" w:hAnsi="Arial"/>
          <w:sz w:val="12"/>
          <w:szCs w:val="12"/>
          <w:color w:val="auto"/>
        </w:rPr>
        <w:t>exclude, as applicable, certain expenses as presented in the table below:</w:t>
      </w:r>
    </w:p>
    <w:p>
      <w:pPr>
        <w:spacing w:after="0" w:line="220" w:lineRule="exact"/>
        <w:rPr>
          <w:sz w:val="20"/>
          <w:szCs w:val="20"/>
          <w:color w:val="auto"/>
        </w:rPr>
      </w:pPr>
    </w:p>
    <w:tbl>
      <w:tblPr>
        <w:tblLayout w:type="fixed"/>
        <w:tblInd w:w="1620" w:type="dxa"/>
        <w:tblCellMar>
          <w:top w:w="0" w:type="dxa"/>
          <w:left w:w="0" w:type="dxa"/>
          <w:bottom w:w="0" w:type="dxa"/>
          <w:right w:w="0" w:type="dxa"/>
        </w:tblCellMar>
      </w:tblPr>
      <w:tr>
        <w:trPr>
          <w:trHeight w:val="127"/>
        </w:trPr>
        <w:tc>
          <w:tcPr>
            <w:tcW w:w="25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91"/>
              </w:rPr>
              <w:t>Year Ended December 31,</w:t>
            </w: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5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67"/>
              <w:spacing w:after="0"/>
              <w:rPr>
                <w:sz w:val="20"/>
                <w:szCs w:val="20"/>
                <w:color w:val="auto"/>
              </w:rPr>
            </w:pPr>
            <w:r>
              <w:rPr>
                <w:rFonts w:ascii="Arial" w:cs="Arial" w:eastAsia="Arial" w:hAnsi="Arial"/>
                <w:sz w:val="10"/>
                <w:szCs w:val="10"/>
                <w:b w:val="1"/>
                <w:bCs w:val="1"/>
                <w:color w:val="auto"/>
              </w:rPr>
              <w:t>2021</w:t>
            </w: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2019</w:t>
            </w: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560" w:type="dxa"/>
            <w:vAlign w:val="bottom"/>
          </w:tcPr>
          <w:p>
            <w:pPr>
              <w:ind w:left="320"/>
              <w:spacing w:after="0" w:line="123" w:lineRule="exact"/>
              <w:rPr>
                <w:sz w:val="20"/>
                <w:szCs w:val="20"/>
                <w:color w:val="auto"/>
              </w:rPr>
            </w:pPr>
            <w:r>
              <w:rPr>
                <w:rFonts w:ascii="Arial" w:cs="Arial" w:eastAsia="Arial" w:hAnsi="Arial"/>
                <w:sz w:val="11"/>
                <w:szCs w:val="11"/>
                <w:b w:val="1"/>
                <w:bCs w:val="1"/>
                <w:color w:val="auto"/>
              </w:rPr>
              <w:t>Reconciliation:</w:t>
            </w: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jc w:val="right"/>
              <w:ind w:right="268"/>
              <w:spacing w:after="0"/>
              <w:rPr>
                <w:sz w:val="20"/>
                <w:szCs w:val="20"/>
                <w:color w:val="auto"/>
              </w:rPr>
            </w:pPr>
            <w:r>
              <w:rPr>
                <w:rFonts w:ascii="Arial" w:cs="Arial" w:eastAsia="Arial" w:hAnsi="Arial"/>
                <w:sz w:val="10"/>
                <w:szCs w:val="10"/>
                <w:color w:val="auto"/>
              </w:rPr>
              <w:t>(In thousands)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Gross profit</w:t>
            </w:r>
          </w:p>
        </w:tc>
        <w:tc>
          <w:tcPr>
            <w:tcW w:w="7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1,390,713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auto"/>
              </w:rPr>
              <w:t>915,661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608,917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320"/>
              <w:spacing w:after="0"/>
              <w:rPr>
                <w:sz w:val="20"/>
                <w:szCs w:val="20"/>
                <w:color w:val="auto"/>
              </w:rPr>
            </w:pPr>
            <w:r>
              <w:rPr>
                <w:rFonts w:ascii="Arial" w:cs="Arial" w:eastAsia="Arial" w:hAnsi="Arial"/>
                <w:sz w:val="11"/>
                <w:szCs w:val="11"/>
                <w:color w:val="auto"/>
              </w:rPr>
              <w:t>Gross margin</w:t>
            </w:r>
          </w:p>
        </w:tc>
        <w:tc>
          <w:tcPr>
            <w:tcW w:w="700" w:type="dxa"/>
            <w:vAlign w:val="bottom"/>
          </w:tcPr>
          <w:p>
            <w:pPr>
              <w:spacing w:after="0"/>
              <w:rPr>
                <w:sz w:val="12"/>
                <w:szCs w:val="12"/>
                <w:color w:val="auto"/>
              </w:rPr>
            </w:pPr>
          </w:p>
        </w:tc>
        <w:tc>
          <w:tcPr>
            <w:tcW w:w="940" w:type="dxa"/>
            <w:vAlign w:val="bottom"/>
          </w:tcPr>
          <w:p>
            <w:pPr>
              <w:jc w:val="right"/>
              <w:ind w:right="127"/>
              <w:spacing w:after="0"/>
              <w:rPr>
                <w:sz w:val="20"/>
                <w:szCs w:val="20"/>
                <w:color w:val="auto"/>
              </w:rPr>
            </w:pPr>
            <w:r>
              <w:rPr>
                <w:rFonts w:ascii="Arial" w:cs="Arial" w:eastAsia="Arial" w:hAnsi="Arial"/>
                <w:sz w:val="11"/>
                <w:szCs w:val="11"/>
                <w:color w:val="auto"/>
              </w:rPr>
              <w:t>49</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ind w:right="228"/>
              <w:spacing w:after="0"/>
              <w:rPr>
                <w:sz w:val="20"/>
                <w:szCs w:val="20"/>
                <w:color w:val="auto"/>
              </w:rPr>
            </w:pPr>
            <w:r>
              <w:rPr>
                <w:rFonts w:ascii="Arial" w:cs="Arial" w:eastAsia="Arial" w:hAnsi="Arial"/>
                <w:sz w:val="11"/>
                <w:szCs w:val="11"/>
                <w:color w:val="auto"/>
              </w:rPr>
              <w:t>52</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jc w:val="right"/>
              <w:ind w:right="127"/>
              <w:spacing w:after="0"/>
              <w:rPr>
                <w:sz w:val="20"/>
                <w:szCs w:val="20"/>
                <w:color w:val="auto"/>
              </w:rPr>
            </w:pPr>
            <w:r>
              <w:rPr>
                <w:rFonts w:ascii="Arial" w:cs="Arial" w:eastAsia="Arial" w:hAnsi="Arial"/>
                <w:sz w:val="11"/>
                <w:szCs w:val="11"/>
                <w:color w:val="auto"/>
              </w:rPr>
              <w:t>54</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5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Non-GAAP adjustments:</w:t>
            </w: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460"/>
              <w:spacing w:after="0"/>
              <w:rPr>
                <w:sz w:val="20"/>
                <w:szCs w:val="20"/>
                <w:color w:val="auto"/>
              </w:rPr>
            </w:pPr>
            <w:r>
              <w:rPr>
                <w:rFonts w:ascii="Arial" w:cs="Arial" w:eastAsia="Arial" w:hAnsi="Arial"/>
                <w:sz w:val="11"/>
                <w:szCs w:val="11"/>
                <w:color w:val="auto"/>
              </w:rPr>
              <w:t>Stock-based compensation</w:t>
            </w:r>
          </w:p>
        </w:tc>
        <w:tc>
          <w:tcPr>
            <w:tcW w:w="700" w:type="dxa"/>
            <w:vAlign w:val="bottom"/>
          </w:tcPr>
          <w:p>
            <w:pPr>
              <w:spacing w:after="0"/>
              <w:rPr>
                <w:sz w:val="12"/>
                <w:szCs w:val="12"/>
                <w:color w:val="auto"/>
              </w:rPr>
            </w:pPr>
          </w:p>
        </w:tc>
        <w:tc>
          <w:tcPr>
            <w:tcW w:w="940" w:type="dxa"/>
            <w:vAlign w:val="bottom"/>
          </w:tcPr>
          <w:p>
            <w:pPr>
              <w:jc w:val="right"/>
              <w:ind w:right="127"/>
              <w:spacing w:after="0"/>
              <w:rPr>
                <w:sz w:val="20"/>
                <w:szCs w:val="20"/>
                <w:color w:val="auto"/>
              </w:rPr>
            </w:pPr>
            <w:r>
              <w:rPr>
                <w:rFonts w:ascii="Arial" w:cs="Arial" w:eastAsia="Arial" w:hAnsi="Arial"/>
                <w:sz w:val="11"/>
                <w:szCs w:val="11"/>
                <w:color w:val="auto"/>
              </w:rPr>
              <w:t>14,074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ind w:right="228"/>
              <w:spacing w:after="0"/>
              <w:rPr>
                <w:sz w:val="20"/>
                <w:szCs w:val="20"/>
                <w:color w:val="auto"/>
              </w:rPr>
            </w:pPr>
            <w:r>
              <w:rPr>
                <w:rFonts w:ascii="Arial" w:cs="Arial" w:eastAsia="Arial" w:hAnsi="Arial"/>
                <w:sz w:val="11"/>
                <w:szCs w:val="11"/>
                <w:color w:val="auto"/>
              </w:rPr>
              <w:t>8,857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jc w:val="right"/>
              <w:ind w:right="127"/>
              <w:spacing w:after="0"/>
              <w:rPr>
                <w:sz w:val="20"/>
                <w:szCs w:val="20"/>
                <w:color w:val="auto"/>
              </w:rPr>
            </w:pPr>
            <w:r>
              <w:rPr>
                <w:rFonts w:ascii="Arial" w:cs="Arial" w:eastAsia="Arial" w:hAnsi="Arial"/>
                <w:sz w:val="11"/>
                <w:szCs w:val="11"/>
                <w:color w:val="auto"/>
              </w:rPr>
              <w:t>7,123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60" w:type="dxa"/>
            <w:vAlign w:val="bottom"/>
            <w:shd w:val="clear" w:color="auto" w:fill="CCEEFF"/>
          </w:tcPr>
          <w:p>
            <w:pPr>
              <w:ind w:left="460"/>
              <w:spacing w:after="0"/>
              <w:rPr>
                <w:sz w:val="20"/>
                <w:szCs w:val="20"/>
                <w:color w:val="auto"/>
              </w:rPr>
            </w:pPr>
            <w:r>
              <w:rPr>
                <w:rFonts w:ascii="Arial" w:cs="Arial" w:eastAsia="Arial" w:hAnsi="Arial"/>
                <w:sz w:val="11"/>
                <w:szCs w:val="11"/>
                <w:color w:val="auto"/>
              </w:rPr>
              <w:t>Amortization of acquired intangibles</w:t>
            </w: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114,896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228"/>
              <w:spacing w:after="0"/>
              <w:rPr>
                <w:sz w:val="20"/>
                <w:szCs w:val="20"/>
                <w:color w:val="auto"/>
              </w:rPr>
            </w:pPr>
            <w:r>
              <w:rPr>
                <w:rFonts w:ascii="Arial" w:cs="Arial" w:eastAsia="Arial" w:hAnsi="Arial"/>
                <w:sz w:val="11"/>
                <w:szCs w:val="11"/>
                <w:color w:val="auto"/>
              </w:rPr>
              <w:t>59,501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45,267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60" w:type="dxa"/>
            <w:vAlign w:val="bottom"/>
          </w:tcPr>
          <w:p>
            <w:pPr>
              <w:ind w:left="460"/>
              <w:spacing w:after="0" w:line="112" w:lineRule="exact"/>
              <w:rPr>
                <w:sz w:val="20"/>
                <w:szCs w:val="20"/>
                <w:color w:val="auto"/>
              </w:rPr>
            </w:pPr>
            <w:r>
              <w:rPr>
                <w:rFonts w:ascii="Arial" w:cs="Arial" w:eastAsia="Arial" w:hAnsi="Arial"/>
                <w:sz w:val="11"/>
                <w:szCs w:val="11"/>
                <w:color w:val="auto"/>
              </w:rPr>
              <w:t>Payroll taxes related to stock-based</w:t>
            </w:r>
          </w:p>
        </w:tc>
        <w:tc>
          <w:tcPr>
            <w:tcW w:w="700" w:type="dxa"/>
            <w:vAlign w:val="bottom"/>
          </w:tcPr>
          <w:p>
            <w:pPr>
              <w:spacing w:after="0"/>
              <w:rPr>
                <w:sz w:val="9"/>
                <w:szCs w:val="9"/>
                <w:color w:val="auto"/>
              </w:rPr>
            </w:pPr>
          </w:p>
        </w:tc>
        <w:tc>
          <w:tcPr>
            <w:tcW w:w="94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vMerge w:val="restart"/>
          </w:tcPr>
          <w:p>
            <w:pPr>
              <w:jc w:val="right"/>
              <w:ind w:right="127"/>
              <w:spacing w:after="0"/>
              <w:rPr>
                <w:sz w:val="20"/>
                <w:szCs w:val="20"/>
                <w:color w:val="auto"/>
              </w:rPr>
            </w:pPr>
            <w:r>
              <w:rPr>
                <w:rFonts w:ascii="Arial" w:cs="Arial" w:eastAsia="Arial" w:hAnsi="Arial"/>
                <w:sz w:val="11"/>
                <w:szCs w:val="11"/>
                <w:color w:val="auto"/>
              </w:rPr>
              <w:t>104</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5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compensation</w:t>
            </w:r>
          </w:p>
        </w:tc>
        <w:tc>
          <w:tcPr>
            <w:tcW w:w="7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1"/>
                <w:szCs w:val="11"/>
                <w:color w:val="auto"/>
              </w:rPr>
              <w:t>Non-GAAP gross profit</w:t>
            </w:r>
          </w:p>
        </w:tc>
        <w:tc>
          <w:tcPr>
            <w:tcW w:w="7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1"/>
                <w:szCs w:val="11"/>
                <w:color w:val="auto"/>
              </w:rPr>
              <w:t>1,519,683</w:t>
            </w:r>
          </w:p>
        </w:tc>
        <w:tc>
          <w:tcPr>
            <w:tcW w:w="2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1"/>
                <w:szCs w:val="11"/>
                <w:color w:val="auto"/>
              </w:rPr>
              <w:t>984,019</w:t>
            </w:r>
          </w:p>
        </w:tc>
        <w:tc>
          <w:tcPr>
            <w:tcW w:w="1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1"/>
                <w:szCs w:val="11"/>
                <w:color w:val="auto"/>
              </w:rPr>
              <w:t>661,411</w:t>
            </w:r>
          </w:p>
        </w:tc>
        <w:tc>
          <w:tcPr>
            <w:tcW w:w="2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560" w:type="dxa"/>
            <w:vAlign w:val="bottom"/>
          </w:tcPr>
          <w:p>
            <w:pPr>
              <w:ind w:left="580"/>
              <w:spacing w:after="0"/>
              <w:rPr>
                <w:sz w:val="20"/>
                <w:szCs w:val="20"/>
                <w:color w:val="auto"/>
              </w:rPr>
            </w:pPr>
            <w:r>
              <w:rPr>
                <w:rFonts w:ascii="Arial" w:cs="Arial" w:eastAsia="Arial" w:hAnsi="Arial"/>
                <w:sz w:val="11"/>
                <w:szCs w:val="11"/>
                <w:color w:val="auto"/>
              </w:rPr>
              <w:t>Non-GAAP gross margin</w:t>
            </w:r>
          </w:p>
        </w:tc>
        <w:tc>
          <w:tcPr>
            <w:tcW w:w="700" w:type="dxa"/>
            <w:vAlign w:val="bottom"/>
          </w:tcPr>
          <w:p>
            <w:pPr>
              <w:spacing w:after="0"/>
              <w:rPr>
                <w:sz w:val="11"/>
                <w:szCs w:val="11"/>
                <w:color w:val="auto"/>
              </w:rPr>
            </w:pPr>
          </w:p>
        </w:tc>
        <w:tc>
          <w:tcPr>
            <w:tcW w:w="940" w:type="dxa"/>
            <w:vAlign w:val="bottom"/>
          </w:tcPr>
          <w:p>
            <w:pPr>
              <w:jc w:val="right"/>
              <w:ind w:right="127"/>
              <w:spacing w:after="0"/>
              <w:rPr>
                <w:sz w:val="20"/>
                <w:szCs w:val="20"/>
                <w:color w:val="auto"/>
              </w:rPr>
            </w:pPr>
            <w:r>
              <w:rPr>
                <w:rFonts w:ascii="Arial" w:cs="Arial" w:eastAsia="Arial" w:hAnsi="Arial"/>
                <w:sz w:val="11"/>
                <w:szCs w:val="11"/>
                <w:color w:val="auto"/>
              </w:rPr>
              <w:t>53</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jc w:val="right"/>
              <w:ind w:right="228"/>
              <w:spacing w:after="0"/>
              <w:rPr>
                <w:sz w:val="20"/>
                <w:szCs w:val="20"/>
                <w:color w:val="auto"/>
              </w:rPr>
            </w:pPr>
            <w:r>
              <w:rPr>
                <w:rFonts w:ascii="Arial" w:cs="Arial" w:eastAsia="Arial" w:hAnsi="Arial"/>
                <w:sz w:val="11"/>
                <w:szCs w:val="11"/>
                <w:color w:val="auto"/>
              </w:rPr>
              <w:t>56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jc w:val="right"/>
              <w:ind w:right="127"/>
              <w:spacing w:after="0"/>
              <w:rPr>
                <w:sz w:val="20"/>
                <w:szCs w:val="20"/>
                <w:color w:val="auto"/>
              </w:rPr>
            </w:pPr>
            <w:r>
              <w:rPr>
                <w:rFonts w:ascii="Arial" w:cs="Arial" w:eastAsia="Arial" w:hAnsi="Arial"/>
                <w:sz w:val="11"/>
                <w:szCs w:val="11"/>
                <w:color w:val="auto"/>
              </w:rPr>
              <w:t>58</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324"/>
        <w:spacing w:after="0" w:line="151" w:lineRule="exact"/>
        <w:rPr>
          <w:sz w:val="20"/>
          <w:szCs w:val="20"/>
          <w:color w:val="auto"/>
        </w:rPr>
      </w:pPr>
      <w:r>
        <w:rPr>
          <w:rFonts w:ascii="Arial" w:cs="Arial" w:eastAsia="Arial" w:hAnsi="Arial"/>
          <w:sz w:val="12"/>
          <w:szCs w:val="12"/>
          <w:b w:val="1"/>
          <w:bCs w:val="1"/>
          <w:color w:val="auto"/>
        </w:rPr>
        <w:t>Non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GAAP Operating Expenses</w:t>
      </w:r>
      <w:r>
        <w:rPr>
          <w:rFonts w:ascii="Arial" w:cs="Arial" w:eastAsia="Arial" w:hAnsi="Arial"/>
          <w:sz w:val="12"/>
          <w:szCs w:val="12"/>
          <w:color w:val="auto"/>
        </w:rPr>
        <w:t>. For the periods presented, we define non</w:t>
      </w:r>
      <w:r>
        <w:rPr>
          <w:rFonts w:ascii="MS PGothic" w:cs="MS PGothic" w:eastAsia="MS PGothic" w:hAnsi="MS PGothic"/>
          <w:sz w:val="12"/>
          <w:szCs w:val="12"/>
          <w:color w:val="auto"/>
        </w:rPr>
        <w:t>‑</w:t>
      </w:r>
      <w:r>
        <w:rPr>
          <w:rFonts w:ascii="Arial" w:cs="Arial" w:eastAsia="Arial" w:hAnsi="Arial"/>
          <w:sz w:val="12"/>
          <w:szCs w:val="12"/>
          <w:color w:val="auto"/>
        </w:rPr>
        <w:t>GAAP operating expenses (including categories of operating expenses) as GAAP operating expenses (and categories of operating expenses) adjusted</w:t>
      </w:r>
      <w:r>
        <w:rPr>
          <w:rFonts w:ascii="Arial" w:cs="Arial" w:eastAsia="Arial" w:hAnsi="Arial"/>
          <w:sz w:val="12"/>
          <w:szCs w:val="12"/>
          <w:b w:val="1"/>
          <w:bCs w:val="1"/>
          <w:color w:val="auto"/>
        </w:rPr>
        <w:t xml:space="preserve"> </w:t>
      </w:r>
      <w:r>
        <w:rPr>
          <w:rFonts w:ascii="Arial" w:cs="Arial" w:eastAsia="Arial" w:hAnsi="Arial"/>
          <w:sz w:val="12"/>
          <w:szCs w:val="12"/>
          <w:color w:val="auto"/>
        </w:rPr>
        <w:t>to exclude, as applicable, certain expenses as presented in the table below:</w:t>
      </w:r>
    </w:p>
    <w:p>
      <w:pPr>
        <w:spacing w:after="0" w:line="220" w:lineRule="exact"/>
        <w:rPr>
          <w:sz w:val="20"/>
          <w:szCs w:val="20"/>
          <w:color w:val="auto"/>
        </w:rPr>
      </w:pPr>
    </w:p>
    <w:tbl>
      <w:tblPr>
        <w:tblLayout w:type="fixed"/>
        <w:tblInd w:w="1620" w:type="dxa"/>
        <w:tblCellMar>
          <w:top w:w="0" w:type="dxa"/>
          <w:left w:w="0" w:type="dxa"/>
          <w:bottom w:w="0" w:type="dxa"/>
          <w:right w:w="0" w:type="dxa"/>
        </w:tblCellMar>
      </w:tblPr>
      <w:tr>
        <w:trPr>
          <w:trHeight w:val="127"/>
        </w:trPr>
        <w:tc>
          <w:tcPr>
            <w:tcW w:w="330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6"/>
              </w:rPr>
              <w:t>Year Ended December 31,</w:t>
            </w:r>
          </w:p>
        </w:tc>
        <w:tc>
          <w:tcPr>
            <w:tcW w:w="6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116"/>
        </w:trPr>
        <w:tc>
          <w:tcPr>
            <w:tcW w:w="330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507"/>
              <w:spacing w:after="0"/>
              <w:rPr>
                <w:sz w:val="20"/>
                <w:szCs w:val="20"/>
                <w:color w:val="auto"/>
              </w:rPr>
            </w:pPr>
            <w:r>
              <w:rPr>
                <w:rFonts w:ascii="Arial" w:cs="Arial" w:eastAsia="Arial" w:hAnsi="Arial"/>
                <w:sz w:val="10"/>
                <w:szCs w:val="10"/>
                <w:b w:val="1"/>
                <w:bCs w:val="1"/>
                <w:color w:val="auto"/>
              </w:rPr>
              <w:t>2019</w:t>
            </w:r>
          </w:p>
        </w:tc>
      </w:tr>
      <w:tr>
        <w:trPr>
          <w:trHeight w:val="125"/>
        </w:trPr>
        <w:tc>
          <w:tcPr>
            <w:tcW w:w="3300" w:type="dxa"/>
            <w:vAlign w:val="bottom"/>
          </w:tcPr>
          <w:p>
            <w:pPr>
              <w:ind w:left="320"/>
              <w:spacing w:after="0" w:line="123" w:lineRule="exact"/>
              <w:rPr>
                <w:sz w:val="20"/>
                <w:szCs w:val="20"/>
                <w:color w:val="auto"/>
              </w:rPr>
            </w:pPr>
            <w:r>
              <w:rPr>
                <w:rFonts w:ascii="Arial" w:cs="Arial" w:eastAsia="Arial" w:hAnsi="Arial"/>
                <w:sz w:val="11"/>
                <w:szCs w:val="11"/>
                <w:b w:val="1"/>
                <w:bCs w:val="1"/>
                <w:color w:val="auto"/>
              </w:rPr>
              <w:t>Reconciliation:</w:t>
            </w: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0"/>
                <w:szCs w:val="10"/>
                <w:color w:val="auto"/>
                <w:w w:val="87"/>
              </w:rPr>
              <w:t>(In thousands)</w:t>
            </w:r>
          </w:p>
        </w:tc>
        <w:tc>
          <w:tcPr>
            <w:tcW w:w="64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6"/>
        </w:trPr>
        <w:tc>
          <w:tcPr>
            <w:tcW w:w="33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Operating expenses</w:t>
            </w:r>
          </w:p>
        </w:tc>
        <w:tc>
          <w:tcPr>
            <w:tcW w:w="1120" w:type="dxa"/>
            <w:vAlign w:val="bottom"/>
            <w:shd w:val="clear" w:color="auto" w:fill="CCEEFF"/>
          </w:tcPr>
          <w:p>
            <w:pPr>
              <w:jc w:val="right"/>
              <w:ind w:right="668"/>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2,306,297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1,408,562</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978,702</w:t>
            </w:r>
          </w:p>
        </w:tc>
      </w:tr>
      <w:tr>
        <w:trPr>
          <w:trHeight w:val="142"/>
        </w:trPr>
        <w:tc>
          <w:tcPr>
            <w:tcW w:w="3300" w:type="dxa"/>
            <w:vAlign w:val="bottom"/>
          </w:tcPr>
          <w:p>
            <w:pPr>
              <w:ind w:left="320"/>
              <w:spacing w:after="0"/>
              <w:rPr>
                <w:sz w:val="20"/>
                <w:szCs w:val="20"/>
                <w:color w:val="auto"/>
              </w:rPr>
            </w:pPr>
            <w:r>
              <w:rPr>
                <w:rFonts w:ascii="Arial" w:cs="Arial" w:eastAsia="Arial" w:hAnsi="Arial"/>
                <w:sz w:val="11"/>
                <w:szCs w:val="11"/>
                <w:color w:val="auto"/>
              </w:rPr>
              <w:t>Non-GAAP adjustments:</w:t>
            </w: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6"/>
        </w:trPr>
        <w:tc>
          <w:tcPr>
            <w:tcW w:w="3300" w:type="dxa"/>
            <w:vAlign w:val="bottom"/>
            <w:shd w:val="clear" w:color="auto" w:fill="CCEEFF"/>
          </w:tcPr>
          <w:p>
            <w:pPr>
              <w:ind w:left="460"/>
              <w:spacing w:after="0"/>
              <w:rPr>
                <w:sz w:val="20"/>
                <w:szCs w:val="20"/>
                <w:color w:val="auto"/>
              </w:rPr>
            </w:pPr>
            <w:r>
              <w:rPr>
                <w:rFonts w:ascii="Arial" w:cs="Arial" w:eastAsia="Arial" w:hAnsi="Arial"/>
                <w:sz w:val="11"/>
                <w:szCs w:val="11"/>
                <w:color w:val="auto"/>
              </w:rPr>
              <w:t>Stock-based compensation</w:t>
            </w:r>
          </w:p>
        </w:tc>
        <w:tc>
          <w:tcPr>
            <w:tcW w:w="1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(618,211)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(353,054)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(257,195)</w:t>
            </w:r>
          </w:p>
        </w:tc>
      </w:tr>
      <w:tr>
        <w:trPr>
          <w:trHeight w:val="142"/>
        </w:trPr>
        <w:tc>
          <w:tcPr>
            <w:tcW w:w="3300" w:type="dxa"/>
            <w:vAlign w:val="bottom"/>
          </w:tcPr>
          <w:p>
            <w:pPr>
              <w:ind w:left="460"/>
              <w:spacing w:after="0"/>
              <w:rPr>
                <w:sz w:val="20"/>
                <w:szCs w:val="20"/>
                <w:color w:val="auto"/>
              </w:rPr>
            </w:pPr>
            <w:r>
              <w:rPr>
                <w:rFonts w:ascii="Arial" w:cs="Arial" w:eastAsia="Arial" w:hAnsi="Arial"/>
                <w:sz w:val="11"/>
                <w:szCs w:val="11"/>
                <w:color w:val="auto"/>
              </w:rPr>
              <w:t>Amortization of acquired intangibles</w:t>
            </w:r>
          </w:p>
        </w:tc>
        <w:tc>
          <w:tcPr>
            <w:tcW w:w="1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(83,888)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(38,993)</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(27,540)</w:t>
            </w:r>
          </w:p>
        </w:tc>
      </w:tr>
      <w:tr>
        <w:trPr>
          <w:trHeight w:val="146"/>
        </w:trPr>
        <w:tc>
          <w:tcPr>
            <w:tcW w:w="3300" w:type="dxa"/>
            <w:vAlign w:val="bottom"/>
            <w:shd w:val="clear" w:color="auto" w:fill="CCEEFF"/>
          </w:tcPr>
          <w:p>
            <w:pPr>
              <w:ind w:left="460"/>
              <w:spacing w:after="0"/>
              <w:rPr>
                <w:sz w:val="20"/>
                <w:szCs w:val="20"/>
                <w:color w:val="auto"/>
              </w:rPr>
            </w:pPr>
            <w:r>
              <w:rPr>
                <w:rFonts w:ascii="Arial" w:cs="Arial" w:eastAsia="Arial" w:hAnsi="Arial"/>
                <w:sz w:val="11"/>
                <w:szCs w:val="11"/>
                <w:color w:val="auto"/>
              </w:rPr>
              <w:t>Acquisition-related expenses</w:t>
            </w:r>
          </w:p>
        </w:tc>
        <w:tc>
          <w:tcPr>
            <w:tcW w:w="1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(7,449)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(21,765)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(15,713)</w:t>
            </w:r>
          </w:p>
        </w:tc>
      </w:tr>
      <w:tr>
        <w:trPr>
          <w:trHeight w:val="142"/>
        </w:trPr>
        <w:tc>
          <w:tcPr>
            <w:tcW w:w="3300" w:type="dxa"/>
            <w:vAlign w:val="bottom"/>
          </w:tcPr>
          <w:p>
            <w:pPr>
              <w:ind w:left="460"/>
              <w:spacing w:after="0"/>
              <w:rPr>
                <w:sz w:val="20"/>
                <w:szCs w:val="20"/>
                <w:color w:val="auto"/>
              </w:rPr>
            </w:pPr>
            <w:r>
              <w:rPr>
                <w:rFonts w:ascii="Arial" w:cs="Arial" w:eastAsia="Arial" w:hAnsi="Arial"/>
                <w:sz w:val="11"/>
                <w:szCs w:val="11"/>
                <w:color w:val="auto"/>
              </w:rPr>
              <w:t>Charitable contributions</w:t>
            </w:r>
          </w:p>
        </w:tc>
        <w:tc>
          <w:tcPr>
            <w:tcW w:w="1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(31,169)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(18,993)</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3300" w:type="dxa"/>
            <w:vAlign w:val="bottom"/>
            <w:shd w:val="clear" w:color="auto" w:fill="CCEEFF"/>
          </w:tcPr>
          <w:p>
            <w:pPr>
              <w:ind w:left="460"/>
              <w:spacing w:after="0"/>
              <w:rPr>
                <w:sz w:val="20"/>
                <w:szCs w:val="20"/>
                <w:color w:val="auto"/>
              </w:rPr>
            </w:pPr>
            <w:r>
              <w:rPr>
                <w:rFonts w:ascii="Arial" w:cs="Arial" w:eastAsia="Arial" w:hAnsi="Arial"/>
                <w:sz w:val="11"/>
                <w:szCs w:val="11"/>
                <w:color w:val="auto"/>
              </w:rPr>
              <w:t>Payroll taxes related to stock-based compensation</w:t>
            </w:r>
          </w:p>
        </w:tc>
        <w:tc>
          <w:tcPr>
            <w:tcW w:w="1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(48,417)</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(27,389)</w:t>
            </w:r>
          </w:p>
        </w:tc>
        <w:tc>
          <w:tcPr>
            <w:tcW w:w="1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(15,084)</w:t>
            </w:r>
          </w:p>
        </w:tc>
      </w:tr>
      <w:tr>
        <w:trPr>
          <w:trHeight w:val="135"/>
        </w:trPr>
        <w:tc>
          <w:tcPr>
            <w:tcW w:w="3300" w:type="dxa"/>
            <w:vAlign w:val="bottom"/>
          </w:tcPr>
          <w:p>
            <w:pPr>
              <w:ind w:left="540"/>
              <w:spacing w:after="0"/>
              <w:rPr>
                <w:sz w:val="20"/>
                <w:szCs w:val="20"/>
                <w:color w:val="auto"/>
              </w:rPr>
            </w:pPr>
            <w:r>
              <w:rPr>
                <w:rFonts w:ascii="Arial" w:cs="Arial" w:eastAsia="Arial" w:hAnsi="Arial"/>
                <w:sz w:val="11"/>
                <w:szCs w:val="11"/>
                <w:color w:val="auto"/>
              </w:rPr>
              <w:t>Non-GAAP operating expenses</w:t>
            </w:r>
          </w:p>
        </w:tc>
        <w:tc>
          <w:tcPr>
            <w:tcW w:w="1120" w:type="dxa"/>
            <w:vAlign w:val="bottom"/>
            <w:tcBorders>
              <w:bottom w:val="single" w:sz="8" w:color="auto"/>
            </w:tcBorders>
          </w:tcPr>
          <w:p>
            <w:pPr>
              <w:jc w:val="right"/>
              <w:ind w:right="668"/>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1,517,163</w:t>
            </w:r>
          </w:p>
        </w:tc>
        <w:tc>
          <w:tcPr>
            <w:tcW w:w="100" w:type="dxa"/>
            <w:vAlign w:val="bottom"/>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948,368</w:t>
            </w:r>
          </w:p>
        </w:tc>
        <w:tc>
          <w:tcPr>
            <w:tcW w:w="100" w:type="dxa"/>
            <w:vAlign w:val="bottom"/>
          </w:tcPr>
          <w:p>
            <w:pPr>
              <w:spacing w:after="0"/>
              <w:rPr>
                <w:sz w:val="11"/>
                <w:szCs w:val="11"/>
                <w:color w:val="auto"/>
              </w:rPr>
            </w:pPr>
          </w:p>
        </w:tc>
        <w:tc>
          <w:tcPr>
            <w:tcW w:w="6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663,170</w:t>
            </w:r>
          </w:p>
        </w:tc>
      </w:tr>
      <w:tr>
        <w:trPr>
          <w:trHeight w:val="20"/>
        </w:trPr>
        <w:tc>
          <w:tcPr>
            <w:tcW w:w="3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31" w:right="419" w:bottom="1440" w:gutter="0" w:footer="0" w:header="0"/>
        </w:sectPr>
      </w:pPr>
    </w:p>
    <w:bookmarkStart w:id="64" w:name="page65"/>
    <w:bookmarkEnd w:id="6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firstLine="324"/>
        <w:spacing w:after="0" w:line="151" w:lineRule="exact"/>
        <w:rPr>
          <w:sz w:val="20"/>
          <w:szCs w:val="20"/>
          <w:color w:val="auto"/>
        </w:rPr>
      </w:pPr>
      <w:r>
        <w:rPr>
          <w:rFonts w:ascii="Arial" w:cs="Arial" w:eastAsia="Arial" w:hAnsi="Arial"/>
          <w:sz w:val="12"/>
          <w:szCs w:val="12"/>
          <w:b w:val="1"/>
          <w:bCs w:val="1"/>
          <w:color w:val="auto"/>
        </w:rPr>
        <w:t>Non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GAAP Income (Loss) from Operations and Non</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GAAP Operating Margin</w:t>
      </w:r>
      <w:r>
        <w:rPr>
          <w:rFonts w:ascii="Arial" w:cs="Arial" w:eastAsia="Arial" w:hAnsi="Arial"/>
          <w:sz w:val="12"/>
          <w:szCs w:val="12"/>
          <w:color w:val="auto"/>
        </w:rPr>
        <w:t>. For the periods presented, we define non</w:t>
      </w:r>
      <w:r>
        <w:rPr>
          <w:rFonts w:ascii="MS PGothic" w:cs="MS PGothic" w:eastAsia="MS PGothic" w:hAnsi="MS PGothic"/>
          <w:sz w:val="12"/>
          <w:szCs w:val="12"/>
          <w:color w:val="auto"/>
        </w:rPr>
        <w:t>‑</w:t>
      </w:r>
      <w:r>
        <w:rPr>
          <w:rFonts w:ascii="Arial" w:cs="Arial" w:eastAsia="Arial" w:hAnsi="Arial"/>
          <w:sz w:val="12"/>
          <w:szCs w:val="12"/>
          <w:color w:val="auto"/>
        </w:rPr>
        <w:t>GAAP income (loss) from operations and non</w:t>
      </w:r>
      <w:r>
        <w:rPr>
          <w:rFonts w:ascii="MS PGothic" w:cs="MS PGothic" w:eastAsia="MS PGothic" w:hAnsi="MS PGothic"/>
          <w:sz w:val="12"/>
          <w:szCs w:val="12"/>
          <w:color w:val="auto"/>
        </w:rPr>
        <w:t>‑</w:t>
      </w:r>
      <w:r>
        <w:rPr>
          <w:rFonts w:ascii="Arial" w:cs="Arial" w:eastAsia="Arial" w:hAnsi="Arial"/>
          <w:sz w:val="12"/>
          <w:szCs w:val="12"/>
          <w:color w:val="auto"/>
        </w:rPr>
        <w:t>GAAP operating margin as GAAP loss from</w:t>
      </w:r>
      <w:r>
        <w:rPr>
          <w:rFonts w:ascii="Arial" w:cs="Arial" w:eastAsia="Arial" w:hAnsi="Arial"/>
          <w:sz w:val="12"/>
          <w:szCs w:val="12"/>
          <w:b w:val="1"/>
          <w:bCs w:val="1"/>
          <w:color w:val="auto"/>
        </w:rPr>
        <w:t xml:space="preserve"> </w:t>
      </w:r>
      <w:r>
        <w:rPr>
          <w:rFonts w:ascii="Arial" w:cs="Arial" w:eastAsia="Arial" w:hAnsi="Arial"/>
          <w:sz w:val="12"/>
          <w:szCs w:val="12"/>
          <w:color w:val="auto"/>
        </w:rPr>
        <w:t>operations and GAAP operating margin, respectively, adjusted to exclude, as applicable, certain expenses as presented in the table below:</w:t>
      </w:r>
    </w:p>
    <w:p>
      <w:pPr>
        <w:spacing w:after="0" w:line="220" w:lineRule="exact"/>
        <w:rPr>
          <w:sz w:val="20"/>
          <w:szCs w:val="20"/>
          <w:color w:val="auto"/>
        </w:rPr>
      </w:pPr>
    </w:p>
    <w:tbl>
      <w:tblPr>
        <w:tblLayout w:type="fixed"/>
        <w:tblInd w:w="1500" w:type="dxa"/>
        <w:tblCellMar>
          <w:top w:w="0" w:type="dxa"/>
          <w:left w:w="0" w:type="dxa"/>
          <w:bottom w:w="0" w:type="dxa"/>
          <w:right w:w="0" w:type="dxa"/>
        </w:tblCellMar>
      </w:tblPr>
      <w:tr>
        <w:trPr>
          <w:trHeight w:val="127"/>
        </w:trPr>
        <w:tc>
          <w:tcPr>
            <w:tcW w:w="34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Year Ended December 31,</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r>
      <w:tr>
        <w:trPr>
          <w:trHeight w:val="116"/>
        </w:trPr>
        <w:tc>
          <w:tcPr>
            <w:tcW w:w="3400" w:type="dxa"/>
            <w:vAlign w:val="bottom"/>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b w:val="1"/>
                <w:bCs w:val="1"/>
                <w:color w:val="auto"/>
              </w:rPr>
              <w:t>2019</w:t>
            </w:r>
          </w:p>
        </w:tc>
        <w:tc>
          <w:tcPr>
            <w:tcW w:w="160" w:type="dxa"/>
            <w:vAlign w:val="bottom"/>
            <w:tcBorders>
              <w:bottom w:val="single" w:sz="8" w:color="auto"/>
            </w:tcBorders>
          </w:tcPr>
          <w:p>
            <w:pPr>
              <w:spacing w:after="0"/>
              <w:rPr>
                <w:sz w:val="10"/>
                <w:szCs w:val="10"/>
                <w:color w:val="auto"/>
              </w:rPr>
            </w:pPr>
          </w:p>
        </w:tc>
      </w:tr>
      <w:tr>
        <w:trPr>
          <w:trHeight w:val="125"/>
        </w:trPr>
        <w:tc>
          <w:tcPr>
            <w:tcW w:w="340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Reconciliation:</w:t>
            </w: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0"/>
                <w:szCs w:val="10"/>
                <w:color w:val="auto"/>
                <w:w w:val="84"/>
              </w:rPr>
              <w:t>(In thousands)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6"/>
        </w:trPr>
        <w:tc>
          <w:tcPr>
            <w:tcW w:w="34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Loss from operations</w:t>
            </w:r>
          </w:p>
        </w:tc>
        <w:tc>
          <w:tcPr>
            <w:tcW w:w="940" w:type="dxa"/>
            <w:vAlign w:val="bottom"/>
            <w:shd w:val="clear" w:color="auto" w:fill="CCEEFF"/>
          </w:tcPr>
          <w:p>
            <w:pPr>
              <w:jc w:val="right"/>
              <w:ind w:right="708"/>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9"/>
              </w:rPr>
              <w:t>(915,584)</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(492,901)</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(369,785)</w:t>
            </w:r>
          </w:p>
        </w:tc>
        <w:tc>
          <w:tcPr>
            <w:tcW w:w="160" w:type="dxa"/>
            <w:vAlign w:val="bottom"/>
            <w:shd w:val="clear" w:color="auto" w:fill="CCEEFF"/>
          </w:tcPr>
          <w:p>
            <w:pPr>
              <w:spacing w:after="0"/>
              <w:rPr>
                <w:sz w:val="12"/>
                <w:szCs w:val="12"/>
                <w:color w:val="auto"/>
              </w:rPr>
            </w:pPr>
          </w:p>
        </w:tc>
      </w:tr>
      <w:tr>
        <w:trPr>
          <w:trHeight w:val="142"/>
        </w:trPr>
        <w:tc>
          <w:tcPr>
            <w:tcW w:w="3400" w:type="dxa"/>
            <w:vAlign w:val="bottom"/>
          </w:tcPr>
          <w:p>
            <w:pPr>
              <w:ind w:left="120"/>
              <w:spacing w:after="0"/>
              <w:rPr>
                <w:sz w:val="20"/>
                <w:szCs w:val="20"/>
                <w:color w:val="auto"/>
              </w:rPr>
            </w:pPr>
            <w:r>
              <w:rPr>
                <w:rFonts w:ascii="Arial" w:cs="Arial" w:eastAsia="Arial" w:hAnsi="Arial"/>
                <w:sz w:val="11"/>
                <w:szCs w:val="11"/>
                <w:color w:val="auto"/>
              </w:rPr>
              <w:t>Operating margin</w:t>
            </w:r>
          </w:p>
        </w:tc>
        <w:tc>
          <w:tcPr>
            <w:tcW w:w="94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8"/>
              <w:spacing w:after="0"/>
              <w:rPr>
                <w:sz w:val="20"/>
                <w:szCs w:val="20"/>
                <w:color w:val="auto"/>
              </w:rPr>
            </w:pPr>
            <w:r>
              <w:rPr>
                <w:rFonts w:ascii="Arial" w:cs="Arial" w:eastAsia="Arial" w:hAnsi="Arial"/>
                <w:sz w:val="11"/>
                <w:szCs w:val="11"/>
                <w:color w:val="auto"/>
              </w:rPr>
              <w:t>(28)</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ind w:right="7"/>
              <w:spacing w:after="0"/>
              <w:rPr>
                <w:sz w:val="20"/>
                <w:szCs w:val="20"/>
                <w:color w:val="auto"/>
              </w:rPr>
            </w:pPr>
            <w:r>
              <w:rPr>
                <w:rFonts w:ascii="Arial" w:cs="Arial" w:eastAsia="Arial" w:hAnsi="Arial"/>
                <w:sz w:val="11"/>
                <w:szCs w:val="11"/>
                <w:color w:val="auto"/>
              </w:rPr>
              <w:t>(33)</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34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Non-GAAP adjustments:</w:t>
            </w: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2"/>
        </w:trPr>
        <w:tc>
          <w:tcPr>
            <w:tcW w:w="3400" w:type="dxa"/>
            <w:vAlign w:val="bottom"/>
          </w:tcPr>
          <w:p>
            <w:pPr>
              <w:ind w:left="260"/>
              <w:spacing w:after="0"/>
              <w:rPr>
                <w:sz w:val="20"/>
                <w:szCs w:val="20"/>
                <w:color w:val="auto"/>
              </w:rPr>
            </w:pPr>
            <w:r>
              <w:rPr>
                <w:rFonts w:ascii="Arial" w:cs="Arial" w:eastAsia="Arial" w:hAnsi="Arial"/>
                <w:sz w:val="11"/>
                <w:szCs w:val="11"/>
                <w:color w:val="auto"/>
              </w:rPr>
              <w:t>Stock-based compensation</w:t>
            </w:r>
          </w:p>
        </w:tc>
        <w:tc>
          <w:tcPr>
            <w:tcW w:w="94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w w:val="95"/>
              </w:rPr>
              <w:t>632,285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48"/>
              <w:spacing w:after="0"/>
              <w:rPr>
                <w:sz w:val="20"/>
                <w:szCs w:val="20"/>
                <w:color w:val="auto"/>
              </w:rPr>
            </w:pPr>
            <w:r>
              <w:rPr>
                <w:rFonts w:ascii="Arial" w:cs="Arial" w:eastAsia="Arial" w:hAnsi="Arial"/>
                <w:sz w:val="11"/>
                <w:szCs w:val="11"/>
                <w:color w:val="auto"/>
              </w:rPr>
              <w:t>361,911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ind w:right="47"/>
              <w:spacing w:after="0"/>
              <w:rPr>
                <w:sz w:val="20"/>
                <w:szCs w:val="20"/>
                <w:color w:val="auto"/>
              </w:rPr>
            </w:pPr>
            <w:r>
              <w:rPr>
                <w:rFonts w:ascii="Arial" w:cs="Arial" w:eastAsia="Arial" w:hAnsi="Arial"/>
                <w:sz w:val="11"/>
                <w:szCs w:val="11"/>
                <w:color w:val="auto"/>
              </w:rPr>
              <w:t>264,318</w:t>
            </w:r>
          </w:p>
        </w:tc>
        <w:tc>
          <w:tcPr>
            <w:tcW w:w="160" w:type="dxa"/>
            <w:vAlign w:val="bottom"/>
          </w:tcPr>
          <w:p>
            <w:pPr>
              <w:spacing w:after="0"/>
              <w:rPr>
                <w:sz w:val="12"/>
                <w:szCs w:val="12"/>
                <w:color w:val="auto"/>
              </w:rPr>
            </w:pPr>
          </w:p>
        </w:tc>
      </w:tr>
      <w:tr>
        <w:trPr>
          <w:trHeight w:val="146"/>
        </w:trPr>
        <w:tc>
          <w:tcPr>
            <w:tcW w:w="34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Amortization of acquired intangibles</w:t>
            </w: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5"/>
              </w:rPr>
              <w:t>198,784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98,494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72,807</w:t>
            </w:r>
          </w:p>
        </w:tc>
        <w:tc>
          <w:tcPr>
            <w:tcW w:w="160" w:type="dxa"/>
            <w:vAlign w:val="bottom"/>
            <w:shd w:val="clear" w:color="auto" w:fill="CCEEFF"/>
          </w:tcPr>
          <w:p>
            <w:pPr>
              <w:spacing w:after="0"/>
              <w:rPr>
                <w:sz w:val="12"/>
                <w:szCs w:val="12"/>
                <w:color w:val="auto"/>
              </w:rPr>
            </w:pPr>
          </w:p>
        </w:tc>
      </w:tr>
      <w:tr>
        <w:trPr>
          <w:trHeight w:val="142"/>
        </w:trPr>
        <w:tc>
          <w:tcPr>
            <w:tcW w:w="3400" w:type="dxa"/>
            <w:vAlign w:val="bottom"/>
          </w:tcPr>
          <w:p>
            <w:pPr>
              <w:ind w:left="260"/>
              <w:spacing w:after="0"/>
              <w:rPr>
                <w:sz w:val="20"/>
                <w:szCs w:val="20"/>
                <w:color w:val="auto"/>
              </w:rPr>
            </w:pPr>
            <w:r>
              <w:rPr>
                <w:rFonts w:ascii="Arial" w:cs="Arial" w:eastAsia="Arial" w:hAnsi="Arial"/>
                <w:sz w:val="11"/>
                <w:szCs w:val="11"/>
                <w:color w:val="auto"/>
              </w:rPr>
              <w:t>Acquisition-related expenses</w:t>
            </w:r>
          </w:p>
        </w:tc>
        <w:tc>
          <w:tcPr>
            <w:tcW w:w="940" w:type="dxa"/>
            <w:vAlign w:val="bottom"/>
          </w:tcPr>
          <w:p>
            <w:pPr>
              <w:spacing w:after="0"/>
              <w:rPr>
                <w:sz w:val="12"/>
                <w:szCs w:val="12"/>
                <w:color w:val="auto"/>
              </w:rPr>
            </w:pPr>
          </w:p>
        </w:tc>
        <w:tc>
          <w:tcPr>
            <w:tcW w:w="500" w:type="dxa"/>
            <w:vAlign w:val="bottom"/>
          </w:tcPr>
          <w:p>
            <w:pPr>
              <w:jc w:val="right"/>
              <w:ind w:right="46"/>
              <w:spacing w:after="0"/>
              <w:rPr>
                <w:sz w:val="20"/>
                <w:szCs w:val="20"/>
                <w:color w:val="auto"/>
              </w:rPr>
            </w:pPr>
            <w:r>
              <w:rPr>
                <w:rFonts w:ascii="Arial" w:cs="Arial" w:eastAsia="Arial" w:hAnsi="Arial"/>
                <w:sz w:val="11"/>
                <w:szCs w:val="11"/>
                <w:color w:val="auto"/>
              </w:rPr>
              <w:t>7,449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48"/>
              <w:spacing w:after="0"/>
              <w:rPr>
                <w:sz w:val="20"/>
                <w:szCs w:val="20"/>
                <w:color w:val="auto"/>
              </w:rPr>
            </w:pPr>
            <w:r>
              <w:rPr>
                <w:rFonts w:ascii="Arial" w:cs="Arial" w:eastAsia="Arial" w:hAnsi="Arial"/>
                <w:sz w:val="11"/>
                <w:szCs w:val="11"/>
                <w:color w:val="auto"/>
              </w:rPr>
              <w:t>21,765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ind w:right="47"/>
              <w:spacing w:after="0"/>
              <w:rPr>
                <w:sz w:val="20"/>
                <w:szCs w:val="20"/>
                <w:color w:val="auto"/>
              </w:rPr>
            </w:pPr>
            <w:r>
              <w:rPr>
                <w:rFonts w:ascii="Arial" w:cs="Arial" w:eastAsia="Arial" w:hAnsi="Arial"/>
                <w:sz w:val="11"/>
                <w:szCs w:val="11"/>
                <w:color w:val="auto"/>
              </w:rPr>
              <w:t>15,713</w:t>
            </w:r>
          </w:p>
        </w:tc>
        <w:tc>
          <w:tcPr>
            <w:tcW w:w="160" w:type="dxa"/>
            <w:vAlign w:val="bottom"/>
          </w:tcPr>
          <w:p>
            <w:pPr>
              <w:spacing w:after="0"/>
              <w:rPr>
                <w:sz w:val="12"/>
                <w:szCs w:val="12"/>
                <w:color w:val="auto"/>
              </w:rPr>
            </w:pPr>
          </w:p>
        </w:tc>
      </w:tr>
      <w:tr>
        <w:trPr>
          <w:trHeight w:val="146"/>
        </w:trPr>
        <w:tc>
          <w:tcPr>
            <w:tcW w:w="34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Charitable contributions</w:t>
            </w:r>
          </w:p>
        </w:tc>
        <w:tc>
          <w:tcPr>
            <w:tcW w:w="9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31,169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18,993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r>
      <w:tr>
        <w:trPr>
          <w:trHeight w:val="142"/>
        </w:trPr>
        <w:tc>
          <w:tcPr>
            <w:tcW w:w="340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Payroll taxes related to stock-based compensation</w:t>
            </w:r>
          </w:p>
        </w:tc>
        <w:tc>
          <w:tcPr>
            <w:tcW w:w="9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48,417</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1"/>
                <w:szCs w:val="11"/>
                <w:color w:val="auto"/>
              </w:rPr>
              <w:t>27,389</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15,188</w:t>
            </w:r>
          </w:p>
        </w:tc>
        <w:tc>
          <w:tcPr>
            <w:tcW w:w="160" w:type="dxa"/>
            <w:vAlign w:val="bottom"/>
            <w:tcBorders>
              <w:bottom w:val="single" w:sz="8" w:color="auto"/>
            </w:tcBorders>
          </w:tcPr>
          <w:p>
            <w:pPr>
              <w:spacing w:after="0"/>
              <w:rPr>
                <w:sz w:val="12"/>
                <w:szCs w:val="12"/>
                <w:color w:val="auto"/>
              </w:rPr>
            </w:pPr>
          </w:p>
        </w:tc>
      </w:tr>
      <w:tr>
        <w:trPr>
          <w:trHeight w:val="155"/>
        </w:trPr>
        <w:tc>
          <w:tcPr>
            <w:tcW w:w="34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Non-GAAP income (loss) from operations</w:t>
            </w:r>
          </w:p>
        </w:tc>
        <w:tc>
          <w:tcPr>
            <w:tcW w:w="940" w:type="dxa"/>
            <w:vAlign w:val="bottom"/>
            <w:shd w:val="clear" w:color="auto" w:fill="CCEEFF"/>
          </w:tcPr>
          <w:p>
            <w:pPr>
              <w:jc w:val="right"/>
              <w:ind w:right="708"/>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2,520</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35,651</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(1,759)</w:t>
            </w:r>
          </w:p>
        </w:tc>
        <w:tc>
          <w:tcPr>
            <w:tcW w:w="160" w:type="dxa"/>
            <w:vAlign w:val="bottom"/>
            <w:shd w:val="clear" w:color="auto" w:fill="CCEEFF"/>
          </w:tcPr>
          <w:p>
            <w:pPr>
              <w:spacing w:after="0"/>
              <w:rPr>
                <w:sz w:val="13"/>
                <w:szCs w:val="13"/>
                <w:color w:val="auto"/>
              </w:rPr>
            </w:pPr>
          </w:p>
        </w:tc>
      </w:tr>
      <w:tr>
        <w:trPr>
          <w:trHeight w:val="136"/>
        </w:trPr>
        <w:tc>
          <w:tcPr>
            <w:tcW w:w="3400" w:type="dxa"/>
            <w:vAlign w:val="bottom"/>
            <w:tcBorders>
              <w:top w:val="single" w:sz="8" w:color="CCEEFF"/>
            </w:tcBorders>
          </w:tcPr>
          <w:p>
            <w:pPr>
              <w:ind w:left="340"/>
              <w:spacing w:after="0"/>
              <w:rPr>
                <w:sz w:val="20"/>
                <w:szCs w:val="20"/>
                <w:color w:val="auto"/>
              </w:rPr>
            </w:pPr>
            <w:r>
              <w:rPr>
                <w:rFonts w:ascii="Arial" w:cs="Arial" w:eastAsia="Arial" w:hAnsi="Arial"/>
                <w:sz w:val="11"/>
                <w:szCs w:val="11"/>
                <w:color w:val="auto"/>
              </w:rPr>
              <w:t>Non-GAAP operating margin</w:t>
            </w:r>
          </w:p>
        </w:tc>
        <w:tc>
          <w:tcPr>
            <w:tcW w:w="9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7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20"/>
          </w:cols>
          <w:pgMar w:left="300" w:top="131" w:right="779" w:bottom="1440" w:gutter="0" w:footer="0" w:header="0"/>
        </w:sectPr>
      </w:pPr>
    </w:p>
    <w:bookmarkStart w:id="65" w:name="page66"/>
    <w:bookmarkEnd w:id="6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The following tables set forth our results of operations for the periods presented and as a percentage of our total revenue for those periods. We have included Zipwhip in our results of operations prospectively after July 14, 2021, Twilio Segment after November 2, 2020; Twilio SendGrid after February 1, 2019, and all other acquisitions from the respective closing dates of each such acquisition. The period-to-period comparison of our historical results are not necessarily indicative of the results that may be expected in the future.</w:t>
      </w:r>
    </w:p>
    <w:p>
      <w:pPr>
        <w:spacing w:after="0" w:line="122" w:lineRule="exact"/>
        <w:rPr>
          <w:sz w:val="20"/>
          <w:szCs w:val="20"/>
          <w:color w:val="auto"/>
        </w:rPr>
      </w:pPr>
    </w:p>
    <w:p>
      <w:pPr>
        <w:ind w:right="80" w:firstLine="324"/>
        <w:spacing w:after="0" w:line="323" w:lineRule="auto"/>
        <w:rPr>
          <w:sz w:val="20"/>
          <w:szCs w:val="20"/>
          <w:color w:val="auto"/>
        </w:rPr>
      </w:pPr>
      <w:r>
        <w:rPr>
          <w:rFonts w:ascii="Arial" w:cs="Arial" w:eastAsia="Arial" w:hAnsi="Arial"/>
          <w:sz w:val="11"/>
          <w:szCs w:val="11"/>
          <w:color w:val="auto"/>
        </w:rPr>
        <w:t>Our results of operations may be significantly affected by many factors, such as uncertainty regarding the impacts of the COVID-19 pandemic, fluctuations in foreign exchange rates, changes in global economic conditions and customer demand and spending, inflation, labor market constraints, world events and existing and new domestic and foreign laws and regulations, as well as those factors outlined in Part I, Item 1A, “Risk Factors.”</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Our revenue is primarily derived from usage-based fees we charge for certain of our products, which can lead to variability and at times create significant differences between forecasts and actual results. In addition, our product mix and mix of international and domestic customers may significantly impact our gross margin. Because usage trends by geographic region and by customer are inherently difficult to estimate, our actual results could differ materially from our estimates.</w:t>
      </w:r>
    </w:p>
    <w:p>
      <w:pPr>
        <w:spacing w:after="0" w:line="200" w:lineRule="exact"/>
        <w:rPr>
          <w:sz w:val="20"/>
          <w:szCs w:val="20"/>
          <w:color w:val="auto"/>
        </w:rPr>
      </w:pPr>
    </w:p>
    <w:p>
      <w:pPr>
        <w:spacing w:after="0" w:line="255" w:lineRule="exact"/>
        <w:rPr>
          <w:sz w:val="20"/>
          <w:szCs w:val="20"/>
          <w:color w:val="auto"/>
        </w:rPr>
      </w:pPr>
    </w:p>
    <w:tbl>
      <w:tblPr>
        <w:tblLayout w:type="fixed"/>
        <w:tblInd w:w="112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1"/>
                <w:szCs w:val="11"/>
                <w:b w:val="1"/>
                <w:bCs w:val="1"/>
                <w:color w:val="auto"/>
                <w:w w:val="88"/>
              </w:rPr>
              <w:t>Year Ended December 31,</w:t>
            </w: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35"/>
        </w:trPr>
        <w:tc>
          <w:tcPr>
            <w:tcW w:w="3960" w:type="dxa"/>
            <w:vAlign w:val="bottom"/>
          </w:tcPr>
          <w:p>
            <w:pPr>
              <w:ind w:left="340"/>
              <w:spacing w:after="0"/>
              <w:rPr>
                <w:sz w:val="20"/>
                <w:szCs w:val="20"/>
                <w:color w:val="auto"/>
              </w:rPr>
            </w:pPr>
            <w:r>
              <w:rPr>
                <w:rFonts w:ascii="Arial" w:cs="Arial" w:eastAsia="Arial" w:hAnsi="Arial"/>
                <w:sz w:val="11"/>
                <w:szCs w:val="11"/>
                <w:b w:val="1"/>
                <w:bCs w:val="1"/>
                <w:color w:val="auto"/>
              </w:rPr>
              <w:t>Consolidated Statements of Operations Data:</w:t>
            </w: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60" w:type="dxa"/>
            <w:vAlign w:val="bottom"/>
            <w:gridSpan w:val="5"/>
          </w:tcPr>
          <w:p>
            <w:pPr>
              <w:jc w:val="center"/>
              <w:ind w:right="60"/>
              <w:spacing w:after="0"/>
              <w:rPr>
                <w:sz w:val="20"/>
                <w:szCs w:val="20"/>
                <w:color w:val="auto"/>
              </w:rPr>
            </w:pPr>
            <w:r>
              <w:rPr>
                <w:rFonts w:ascii="Arial" w:cs="Arial" w:eastAsia="Arial" w:hAnsi="Arial"/>
                <w:sz w:val="11"/>
                <w:szCs w:val="11"/>
                <w:color w:val="auto"/>
                <w:w w:val="86"/>
              </w:rPr>
              <w:t>(In thousands, except share and per share amounts)</w:t>
            </w: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Revenue</w:t>
            </w:r>
          </w:p>
        </w:tc>
        <w:tc>
          <w:tcPr>
            <w:tcW w:w="64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2,841,839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1,761,776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1,134,468</w:t>
            </w:r>
          </w:p>
        </w:tc>
        <w:tc>
          <w:tcPr>
            <w:tcW w:w="0" w:type="dxa"/>
            <w:vAlign w:val="bottom"/>
          </w:tcPr>
          <w:p>
            <w:pPr>
              <w:spacing w:after="0"/>
              <w:rPr>
                <w:sz w:val="1"/>
                <w:szCs w:val="1"/>
                <w:color w:val="auto"/>
              </w:rPr>
            </w:pPr>
          </w:p>
        </w:tc>
      </w:tr>
      <w:tr>
        <w:trPr>
          <w:trHeight w:val="144"/>
        </w:trPr>
        <w:tc>
          <w:tcPr>
            <w:tcW w:w="3960" w:type="dxa"/>
            <w:vAlign w:val="bottom"/>
            <w:tcBorders>
              <w:bottom w:val="single" w:sz="8" w:color="CCEEFF"/>
            </w:tcBorders>
          </w:tcPr>
          <w:p>
            <w:pPr>
              <w:ind w:left="340"/>
              <w:spacing w:after="0" w:line="144" w:lineRule="exact"/>
              <w:rPr>
                <w:sz w:val="20"/>
                <w:szCs w:val="20"/>
                <w:color w:val="auto"/>
              </w:rPr>
            </w:pPr>
            <w:r>
              <w:rPr>
                <w:rFonts w:ascii="Arial" w:cs="Arial" w:eastAsia="Arial" w:hAnsi="Arial"/>
                <w:sz w:val="11"/>
                <w:szCs w:val="11"/>
                <w:color w:val="auto"/>
              </w:rPr>
              <w:t xml:space="preserve">Cost of revenue </w:t>
            </w:r>
            <w:r>
              <w:rPr>
                <w:rFonts w:ascii="Arial" w:cs="Arial" w:eastAsia="Arial" w:hAnsi="Arial"/>
                <w:sz w:val="14"/>
                <w:szCs w:val="14"/>
                <w:color w:val="auto"/>
                <w:vertAlign w:val="superscript"/>
              </w:rPr>
              <w:t>(1) (2)</w:t>
            </w: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1,451,126</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846,115</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525,551</w:t>
            </w:r>
          </w:p>
        </w:tc>
        <w:tc>
          <w:tcPr>
            <w:tcW w:w="0" w:type="dxa"/>
            <w:vAlign w:val="bottom"/>
          </w:tcPr>
          <w:p>
            <w:pPr>
              <w:spacing w:after="0"/>
              <w:rPr>
                <w:sz w:val="1"/>
                <w:szCs w:val="1"/>
                <w:color w:val="auto"/>
              </w:rPr>
            </w:pPr>
          </w:p>
        </w:tc>
      </w:tr>
      <w:tr>
        <w:trPr>
          <w:trHeight w:val="133"/>
        </w:trPr>
        <w:tc>
          <w:tcPr>
            <w:tcW w:w="3960" w:type="dxa"/>
            <w:vAlign w:val="bottom"/>
            <w:shd w:val="clear" w:color="auto" w:fill="CCEEFF"/>
          </w:tcPr>
          <w:p>
            <w:pPr>
              <w:ind w:left="480"/>
              <w:spacing w:after="0"/>
              <w:rPr>
                <w:sz w:val="20"/>
                <w:szCs w:val="20"/>
                <w:color w:val="auto"/>
              </w:rPr>
            </w:pPr>
            <w:r>
              <w:rPr>
                <w:rFonts w:ascii="Arial" w:cs="Arial" w:eastAsia="Arial" w:hAnsi="Arial"/>
                <w:sz w:val="11"/>
                <w:szCs w:val="11"/>
                <w:color w:val="auto"/>
              </w:rPr>
              <w:t>Gross profit</w:t>
            </w:r>
          </w:p>
        </w:tc>
        <w:tc>
          <w:tcPr>
            <w:tcW w:w="6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1,390,713</w:t>
            </w:r>
          </w:p>
        </w:tc>
        <w:tc>
          <w:tcPr>
            <w:tcW w:w="10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915,661</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608,917</w:t>
            </w:r>
          </w:p>
        </w:tc>
        <w:tc>
          <w:tcPr>
            <w:tcW w:w="0" w:type="dxa"/>
            <w:vAlign w:val="bottom"/>
          </w:tcPr>
          <w:p>
            <w:pPr>
              <w:spacing w:after="0"/>
              <w:rPr>
                <w:sz w:val="1"/>
                <w:szCs w:val="1"/>
                <w:color w:val="auto"/>
              </w:rPr>
            </w:pPr>
          </w:p>
        </w:tc>
      </w:tr>
      <w:tr>
        <w:trPr>
          <w:trHeight w:val="122"/>
        </w:trPr>
        <w:tc>
          <w:tcPr>
            <w:tcW w:w="3960" w:type="dxa"/>
            <w:vAlign w:val="bottom"/>
          </w:tcPr>
          <w:p>
            <w:pPr>
              <w:ind w:left="340"/>
              <w:spacing w:after="0" w:line="120" w:lineRule="exact"/>
              <w:rPr>
                <w:sz w:val="20"/>
                <w:szCs w:val="20"/>
                <w:color w:val="auto"/>
              </w:rPr>
            </w:pPr>
            <w:r>
              <w:rPr>
                <w:rFonts w:ascii="Arial" w:cs="Arial" w:eastAsia="Arial" w:hAnsi="Arial"/>
                <w:sz w:val="11"/>
                <w:szCs w:val="11"/>
                <w:color w:val="auto"/>
              </w:rPr>
              <w:t>Operating expenses:</w:t>
            </w: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960" w:type="dxa"/>
            <w:vAlign w:val="bottom"/>
            <w:shd w:val="clear" w:color="auto" w:fill="CCEEFF"/>
          </w:tcPr>
          <w:p>
            <w:pPr>
              <w:ind w:left="480"/>
              <w:spacing w:after="0" w:line="146" w:lineRule="exact"/>
              <w:rPr>
                <w:sz w:val="20"/>
                <w:szCs w:val="20"/>
                <w:color w:val="auto"/>
              </w:rPr>
            </w:pPr>
            <w:r>
              <w:rPr>
                <w:rFonts w:ascii="Arial" w:cs="Arial" w:eastAsia="Arial" w:hAnsi="Arial"/>
                <w:sz w:val="11"/>
                <w:szCs w:val="11"/>
                <w:color w:val="auto"/>
              </w:rPr>
              <w:t xml:space="preserve">Research and development </w:t>
            </w:r>
            <w:r>
              <w:rPr>
                <w:rFonts w:ascii="Arial" w:cs="Arial" w:eastAsia="Arial" w:hAnsi="Arial"/>
                <w:sz w:val="14"/>
                <w:szCs w:val="14"/>
                <w:color w:val="auto"/>
                <w:vertAlign w:val="superscript"/>
              </w:rPr>
              <w:t>(1) (2)</w:t>
            </w:r>
          </w:p>
        </w:tc>
        <w:tc>
          <w:tcPr>
            <w:tcW w:w="6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789,219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530,548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391,355</w:t>
            </w:r>
          </w:p>
        </w:tc>
        <w:tc>
          <w:tcPr>
            <w:tcW w:w="0" w:type="dxa"/>
            <w:vAlign w:val="bottom"/>
          </w:tcPr>
          <w:p>
            <w:pPr>
              <w:spacing w:after="0"/>
              <w:rPr>
                <w:sz w:val="1"/>
                <w:szCs w:val="1"/>
                <w:color w:val="auto"/>
              </w:rPr>
            </w:pPr>
          </w:p>
        </w:tc>
      </w:tr>
      <w:tr>
        <w:trPr>
          <w:trHeight w:val="144"/>
        </w:trPr>
        <w:tc>
          <w:tcPr>
            <w:tcW w:w="3960" w:type="dxa"/>
            <w:vAlign w:val="bottom"/>
          </w:tcPr>
          <w:p>
            <w:pPr>
              <w:ind w:left="480"/>
              <w:spacing w:after="0" w:line="144" w:lineRule="exact"/>
              <w:rPr>
                <w:sz w:val="20"/>
                <w:szCs w:val="20"/>
                <w:color w:val="auto"/>
              </w:rPr>
            </w:pPr>
            <w:r>
              <w:rPr>
                <w:rFonts w:ascii="Arial" w:cs="Arial" w:eastAsia="Arial" w:hAnsi="Arial"/>
                <w:sz w:val="11"/>
                <w:szCs w:val="11"/>
                <w:color w:val="auto"/>
              </w:rPr>
              <w:t xml:space="preserve">Sales and marketing </w:t>
            </w:r>
            <w:r>
              <w:rPr>
                <w:rFonts w:ascii="Arial" w:cs="Arial" w:eastAsia="Arial" w:hAnsi="Arial"/>
                <w:sz w:val="14"/>
                <w:szCs w:val="14"/>
                <w:color w:val="auto"/>
                <w:vertAlign w:val="superscript"/>
              </w:rPr>
              <w:t>(1) (2)</w:t>
            </w:r>
          </w:p>
        </w:tc>
        <w:tc>
          <w:tcPr>
            <w:tcW w:w="6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1,044,618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567,407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369,079</w:t>
            </w:r>
          </w:p>
        </w:tc>
        <w:tc>
          <w:tcPr>
            <w:tcW w:w="0" w:type="dxa"/>
            <w:vAlign w:val="bottom"/>
          </w:tcPr>
          <w:p>
            <w:pPr>
              <w:spacing w:after="0"/>
              <w:rPr>
                <w:sz w:val="1"/>
                <w:szCs w:val="1"/>
                <w:color w:val="auto"/>
              </w:rPr>
            </w:pPr>
          </w:p>
        </w:tc>
      </w:tr>
      <w:tr>
        <w:trPr>
          <w:trHeight w:val="144"/>
        </w:trPr>
        <w:tc>
          <w:tcPr>
            <w:tcW w:w="3960" w:type="dxa"/>
            <w:vAlign w:val="bottom"/>
            <w:shd w:val="clear" w:color="auto" w:fill="CCEEFF"/>
          </w:tcPr>
          <w:p>
            <w:pPr>
              <w:ind w:left="480"/>
              <w:spacing w:after="0" w:line="144" w:lineRule="exact"/>
              <w:rPr>
                <w:sz w:val="20"/>
                <w:szCs w:val="20"/>
                <w:color w:val="auto"/>
              </w:rPr>
            </w:pPr>
            <w:r>
              <w:rPr>
                <w:rFonts w:ascii="Arial" w:cs="Arial" w:eastAsia="Arial" w:hAnsi="Arial"/>
                <w:sz w:val="11"/>
                <w:szCs w:val="11"/>
                <w:color w:val="auto"/>
              </w:rPr>
              <w:t xml:space="preserve">General and administrative </w:t>
            </w:r>
            <w:r>
              <w:rPr>
                <w:rFonts w:ascii="Arial" w:cs="Arial" w:eastAsia="Arial" w:hAnsi="Arial"/>
                <w:sz w:val="14"/>
                <w:szCs w:val="14"/>
                <w:color w:val="auto"/>
                <w:vertAlign w:val="superscript"/>
              </w:rPr>
              <w:t>(1) (2)</w:t>
            </w:r>
          </w:p>
        </w:tc>
        <w:tc>
          <w:tcPr>
            <w:tcW w:w="6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472,460</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310,607</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218,268</w:t>
            </w:r>
          </w:p>
        </w:tc>
        <w:tc>
          <w:tcPr>
            <w:tcW w:w="0" w:type="dxa"/>
            <w:vAlign w:val="bottom"/>
          </w:tcPr>
          <w:p>
            <w:pPr>
              <w:spacing w:after="0"/>
              <w:rPr>
                <w:sz w:val="1"/>
                <w:szCs w:val="1"/>
                <w:color w:val="auto"/>
              </w:rPr>
            </w:pPr>
          </w:p>
        </w:tc>
      </w:tr>
      <w:tr>
        <w:trPr>
          <w:trHeight w:val="131"/>
        </w:trPr>
        <w:tc>
          <w:tcPr>
            <w:tcW w:w="3960" w:type="dxa"/>
            <w:vAlign w:val="bottom"/>
            <w:tcBorders>
              <w:bottom w:val="single" w:sz="8" w:color="CCEEFF"/>
            </w:tcBorders>
          </w:tcPr>
          <w:p>
            <w:pPr>
              <w:ind w:left="640"/>
              <w:spacing w:after="0"/>
              <w:rPr>
                <w:sz w:val="20"/>
                <w:szCs w:val="20"/>
                <w:color w:val="auto"/>
              </w:rPr>
            </w:pPr>
            <w:r>
              <w:rPr>
                <w:rFonts w:ascii="Arial" w:cs="Arial" w:eastAsia="Arial" w:hAnsi="Arial"/>
                <w:sz w:val="11"/>
                <w:szCs w:val="11"/>
                <w:color w:val="auto"/>
              </w:rPr>
              <w:t>Total operating expenses</w:t>
            </w:r>
          </w:p>
        </w:tc>
        <w:tc>
          <w:tcPr>
            <w:tcW w:w="6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2,306,297</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1,408,562</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978,702</w:t>
            </w: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ind w:left="560"/>
              <w:spacing w:after="0"/>
              <w:rPr>
                <w:sz w:val="20"/>
                <w:szCs w:val="20"/>
                <w:color w:val="auto"/>
              </w:rPr>
            </w:pPr>
            <w:r>
              <w:rPr>
                <w:rFonts w:ascii="Arial" w:cs="Arial" w:eastAsia="Arial" w:hAnsi="Arial"/>
                <w:sz w:val="11"/>
                <w:szCs w:val="11"/>
                <w:color w:val="auto"/>
              </w:rPr>
              <w:t>Loss from operations</w:t>
            </w:r>
          </w:p>
        </w:tc>
        <w:tc>
          <w:tcPr>
            <w:tcW w:w="6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(915,584)</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(492,901)</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(369,785)</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Other (expenses) income, net</w:t>
            </w: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(45,345)</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(11,525)</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7,569</w:t>
            </w:r>
          </w:p>
        </w:tc>
        <w:tc>
          <w:tcPr>
            <w:tcW w:w="0" w:type="dxa"/>
            <w:vAlign w:val="bottom"/>
          </w:tcPr>
          <w:p>
            <w:pPr>
              <w:spacing w:after="0"/>
              <w:rPr>
                <w:sz w:val="1"/>
                <w:szCs w:val="1"/>
                <w:color w:val="auto"/>
              </w:rPr>
            </w:pPr>
          </w:p>
        </w:tc>
      </w:tr>
      <w:tr>
        <w:trPr>
          <w:trHeight w:val="135"/>
        </w:trPr>
        <w:tc>
          <w:tcPr>
            <w:tcW w:w="3960" w:type="dxa"/>
            <w:vAlign w:val="bottom"/>
            <w:shd w:val="clear" w:color="auto" w:fill="CCEEFF"/>
          </w:tcPr>
          <w:p>
            <w:pPr>
              <w:ind w:left="560"/>
              <w:spacing w:after="0"/>
              <w:rPr>
                <w:sz w:val="20"/>
                <w:szCs w:val="20"/>
                <w:color w:val="auto"/>
              </w:rPr>
            </w:pPr>
            <w:r>
              <w:rPr>
                <w:rFonts w:ascii="Arial" w:cs="Arial" w:eastAsia="Arial" w:hAnsi="Arial"/>
                <w:sz w:val="11"/>
                <w:szCs w:val="11"/>
                <w:color w:val="auto"/>
              </w:rPr>
              <w:t>Loss before benefit for income taxes</w:t>
            </w:r>
          </w:p>
        </w:tc>
        <w:tc>
          <w:tcPr>
            <w:tcW w:w="6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(960,929)</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(504,426)</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(362,216)</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Benefit for income taxes</w:t>
            </w: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11,029</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13,447</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55,153</w:t>
            </w:r>
          </w:p>
        </w:tc>
        <w:tc>
          <w:tcPr>
            <w:tcW w:w="0" w:type="dxa"/>
            <w:vAlign w:val="bottom"/>
          </w:tcPr>
          <w:p>
            <w:pPr>
              <w:spacing w:after="0"/>
              <w:rPr>
                <w:sz w:val="1"/>
                <w:szCs w:val="1"/>
                <w:color w:val="auto"/>
              </w:rPr>
            </w:pPr>
          </w:p>
        </w:tc>
      </w:tr>
      <w:tr>
        <w:trPr>
          <w:trHeight w:val="94"/>
        </w:trPr>
        <w:tc>
          <w:tcPr>
            <w:tcW w:w="3960" w:type="dxa"/>
            <w:vAlign w:val="bottom"/>
            <w:shd w:val="clear" w:color="auto" w:fill="CCEEFF"/>
          </w:tcPr>
          <w:p>
            <w:pPr>
              <w:ind w:left="560"/>
              <w:spacing w:after="0" w:line="94" w:lineRule="exact"/>
              <w:rPr>
                <w:sz w:val="20"/>
                <w:szCs w:val="20"/>
                <w:color w:val="auto"/>
              </w:rPr>
            </w:pPr>
            <w:r>
              <w:rPr>
                <w:rFonts w:ascii="Arial" w:cs="Arial" w:eastAsia="Arial" w:hAnsi="Arial"/>
                <w:sz w:val="10"/>
                <w:szCs w:val="10"/>
                <w:color w:val="auto"/>
              </w:rPr>
              <w:t>Net loss attributable to common</w:t>
            </w:r>
          </w:p>
        </w:tc>
        <w:tc>
          <w:tcPr>
            <w:tcW w:w="640" w:type="dxa"/>
            <w:vAlign w:val="bottom"/>
            <w:vMerge w:val="restart"/>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(949,900)</w:t>
            </w:r>
          </w:p>
        </w:tc>
        <w:tc>
          <w:tcPr>
            <w:tcW w:w="100" w:type="dxa"/>
            <w:vAlign w:val="bottom"/>
            <w:vMerge w:val="restart"/>
            <w:shd w:val="clear" w:color="auto" w:fill="CCEEFF"/>
          </w:tcPr>
          <w:p>
            <w:pPr>
              <w:spacing w:after="0"/>
              <w:rPr>
                <w:sz w:val="8"/>
                <w:szCs w:val="8"/>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(490,979)</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(307,063)</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shd w:val="clear" w:color="auto" w:fill="CCEEFF"/>
          </w:tcPr>
          <w:p>
            <w:pPr>
              <w:ind w:left="380"/>
              <w:spacing w:after="0" w:line="122" w:lineRule="exact"/>
              <w:rPr>
                <w:sz w:val="20"/>
                <w:szCs w:val="20"/>
                <w:color w:val="auto"/>
              </w:rPr>
            </w:pPr>
            <w:r>
              <w:rPr>
                <w:rFonts w:ascii="Arial" w:cs="Arial" w:eastAsia="Arial" w:hAnsi="Arial"/>
                <w:sz w:val="11"/>
                <w:szCs w:val="11"/>
                <w:color w:val="auto"/>
              </w:rPr>
              <w:t>stockholders</w:t>
            </w: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10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13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960" w:type="dxa"/>
            <w:vAlign w:val="bottom"/>
          </w:tcPr>
          <w:p>
            <w:pPr>
              <w:ind w:left="560"/>
              <w:spacing w:after="0" w:line="90" w:lineRule="exact"/>
              <w:rPr>
                <w:sz w:val="20"/>
                <w:szCs w:val="20"/>
                <w:color w:val="auto"/>
              </w:rPr>
            </w:pPr>
            <w:r>
              <w:rPr>
                <w:rFonts w:ascii="Arial" w:cs="Arial" w:eastAsia="Arial" w:hAnsi="Arial"/>
                <w:sz w:val="10"/>
                <w:szCs w:val="10"/>
                <w:color w:val="auto"/>
              </w:rPr>
              <w:t>Net loss per share attributable to common</w:t>
            </w:r>
          </w:p>
        </w:tc>
        <w:tc>
          <w:tcPr>
            <w:tcW w:w="640" w:type="dxa"/>
            <w:vAlign w:val="bottom"/>
            <w:vMerge w:val="restart"/>
          </w:tcPr>
          <w:p>
            <w:pPr>
              <w:jc w:val="right"/>
              <w:ind w:right="186"/>
              <w:spacing w:after="0"/>
              <w:rPr>
                <w:sz w:val="20"/>
                <w:szCs w:val="20"/>
                <w:color w:val="auto"/>
              </w:rPr>
            </w:pPr>
            <w:r>
              <w:rPr>
                <w:rFonts w:ascii="Arial" w:cs="Arial" w:eastAsia="Arial" w:hAnsi="Arial"/>
                <w:sz w:val="11"/>
                <w:szCs w:val="1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1"/>
                <w:szCs w:val="11"/>
                <w:color w:val="auto"/>
              </w:rPr>
              <w:t>(5.45)</w:t>
            </w:r>
          </w:p>
        </w:tc>
        <w:tc>
          <w:tcPr>
            <w:tcW w:w="500" w:type="dxa"/>
            <w:vAlign w:val="bottom"/>
            <w:gridSpan w:val="2"/>
            <w:vMerge w:val="restart"/>
          </w:tcPr>
          <w:p>
            <w:pPr>
              <w:jc w:val="right"/>
              <w:spacing w:after="0"/>
              <w:rPr>
                <w:sz w:val="20"/>
                <w:szCs w:val="20"/>
                <w:color w:val="auto"/>
              </w:rPr>
            </w:pPr>
            <w:r>
              <w:rPr>
                <w:rFonts w:ascii="Arial" w:cs="Arial" w:eastAsia="Arial" w:hAnsi="Arial"/>
                <w:sz w:val="11"/>
                <w:szCs w:val="11"/>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(3.35)</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vMerge w:val="restart"/>
          </w:tcPr>
          <w:p>
            <w:pPr>
              <w:jc w:val="right"/>
              <w:ind w:right="186"/>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(2.36)</w:t>
            </w:r>
          </w:p>
        </w:tc>
        <w:tc>
          <w:tcPr>
            <w:tcW w:w="0" w:type="dxa"/>
            <w:vAlign w:val="bottom"/>
          </w:tcPr>
          <w:p>
            <w:pPr>
              <w:spacing w:after="0"/>
              <w:rPr>
                <w:sz w:val="1"/>
                <w:szCs w:val="1"/>
                <w:color w:val="auto"/>
              </w:rPr>
            </w:pPr>
          </w:p>
        </w:tc>
      </w:tr>
      <w:tr>
        <w:trPr>
          <w:trHeight w:val="138"/>
        </w:trPr>
        <w:tc>
          <w:tcPr>
            <w:tcW w:w="3960" w:type="dxa"/>
            <w:vAlign w:val="bottom"/>
          </w:tcPr>
          <w:p>
            <w:pPr>
              <w:ind w:left="380"/>
              <w:spacing w:after="0" w:line="122" w:lineRule="exact"/>
              <w:rPr>
                <w:sz w:val="20"/>
                <w:szCs w:val="20"/>
                <w:color w:val="auto"/>
              </w:rPr>
            </w:pPr>
            <w:r>
              <w:rPr>
                <w:rFonts w:ascii="Arial" w:cs="Arial" w:eastAsia="Arial" w:hAnsi="Arial"/>
                <w:sz w:val="11"/>
                <w:szCs w:val="11"/>
                <w:color w:val="auto"/>
              </w:rPr>
              <w:t>stockholders, basic and diluted</w:t>
            </w:r>
          </w:p>
        </w:tc>
        <w:tc>
          <w:tcPr>
            <w:tcW w:w="6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960" w:type="dxa"/>
            <w:vAlign w:val="bottom"/>
            <w:tcBorders>
              <w:top w:val="single" w:sz="8" w:color="CCEEFF"/>
            </w:tcBorders>
            <w:shd w:val="clear" w:color="auto" w:fill="CCEEFF"/>
          </w:tcPr>
          <w:p>
            <w:pPr>
              <w:ind w:left="560"/>
              <w:spacing w:after="0" w:line="94" w:lineRule="exact"/>
              <w:rPr>
                <w:sz w:val="20"/>
                <w:szCs w:val="20"/>
                <w:color w:val="auto"/>
              </w:rPr>
            </w:pPr>
            <w:r>
              <w:rPr>
                <w:rFonts w:ascii="Arial" w:cs="Arial" w:eastAsia="Arial" w:hAnsi="Arial"/>
                <w:sz w:val="10"/>
                <w:szCs w:val="10"/>
                <w:color w:val="auto"/>
              </w:rPr>
              <w:t>Weighted-average shares used in computing net</w:t>
            </w:r>
          </w:p>
        </w:tc>
        <w:tc>
          <w:tcPr>
            <w:tcW w:w="64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3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9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60" w:type="dxa"/>
            <w:vAlign w:val="bottom"/>
            <w:shd w:val="clear" w:color="auto" w:fill="CCEEFF"/>
          </w:tcPr>
          <w:p>
            <w:pPr>
              <w:ind w:left="380"/>
              <w:spacing w:after="0" w:line="108" w:lineRule="exact"/>
              <w:rPr>
                <w:sz w:val="20"/>
                <w:szCs w:val="20"/>
                <w:color w:val="auto"/>
              </w:rPr>
            </w:pPr>
            <w:r>
              <w:rPr>
                <w:rFonts w:ascii="Arial" w:cs="Arial" w:eastAsia="Arial" w:hAnsi="Arial"/>
                <w:sz w:val="11"/>
                <w:szCs w:val="11"/>
                <w:color w:val="auto"/>
              </w:rPr>
              <w:t>loss per share attributable to common</w:t>
            </w:r>
          </w:p>
        </w:tc>
        <w:tc>
          <w:tcPr>
            <w:tcW w:w="64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174,180,465</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146,708,663</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130,083,046</w:t>
            </w:r>
          </w:p>
        </w:tc>
        <w:tc>
          <w:tcPr>
            <w:tcW w:w="0" w:type="dxa"/>
            <w:vAlign w:val="bottom"/>
          </w:tcPr>
          <w:p>
            <w:pPr>
              <w:spacing w:after="0"/>
              <w:rPr>
                <w:sz w:val="1"/>
                <w:szCs w:val="1"/>
                <w:color w:val="auto"/>
              </w:rPr>
            </w:pPr>
          </w:p>
        </w:tc>
      </w:tr>
      <w:tr>
        <w:trPr>
          <w:trHeight w:val="138"/>
        </w:trPr>
        <w:tc>
          <w:tcPr>
            <w:tcW w:w="3960" w:type="dxa"/>
            <w:vAlign w:val="bottom"/>
            <w:tcBorders>
              <w:bottom w:val="single" w:sz="8" w:color="CCEEFF"/>
            </w:tcBorders>
            <w:shd w:val="clear" w:color="auto" w:fill="CCEEFF"/>
          </w:tcPr>
          <w:p>
            <w:pPr>
              <w:ind w:left="380"/>
              <w:spacing w:after="0" w:line="122" w:lineRule="exact"/>
              <w:rPr>
                <w:sz w:val="20"/>
                <w:szCs w:val="20"/>
                <w:color w:val="auto"/>
              </w:rPr>
            </w:pPr>
            <w:r>
              <w:rPr>
                <w:rFonts w:ascii="Arial" w:cs="Arial" w:eastAsia="Arial" w:hAnsi="Arial"/>
                <w:sz w:val="11"/>
                <w:szCs w:val="11"/>
                <w:color w:val="auto"/>
              </w:rPr>
              <w:t>stockholders, basic and diluted</w:t>
            </w:r>
          </w:p>
        </w:tc>
        <w:tc>
          <w:tcPr>
            <w:tcW w:w="6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____________________________________</w:t>
      </w:r>
    </w:p>
    <w:p>
      <w:pPr>
        <w:spacing w:after="0" w:line="6" w:lineRule="exact"/>
        <w:rPr>
          <w:sz w:val="20"/>
          <w:szCs w:val="20"/>
          <w:color w:val="auto"/>
        </w:rPr>
      </w:pPr>
    </w:p>
    <w:p>
      <w:pPr>
        <w:ind w:left="320"/>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 xml:space="preserve"> Includes stock-based compensation expense as follows:</w:t>
      </w:r>
    </w:p>
    <w:p>
      <w:pPr>
        <w:spacing w:after="0" w:line="130" w:lineRule="exact"/>
        <w:rPr>
          <w:sz w:val="20"/>
          <w:szCs w:val="20"/>
          <w:color w:val="auto"/>
        </w:rPr>
      </w:pPr>
    </w:p>
    <w:tbl>
      <w:tblPr>
        <w:tblLayout w:type="fixed"/>
        <w:tblInd w:w="1340" w:type="dxa"/>
        <w:tblCellMar>
          <w:top w:w="0" w:type="dxa"/>
          <w:left w:w="0" w:type="dxa"/>
          <w:bottom w:w="0" w:type="dxa"/>
          <w:right w:w="0" w:type="dxa"/>
        </w:tblCellMar>
      </w:tblPr>
      <w:tr>
        <w:trPr>
          <w:trHeight w:val="127"/>
        </w:trPr>
        <w:tc>
          <w:tcPr>
            <w:tcW w:w="394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ind w:left="340"/>
              <w:spacing w:after="0"/>
              <w:rPr>
                <w:sz w:val="20"/>
                <w:szCs w:val="20"/>
                <w:color w:val="auto"/>
              </w:rPr>
            </w:pPr>
            <w:r>
              <w:rPr>
                <w:rFonts w:ascii="Arial" w:cs="Arial" w:eastAsia="Arial" w:hAnsi="Arial"/>
                <w:sz w:val="10"/>
                <w:szCs w:val="10"/>
                <w:b w:val="1"/>
                <w:bCs w:val="1"/>
                <w:color w:val="auto"/>
              </w:rPr>
              <w:t>Year Ended December 31,</w:t>
            </w: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18"/>
        </w:trPr>
        <w:tc>
          <w:tcPr>
            <w:tcW w:w="3940" w:type="dxa"/>
            <w:vAlign w:val="bottom"/>
          </w:tcPr>
          <w:p>
            <w:pPr>
              <w:spacing w:after="0"/>
              <w:rPr>
                <w:sz w:val="10"/>
                <w:szCs w:val="10"/>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2019</w:t>
            </w:r>
          </w:p>
        </w:tc>
      </w:tr>
      <w:tr>
        <w:trPr>
          <w:trHeight w:val="114"/>
        </w:trPr>
        <w:tc>
          <w:tcPr>
            <w:tcW w:w="3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color w:val="auto"/>
              </w:rPr>
              <w:t>(In thousands)</w:t>
            </w: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28"/>
        </w:trPr>
        <w:tc>
          <w:tcPr>
            <w:tcW w:w="3940" w:type="dxa"/>
            <w:vAlign w:val="bottom"/>
            <w:shd w:val="clear" w:color="auto" w:fill="CCEEFF"/>
          </w:tcPr>
          <w:p>
            <w:pPr>
              <w:ind w:left="320"/>
              <w:spacing w:after="0"/>
              <w:rPr>
                <w:sz w:val="20"/>
                <w:szCs w:val="20"/>
                <w:color w:val="auto"/>
              </w:rPr>
            </w:pPr>
            <w:r>
              <w:rPr>
                <w:rFonts w:ascii="Arial" w:cs="Arial" w:eastAsia="Arial" w:hAnsi="Arial"/>
                <w:sz w:val="10"/>
                <w:szCs w:val="10"/>
                <w:color w:val="auto"/>
              </w:rPr>
              <w:t>Cost of revenue</w:t>
            </w:r>
          </w:p>
        </w:tc>
        <w:tc>
          <w:tcPr>
            <w:tcW w:w="122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14,074</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8,857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7,123</w:t>
            </w:r>
          </w:p>
        </w:tc>
      </w:tr>
      <w:tr>
        <w:trPr>
          <w:trHeight w:val="124"/>
        </w:trPr>
        <w:tc>
          <w:tcPr>
            <w:tcW w:w="3940" w:type="dxa"/>
            <w:vAlign w:val="bottom"/>
          </w:tcPr>
          <w:p>
            <w:pPr>
              <w:ind w:left="320"/>
              <w:spacing w:after="0"/>
              <w:rPr>
                <w:sz w:val="20"/>
                <w:szCs w:val="20"/>
                <w:color w:val="auto"/>
              </w:rPr>
            </w:pPr>
            <w:r>
              <w:rPr>
                <w:rFonts w:ascii="Arial" w:cs="Arial" w:eastAsia="Arial" w:hAnsi="Arial"/>
                <w:sz w:val="10"/>
                <w:szCs w:val="10"/>
                <w:color w:val="auto"/>
              </w:rPr>
              <w:t>Research and development</w:t>
            </w:r>
          </w:p>
        </w:tc>
        <w:tc>
          <w:tcPr>
            <w:tcW w:w="12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258,672</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173,303</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126,012</w:t>
            </w:r>
          </w:p>
        </w:tc>
      </w:tr>
      <w:tr>
        <w:trPr>
          <w:trHeight w:val="128"/>
        </w:trPr>
        <w:tc>
          <w:tcPr>
            <w:tcW w:w="3940" w:type="dxa"/>
            <w:vAlign w:val="bottom"/>
            <w:shd w:val="clear" w:color="auto" w:fill="CCEEFF"/>
          </w:tcPr>
          <w:p>
            <w:pPr>
              <w:ind w:left="320"/>
              <w:spacing w:after="0"/>
              <w:rPr>
                <w:sz w:val="20"/>
                <w:szCs w:val="20"/>
                <w:color w:val="auto"/>
              </w:rPr>
            </w:pPr>
            <w:r>
              <w:rPr>
                <w:rFonts w:ascii="Arial" w:cs="Arial" w:eastAsia="Arial" w:hAnsi="Arial"/>
                <w:sz w:val="10"/>
                <w:szCs w:val="10"/>
                <w:color w:val="auto"/>
              </w:rPr>
              <w:t>Sales and marketing</w:t>
            </w:r>
          </w:p>
        </w:tc>
        <w:tc>
          <w:tcPr>
            <w:tcW w:w="1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213,351</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103,450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60,886</w:t>
            </w:r>
          </w:p>
        </w:tc>
      </w:tr>
      <w:tr>
        <w:trPr>
          <w:trHeight w:val="124"/>
        </w:trPr>
        <w:tc>
          <w:tcPr>
            <w:tcW w:w="3940" w:type="dxa"/>
            <w:vAlign w:val="bottom"/>
            <w:tcBorders>
              <w:bottom w:val="single" w:sz="8" w:color="CCEEFF"/>
            </w:tcBorders>
          </w:tcPr>
          <w:p>
            <w:pPr>
              <w:ind w:left="320"/>
              <w:spacing w:after="0"/>
              <w:rPr>
                <w:sz w:val="20"/>
                <w:szCs w:val="20"/>
                <w:color w:val="auto"/>
              </w:rPr>
            </w:pPr>
            <w:r>
              <w:rPr>
                <w:rFonts w:ascii="Arial" w:cs="Arial" w:eastAsia="Arial" w:hAnsi="Arial"/>
                <w:sz w:val="10"/>
                <w:szCs w:val="10"/>
                <w:color w:val="auto"/>
              </w:rPr>
              <w:t>General and administrative</w:t>
            </w:r>
          </w:p>
        </w:tc>
        <w:tc>
          <w:tcPr>
            <w:tcW w:w="1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146,188</w:t>
            </w:r>
          </w:p>
        </w:tc>
        <w:tc>
          <w:tcPr>
            <w:tcW w:w="1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76,301</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70,297</w:t>
            </w:r>
          </w:p>
        </w:tc>
      </w:tr>
      <w:tr>
        <w:trPr>
          <w:trHeight w:val="133"/>
        </w:trPr>
        <w:tc>
          <w:tcPr>
            <w:tcW w:w="3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0"/>
                <w:szCs w:val="10"/>
                <w:color w:val="auto"/>
              </w:rPr>
              <w:t>Total</w:t>
            </w:r>
          </w:p>
        </w:tc>
        <w:tc>
          <w:tcPr>
            <w:tcW w:w="122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632,285</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361,911</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264,318</w:t>
            </w:r>
          </w:p>
        </w:tc>
      </w:tr>
    </w:tbl>
    <w:p>
      <w:pPr>
        <w:spacing w:after="0" w:line="4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____________________________________</w:t>
      </w:r>
    </w:p>
    <w:p>
      <w:pPr>
        <w:spacing w:after="0" w:line="8" w:lineRule="exact"/>
        <w:rPr>
          <w:sz w:val="20"/>
          <w:szCs w:val="20"/>
          <w:color w:val="auto"/>
        </w:rPr>
      </w:pPr>
    </w:p>
    <w:p>
      <w:pPr>
        <w:ind w:left="420" w:hanging="104"/>
        <w:spacing w:after="0"/>
        <w:tabs>
          <w:tab w:leader="none" w:pos="420" w:val="left"/>
        </w:tabs>
        <w:numPr>
          <w:ilvl w:val="0"/>
          <w:numId w:val="39"/>
        </w:numPr>
        <w:rPr>
          <w:rFonts w:ascii="Arial" w:cs="Arial" w:eastAsia="Arial" w:hAnsi="Arial"/>
          <w:sz w:val="12"/>
          <w:szCs w:val="12"/>
          <w:color w:val="auto"/>
          <w:vertAlign w:val="superscript"/>
        </w:rPr>
      </w:pPr>
      <w:r>
        <w:rPr>
          <w:rFonts w:ascii="Arial" w:cs="Arial" w:eastAsia="Arial" w:hAnsi="Arial"/>
          <w:sz w:val="9"/>
          <w:szCs w:val="9"/>
          <w:color w:val="auto"/>
        </w:rPr>
        <w:t>Includes amortization of acquired intangibles as follows: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66" w:name="page67"/>
    <w:bookmarkEnd w:id="6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ectPr>
          <w:pgSz w:w="11900" w:h="16838" w:orient="portrait"/>
          <w:cols w:equalWidth="0" w:num="1">
            <w:col w:w="11200"/>
          </w:cols>
          <w:pgMar w:left="300" w:top="13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Cost of revenue</w:t>
      </w:r>
    </w:p>
    <w:p>
      <w:pPr>
        <w:spacing w:after="0" w:line="11" w:lineRule="exact"/>
        <w:rPr>
          <w:sz w:val="20"/>
          <w:szCs w:val="20"/>
          <w:color w:val="auto"/>
        </w:rPr>
      </w:pPr>
    </w:p>
    <w:p>
      <w:pPr>
        <w:ind w:left="1180"/>
        <w:spacing w:after="0"/>
        <w:rPr>
          <w:sz w:val="20"/>
          <w:szCs w:val="20"/>
          <w:color w:val="auto"/>
        </w:rPr>
      </w:pPr>
      <w:r>
        <w:rPr>
          <w:rFonts w:ascii="Arial" w:cs="Arial" w:eastAsia="Arial" w:hAnsi="Arial"/>
          <w:sz w:val="8"/>
          <w:szCs w:val="8"/>
          <w:color w:val="auto"/>
        </w:rPr>
        <w:t>Research and development</w:t>
      </w:r>
    </w:p>
    <w:p>
      <w:pPr>
        <w:spacing w:after="0" w:line="34"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Sales and marketing</w:t>
      </w:r>
    </w:p>
    <w:p>
      <w:pPr>
        <w:spacing w:after="0" w:line="11" w:lineRule="exact"/>
        <w:rPr>
          <w:sz w:val="20"/>
          <w:szCs w:val="20"/>
          <w:color w:val="auto"/>
        </w:rPr>
      </w:pPr>
    </w:p>
    <w:p>
      <w:pPr>
        <w:ind w:left="1180"/>
        <w:spacing w:after="0"/>
        <w:rPr>
          <w:sz w:val="20"/>
          <w:szCs w:val="20"/>
          <w:color w:val="auto"/>
        </w:rPr>
      </w:pPr>
      <w:r>
        <w:rPr>
          <w:rFonts w:ascii="Arial" w:cs="Arial" w:eastAsia="Arial" w:hAnsi="Arial"/>
          <w:sz w:val="8"/>
          <w:szCs w:val="8"/>
          <w:color w:val="auto"/>
        </w:rPr>
        <w:t>General and administrative</w:t>
      </w:r>
    </w:p>
    <w:p>
      <w:pPr>
        <w:spacing w:after="0" w:line="61" w:lineRule="exact"/>
        <w:rPr>
          <w:sz w:val="20"/>
          <w:szCs w:val="20"/>
          <w:color w:val="auto"/>
        </w:rPr>
      </w:pPr>
    </w:p>
    <w:p>
      <w:pPr>
        <w:ind w:left="1320"/>
        <w:spacing w:after="0"/>
        <w:rPr>
          <w:sz w:val="20"/>
          <w:szCs w:val="20"/>
          <w:color w:val="auto"/>
        </w:rPr>
      </w:pPr>
      <w:r>
        <w:rPr>
          <w:rFonts w:ascii="Arial" w:cs="Arial" w:eastAsia="Arial" w:hAnsi="Arial"/>
          <w:sz w:val="10"/>
          <w:szCs w:val="10"/>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1660"/>
        <w:spacing w:after="0"/>
        <w:rPr>
          <w:sz w:val="20"/>
          <w:szCs w:val="20"/>
          <w:color w:val="auto"/>
        </w:rPr>
      </w:pPr>
      <w:r>
        <w:rPr>
          <w:rFonts w:ascii="Arial" w:cs="Arial" w:eastAsia="Arial" w:hAnsi="Arial"/>
          <w:sz w:val="10"/>
          <w:szCs w:val="10"/>
          <w:b w:val="1"/>
          <w:bCs w:val="1"/>
          <w:color w:val="auto"/>
        </w:rPr>
        <w:t>Year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6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0"/>
                <w:szCs w:val="10"/>
                <w:b w:val="1"/>
                <w:bCs w:val="1"/>
                <w:color w:val="auto"/>
              </w:rPr>
              <w:t>2019</w:t>
            </w:r>
          </w:p>
        </w:tc>
      </w:tr>
      <w:tr>
        <w:trPr>
          <w:trHeight w:val="110"/>
        </w:trPr>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tcPr>
          <w:p>
            <w:pPr>
              <w:ind w:left="140"/>
              <w:spacing w:after="0" w:line="111" w:lineRule="exact"/>
              <w:rPr>
                <w:sz w:val="20"/>
                <w:szCs w:val="20"/>
                <w:color w:val="auto"/>
              </w:rPr>
            </w:pPr>
            <w:r>
              <w:rPr>
                <w:rFonts w:ascii="Arial" w:cs="Arial" w:eastAsia="Arial" w:hAnsi="Arial"/>
                <w:sz w:val="10"/>
                <w:szCs w:val="10"/>
                <w:color w:val="auto"/>
              </w:rPr>
              <w:t>(In thousands)</w:t>
            </w: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23"/>
        </w:trPr>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114,896</w:t>
            </w:r>
          </w:p>
        </w:tc>
        <w:tc>
          <w:tcPr>
            <w:tcW w:w="10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0"/>
                <w:szCs w:val="10"/>
                <w:color w:val="auto"/>
              </w:rPr>
              <w:t>59,501</w:t>
            </w:r>
          </w:p>
        </w:tc>
        <w:tc>
          <w:tcPr>
            <w:tcW w:w="100" w:type="dxa"/>
            <w:vAlign w:val="bottom"/>
          </w:tcPr>
          <w:p>
            <w:pPr>
              <w:spacing w:after="0"/>
              <w:rPr>
                <w:sz w:val="10"/>
                <w:szCs w:val="10"/>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45,267</w:t>
            </w:r>
          </w:p>
        </w:tc>
      </w:tr>
      <w:tr>
        <w:trPr>
          <w:trHeight w:val="126"/>
        </w:trPr>
        <w:tc>
          <w:tcPr>
            <w:tcW w:w="3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1,260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36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82,493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38,915</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27,540</w:t>
            </w:r>
          </w:p>
        </w:tc>
      </w:tr>
      <w:tr>
        <w:trPr>
          <w:trHeight w:val="130"/>
        </w:trPr>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17"/>
        </w:trPr>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198,784</w:t>
            </w:r>
          </w:p>
        </w:tc>
        <w:tc>
          <w:tcPr>
            <w:tcW w:w="100" w:type="dxa"/>
            <w:vAlign w:val="bottom"/>
          </w:tcPr>
          <w:p>
            <w:pPr>
              <w:spacing w:after="0"/>
              <w:rPr>
                <w:sz w:val="10"/>
                <w:szCs w:val="10"/>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98,494</w:t>
            </w:r>
          </w:p>
        </w:tc>
        <w:tc>
          <w:tcPr>
            <w:tcW w:w="100" w:type="dxa"/>
            <w:vAlign w:val="bottom"/>
          </w:tcPr>
          <w:p>
            <w:pPr>
              <w:spacing w:after="0"/>
              <w:rPr>
                <w:sz w:val="10"/>
                <w:szCs w:val="10"/>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72,807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-427990</wp:posOffset>
            </wp:positionV>
            <wp:extent cx="5686425" cy="800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86425" cy="80010"/>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-267970</wp:posOffset>
            </wp:positionV>
            <wp:extent cx="5686425" cy="800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86425" cy="80010"/>
                    </a:xfrm>
                    <a:prstGeom prst="rect">
                      <a:avLst/>
                    </a:prstGeom>
                    <a:noFill/>
                  </pic:spPr>
                </pic:pic>
              </a:graphicData>
            </a:graphic>
          </wp:anchor>
        </w:drawing>
        <w:drawing>
          <wp:anchor simplePos="0" relativeHeight="251657728" behindDoc="1" locked="0" layoutInCell="0" allowOverlap="1">
            <wp:simplePos x="0" y="0"/>
            <wp:positionH relativeFrom="column">
              <wp:posOffset>-2900680</wp:posOffset>
            </wp:positionH>
            <wp:positionV relativeFrom="paragraph">
              <wp:posOffset>-107950</wp:posOffset>
            </wp:positionV>
            <wp:extent cx="5686425" cy="97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86425" cy="971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460"/>
          </w:cols>
          <w:pgMar w:left="300" w:top="131" w:right="399" w:bottom="1440" w:gutter="0" w:footer="0" w:header="0"/>
          <w:type w:val="continuous"/>
        </w:sectPr>
      </w:pPr>
    </w:p>
    <w:p>
      <w:pPr>
        <w:spacing w:after="0" w:line="25" w:lineRule="exact"/>
        <w:rPr>
          <w:sz w:val="20"/>
          <w:szCs w:val="20"/>
          <w:color w:val="auto"/>
        </w:rPr>
      </w:pPr>
    </w:p>
    <w:tbl>
      <w:tblPr>
        <w:tblLayout w:type="fixed"/>
        <w:tblInd w:w="1260" w:type="dxa"/>
        <w:tblCellMar>
          <w:top w:w="0" w:type="dxa"/>
          <w:left w:w="0" w:type="dxa"/>
          <w:bottom w:w="0" w:type="dxa"/>
          <w:right w:w="0" w:type="dxa"/>
        </w:tblCellMar>
      </w:tblPr>
      <w:tr>
        <w:trPr>
          <w:trHeight w:val="142"/>
        </w:trPr>
        <w:tc>
          <w:tcPr>
            <w:tcW w:w="360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ind w:left="500"/>
              <w:spacing w:after="0"/>
              <w:rPr>
                <w:sz w:val="20"/>
                <w:szCs w:val="20"/>
                <w:color w:val="auto"/>
              </w:rPr>
            </w:pPr>
            <w:r>
              <w:rPr>
                <w:rFonts w:ascii="Arial" w:cs="Arial" w:eastAsia="Arial" w:hAnsi="Arial"/>
                <w:sz w:val="11"/>
                <w:szCs w:val="11"/>
                <w:b w:val="1"/>
                <w:bCs w:val="1"/>
                <w:color w:val="auto"/>
              </w:rPr>
              <w:t>Year Ended December 31,</w:t>
            </w:r>
          </w:p>
        </w:tc>
        <w:tc>
          <w:tcPr>
            <w:tcW w:w="14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14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2020</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2019</w:t>
            </w: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600" w:type="dxa"/>
            <w:vAlign w:val="bottom"/>
          </w:tcPr>
          <w:p>
            <w:pPr>
              <w:ind w:left="440"/>
              <w:spacing w:after="0" w:line="92" w:lineRule="exact"/>
              <w:rPr>
                <w:sz w:val="20"/>
                <w:szCs w:val="20"/>
                <w:color w:val="auto"/>
              </w:rPr>
            </w:pPr>
            <w:r>
              <w:rPr>
                <w:rFonts w:ascii="Arial" w:cs="Arial" w:eastAsia="Arial" w:hAnsi="Arial"/>
                <w:sz w:val="10"/>
                <w:szCs w:val="10"/>
                <w:b w:val="1"/>
                <w:bCs w:val="1"/>
                <w:color w:val="auto"/>
              </w:rPr>
              <w:t>Consolidated Statements of Operations, as a percentage of</w:t>
            </w:r>
          </w:p>
        </w:tc>
        <w:tc>
          <w:tcPr>
            <w:tcW w:w="1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600" w:type="dxa"/>
            <w:vAlign w:val="bottom"/>
          </w:tcPr>
          <w:p>
            <w:pPr>
              <w:ind w:left="20"/>
              <w:spacing w:after="0"/>
              <w:rPr>
                <w:sz w:val="20"/>
                <w:szCs w:val="20"/>
                <w:color w:val="auto"/>
              </w:rPr>
            </w:pPr>
            <w:r>
              <w:rPr>
                <w:rFonts w:ascii="Arial" w:cs="Arial" w:eastAsia="Arial" w:hAnsi="Arial"/>
                <w:sz w:val="11"/>
                <w:szCs w:val="11"/>
                <w:b w:val="1"/>
                <w:bCs w:val="1"/>
                <w:color w:val="auto"/>
              </w:rPr>
              <w:t>revenue: **</w:t>
            </w: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Revenue</w:t>
            </w:r>
          </w:p>
        </w:tc>
        <w:tc>
          <w:tcPr>
            <w:tcW w:w="148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100</w:t>
            </w:r>
          </w:p>
        </w:tc>
        <w:tc>
          <w:tcPr>
            <w:tcW w:w="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100</w:t>
            </w:r>
          </w:p>
        </w:tc>
        <w:tc>
          <w:tcPr>
            <w:tcW w:w="3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Cost of revenue</w:t>
            </w:r>
          </w:p>
        </w:tc>
        <w:tc>
          <w:tcPr>
            <w:tcW w:w="14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51</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48</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46</w:t>
            </w: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CEEFF"/>
          </w:tcPr>
          <w:p>
            <w:pPr>
              <w:ind w:left="580"/>
              <w:spacing w:after="0"/>
              <w:rPr>
                <w:sz w:val="20"/>
                <w:szCs w:val="20"/>
                <w:color w:val="auto"/>
              </w:rPr>
            </w:pPr>
            <w:r>
              <w:rPr>
                <w:rFonts w:ascii="Arial" w:cs="Arial" w:eastAsia="Arial" w:hAnsi="Arial"/>
                <w:sz w:val="11"/>
                <w:szCs w:val="11"/>
                <w:color w:val="auto"/>
              </w:rPr>
              <w:t>Gross profit</w:t>
            </w:r>
          </w:p>
        </w:tc>
        <w:tc>
          <w:tcPr>
            <w:tcW w:w="148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49</w:t>
            </w:r>
          </w:p>
        </w:tc>
        <w:tc>
          <w:tcPr>
            <w:tcW w:w="3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52</w:t>
            </w:r>
          </w:p>
        </w:tc>
        <w:tc>
          <w:tcPr>
            <w:tcW w:w="3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54</w:t>
            </w:r>
          </w:p>
        </w:tc>
        <w:tc>
          <w:tcPr>
            <w:tcW w:w="3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600" w:type="dxa"/>
            <w:vAlign w:val="bottom"/>
          </w:tcPr>
          <w:p>
            <w:pPr>
              <w:ind w:left="440"/>
              <w:spacing w:after="0" w:line="120" w:lineRule="exact"/>
              <w:rPr>
                <w:sz w:val="20"/>
                <w:szCs w:val="20"/>
                <w:color w:val="auto"/>
              </w:rPr>
            </w:pPr>
            <w:r>
              <w:rPr>
                <w:rFonts w:ascii="Arial" w:cs="Arial" w:eastAsia="Arial" w:hAnsi="Arial"/>
                <w:sz w:val="11"/>
                <w:szCs w:val="11"/>
                <w:color w:val="auto"/>
              </w:rPr>
              <w:t>Operating expenses:</w:t>
            </w: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CEEFF"/>
          </w:tcPr>
          <w:p>
            <w:pPr>
              <w:ind w:left="580"/>
              <w:spacing w:after="0"/>
              <w:rPr>
                <w:sz w:val="20"/>
                <w:szCs w:val="20"/>
                <w:color w:val="auto"/>
              </w:rPr>
            </w:pPr>
            <w:r>
              <w:rPr>
                <w:rFonts w:ascii="Arial" w:cs="Arial" w:eastAsia="Arial" w:hAnsi="Arial"/>
                <w:sz w:val="11"/>
                <w:szCs w:val="11"/>
                <w:color w:val="auto"/>
              </w:rPr>
              <w:t>Research and development</w:t>
            </w:r>
          </w:p>
        </w:tc>
        <w:tc>
          <w:tcPr>
            <w:tcW w:w="148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28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ind w:left="580"/>
              <w:spacing w:after="0"/>
              <w:rPr>
                <w:sz w:val="20"/>
                <w:szCs w:val="20"/>
                <w:color w:val="auto"/>
              </w:rPr>
            </w:pPr>
            <w:r>
              <w:rPr>
                <w:rFonts w:ascii="Arial" w:cs="Arial" w:eastAsia="Arial" w:hAnsi="Arial"/>
                <w:sz w:val="11"/>
                <w:szCs w:val="11"/>
                <w:color w:val="auto"/>
              </w:rPr>
              <w:t>Sales and marketing</w:t>
            </w:r>
          </w:p>
        </w:tc>
        <w:tc>
          <w:tcPr>
            <w:tcW w:w="1480" w:type="dxa"/>
            <w:vAlign w:val="bottom"/>
          </w:tcPr>
          <w:p>
            <w:pPr>
              <w:jc w:val="right"/>
              <w:ind w:right="186"/>
              <w:spacing w:after="0"/>
              <w:rPr>
                <w:sz w:val="20"/>
                <w:szCs w:val="20"/>
                <w:color w:val="auto"/>
              </w:rPr>
            </w:pPr>
            <w:r>
              <w:rPr>
                <w:rFonts w:ascii="Arial" w:cs="Arial" w:eastAsia="Arial" w:hAnsi="Arial"/>
                <w:sz w:val="11"/>
                <w:szCs w:val="11"/>
                <w:color w:val="auto"/>
              </w:rPr>
              <w:t>37</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186"/>
              <w:spacing w:after="0"/>
              <w:rPr>
                <w:sz w:val="20"/>
                <w:szCs w:val="20"/>
                <w:color w:val="auto"/>
              </w:rPr>
            </w:pPr>
            <w:r>
              <w:rPr>
                <w:rFonts w:ascii="Arial" w:cs="Arial" w:eastAsia="Arial" w:hAnsi="Arial"/>
                <w:sz w:val="11"/>
                <w:szCs w:val="11"/>
                <w:color w:val="auto"/>
              </w:rPr>
              <w:t>32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186"/>
              <w:spacing w:after="0"/>
              <w:rPr>
                <w:sz w:val="20"/>
                <w:szCs w:val="20"/>
                <w:color w:val="auto"/>
              </w:rPr>
            </w:pPr>
            <w:r>
              <w:rPr>
                <w:rFonts w:ascii="Arial" w:cs="Arial" w:eastAsia="Arial" w:hAnsi="Arial"/>
                <w:sz w:val="11"/>
                <w:szCs w:val="11"/>
                <w:color w:val="auto"/>
              </w:rPr>
              <w:t>33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shd w:val="clear" w:color="auto" w:fill="CCEEFF"/>
          </w:tcPr>
          <w:p>
            <w:pPr>
              <w:ind w:left="580"/>
              <w:spacing w:after="0"/>
              <w:rPr>
                <w:sz w:val="20"/>
                <w:szCs w:val="20"/>
                <w:color w:val="auto"/>
              </w:rPr>
            </w:pPr>
            <w:r>
              <w:rPr>
                <w:rFonts w:ascii="Arial" w:cs="Arial" w:eastAsia="Arial" w:hAnsi="Arial"/>
                <w:sz w:val="11"/>
                <w:szCs w:val="11"/>
                <w:color w:val="auto"/>
              </w:rPr>
              <w:t>General and administrative</w:t>
            </w:r>
          </w:p>
        </w:tc>
        <w:tc>
          <w:tcPr>
            <w:tcW w:w="148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17</w:t>
            </w:r>
          </w:p>
        </w:tc>
        <w:tc>
          <w:tcPr>
            <w:tcW w:w="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18</w:t>
            </w:r>
          </w:p>
        </w:tc>
        <w:tc>
          <w:tcPr>
            <w:tcW w:w="3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19</w:t>
            </w:r>
          </w:p>
        </w:tc>
        <w:tc>
          <w:tcPr>
            <w:tcW w:w="3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00" w:type="dxa"/>
            <w:vAlign w:val="bottom"/>
            <w:tcBorders>
              <w:bottom w:val="single" w:sz="8" w:color="CCEEFF"/>
            </w:tcBorders>
          </w:tcPr>
          <w:p>
            <w:pPr>
              <w:ind w:left="740"/>
              <w:spacing w:after="0"/>
              <w:rPr>
                <w:sz w:val="20"/>
                <w:szCs w:val="20"/>
                <w:color w:val="auto"/>
              </w:rPr>
            </w:pPr>
            <w:r>
              <w:rPr>
                <w:rFonts w:ascii="Arial" w:cs="Arial" w:eastAsia="Arial" w:hAnsi="Arial"/>
                <w:sz w:val="11"/>
                <w:szCs w:val="11"/>
                <w:color w:val="auto"/>
              </w:rPr>
              <w:t>Total operating expenses</w:t>
            </w:r>
          </w:p>
        </w:tc>
        <w:tc>
          <w:tcPr>
            <w:tcW w:w="14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81</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80</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86</w:t>
            </w: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CEEFF"/>
          </w:tcPr>
          <w:p>
            <w:pPr>
              <w:ind w:left="660"/>
              <w:spacing w:after="0"/>
              <w:rPr>
                <w:sz w:val="20"/>
                <w:szCs w:val="20"/>
                <w:color w:val="auto"/>
              </w:rPr>
            </w:pPr>
            <w:r>
              <w:rPr>
                <w:rFonts w:ascii="Arial" w:cs="Arial" w:eastAsia="Arial" w:hAnsi="Arial"/>
                <w:sz w:val="11"/>
                <w:szCs w:val="11"/>
                <w:color w:val="auto"/>
              </w:rPr>
              <w:t>Loss from operations</w:t>
            </w:r>
          </w:p>
        </w:tc>
        <w:tc>
          <w:tcPr>
            <w:tcW w:w="14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(32)</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(28)</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(33)</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Other (expenses) income, net</w:t>
            </w:r>
          </w:p>
        </w:tc>
        <w:tc>
          <w:tcPr>
            <w:tcW w:w="1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(2)</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(1)</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1</w:t>
            </w: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CEEFF"/>
          </w:tcPr>
          <w:p>
            <w:pPr>
              <w:ind w:left="660"/>
              <w:spacing w:after="0"/>
              <w:rPr>
                <w:sz w:val="20"/>
                <w:szCs w:val="20"/>
                <w:color w:val="auto"/>
              </w:rPr>
            </w:pPr>
            <w:r>
              <w:rPr>
                <w:rFonts w:ascii="Arial" w:cs="Arial" w:eastAsia="Arial" w:hAnsi="Arial"/>
                <w:sz w:val="11"/>
                <w:szCs w:val="11"/>
                <w:color w:val="auto"/>
              </w:rPr>
              <w:t>Loss before benefit for income taxes</w:t>
            </w:r>
          </w:p>
        </w:tc>
        <w:tc>
          <w:tcPr>
            <w:tcW w:w="14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(34)</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(29)</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(32)</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Benefit for income taxes</w:t>
            </w:r>
          </w:p>
        </w:tc>
        <w:tc>
          <w:tcPr>
            <w:tcW w:w="14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1</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5</w:t>
            </w: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00" w:type="dxa"/>
            <w:vAlign w:val="bottom"/>
            <w:shd w:val="clear" w:color="auto" w:fill="CCEEFF"/>
          </w:tcPr>
          <w:p>
            <w:pPr>
              <w:ind w:left="660"/>
              <w:spacing w:after="0" w:line="94" w:lineRule="exact"/>
              <w:rPr>
                <w:sz w:val="20"/>
                <w:szCs w:val="20"/>
                <w:color w:val="auto"/>
              </w:rPr>
            </w:pPr>
            <w:r>
              <w:rPr>
                <w:rFonts w:ascii="Arial" w:cs="Arial" w:eastAsia="Arial" w:hAnsi="Arial"/>
                <w:sz w:val="10"/>
                <w:szCs w:val="10"/>
                <w:color w:val="auto"/>
              </w:rPr>
              <w:t>Net loss attributable to common</w:t>
            </w:r>
          </w:p>
        </w:tc>
        <w:tc>
          <w:tcPr>
            <w:tcW w:w="1480" w:type="dxa"/>
            <w:vAlign w:val="bottom"/>
            <w:vMerge w:val="restart"/>
            <w:shd w:val="clear" w:color="auto" w:fill="CCEEFF"/>
          </w:tcPr>
          <w:p>
            <w:pPr>
              <w:jc w:val="right"/>
              <w:ind w:right="186"/>
              <w:spacing w:after="0"/>
              <w:rPr>
                <w:sz w:val="20"/>
                <w:szCs w:val="20"/>
                <w:color w:val="auto"/>
              </w:rPr>
            </w:pPr>
            <w:r>
              <w:rPr>
                <w:rFonts w:ascii="Arial" w:cs="Arial" w:eastAsia="Arial" w:hAnsi="Arial"/>
                <w:sz w:val="11"/>
                <w:szCs w:val="11"/>
                <w:color w:val="auto"/>
              </w:rPr>
              <w:t>(33</w:t>
            </w:r>
          </w:p>
        </w:tc>
        <w:tc>
          <w:tcPr>
            <w:tcW w:w="360" w:type="dxa"/>
            <w:vAlign w:val="bottom"/>
            <w:vMerge w:val="restart"/>
            <w:shd w:val="clear" w:color="auto" w:fill="CCEEFF"/>
          </w:tcPr>
          <w:p>
            <w:pPr>
              <w:ind w:left="220"/>
              <w:spacing w:after="0"/>
              <w:rPr>
                <w:sz w:val="20"/>
                <w:szCs w:val="20"/>
                <w:color w:val="auto"/>
              </w:rPr>
            </w:pPr>
            <w:r>
              <w:rPr>
                <w:rFonts w:ascii="Arial" w:cs="Arial" w:eastAsia="Arial" w:hAnsi="Arial"/>
                <w:sz w:val="11"/>
                <w:szCs w:val="11"/>
                <w:color w:val="auto"/>
                <w:w w:val="88"/>
              </w:rPr>
              <w:t>%)</w:t>
            </w:r>
          </w:p>
        </w:tc>
        <w:tc>
          <w:tcPr>
            <w:tcW w:w="80" w:type="dxa"/>
            <w:vAlign w:val="bottom"/>
            <w:shd w:val="clear" w:color="auto" w:fill="CCEEFF"/>
          </w:tcPr>
          <w:p>
            <w:pPr>
              <w:spacing w:after="0"/>
              <w:rPr>
                <w:sz w:val="8"/>
                <w:szCs w:val="8"/>
                <w:color w:val="auto"/>
              </w:rPr>
            </w:pPr>
          </w:p>
        </w:tc>
        <w:tc>
          <w:tcPr>
            <w:tcW w:w="1480" w:type="dxa"/>
            <w:vAlign w:val="bottom"/>
            <w:vMerge w:val="restart"/>
            <w:shd w:val="clear" w:color="auto" w:fill="CCEEFF"/>
          </w:tcPr>
          <w:p>
            <w:pPr>
              <w:jc w:val="right"/>
              <w:ind w:right="186"/>
              <w:spacing w:after="0"/>
              <w:rPr>
                <w:sz w:val="20"/>
                <w:szCs w:val="20"/>
                <w:color w:val="auto"/>
              </w:rPr>
            </w:pPr>
            <w:r>
              <w:rPr>
                <w:rFonts w:ascii="Arial" w:cs="Arial" w:eastAsia="Arial" w:hAnsi="Arial"/>
                <w:sz w:val="11"/>
                <w:szCs w:val="11"/>
                <w:color w:val="auto"/>
              </w:rPr>
              <w:t>(28</w:t>
            </w:r>
          </w:p>
        </w:tc>
        <w:tc>
          <w:tcPr>
            <w:tcW w:w="360" w:type="dxa"/>
            <w:vAlign w:val="bottom"/>
            <w:vMerge w:val="restart"/>
            <w:shd w:val="clear" w:color="auto" w:fill="CCEEFF"/>
          </w:tcPr>
          <w:p>
            <w:pPr>
              <w:ind w:left="220"/>
              <w:spacing w:after="0"/>
              <w:rPr>
                <w:sz w:val="20"/>
                <w:szCs w:val="20"/>
                <w:color w:val="auto"/>
              </w:rPr>
            </w:pPr>
            <w:r>
              <w:rPr>
                <w:rFonts w:ascii="Arial" w:cs="Arial" w:eastAsia="Arial" w:hAnsi="Arial"/>
                <w:sz w:val="11"/>
                <w:szCs w:val="11"/>
                <w:color w:val="auto"/>
                <w:w w:val="88"/>
              </w:rPr>
              <w:t>%)</w:t>
            </w:r>
          </w:p>
        </w:tc>
        <w:tc>
          <w:tcPr>
            <w:tcW w:w="80" w:type="dxa"/>
            <w:vAlign w:val="bottom"/>
            <w:shd w:val="clear" w:color="auto" w:fill="CCEEFF"/>
          </w:tcPr>
          <w:p>
            <w:pPr>
              <w:spacing w:after="0"/>
              <w:rPr>
                <w:sz w:val="8"/>
                <w:szCs w:val="8"/>
                <w:color w:val="auto"/>
              </w:rPr>
            </w:pPr>
          </w:p>
        </w:tc>
        <w:tc>
          <w:tcPr>
            <w:tcW w:w="1440" w:type="dxa"/>
            <w:vAlign w:val="bottom"/>
            <w:vMerge w:val="restart"/>
            <w:shd w:val="clear" w:color="auto" w:fill="CCEEFF"/>
          </w:tcPr>
          <w:p>
            <w:pPr>
              <w:jc w:val="right"/>
              <w:ind w:right="166"/>
              <w:spacing w:after="0"/>
              <w:rPr>
                <w:sz w:val="20"/>
                <w:szCs w:val="20"/>
                <w:color w:val="auto"/>
              </w:rPr>
            </w:pPr>
            <w:r>
              <w:rPr>
                <w:rFonts w:ascii="Arial" w:cs="Arial" w:eastAsia="Arial" w:hAnsi="Arial"/>
                <w:sz w:val="11"/>
                <w:szCs w:val="11"/>
                <w:color w:val="auto"/>
              </w:rPr>
              <w:t>(27)</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3600" w:type="dxa"/>
            <w:vAlign w:val="bottom"/>
            <w:tcBorders>
              <w:bottom w:val="single" w:sz="8" w:color="CCEEFF"/>
            </w:tcBorders>
            <w:shd w:val="clear" w:color="auto" w:fill="CCEEFF"/>
          </w:tcPr>
          <w:p>
            <w:pPr>
              <w:ind w:left="360"/>
              <w:spacing w:after="0" w:line="122" w:lineRule="exact"/>
              <w:rPr>
                <w:sz w:val="20"/>
                <w:szCs w:val="20"/>
                <w:color w:val="auto"/>
              </w:rPr>
            </w:pPr>
            <w:r>
              <w:rPr>
                <w:rFonts w:ascii="Arial" w:cs="Arial" w:eastAsia="Arial" w:hAnsi="Arial"/>
                <w:sz w:val="11"/>
                <w:szCs w:val="11"/>
                <w:color w:val="auto"/>
              </w:rPr>
              <w:t>stockholders</w:t>
            </w:r>
          </w:p>
        </w:tc>
        <w:tc>
          <w:tcPr>
            <w:tcW w:w="1480" w:type="dxa"/>
            <w:vAlign w:val="bottom"/>
            <w:tcBorders>
              <w:bottom w:val="single" w:sz="8" w:color="auto"/>
            </w:tcBorders>
            <w:vMerge w:val="continue"/>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auto"/>
            </w:tcBorders>
            <w:vMerge w:val="continue"/>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auto"/>
            </w:tcBorders>
            <w:vMerge w:val="continue"/>
            <w:shd w:val="clear" w:color="auto" w:fill="CCEEFF"/>
          </w:tcPr>
          <w:p>
            <w:pPr>
              <w:spacing w:after="0"/>
              <w:rPr>
                <w:sz w:val="12"/>
                <w:szCs w:val="12"/>
                <w:color w:val="auto"/>
              </w:rPr>
            </w:pP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____________________________________</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 Less than 0.5% of revenue.</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1"/>
          <w:szCs w:val="11"/>
          <w:color w:val="auto"/>
        </w:rPr>
        <w:t>** Columns may not add up to 100% due to rounding.</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Comparison of the Fiscal Years Ended December 31, 2021, 2020 and 2019</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w:t>
      </w:r>
    </w:p>
    <w:p>
      <w:pPr>
        <w:spacing w:after="0" w:line="240" w:lineRule="exact"/>
        <w:rPr>
          <w:sz w:val="20"/>
          <w:szCs w:val="20"/>
          <w:color w:val="auto"/>
        </w:rPr>
      </w:pPr>
    </w:p>
    <w:tbl>
      <w:tblPr>
        <w:tblLayout w:type="fixed"/>
        <w:tblInd w:w="740" w:type="dxa"/>
        <w:tblCellMar>
          <w:top w:w="0" w:type="dxa"/>
          <w:left w:w="0" w:type="dxa"/>
          <w:bottom w:w="0" w:type="dxa"/>
          <w:right w:w="0" w:type="dxa"/>
        </w:tblCellMar>
      </w:tblPr>
      <w:tr>
        <w:trPr>
          <w:trHeight w:val="140"/>
        </w:trPr>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Year Ended December 31,</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vMerge w:val="restart"/>
          </w:tcPr>
          <w:p>
            <w:pPr>
              <w:jc w:val="right"/>
              <w:ind w:right="486"/>
              <w:spacing w:after="0"/>
              <w:rPr>
                <w:sz w:val="20"/>
                <w:szCs w:val="20"/>
                <w:color w:val="auto"/>
              </w:rPr>
            </w:pPr>
            <w:r>
              <w:rPr>
                <w:rFonts w:ascii="Arial" w:cs="Arial" w:eastAsia="Arial" w:hAnsi="Arial"/>
                <w:sz w:val="11"/>
                <w:szCs w:val="11"/>
                <w:b w:val="1"/>
                <w:bCs w:val="1"/>
                <w:color w:val="auto"/>
              </w:rPr>
              <w:t>2021</w:t>
            </w:r>
          </w:p>
        </w:tc>
        <w:tc>
          <w:tcPr>
            <w:tcW w:w="540" w:type="dxa"/>
            <w:vAlign w:val="bottom"/>
          </w:tcPr>
          <w:p>
            <w:pPr>
              <w:spacing w:after="0"/>
              <w:rPr>
                <w:sz w:val="8"/>
                <w:szCs w:val="8"/>
                <w:color w:val="auto"/>
              </w:rPr>
            </w:pPr>
          </w:p>
        </w:tc>
        <w:tc>
          <w:tcPr>
            <w:tcW w:w="1060" w:type="dxa"/>
            <w:vAlign w:val="bottom"/>
            <w:vMerge w:val="restart"/>
          </w:tcPr>
          <w:p>
            <w:pPr>
              <w:jc w:val="right"/>
              <w:ind w:right="626"/>
              <w:spacing w:after="0"/>
              <w:rPr>
                <w:sz w:val="20"/>
                <w:szCs w:val="20"/>
                <w:color w:val="auto"/>
              </w:rPr>
            </w:pPr>
            <w:r>
              <w:rPr>
                <w:rFonts w:ascii="Arial" w:cs="Arial" w:eastAsia="Arial" w:hAnsi="Arial"/>
                <w:sz w:val="11"/>
                <w:szCs w:val="11"/>
                <w:b w:val="1"/>
                <w:bCs w:val="1"/>
                <w:color w:val="auto"/>
              </w:rPr>
              <w:t>2020</w:t>
            </w:r>
          </w:p>
        </w:tc>
        <w:tc>
          <w:tcPr>
            <w:tcW w:w="420" w:type="dxa"/>
            <w:vAlign w:val="bottom"/>
          </w:tcPr>
          <w:p>
            <w:pPr>
              <w:spacing w:after="0"/>
              <w:rPr>
                <w:sz w:val="8"/>
                <w:szCs w:val="8"/>
                <w:color w:val="auto"/>
              </w:rPr>
            </w:pPr>
          </w:p>
        </w:tc>
        <w:tc>
          <w:tcPr>
            <w:tcW w:w="760" w:type="dxa"/>
            <w:vAlign w:val="bottom"/>
            <w:vMerge w:val="restart"/>
          </w:tcPr>
          <w:p>
            <w:pPr>
              <w:jc w:val="right"/>
              <w:ind w:right="326"/>
              <w:spacing w:after="0"/>
              <w:rPr>
                <w:sz w:val="20"/>
                <w:szCs w:val="20"/>
                <w:color w:val="auto"/>
              </w:rPr>
            </w:pPr>
            <w:r>
              <w:rPr>
                <w:rFonts w:ascii="Arial" w:cs="Arial" w:eastAsia="Arial" w:hAnsi="Arial"/>
                <w:sz w:val="11"/>
                <w:szCs w:val="11"/>
                <w:b w:val="1"/>
                <w:bCs w:val="1"/>
                <w:color w:val="auto"/>
              </w:rPr>
              <w:t>2019</w:t>
            </w:r>
          </w:p>
        </w:tc>
        <w:tc>
          <w:tcPr>
            <w:tcW w:w="760" w:type="dxa"/>
            <w:vAlign w:val="bottom"/>
          </w:tcPr>
          <w:p>
            <w:pPr>
              <w:spacing w:after="0"/>
              <w:rPr>
                <w:sz w:val="8"/>
                <w:szCs w:val="8"/>
                <w:color w:val="auto"/>
              </w:rPr>
            </w:pPr>
          </w:p>
        </w:tc>
        <w:tc>
          <w:tcPr>
            <w:tcW w:w="1140" w:type="dxa"/>
            <w:vAlign w:val="bottom"/>
          </w:tcPr>
          <w:p>
            <w:pPr>
              <w:jc w:val="right"/>
              <w:ind w:right="8"/>
              <w:spacing w:after="0" w:line="92" w:lineRule="exact"/>
              <w:rPr>
                <w:sz w:val="20"/>
                <w:szCs w:val="20"/>
                <w:color w:val="auto"/>
              </w:rPr>
            </w:pPr>
            <w:r>
              <w:rPr>
                <w:rFonts w:ascii="Arial" w:cs="Arial" w:eastAsia="Arial" w:hAnsi="Arial"/>
                <w:sz w:val="10"/>
                <w:szCs w:val="10"/>
                <w:b w:val="1"/>
                <w:bCs w:val="1"/>
                <w:color w:val="auto"/>
              </w:rPr>
              <w:t>2020 to 2021</w:t>
            </w: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jc w:val="right"/>
              <w:spacing w:after="0" w:line="92" w:lineRule="exact"/>
              <w:rPr>
                <w:sz w:val="20"/>
                <w:szCs w:val="20"/>
                <w:color w:val="auto"/>
              </w:rPr>
            </w:pPr>
            <w:r>
              <w:rPr>
                <w:rFonts w:ascii="Arial" w:cs="Arial" w:eastAsia="Arial" w:hAnsi="Arial"/>
                <w:sz w:val="10"/>
                <w:szCs w:val="10"/>
                <w:b w:val="1"/>
                <w:bCs w:val="1"/>
                <w:color w:val="auto"/>
              </w:rPr>
              <w:t>2019 to 2020</w:t>
            </w: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1"/>
                <w:szCs w:val="11"/>
                <w:b w:val="1"/>
                <w:bCs w:val="1"/>
                <w:color w:val="auto"/>
              </w:rPr>
              <w:t>Change</w:t>
            </w: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1"/>
                <w:szCs w:val="11"/>
                <w:b w:val="1"/>
                <w:bCs w:val="1"/>
                <w:color w:val="auto"/>
              </w:rPr>
              <w:t>Change</w:t>
            </w: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00" w:type="dxa"/>
            <w:vAlign w:val="bottom"/>
            <w:gridSpan w:val="2"/>
          </w:tcPr>
          <w:p>
            <w:pPr>
              <w:jc w:val="right"/>
              <w:ind w:right="808"/>
              <w:spacing w:after="0"/>
              <w:rPr>
                <w:sz w:val="20"/>
                <w:szCs w:val="20"/>
                <w:color w:val="auto"/>
              </w:rPr>
            </w:pPr>
            <w:r>
              <w:rPr>
                <w:rFonts w:ascii="Arial" w:cs="Arial" w:eastAsia="Arial" w:hAnsi="Arial"/>
                <w:sz w:val="10"/>
                <w:szCs w:val="10"/>
                <w:color w:val="auto"/>
              </w:rPr>
              <w:t>(Dollars in thousands)</w:t>
            </w: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w w:val="86"/>
              </w:rPr>
              <w:t>Revenue</w:t>
            </w:r>
          </w:p>
        </w:tc>
        <w:tc>
          <w:tcPr>
            <w:tcW w:w="980" w:type="dxa"/>
            <w:vAlign w:val="bottom"/>
            <w:gridSpan w:val="2"/>
            <w:shd w:val="clear" w:color="auto" w:fill="CCEEFF"/>
          </w:tcPr>
          <w:p>
            <w:pPr>
              <w:jc w:val="right"/>
              <w:ind w:right="720"/>
              <w:spacing w:after="0" w:line="114" w:lineRule="exact"/>
              <w:rPr>
                <w:sz w:val="20"/>
                <w:szCs w:val="20"/>
                <w:color w:val="auto"/>
              </w:rPr>
            </w:pPr>
            <w:r>
              <w:rPr>
                <w:rFonts w:ascii="Arial" w:cs="Arial" w:eastAsia="Arial" w:hAnsi="Arial"/>
                <w:sz w:val="11"/>
                <w:szCs w:val="11"/>
                <w:color w:val="auto"/>
                <w:w w:val="97"/>
              </w:rPr>
              <w:t>Total</w:t>
            </w:r>
          </w:p>
        </w:tc>
        <w:tc>
          <w:tcPr>
            <w:tcW w:w="920" w:type="dxa"/>
            <w:vAlign w:val="bottom"/>
            <w:vMerge w:val="restart"/>
            <w:shd w:val="clear" w:color="auto" w:fill="CCEEFF"/>
          </w:tcPr>
          <w:p>
            <w:pPr>
              <w:jc w:val="right"/>
              <w:ind w:right="146"/>
              <w:spacing w:after="0"/>
              <w:rPr>
                <w:sz w:val="20"/>
                <w:szCs w:val="20"/>
                <w:color w:val="auto"/>
              </w:rPr>
            </w:pPr>
            <w:r>
              <w:rPr>
                <w:rFonts w:ascii="Arial" w:cs="Arial" w:eastAsia="Arial" w:hAnsi="Arial"/>
                <w:sz w:val="11"/>
                <w:szCs w:val="11"/>
                <w:color w:val="auto"/>
              </w:rPr>
              <w:t>2,841,839</w:t>
            </w:r>
          </w:p>
        </w:tc>
        <w:tc>
          <w:tcPr>
            <w:tcW w:w="5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60" w:type="dxa"/>
            <w:vAlign w:val="bottom"/>
            <w:vMerge w:val="restart"/>
            <w:shd w:val="clear" w:color="auto" w:fill="CCEEFF"/>
          </w:tcPr>
          <w:p>
            <w:pPr>
              <w:jc w:val="right"/>
              <w:ind w:right="286"/>
              <w:spacing w:after="0"/>
              <w:rPr>
                <w:sz w:val="20"/>
                <w:szCs w:val="20"/>
                <w:color w:val="auto"/>
              </w:rPr>
            </w:pPr>
            <w:r>
              <w:rPr>
                <w:rFonts w:ascii="Arial" w:cs="Arial" w:eastAsia="Arial" w:hAnsi="Arial"/>
                <w:sz w:val="11"/>
                <w:szCs w:val="11"/>
                <w:color w:val="auto"/>
              </w:rPr>
              <w:t>1,761,776</w:t>
            </w:r>
          </w:p>
        </w:tc>
        <w:tc>
          <w:tcPr>
            <w:tcW w:w="42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1,134,468</w:t>
            </w:r>
          </w:p>
        </w:tc>
        <w:tc>
          <w:tcPr>
            <w:tcW w:w="760" w:type="dxa"/>
            <w:vAlign w:val="bottom"/>
            <w:vMerge w:val="restart"/>
            <w:shd w:val="clear" w:color="auto" w:fill="CCEEFF"/>
          </w:tcPr>
          <w:p>
            <w:pPr>
              <w:jc w:val="right"/>
              <w:ind w:right="169"/>
              <w:spacing w:after="0"/>
              <w:rPr>
                <w:sz w:val="20"/>
                <w:szCs w:val="20"/>
                <w:color w:val="auto"/>
              </w:rPr>
            </w:pPr>
            <w:r>
              <w:rPr>
                <w:rFonts w:ascii="Arial" w:cs="Arial" w:eastAsia="Arial" w:hAnsi="Arial"/>
                <w:sz w:val="11"/>
                <w:szCs w:val="11"/>
                <w:color w:val="auto"/>
              </w:rPr>
              <w:t>$</w:t>
            </w:r>
          </w:p>
        </w:tc>
        <w:tc>
          <w:tcPr>
            <w:tcW w:w="1140" w:type="dxa"/>
            <w:vAlign w:val="bottom"/>
            <w:vMerge w:val="restart"/>
            <w:shd w:val="clear" w:color="auto" w:fill="CCEEFF"/>
          </w:tcPr>
          <w:p>
            <w:pPr>
              <w:jc w:val="right"/>
              <w:ind w:right="428"/>
              <w:spacing w:after="0"/>
              <w:rPr>
                <w:sz w:val="20"/>
                <w:szCs w:val="20"/>
                <w:color w:val="auto"/>
              </w:rPr>
            </w:pPr>
            <w:r>
              <w:rPr>
                <w:rFonts w:ascii="Arial" w:cs="Arial" w:eastAsia="Arial" w:hAnsi="Arial"/>
                <w:sz w:val="11"/>
                <w:szCs w:val="11"/>
                <w:color w:val="auto"/>
              </w:rPr>
              <w:t>1,080,063</w:t>
            </w:r>
          </w:p>
        </w:tc>
        <w:tc>
          <w:tcPr>
            <w:tcW w:w="400" w:type="dxa"/>
            <w:vAlign w:val="bottom"/>
            <w:vMerge w:val="restart"/>
            <w:shd w:val="clear" w:color="auto" w:fill="CCEEFF"/>
          </w:tcPr>
          <w:p>
            <w:pPr>
              <w:jc w:val="right"/>
              <w:ind w:right="186"/>
              <w:spacing w:after="0"/>
              <w:rPr>
                <w:sz w:val="20"/>
                <w:szCs w:val="20"/>
                <w:color w:val="auto"/>
              </w:rPr>
            </w:pPr>
            <w:r>
              <w:rPr>
                <w:rFonts w:ascii="Arial" w:cs="Arial" w:eastAsia="Arial" w:hAnsi="Arial"/>
                <w:sz w:val="11"/>
                <w:szCs w:val="11"/>
                <w:color w:val="auto"/>
              </w:rPr>
              <w:t>61</w:t>
            </w:r>
          </w:p>
        </w:tc>
        <w:tc>
          <w:tcPr>
            <w:tcW w:w="580" w:type="dxa"/>
            <w:vAlign w:val="bottom"/>
            <w:vMerge w:val="restart"/>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040" w:type="dxa"/>
            <w:vAlign w:val="bottom"/>
            <w:vMerge w:val="restart"/>
            <w:shd w:val="clear" w:color="auto" w:fill="CCEEFF"/>
          </w:tcPr>
          <w:p>
            <w:pPr>
              <w:jc w:val="right"/>
              <w:ind w:right="408"/>
              <w:spacing w:after="0"/>
              <w:rPr>
                <w:sz w:val="20"/>
                <w:szCs w:val="20"/>
                <w:color w:val="auto"/>
              </w:rPr>
            </w:pPr>
            <w:r>
              <w:rPr>
                <w:rFonts w:ascii="Arial" w:cs="Arial" w:eastAsia="Arial" w:hAnsi="Arial"/>
                <w:sz w:val="11"/>
                <w:szCs w:val="11"/>
                <w:color w:val="auto"/>
              </w:rPr>
              <w:t>627,308</w:t>
            </w:r>
          </w:p>
        </w:tc>
        <w:tc>
          <w:tcPr>
            <w:tcW w:w="360" w:type="dxa"/>
            <w:vAlign w:val="bottom"/>
            <w:vMerge w:val="restart"/>
            <w:shd w:val="clear" w:color="auto" w:fill="CCEEFF"/>
          </w:tcPr>
          <w:p>
            <w:pPr>
              <w:jc w:val="right"/>
              <w:ind w:right="186"/>
              <w:spacing w:after="0"/>
              <w:rPr>
                <w:sz w:val="20"/>
                <w:szCs w:val="20"/>
                <w:color w:val="auto"/>
              </w:rPr>
            </w:pPr>
            <w:r>
              <w:rPr>
                <w:rFonts w:ascii="Arial" w:cs="Arial" w:eastAsia="Arial" w:hAnsi="Arial"/>
                <w:sz w:val="11"/>
                <w:szCs w:val="11"/>
                <w:color w:val="auto"/>
                <w:w w:val="81"/>
              </w:rPr>
              <w:t>55</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420" w:type="dxa"/>
            <w:vAlign w:val="bottom"/>
            <w:vMerge w:val="continue"/>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2021 compared to 2020</w:t>
      </w:r>
    </w:p>
    <w:p>
      <w:pPr>
        <w:spacing w:after="0" w:line="150" w:lineRule="exact"/>
        <w:rPr>
          <w:sz w:val="20"/>
          <w:szCs w:val="20"/>
          <w:color w:val="auto"/>
        </w:rPr>
      </w:pPr>
    </w:p>
    <w:p>
      <w:pPr>
        <w:ind w:firstLine="324"/>
        <w:spacing w:after="0" w:line="146" w:lineRule="exact"/>
        <w:rPr>
          <w:sz w:val="20"/>
          <w:szCs w:val="20"/>
          <w:color w:val="auto"/>
        </w:rPr>
      </w:pPr>
      <w:r>
        <w:rPr>
          <w:rFonts w:ascii="Arial" w:cs="Arial" w:eastAsia="Arial" w:hAnsi="Arial"/>
          <w:sz w:val="11"/>
          <w:szCs w:val="11"/>
          <w:color w:val="auto"/>
        </w:rPr>
        <w:t>In 2021, total revenue increased by $1.1 billion, or 61%, compared to the same period last year. This increase was primarily attributable to an increase in the usage of our products, particularly our Programmable Messaging products, Programmable Voice products and Email products, the adoption of additional products by our existing customers, the additional A2P fees imposed by certain carriers and revenue contributions from our acquisitions of Twilio Segment, Zipwhip and other businesses. The change in usage from our existing customers was reflected in our Dollar</w:t>
      </w:r>
      <w:r>
        <w:rPr>
          <w:rFonts w:ascii="MS PGothic" w:cs="MS PGothic" w:eastAsia="MS PGothic" w:hAnsi="MS PGothic"/>
          <w:sz w:val="11"/>
          <w:szCs w:val="11"/>
          <w:color w:val="auto"/>
        </w:rPr>
        <w:t>‑</w:t>
      </w:r>
      <w:r>
        <w:rPr>
          <w:rFonts w:ascii="Arial" w:cs="Arial" w:eastAsia="Arial" w:hAnsi="Arial"/>
          <w:sz w:val="11"/>
          <w:szCs w:val="11"/>
          <w:color w:val="auto"/>
        </w:rPr>
        <w:t>Based Net Expansion Rate of 131% for the year ended December 31, 2021. The increase in usage was also attributable to a 16% increase in the number of Active Customer Accounts, from 221,000 as of December 31, 2020, to over 256,000 as of December 31, 2021.</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31" w:right="399" w:bottom="1440" w:gutter="0" w:footer="0" w:header="0"/>
          <w:type w:val="continuous"/>
        </w:sectPr>
      </w:pPr>
    </w:p>
    <w:bookmarkStart w:id="67" w:name="page68"/>
    <w:bookmarkEnd w:id="6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 2021, U.S. revenue and international revenue represented $1.9 billion or 66%, and $960.0 million, or 34%, respectively, of total revenue. In 2020, U.S. revenue and international revenue represented $1.3 billion, or 73%, and</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$479.6 million, or 27%, respectively, of total revenue. The increase in international revenue was attributable to the growth in usage of our products, particularly our Programmable Messaging products and Programmable Voice products,</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by our existing international Active Customer Accounts; a 14% increase in the number of international Active Customer Accounts driven in part by our focus on expanding our sales to customers outside of the United States; and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revenue contribution from our recent acquisitions.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2020 compared to 2019</w:t>
      </w:r>
    </w:p>
    <w:p>
      <w:pPr>
        <w:spacing w:after="0" w:line="150" w:lineRule="exact"/>
        <w:rPr>
          <w:sz w:val="20"/>
          <w:szCs w:val="20"/>
          <w:color w:val="auto"/>
        </w:rPr>
      </w:pPr>
    </w:p>
    <w:p>
      <w:pPr>
        <w:ind w:right="80" w:firstLine="324"/>
        <w:spacing w:after="0" w:line="146" w:lineRule="exact"/>
        <w:rPr>
          <w:sz w:val="20"/>
          <w:szCs w:val="20"/>
          <w:color w:val="auto"/>
        </w:rPr>
      </w:pPr>
      <w:r>
        <w:rPr>
          <w:rFonts w:ascii="Arial" w:cs="Arial" w:eastAsia="Arial" w:hAnsi="Arial"/>
          <w:sz w:val="11"/>
          <w:szCs w:val="11"/>
          <w:color w:val="auto"/>
        </w:rPr>
        <w:t>In 2020, total revenue increased by $627.3 million, or 55%, compared to the same period last year. This increase was primarily attributable to an increase in the usage of our products, particularly our Programmable Messaging products and Programmable Voice products, the adoption of additional products by our existing customers, and revenue contribution from our acquisition of our Twilio Segment business for the period from November 2, 2020, through December 31, 2020. This increase was partially offset by pricing decreases that we have implemented over time in the form of lower usage prices, in an effort to increase the reach and scale of our platform. The changes in usage and prices in 2020 were reflected in our Dollar</w:t>
      </w:r>
      <w:r>
        <w:rPr>
          <w:rFonts w:ascii="MS PGothic" w:cs="MS PGothic" w:eastAsia="MS PGothic" w:hAnsi="MS PGothic"/>
          <w:sz w:val="11"/>
          <w:szCs w:val="11"/>
          <w:color w:val="auto"/>
        </w:rPr>
        <w:t>‑</w:t>
      </w:r>
      <w:r>
        <w:rPr>
          <w:rFonts w:ascii="Arial" w:cs="Arial" w:eastAsia="Arial" w:hAnsi="Arial"/>
          <w:sz w:val="11"/>
          <w:szCs w:val="11"/>
          <w:color w:val="auto"/>
        </w:rPr>
        <w:t>Based Net Expansion Rate of 137%. The increase in usage was also attributable to a 23% increase in the number of Active Customer Accounts, from 179,000 as of December 31, 2019, to over 221,000 as of December 31, 2020, which was also positively impacted by the customer accounts added through the acquisition of our Twilio Segment business.</w:t>
      </w:r>
    </w:p>
    <w:p>
      <w:pPr>
        <w:spacing w:after="0" w:line="13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2"/>
          <w:szCs w:val="12"/>
          <w:color w:val="auto"/>
        </w:rPr>
        <w:t>In 2020, U.S. revenue and international revenue represented $1.3 billion or 73%, and $479.6 million, or 27%, respectively, of total revenue. In 2019, U.S. revenue and international revenue represented $808.9 million, or 71%, and $325.6 million, or 29%, respectively, of total revenue. The increase in international revenue was attributable to the growth in usage of our products, particularly our Programmable Messaging products and Programmable Voice products, by our existing international Active Customer Accounts; a 23% increase in the number of international Active Customer Accounts driven in part by our focus on expanding our sales to customers outside of the United States; and revenue contribution from the acquisition of our Twilio Segment business.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Cost of Revenue and Gross Margin</w:t>
      </w:r>
    </w:p>
    <w:p>
      <w:pPr>
        <w:spacing w:after="0" w:line="240" w:lineRule="exact"/>
        <w:rPr>
          <w:sz w:val="20"/>
          <w:szCs w:val="20"/>
          <w:color w:val="auto"/>
        </w:rPr>
      </w:pPr>
    </w:p>
    <w:tbl>
      <w:tblPr>
        <w:tblLayout w:type="fixed"/>
        <w:tblInd w:w="420" w:type="dxa"/>
        <w:tblCellMar>
          <w:top w:w="0" w:type="dxa"/>
          <w:left w:w="0" w:type="dxa"/>
          <w:bottom w:w="0" w:type="dxa"/>
          <w:right w:w="0" w:type="dxa"/>
        </w:tblCellMar>
      </w:tblPr>
      <w:tr>
        <w:trPr>
          <w:trHeight w:val="140"/>
        </w:trPr>
        <w:tc>
          <w:tcPr>
            <w:tcW w:w="7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7"/>
              </w:rPr>
              <w:t>Year Ended December 31,</w:t>
            </w: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2021</w:t>
            </w: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vMerge w:val="restart"/>
          </w:tcPr>
          <w:p>
            <w:pPr>
              <w:jc w:val="right"/>
              <w:ind w:right="427"/>
              <w:spacing w:after="0"/>
              <w:rPr>
                <w:sz w:val="20"/>
                <w:szCs w:val="20"/>
                <w:color w:val="auto"/>
              </w:rPr>
            </w:pPr>
            <w:r>
              <w:rPr>
                <w:rFonts w:ascii="Arial" w:cs="Arial" w:eastAsia="Arial" w:hAnsi="Arial"/>
                <w:sz w:val="11"/>
                <w:szCs w:val="11"/>
                <w:b w:val="1"/>
                <w:bCs w:val="1"/>
                <w:color w:val="auto"/>
              </w:rPr>
              <w:t>2020</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2019</w:t>
            </w: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jc w:val="right"/>
              <w:spacing w:after="0" w:line="92" w:lineRule="exact"/>
              <w:rPr>
                <w:sz w:val="20"/>
                <w:szCs w:val="20"/>
                <w:color w:val="auto"/>
              </w:rPr>
            </w:pPr>
            <w:r>
              <w:rPr>
                <w:rFonts w:ascii="Arial" w:cs="Arial" w:eastAsia="Arial" w:hAnsi="Arial"/>
                <w:sz w:val="10"/>
                <w:szCs w:val="10"/>
                <w:b w:val="1"/>
                <w:bCs w:val="1"/>
                <w:color w:val="auto"/>
              </w:rPr>
              <w:t>2020 to 2021</w:t>
            </w: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jc w:val="right"/>
              <w:ind w:right="28"/>
              <w:spacing w:after="0" w:line="92" w:lineRule="exact"/>
              <w:rPr>
                <w:sz w:val="20"/>
                <w:szCs w:val="20"/>
                <w:color w:val="auto"/>
              </w:rPr>
            </w:pPr>
            <w:r>
              <w:rPr>
                <w:rFonts w:ascii="Arial" w:cs="Arial" w:eastAsia="Arial" w:hAnsi="Arial"/>
                <w:sz w:val="10"/>
                <w:szCs w:val="10"/>
                <w:b w:val="1"/>
                <w:bCs w:val="1"/>
                <w:color w:val="auto"/>
              </w:rPr>
              <w:t>2019 to 2020</w:t>
            </w: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1"/>
                <w:szCs w:val="11"/>
                <w:b w:val="1"/>
                <w:bCs w:val="1"/>
                <w:color w:val="auto"/>
              </w:rPr>
              <w:t>Change</w:t>
            </w: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15"/>
        </w:trPr>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tcPr>
          <w:p>
            <w:pPr>
              <w:jc w:val="right"/>
              <w:ind w:right="147"/>
              <w:spacing w:after="0"/>
              <w:rPr>
                <w:sz w:val="20"/>
                <w:szCs w:val="20"/>
                <w:color w:val="auto"/>
              </w:rPr>
            </w:pPr>
            <w:r>
              <w:rPr>
                <w:rFonts w:ascii="Arial" w:cs="Arial" w:eastAsia="Arial" w:hAnsi="Arial"/>
                <w:sz w:val="10"/>
                <w:szCs w:val="10"/>
                <w:color w:val="auto"/>
              </w:rPr>
              <w:t>(Dollars in thousands)</w:t>
            </w: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780" w:type="dxa"/>
            <w:vAlign w:val="bottom"/>
            <w:shd w:val="clear" w:color="auto" w:fill="CCEEFF"/>
          </w:tcPr>
          <w:p>
            <w:pPr>
              <w:ind w:left="440"/>
              <w:spacing w:after="0" w:line="114" w:lineRule="exact"/>
              <w:rPr>
                <w:sz w:val="20"/>
                <w:szCs w:val="20"/>
                <w:color w:val="auto"/>
              </w:rPr>
            </w:pPr>
            <w:r>
              <w:rPr>
                <w:rFonts w:ascii="Arial" w:cs="Arial" w:eastAsia="Arial" w:hAnsi="Arial"/>
                <w:sz w:val="11"/>
                <w:szCs w:val="11"/>
                <w:color w:val="auto"/>
              </w:rPr>
              <w:t>Cost</w:t>
            </w:r>
          </w:p>
        </w:tc>
        <w:tc>
          <w:tcPr>
            <w:tcW w:w="720" w:type="dxa"/>
            <w:vAlign w:val="bottom"/>
            <w:vMerge w:val="restart"/>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880" w:type="dxa"/>
            <w:vAlign w:val="bottom"/>
            <w:vMerge w:val="restart"/>
            <w:shd w:val="clear" w:color="auto" w:fill="CCEEFF"/>
          </w:tcPr>
          <w:p>
            <w:pPr>
              <w:jc w:val="right"/>
              <w:ind w:right="186"/>
              <w:spacing w:after="0"/>
              <w:rPr>
                <w:sz w:val="20"/>
                <w:szCs w:val="20"/>
                <w:color w:val="auto"/>
              </w:rPr>
            </w:pPr>
            <w:r>
              <w:rPr>
                <w:rFonts w:ascii="Arial" w:cs="Arial" w:eastAsia="Arial" w:hAnsi="Arial"/>
                <w:sz w:val="11"/>
                <w:szCs w:val="11"/>
                <w:color w:val="auto"/>
              </w:rPr>
              <w:t>1,451,126</w:t>
            </w:r>
          </w:p>
        </w:tc>
        <w:tc>
          <w:tcPr>
            <w:tcW w:w="58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40" w:type="dxa"/>
            <w:vAlign w:val="bottom"/>
            <w:vMerge w:val="restart"/>
            <w:shd w:val="clear" w:color="auto" w:fill="CCEEFF"/>
          </w:tcPr>
          <w:p>
            <w:pPr>
              <w:jc w:val="right"/>
              <w:ind w:right="387"/>
              <w:spacing w:after="0"/>
              <w:rPr>
                <w:sz w:val="20"/>
                <w:szCs w:val="20"/>
                <w:color w:val="auto"/>
              </w:rPr>
            </w:pPr>
            <w:r>
              <w:rPr>
                <w:rFonts w:ascii="Arial" w:cs="Arial" w:eastAsia="Arial" w:hAnsi="Arial"/>
                <w:sz w:val="11"/>
                <w:szCs w:val="11"/>
                <w:color w:val="auto"/>
              </w:rPr>
              <w:t>846,115</w:t>
            </w:r>
          </w:p>
        </w:tc>
        <w:tc>
          <w:tcPr>
            <w:tcW w:w="3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800" w:type="dxa"/>
            <w:vAlign w:val="bottom"/>
            <w:vMerge w:val="restart"/>
            <w:shd w:val="clear" w:color="auto" w:fill="CCEEFF"/>
          </w:tcPr>
          <w:p>
            <w:pPr>
              <w:jc w:val="right"/>
              <w:ind w:right="186"/>
              <w:spacing w:after="0"/>
              <w:rPr>
                <w:sz w:val="20"/>
                <w:szCs w:val="20"/>
                <w:color w:val="auto"/>
              </w:rPr>
            </w:pPr>
            <w:r>
              <w:rPr>
                <w:rFonts w:ascii="Arial" w:cs="Arial" w:eastAsia="Arial" w:hAnsi="Arial"/>
                <w:sz w:val="11"/>
                <w:szCs w:val="11"/>
                <w:color w:val="auto"/>
              </w:rPr>
              <w:t>525,551</w:t>
            </w:r>
          </w:p>
        </w:tc>
        <w:tc>
          <w:tcPr>
            <w:tcW w:w="11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80" w:type="dxa"/>
            <w:vAlign w:val="bottom"/>
            <w:vMerge w:val="restart"/>
            <w:shd w:val="clear" w:color="auto" w:fill="CCEEFF"/>
          </w:tcPr>
          <w:p>
            <w:pPr>
              <w:jc w:val="right"/>
              <w:ind w:right="448"/>
              <w:spacing w:after="0"/>
              <w:rPr>
                <w:sz w:val="20"/>
                <w:szCs w:val="20"/>
                <w:color w:val="auto"/>
              </w:rPr>
            </w:pPr>
            <w:r>
              <w:rPr>
                <w:rFonts w:ascii="Arial" w:cs="Arial" w:eastAsia="Arial" w:hAnsi="Arial"/>
                <w:sz w:val="11"/>
                <w:szCs w:val="11"/>
                <w:color w:val="auto"/>
              </w:rPr>
              <w:t>605,011</w:t>
            </w:r>
          </w:p>
        </w:tc>
        <w:tc>
          <w:tcPr>
            <w:tcW w:w="380" w:type="dxa"/>
            <w:vAlign w:val="bottom"/>
            <w:vMerge w:val="restart"/>
            <w:shd w:val="clear" w:color="auto" w:fill="CCEEFF"/>
          </w:tcPr>
          <w:p>
            <w:pPr>
              <w:jc w:val="right"/>
              <w:ind w:right="186"/>
              <w:spacing w:after="0"/>
              <w:rPr>
                <w:sz w:val="20"/>
                <w:szCs w:val="20"/>
                <w:color w:val="auto"/>
              </w:rPr>
            </w:pPr>
            <w:r>
              <w:rPr>
                <w:rFonts w:ascii="Arial" w:cs="Arial" w:eastAsia="Arial" w:hAnsi="Arial"/>
                <w:sz w:val="11"/>
                <w:szCs w:val="11"/>
                <w:color w:val="auto"/>
                <w:w w:val="97"/>
              </w:rPr>
              <w:t>72</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080" w:type="dxa"/>
            <w:vAlign w:val="bottom"/>
            <w:vMerge w:val="restart"/>
            <w:shd w:val="clear" w:color="auto" w:fill="CCEEFF"/>
          </w:tcPr>
          <w:p>
            <w:pPr>
              <w:jc w:val="right"/>
              <w:ind w:right="468"/>
              <w:spacing w:after="0"/>
              <w:rPr>
                <w:sz w:val="20"/>
                <w:szCs w:val="20"/>
                <w:color w:val="auto"/>
              </w:rPr>
            </w:pPr>
            <w:r>
              <w:rPr>
                <w:rFonts w:ascii="Arial" w:cs="Arial" w:eastAsia="Arial" w:hAnsi="Arial"/>
                <w:sz w:val="11"/>
                <w:szCs w:val="11"/>
                <w:color w:val="auto"/>
              </w:rPr>
              <w:t>320,564</w:t>
            </w:r>
          </w:p>
        </w:tc>
        <w:tc>
          <w:tcPr>
            <w:tcW w:w="0" w:type="dxa"/>
            <w:vAlign w:val="bottom"/>
          </w:tcPr>
          <w:p>
            <w:pPr>
              <w:spacing w:after="0"/>
              <w:rPr>
                <w:sz w:val="1"/>
                <w:szCs w:val="1"/>
                <w:color w:val="auto"/>
              </w:rPr>
            </w:pPr>
          </w:p>
        </w:tc>
      </w:tr>
      <w:tr>
        <w:trPr>
          <w:trHeight w:val="140"/>
        </w:trPr>
        <w:tc>
          <w:tcPr>
            <w:tcW w:w="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of revenue</w:t>
            </w:r>
          </w:p>
        </w:tc>
        <w:tc>
          <w:tcPr>
            <w:tcW w:w="72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780" w:type="dxa"/>
            <w:vAlign w:val="bottom"/>
          </w:tcPr>
          <w:p>
            <w:pPr>
              <w:ind w:left="440"/>
              <w:spacing w:after="0" w:line="112" w:lineRule="exact"/>
              <w:rPr>
                <w:sz w:val="20"/>
                <w:szCs w:val="20"/>
                <w:color w:val="auto"/>
              </w:rPr>
            </w:pPr>
            <w:r>
              <w:rPr>
                <w:rFonts w:ascii="Arial" w:cs="Arial" w:eastAsia="Arial" w:hAnsi="Arial"/>
                <w:sz w:val="11"/>
                <w:szCs w:val="11"/>
                <w:color w:val="auto"/>
              </w:rPr>
              <w:t>Gross</w:t>
            </w:r>
          </w:p>
        </w:tc>
        <w:tc>
          <w:tcPr>
            <w:tcW w:w="720" w:type="dxa"/>
            <w:vAlign w:val="bottom"/>
          </w:tcPr>
          <w:p>
            <w:pPr>
              <w:spacing w:after="0"/>
              <w:rPr>
                <w:sz w:val="9"/>
                <w:szCs w:val="9"/>
                <w:color w:val="auto"/>
              </w:rPr>
            </w:pPr>
          </w:p>
        </w:tc>
        <w:tc>
          <w:tcPr>
            <w:tcW w:w="880" w:type="dxa"/>
            <w:vAlign w:val="bottom"/>
            <w:vMerge w:val="restart"/>
          </w:tcPr>
          <w:p>
            <w:pPr>
              <w:jc w:val="right"/>
              <w:ind w:right="186"/>
              <w:spacing w:after="0"/>
              <w:rPr>
                <w:sz w:val="20"/>
                <w:szCs w:val="20"/>
                <w:color w:val="auto"/>
              </w:rPr>
            </w:pPr>
            <w:r>
              <w:rPr>
                <w:rFonts w:ascii="Arial" w:cs="Arial" w:eastAsia="Arial" w:hAnsi="Arial"/>
                <w:sz w:val="11"/>
                <w:szCs w:val="11"/>
                <w:color w:val="auto"/>
              </w:rPr>
              <w:t>49</w:t>
            </w:r>
          </w:p>
        </w:tc>
        <w:tc>
          <w:tcPr>
            <w:tcW w:w="580" w:type="dxa"/>
            <w:vAlign w:val="bottom"/>
            <w:vMerge w:val="restart"/>
          </w:tcPr>
          <w:p>
            <w:pPr>
              <w:jc w:val="right"/>
              <w:ind w:right="20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1240" w:type="dxa"/>
            <w:vAlign w:val="bottom"/>
            <w:vMerge w:val="restart"/>
          </w:tcPr>
          <w:p>
            <w:pPr>
              <w:jc w:val="right"/>
              <w:ind w:right="387"/>
              <w:spacing w:after="0"/>
              <w:rPr>
                <w:sz w:val="20"/>
                <w:szCs w:val="20"/>
                <w:color w:val="auto"/>
              </w:rPr>
            </w:pPr>
            <w:r>
              <w:rPr>
                <w:rFonts w:ascii="Arial" w:cs="Arial" w:eastAsia="Arial" w:hAnsi="Arial"/>
                <w:sz w:val="11"/>
                <w:szCs w:val="11"/>
                <w:color w:val="auto"/>
              </w:rPr>
              <w:t>52</w:t>
            </w:r>
          </w:p>
        </w:tc>
        <w:tc>
          <w:tcPr>
            <w:tcW w:w="360" w:type="dxa"/>
            <w:vAlign w:val="bottom"/>
            <w:vMerge w:val="restart"/>
          </w:tcPr>
          <w:p>
            <w:pPr>
              <w:jc w:val="right"/>
              <w:ind w:right="206"/>
              <w:spacing w:after="0"/>
              <w:rPr>
                <w:sz w:val="20"/>
                <w:szCs w:val="20"/>
                <w:color w:val="auto"/>
              </w:rPr>
            </w:pPr>
            <w:r>
              <w:rPr>
                <w:rFonts w:ascii="Arial" w:cs="Arial" w:eastAsia="Arial" w:hAnsi="Arial"/>
                <w:sz w:val="11"/>
                <w:szCs w:val="11"/>
                <w:color w:val="auto"/>
                <w:w w:val="81"/>
              </w:rPr>
              <w:t>%</w:t>
            </w:r>
          </w:p>
        </w:tc>
        <w:tc>
          <w:tcPr>
            <w:tcW w:w="540" w:type="dxa"/>
            <w:vAlign w:val="bottom"/>
          </w:tcPr>
          <w:p>
            <w:pPr>
              <w:spacing w:after="0"/>
              <w:rPr>
                <w:sz w:val="9"/>
                <w:szCs w:val="9"/>
                <w:color w:val="auto"/>
              </w:rPr>
            </w:pPr>
          </w:p>
        </w:tc>
        <w:tc>
          <w:tcPr>
            <w:tcW w:w="800" w:type="dxa"/>
            <w:vAlign w:val="bottom"/>
            <w:vMerge w:val="restart"/>
          </w:tcPr>
          <w:p>
            <w:pPr>
              <w:jc w:val="right"/>
              <w:ind w:right="186"/>
              <w:spacing w:after="0"/>
              <w:rPr>
                <w:sz w:val="20"/>
                <w:szCs w:val="20"/>
                <w:color w:val="auto"/>
              </w:rPr>
            </w:pPr>
            <w:r>
              <w:rPr>
                <w:rFonts w:ascii="Arial" w:cs="Arial" w:eastAsia="Arial" w:hAnsi="Arial"/>
                <w:sz w:val="11"/>
                <w:szCs w:val="11"/>
                <w:color w:val="auto"/>
              </w:rPr>
              <w:t>54</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780" w:type="dxa"/>
            <w:vAlign w:val="bottom"/>
          </w:tcPr>
          <w:p>
            <w:pPr>
              <w:ind w:left="20"/>
              <w:spacing w:after="0"/>
              <w:rPr>
                <w:sz w:val="20"/>
                <w:szCs w:val="20"/>
                <w:color w:val="auto"/>
              </w:rPr>
            </w:pPr>
            <w:r>
              <w:rPr>
                <w:rFonts w:ascii="Arial" w:cs="Arial" w:eastAsia="Arial" w:hAnsi="Arial"/>
                <w:sz w:val="11"/>
                <w:szCs w:val="11"/>
                <w:color w:val="auto"/>
              </w:rPr>
              <w:t>margin</w:t>
            </w:r>
          </w:p>
        </w:tc>
        <w:tc>
          <w:tcPr>
            <w:tcW w:w="7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2021 compared to 2020</w:t>
      </w:r>
    </w:p>
    <w:p>
      <w:pPr>
        <w:spacing w:after="0" w:line="150" w:lineRule="exact"/>
        <w:rPr>
          <w:sz w:val="20"/>
          <w:szCs w:val="20"/>
          <w:color w:val="auto"/>
        </w:rPr>
      </w:pPr>
    </w:p>
    <w:p>
      <w:pPr>
        <w:ind w:right="60" w:firstLine="324"/>
        <w:spacing w:after="0" w:line="298" w:lineRule="auto"/>
        <w:rPr>
          <w:sz w:val="20"/>
          <w:szCs w:val="20"/>
          <w:color w:val="auto"/>
        </w:rPr>
      </w:pPr>
      <w:r>
        <w:rPr>
          <w:rFonts w:ascii="Arial" w:cs="Arial" w:eastAsia="Arial" w:hAnsi="Arial"/>
          <w:sz w:val="11"/>
          <w:szCs w:val="11"/>
          <w:color w:val="auto"/>
        </w:rPr>
        <w:t>In 2021, cost of revenue increased by $605.0 million, or 72%, compared to the same period last year. The increase in cost of revenue was primarily attributable to a $465.5 million increase in network service providers’ costs, which included the additional A2P fees imposed by certain carriers, and a $44.2 million increase in cloud infrastructure fees, all to support the growth in usage of our products. The increase was also due to a $55.4 million increase in the amortization expense of intangible assets that we acquired through business combinations. In addition, the year ended December 31, 2021, included cost of revenue from our recent acquisitions.</w:t>
      </w:r>
    </w:p>
    <w:p>
      <w:pPr>
        <w:spacing w:after="0" w:line="105" w:lineRule="exact"/>
        <w:rPr>
          <w:sz w:val="20"/>
          <w:szCs w:val="20"/>
          <w:color w:val="auto"/>
        </w:rPr>
      </w:pPr>
    </w:p>
    <w:p>
      <w:pPr>
        <w:ind w:right="200" w:firstLine="324"/>
        <w:spacing w:after="0" w:line="298" w:lineRule="auto"/>
        <w:rPr>
          <w:sz w:val="20"/>
          <w:szCs w:val="20"/>
          <w:color w:val="auto"/>
        </w:rPr>
      </w:pPr>
      <w:r>
        <w:rPr>
          <w:rFonts w:ascii="Arial" w:cs="Arial" w:eastAsia="Arial" w:hAnsi="Arial"/>
          <w:sz w:val="11"/>
          <w:szCs w:val="11"/>
          <w:color w:val="auto"/>
        </w:rPr>
        <w:t>In 2021, the gross margin percentage declined compared to the same period last year. This decline was primarily driven by continued strong growth of our international messaging business, the additional A2P fees imposed by certain carriers and an increase in network service provider fees in certain geographies, which we pass to our customers at cost. The decline was also due to an increase in amortization expense related to our acquired intangible assets, These declines were partially offset by the growth of our other application services products, the impact of the acquisition of our Twilio Segment business and certain operational improvements.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131" w:right="239" w:bottom="1440" w:gutter="0" w:footer="0" w:header="0"/>
        </w:sectPr>
      </w:pPr>
    </w:p>
    <w:bookmarkStart w:id="68" w:name="page69"/>
    <w:bookmarkEnd w:id="6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2020 compared to 2019</w:t>
      </w:r>
    </w:p>
    <w:p>
      <w:pPr>
        <w:spacing w:after="0" w:line="150" w:lineRule="exact"/>
        <w:rPr>
          <w:sz w:val="20"/>
          <w:szCs w:val="20"/>
          <w:color w:val="auto"/>
        </w:rPr>
      </w:pPr>
    </w:p>
    <w:p>
      <w:pPr>
        <w:ind w:right="60" w:firstLine="324"/>
        <w:spacing w:after="0" w:line="263" w:lineRule="auto"/>
        <w:rPr>
          <w:sz w:val="20"/>
          <w:szCs w:val="20"/>
          <w:color w:val="auto"/>
        </w:rPr>
      </w:pPr>
      <w:r>
        <w:rPr>
          <w:rFonts w:ascii="Arial" w:cs="Arial" w:eastAsia="Arial" w:hAnsi="Arial"/>
          <w:sz w:val="12"/>
          <w:szCs w:val="12"/>
          <w:color w:val="auto"/>
        </w:rPr>
        <w:t>In 2020, cost of revenue increased by $320.6 million, or 61%, compared to the same period last year. The increase in cost of revenue was primarily attributable to a $246.2 million increase in network service providers’ costs and a $32.3 million increase in cloud infrastructure fees, both to support the growth in usage of our products. The increase was also due to a $14.2 million increase in the amortization expense of intangible assets that we acquired through business combinations.</w:t>
      </w:r>
    </w:p>
    <w:p>
      <w:pPr>
        <w:spacing w:after="0" w:line="12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2"/>
          <w:szCs w:val="12"/>
          <w:color w:val="auto"/>
        </w:rPr>
        <w:t>In 2020, gross margin percentage declined compared to the same period last year. This decline was primarily driven by a re-acceleration in growth of our messaging business, an increase in amortization expense related to acquired intangible assets, the impact of an increasing mix of international product usage and an increase in network service provider fees in certain geographies, which we pass to our customers at cost. These declines were partially offset by the impact of the acquisition of our Twilio Segment business and certain operational improvements.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240" w:lineRule="exact"/>
        <w:rPr>
          <w:sz w:val="20"/>
          <w:szCs w:val="20"/>
          <w:color w:val="auto"/>
        </w:rPr>
      </w:pPr>
    </w:p>
    <w:tbl>
      <w:tblPr>
        <w:tblLayout w:type="fixed"/>
        <w:tblInd w:w="740" w:type="dxa"/>
        <w:tblCellMar>
          <w:top w:w="0" w:type="dxa"/>
          <w:left w:w="0" w:type="dxa"/>
          <w:bottom w:w="0" w:type="dxa"/>
          <w:right w:w="0" w:type="dxa"/>
        </w:tblCellMar>
      </w:tblPr>
      <w:tr>
        <w:trPr>
          <w:trHeight w:val="140"/>
        </w:trPr>
        <w:tc>
          <w:tcPr>
            <w:tcW w:w="9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280"/>
              <w:spacing w:after="0"/>
              <w:rPr>
                <w:sz w:val="20"/>
                <w:szCs w:val="20"/>
                <w:color w:val="auto"/>
              </w:rPr>
            </w:pPr>
            <w:r>
              <w:rPr>
                <w:rFonts w:ascii="Arial" w:cs="Arial" w:eastAsia="Arial" w:hAnsi="Arial"/>
                <w:sz w:val="11"/>
                <w:szCs w:val="11"/>
                <w:b w:val="1"/>
                <w:bCs w:val="1"/>
                <w:color w:val="auto"/>
              </w:rPr>
              <w:t>Year Ended December 31,</w:t>
            </w: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vMerge w:val="restart"/>
          </w:tcPr>
          <w:p>
            <w:pPr>
              <w:jc w:val="right"/>
              <w:ind w:right="326"/>
              <w:spacing w:after="0"/>
              <w:rPr>
                <w:sz w:val="20"/>
                <w:szCs w:val="20"/>
                <w:color w:val="auto"/>
              </w:rPr>
            </w:pPr>
            <w:r>
              <w:rPr>
                <w:rFonts w:ascii="Arial" w:cs="Arial" w:eastAsia="Arial" w:hAnsi="Arial"/>
                <w:sz w:val="11"/>
                <w:szCs w:val="11"/>
                <w:b w:val="1"/>
                <w:bCs w:val="1"/>
                <w:color w:val="auto"/>
              </w:rPr>
              <w:t>2021</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vMerge w:val="restart"/>
          </w:tcPr>
          <w:p>
            <w:pPr>
              <w:jc w:val="right"/>
              <w:ind w:right="326"/>
              <w:spacing w:after="0"/>
              <w:rPr>
                <w:sz w:val="20"/>
                <w:szCs w:val="20"/>
                <w:color w:val="auto"/>
              </w:rPr>
            </w:pPr>
            <w:r>
              <w:rPr>
                <w:rFonts w:ascii="Arial" w:cs="Arial" w:eastAsia="Arial" w:hAnsi="Arial"/>
                <w:sz w:val="11"/>
                <w:szCs w:val="11"/>
                <w:b w:val="1"/>
                <w:bCs w:val="1"/>
                <w:color w:val="auto"/>
              </w:rPr>
              <w:t>2020</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2019</w:t>
            </w: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80" w:type="dxa"/>
            <w:vAlign w:val="bottom"/>
            <w:gridSpan w:val="2"/>
          </w:tcPr>
          <w:p>
            <w:pPr>
              <w:ind w:left="480"/>
              <w:spacing w:after="0" w:line="92" w:lineRule="exact"/>
              <w:rPr>
                <w:sz w:val="20"/>
                <w:szCs w:val="20"/>
                <w:color w:val="auto"/>
              </w:rPr>
            </w:pPr>
            <w:r>
              <w:rPr>
                <w:rFonts w:ascii="Arial" w:cs="Arial" w:eastAsia="Arial" w:hAnsi="Arial"/>
                <w:sz w:val="10"/>
                <w:szCs w:val="10"/>
                <w:b w:val="1"/>
                <w:bCs w:val="1"/>
                <w:color w:val="auto"/>
                <w:w w:val="97"/>
              </w:rPr>
              <w:t>2020 to 2021</w:t>
            </w: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gridSpan w:val="2"/>
          </w:tcPr>
          <w:p>
            <w:pPr>
              <w:ind w:left="440"/>
              <w:spacing w:after="0" w:line="92" w:lineRule="exact"/>
              <w:rPr>
                <w:sz w:val="20"/>
                <w:szCs w:val="20"/>
                <w:color w:val="auto"/>
              </w:rPr>
            </w:pPr>
            <w:r>
              <w:rPr>
                <w:rFonts w:ascii="Arial" w:cs="Arial" w:eastAsia="Arial" w:hAnsi="Arial"/>
                <w:sz w:val="10"/>
                <w:szCs w:val="10"/>
                <w:b w:val="1"/>
                <w:bCs w:val="1"/>
                <w:color w:val="auto"/>
                <w:w w:val="97"/>
              </w:rPr>
              <w:t>2019 to 2020</w:t>
            </w: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Change</w:t>
            </w:r>
          </w:p>
        </w:tc>
        <w:tc>
          <w:tcPr>
            <w:tcW w:w="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ind w:left="340"/>
              <w:spacing w:after="0"/>
              <w:rPr>
                <w:sz w:val="20"/>
                <w:szCs w:val="20"/>
                <w:color w:val="auto"/>
              </w:rPr>
            </w:pPr>
            <w:r>
              <w:rPr>
                <w:rFonts w:ascii="Arial" w:cs="Arial" w:eastAsia="Arial" w:hAnsi="Arial"/>
                <w:sz w:val="11"/>
                <w:szCs w:val="11"/>
                <w:b w:val="1"/>
                <w:bCs w:val="1"/>
                <w:color w:val="auto"/>
              </w:rPr>
              <w:t>Change</w:t>
            </w:r>
          </w:p>
        </w:tc>
        <w:tc>
          <w:tcPr>
            <w:tcW w:w="3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780" w:type="dxa"/>
            <w:vAlign w:val="bottom"/>
            <w:gridSpan w:val="3"/>
          </w:tcPr>
          <w:p>
            <w:pPr>
              <w:ind w:left="120"/>
              <w:spacing w:after="0"/>
              <w:rPr>
                <w:sz w:val="20"/>
                <w:szCs w:val="20"/>
                <w:color w:val="auto"/>
              </w:rPr>
            </w:pPr>
            <w:r>
              <w:rPr>
                <w:rFonts w:ascii="Arial" w:cs="Arial" w:eastAsia="Arial" w:hAnsi="Arial"/>
                <w:sz w:val="10"/>
                <w:szCs w:val="10"/>
                <w:color w:val="auto"/>
              </w:rPr>
              <w:t>(Dollars in thousands)</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ind w:left="440"/>
              <w:spacing w:after="0" w:line="114" w:lineRule="exact"/>
              <w:rPr>
                <w:sz w:val="20"/>
                <w:szCs w:val="20"/>
                <w:color w:val="auto"/>
              </w:rPr>
            </w:pPr>
            <w:r>
              <w:rPr>
                <w:rFonts w:ascii="Arial" w:cs="Arial" w:eastAsia="Arial" w:hAnsi="Arial"/>
                <w:sz w:val="11"/>
                <w:szCs w:val="11"/>
                <w:color w:val="auto"/>
                <w:w w:val="97"/>
              </w:rPr>
              <w:t>Research</w:t>
            </w:r>
          </w:p>
        </w:tc>
        <w:tc>
          <w:tcPr>
            <w:tcW w:w="64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789,219</w:t>
            </w:r>
          </w:p>
        </w:tc>
        <w:tc>
          <w:tcPr>
            <w:tcW w:w="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530,548</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391,355</w:t>
            </w:r>
          </w:p>
        </w:tc>
        <w:tc>
          <w:tcPr>
            <w:tcW w:w="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148"/>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258,671</w:t>
            </w:r>
          </w:p>
        </w:tc>
        <w:tc>
          <w:tcPr>
            <w:tcW w:w="46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66"/>
              <w:spacing w:after="0"/>
              <w:rPr>
                <w:sz w:val="20"/>
                <w:szCs w:val="20"/>
                <w:color w:val="auto"/>
              </w:rPr>
            </w:pPr>
            <w:r>
              <w:rPr>
                <w:rFonts w:ascii="Arial" w:cs="Arial" w:eastAsia="Arial" w:hAnsi="Arial"/>
                <w:sz w:val="11"/>
                <w:szCs w:val="11"/>
                <w:color w:val="auto"/>
              </w:rPr>
              <w:t>49</w:t>
            </w:r>
          </w:p>
        </w:tc>
        <w:tc>
          <w:tcPr>
            <w:tcW w:w="4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139,193</w:t>
            </w:r>
          </w:p>
        </w:tc>
        <w:tc>
          <w:tcPr>
            <w:tcW w:w="42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ind w:right="166"/>
              <w:spacing w:after="0"/>
              <w:rPr>
                <w:sz w:val="20"/>
                <w:szCs w:val="20"/>
                <w:color w:val="auto"/>
              </w:rPr>
            </w:pPr>
            <w:r>
              <w:rPr>
                <w:rFonts w:ascii="Arial" w:cs="Arial" w:eastAsia="Arial" w:hAnsi="Arial"/>
                <w:sz w:val="11"/>
                <w:szCs w:val="11"/>
                <w:color w:val="auto"/>
                <w:w w:val="97"/>
              </w:rPr>
              <w:t>36</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and development</w:t>
            </w:r>
          </w:p>
        </w:tc>
        <w:tc>
          <w:tcPr>
            <w:tcW w:w="64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920" w:type="dxa"/>
            <w:vAlign w:val="bottom"/>
          </w:tcPr>
          <w:p>
            <w:pPr>
              <w:ind w:left="440"/>
              <w:spacing w:after="0" w:line="112" w:lineRule="exact"/>
              <w:rPr>
                <w:sz w:val="20"/>
                <w:szCs w:val="20"/>
                <w:color w:val="auto"/>
              </w:rPr>
            </w:pPr>
            <w:r>
              <w:rPr>
                <w:rFonts w:ascii="Arial" w:cs="Arial" w:eastAsia="Arial" w:hAnsi="Arial"/>
                <w:sz w:val="11"/>
                <w:szCs w:val="11"/>
                <w:color w:val="auto"/>
              </w:rPr>
              <w:t>Sales</w:t>
            </w:r>
          </w:p>
        </w:tc>
        <w:tc>
          <w:tcPr>
            <w:tcW w:w="6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1,044,618</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567,407</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369,079</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477,211</w:t>
            </w:r>
          </w:p>
        </w:tc>
        <w:tc>
          <w:tcPr>
            <w:tcW w:w="460" w:type="dxa"/>
            <w:vAlign w:val="bottom"/>
          </w:tcPr>
          <w:p>
            <w:pPr>
              <w:spacing w:after="0"/>
              <w:rPr>
                <w:sz w:val="9"/>
                <w:szCs w:val="9"/>
                <w:color w:val="auto"/>
              </w:rPr>
            </w:pPr>
          </w:p>
        </w:tc>
        <w:tc>
          <w:tcPr>
            <w:tcW w:w="380" w:type="dxa"/>
            <w:vAlign w:val="bottom"/>
            <w:vMerge w:val="restart"/>
          </w:tcPr>
          <w:p>
            <w:pPr>
              <w:jc w:val="right"/>
              <w:ind w:right="166"/>
              <w:spacing w:after="0"/>
              <w:rPr>
                <w:sz w:val="20"/>
                <w:szCs w:val="20"/>
                <w:color w:val="auto"/>
              </w:rPr>
            </w:pPr>
            <w:r>
              <w:rPr>
                <w:rFonts w:ascii="Arial" w:cs="Arial" w:eastAsia="Arial" w:hAnsi="Arial"/>
                <w:sz w:val="11"/>
                <w:szCs w:val="11"/>
                <w:color w:val="auto"/>
              </w:rPr>
              <w:t>84</w:t>
            </w:r>
          </w:p>
        </w:tc>
        <w:tc>
          <w:tcPr>
            <w:tcW w:w="40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198,328</w:t>
            </w:r>
          </w:p>
        </w:tc>
        <w:tc>
          <w:tcPr>
            <w:tcW w:w="420" w:type="dxa"/>
            <w:vAlign w:val="bottom"/>
          </w:tcPr>
          <w:p>
            <w:pPr>
              <w:spacing w:after="0"/>
              <w:rPr>
                <w:sz w:val="9"/>
                <w:szCs w:val="9"/>
                <w:color w:val="auto"/>
              </w:rPr>
            </w:pPr>
          </w:p>
        </w:tc>
        <w:tc>
          <w:tcPr>
            <w:tcW w:w="360" w:type="dxa"/>
            <w:vAlign w:val="bottom"/>
            <w:vMerge w:val="restart"/>
          </w:tcPr>
          <w:p>
            <w:pPr>
              <w:jc w:val="right"/>
              <w:ind w:right="166"/>
              <w:spacing w:after="0"/>
              <w:rPr>
                <w:sz w:val="20"/>
                <w:szCs w:val="20"/>
                <w:color w:val="auto"/>
              </w:rPr>
            </w:pPr>
            <w:r>
              <w:rPr>
                <w:rFonts w:ascii="Arial" w:cs="Arial" w:eastAsia="Arial" w:hAnsi="Arial"/>
                <w:sz w:val="11"/>
                <w:szCs w:val="11"/>
                <w:color w:val="auto"/>
                <w:w w:val="97"/>
              </w:rPr>
              <w:t>54</w:t>
            </w: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920" w:type="dxa"/>
            <w:vAlign w:val="bottom"/>
          </w:tcPr>
          <w:p>
            <w:pPr>
              <w:ind w:left="20"/>
              <w:spacing w:after="0"/>
              <w:rPr>
                <w:sz w:val="20"/>
                <w:szCs w:val="20"/>
                <w:color w:val="auto"/>
              </w:rPr>
            </w:pPr>
            <w:r>
              <w:rPr>
                <w:rFonts w:ascii="Arial" w:cs="Arial" w:eastAsia="Arial" w:hAnsi="Arial"/>
                <w:sz w:val="11"/>
                <w:szCs w:val="11"/>
                <w:color w:val="auto"/>
              </w:rPr>
              <w:t>and marketing</w:t>
            </w:r>
          </w:p>
        </w:tc>
        <w:tc>
          <w:tcPr>
            <w:tcW w:w="6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20" w:type="dxa"/>
            <w:vAlign w:val="bottom"/>
            <w:shd w:val="clear" w:color="auto" w:fill="CCEEFF"/>
          </w:tcPr>
          <w:p>
            <w:pPr>
              <w:ind w:left="440"/>
              <w:spacing w:after="0" w:line="114" w:lineRule="exact"/>
              <w:rPr>
                <w:sz w:val="20"/>
                <w:szCs w:val="20"/>
                <w:color w:val="auto"/>
              </w:rPr>
            </w:pPr>
            <w:r>
              <w:rPr>
                <w:rFonts w:ascii="Arial" w:cs="Arial" w:eastAsia="Arial" w:hAnsi="Arial"/>
                <w:sz w:val="11"/>
                <w:szCs w:val="11"/>
                <w:color w:val="auto"/>
              </w:rPr>
              <w:t>General</w:t>
            </w:r>
          </w:p>
        </w:tc>
        <w:tc>
          <w:tcPr>
            <w:tcW w:w="6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472,460</w:t>
            </w: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310,607</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218,268</w:t>
            </w: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161,853</w:t>
            </w:r>
          </w:p>
        </w:tc>
        <w:tc>
          <w:tcPr>
            <w:tcW w:w="46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66"/>
              <w:spacing w:after="0"/>
              <w:rPr>
                <w:sz w:val="20"/>
                <w:szCs w:val="20"/>
                <w:color w:val="auto"/>
              </w:rPr>
            </w:pPr>
            <w:r>
              <w:rPr>
                <w:rFonts w:ascii="Arial" w:cs="Arial" w:eastAsia="Arial" w:hAnsi="Arial"/>
                <w:sz w:val="11"/>
                <w:szCs w:val="11"/>
                <w:color w:val="auto"/>
              </w:rPr>
              <w:t>52</w:t>
            </w:r>
          </w:p>
        </w:tc>
        <w:tc>
          <w:tcPr>
            <w:tcW w:w="4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92,339</w:t>
            </w:r>
          </w:p>
        </w:tc>
        <w:tc>
          <w:tcPr>
            <w:tcW w:w="42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ind w:right="166"/>
              <w:spacing w:after="0"/>
              <w:rPr>
                <w:sz w:val="20"/>
                <w:szCs w:val="20"/>
                <w:color w:val="auto"/>
              </w:rPr>
            </w:pPr>
            <w:r>
              <w:rPr>
                <w:rFonts w:ascii="Arial" w:cs="Arial" w:eastAsia="Arial" w:hAnsi="Arial"/>
                <w:sz w:val="11"/>
                <w:szCs w:val="11"/>
                <w:color w:val="auto"/>
                <w:w w:val="97"/>
              </w:rPr>
              <w:t>42</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9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8"/>
              </w:rPr>
              <w:t>and administrative</w:t>
            </w:r>
          </w:p>
        </w:tc>
        <w:tc>
          <w:tcPr>
            <w:tcW w:w="6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920" w:type="dxa"/>
            <w:vAlign w:val="bottom"/>
          </w:tcPr>
          <w:p>
            <w:pPr>
              <w:ind w:left="580"/>
              <w:spacing w:after="0" w:line="92" w:lineRule="exact"/>
              <w:rPr>
                <w:sz w:val="20"/>
                <w:szCs w:val="20"/>
                <w:color w:val="auto"/>
              </w:rPr>
            </w:pPr>
            <w:r>
              <w:rPr>
                <w:rFonts w:ascii="Arial" w:cs="Arial" w:eastAsia="Arial" w:hAnsi="Arial"/>
                <w:sz w:val="10"/>
                <w:szCs w:val="10"/>
                <w:color w:val="auto"/>
              </w:rPr>
              <w:t>Total</w:t>
            </w: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920" w:type="dxa"/>
            <w:vAlign w:val="bottom"/>
          </w:tcPr>
          <w:p>
            <w:pPr>
              <w:ind w:left="160"/>
              <w:spacing w:after="0" w:line="108" w:lineRule="exact"/>
              <w:rPr>
                <w:sz w:val="20"/>
                <w:szCs w:val="20"/>
                <w:color w:val="auto"/>
              </w:rPr>
            </w:pPr>
            <w:r>
              <w:rPr>
                <w:rFonts w:ascii="Arial" w:cs="Arial" w:eastAsia="Arial" w:hAnsi="Arial"/>
                <w:sz w:val="11"/>
                <w:szCs w:val="11"/>
                <w:color w:val="auto"/>
              </w:rPr>
              <w:t>operating</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2,306,297</w:t>
            </w:r>
          </w:p>
        </w:tc>
        <w:tc>
          <w:tcPr>
            <w:tcW w:w="60" w:type="dxa"/>
            <w:vAlign w:val="bottom"/>
          </w:tcPr>
          <w:p>
            <w:pPr>
              <w:spacing w:after="0"/>
              <w:rPr>
                <w:sz w:val="9"/>
                <w:szCs w:val="9"/>
                <w:color w:val="auto"/>
              </w:rPr>
            </w:pP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1,408,562</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978,702</w:t>
            </w:r>
          </w:p>
        </w:tc>
        <w:tc>
          <w:tcPr>
            <w:tcW w:w="60" w:type="dxa"/>
            <w:vAlign w:val="bottom"/>
          </w:tcPr>
          <w:p>
            <w:pPr>
              <w:spacing w:after="0"/>
              <w:rPr>
                <w:sz w:val="9"/>
                <w:szCs w:val="9"/>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897,735</w:t>
            </w:r>
          </w:p>
        </w:tc>
        <w:tc>
          <w:tcPr>
            <w:tcW w:w="460" w:type="dxa"/>
            <w:vAlign w:val="bottom"/>
          </w:tcPr>
          <w:p>
            <w:pPr>
              <w:spacing w:after="0"/>
              <w:rPr>
                <w:sz w:val="9"/>
                <w:szCs w:val="9"/>
                <w:color w:val="auto"/>
              </w:rPr>
            </w:pPr>
          </w:p>
        </w:tc>
        <w:tc>
          <w:tcPr>
            <w:tcW w:w="380" w:type="dxa"/>
            <w:vAlign w:val="bottom"/>
            <w:vMerge w:val="restart"/>
          </w:tcPr>
          <w:p>
            <w:pPr>
              <w:jc w:val="right"/>
              <w:ind w:right="166"/>
              <w:spacing w:after="0"/>
              <w:rPr>
                <w:sz w:val="20"/>
                <w:szCs w:val="20"/>
                <w:color w:val="auto"/>
              </w:rPr>
            </w:pPr>
            <w:r>
              <w:rPr>
                <w:rFonts w:ascii="Arial" w:cs="Arial" w:eastAsia="Arial" w:hAnsi="Arial"/>
                <w:sz w:val="11"/>
                <w:szCs w:val="11"/>
                <w:color w:val="auto"/>
              </w:rPr>
              <w:t>64</w:t>
            </w:r>
          </w:p>
        </w:tc>
        <w:tc>
          <w:tcPr>
            <w:tcW w:w="40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429,860</w:t>
            </w:r>
          </w:p>
        </w:tc>
        <w:tc>
          <w:tcPr>
            <w:tcW w:w="420" w:type="dxa"/>
            <w:vAlign w:val="bottom"/>
          </w:tcPr>
          <w:p>
            <w:pPr>
              <w:spacing w:after="0"/>
              <w:rPr>
                <w:sz w:val="9"/>
                <w:szCs w:val="9"/>
                <w:color w:val="auto"/>
              </w:rPr>
            </w:pPr>
          </w:p>
        </w:tc>
        <w:tc>
          <w:tcPr>
            <w:tcW w:w="360" w:type="dxa"/>
            <w:vAlign w:val="bottom"/>
            <w:vMerge w:val="restart"/>
          </w:tcPr>
          <w:p>
            <w:pPr>
              <w:jc w:val="right"/>
              <w:ind w:right="166"/>
              <w:spacing w:after="0"/>
              <w:rPr>
                <w:sz w:val="20"/>
                <w:szCs w:val="20"/>
                <w:color w:val="auto"/>
              </w:rPr>
            </w:pPr>
            <w:r>
              <w:rPr>
                <w:rFonts w:ascii="Arial" w:cs="Arial" w:eastAsia="Arial" w:hAnsi="Arial"/>
                <w:sz w:val="11"/>
                <w:szCs w:val="11"/>
                <w:color w:val="auto"/>
                <w:w w:val="97"/>
              </w:rPr>
              <w:t>44</w:t>
            </w: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920" w:type="dxa"/>
            <w:vAlign w:val="bottom"/>
          </w:tcPr>
          <w:p>
            <w:pPr>
              <w:ind w:left="160"/>
              <w:spacing w:after="0" w:line="122" w:lineRule="exact"/>
              <w:rPr>
                <w:sz w:val="20"/>
                <w:szCs w:val="20"/>
                <w:color w:val="auto"/>
              </w:rPr>
            </w:pPr>
            <w:r>
              <w:rPr>
                <w:rFonts w:ascii="Arial" w:cs="Arial" w:eastAsia="Arial" w:hAnsi="Arial"/>
                <w:sz w:val="11"/>
                <w:szCs w:val="11"/>
                <w:color w:val="auto"/>
              </w:rPr>
              <w:t>expenses</w:t>
            </w:r>
          </w:p>
        </w:tc>
        <w:tc>
          <w:tcPr>
            <w:tcW w:w="64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2021 compared to 2020</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 2021, research and development expenses increased by $258.7 million, or 49%, compared to the same period last year. The increase was primarily attributable to a $225.0 million increase in personnel costs, net of a</w:t>
      </w:r>
    </w:p>
    <w:p>
      <w:pPr>
        <w:spacing w:after="0" w:line="26" w:lineRule="exact"/>
        <w:rPr>
          <w:sz w:val="20"/>
          <w:szCs w:val="20"/>
          <w:color w:val="auto"/>
        </w:rPr>
      </w:pPr>
    </w:p>
    <w:p>
      <w:pPr>
        <w:ind w:right="100"/>
        <w:spacing w:after="0" w:line="255" w:lineRule="auto"/>
        <w:rPr>
          <w:sz w:val="20"/>
          <w:szCs w:val="20"/>
          <w:color w:val="auto"/>
        </w:rPr>
      </w:pPr>
      <w:r>
        <w:rPr>
          <w:rFonts w:ascii="Arial" w:cs="Arial" w:eastAsia="Arial" w:hAnsi="Arial"/>
          <w:sz w:val="12"/>
          <w:szCs w:val="12"/>
          <w:color w:val="auto"/>
        </w:rPr>
        <w:t>$15.7 million increase in capitalized software development costs, largely as a result of a 54% average increase in our research and development headcount, as we continued to focus on enhancing our existing products, introducing new products as well as enhancing product management and other technical functions. In addition, the year ended December 31, 2021 included research and development expenses and the impact of growth in headcount from our recent acquisitions.</w:t>
      </w:r>
    </w:p>
    <w:p>
      <w:pPr>
        <w:spacing w:after="0" w:line="127" w:lineRule="exact"/>
        <w:rPr>
          <w:sz w:val="20"/>
          <w:szCs w:val="20"/>
          <w:color w:val="auto"/>
        </w:rPr>
      </w:pPr>
    </w:p>
    <w:p>
      <w:pPr>
        <w:jc w:val="both"/>
        <w:ind w:right="180" w:firstLine="324"/>
        <w:spacing w:after="0" w:line="298" w:lineRule="auto"/>
        <w:rPr>
          <w:sz w:val="20"/>
          <w:szCs w:val="20"/>
          <w:color w:val="auto"/>
        </w:rPr>
      </w:pPr>
      <w:r>
        <w:rPr>
          <w:rFonts w:ascii="Arial" w:cs="Arial" w:eastAsia="Arial" w:hAnsi="Arial"/>
          <w:sz w:val="11"/>
          <w:szCs w:val="11"/>
          <w:color w:val="auto"/>
        </w:rPr>
        <w:t>In 2021, sales and marketing expenses increased by $477.2 million, or 84%, compared to the same period last year. The increase was primarily attributable to a $331.5 million increase in personnel costs, largely as a result of a 74% average increase in sales and marketing headcount, as we continued to expand our sales efforts globally. The increase was also due to a $43.6 million increase related to the amortization of acquired intangible assets and a $31.6 million increase in advertising expenses. In addition, the year ended December 31, 2021 included sales and marketing expenses and the impact of growth in headcount from our recent acquisitions.</w:t>
      </w:r>
    </w:p>
    <w:p>
      <w:pPr>
        <w:spacing w:after="0" w:line="105"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In 2021, general and administrative expenses increased by $161.9 million, or 52%, compared to the same period last year. The increase was primarily attributable to a $142.1 million increase in personnel costs, largely as a result of a 75% average increase in general and administrative headcount, to support the growth of our business globally. The increase was also due to a $12.2 million increase in charitable contributions that we made through Twilio.org, $11.2 million increase in professional service fees incurred in the ordinary course of business, offset by a $14.2 million decrease in professional services related to our acquisitions. In addition, the year ended December 31, 2021 included general and administrative expenses and the impact of growth in headcount from our recent acquisitions.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2020 compared to 2019</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 2020, research and development expenses increased by $139.2 million, or 36%, compared to the same period last year. The increase was primarily attributable to a $128.3 million increase in personnel costs, net of a</w:t>
      </w:r>
    </w:p>
    <w:p>
      <w:pPr>
        <w:spacing w:after="0" w:line="26"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$17.8 million increase in capitalized software development costs, largely as a result of a 63% average increase in our research and development headcount, as we continued to focus on enhancing our existing products, introducing new products as well as enhancing product management and other technical functions. The increase was also due to a $13.3 million increase in our cloud infrastructure fees related to staging and development of our products. In addition, the year ended December 31, 2020 included research and development expenses and headcount from our recent acquisitions.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9" w:name="page70"/>
    <w:bookmarkEnd w:id="6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160" w:firstLine="324"/>
        <w:spacing w:after="0" w:line="298" w:lineRule="auto"/>
        <w:rPr>
          <w:sz w:val="20"/>
          <w:szCs w:val="20"/>
          <w:color w:val="auto"/>
        </w:rPr>
      </w:pPr>
      <w:r>
        <w:rPr>
          <w:rFonts w:ascii="Arial" w:cs="Arial" w:eastAsia="Arial" w:hAnsi="Arial"/>
          <w:sz w:val="11"/>
          <w:szCs w:val="11"/>
          <w:color w:val="auto"/>
        </w:rPr>
        <w:t>In 2020, sales and marketing expenses increased by $198.3 million, or 54%, compared to the same period last year. The increase was primarily attributable to a $137.4 million increase in personnel costs, largely as a result of a 88% average increase in sales and marketing headcount, as we continued to expand our sales efforts in the United States and abroad. The increase was also due to a $11.4 million increase related to the amortization of acquired intangible assets and a $20.1 million increase in advertising expenses. In addition, the year ended December 31, 2020, included sales and marketing expenses and headcount from our recent acquisitions.</w:t>
      </w:r>
    </w:p>
    <w:p>
      <w:pPr>
        <w:spacing w:after="0" w:line="105" w:lineRule="exact"/>
        <w:rPr>
          <w:sz w:val="20"/>
          <w:szCs w:val="20"/>
          <w:color w:val="auto"/>
        </w:rPr>
      </w:pPr>
    </w:p>
    <w:p>
      <w:pPr>
        <w:ind w:right="40" w:firstLine="324"/>
        <w:spacing w:after="0" w:line="256" w:lineRule="auto"/>
        <w:rPr>
          <w:sz w:val="20"/>
          <w:szCs w:val="20"/>
          <w:color w:val="auto"/>
        </w:rPr>
      </w:pPr>
      <w:r>
        <w:rPr>
          <w:rFonts w:ascii="Arial" w:cs="Arial" w:eastAsia="Arial" w:hAnsi="Arial"/>
          <w:sz w:val="12"/>
          <w:szCs w:val="12"/>
          <w:color w:val="auto"/>
        </w:rPr>
        <w:t>In 2020, general and administrative expenses increased by $92.3 million, or 42%, compared to the same period last year. The increase was primarily attributable to a $25.4 million increase in personnel costs, largely as a result of a 66% average increase in general and administrative headcount, to support the growth of our business globally. The increase was also due to a $19.0 million increase in charitable contributions due to several donations made by Twilio.org, a $10.7 million increase in our allowance for estimated credit losses partially impacted by the COVID-19 environment and a $5.8 million increase in professional expenses related to our acquisitions of other business. Additionally, certain of our taxes increased by $7.9 million primarily in foreign jurisdictions and our professional services fees increased by $6.6 million. In addition, the year ended December 31, 2021 included general and administrative expenses and headcount from our recent acquisitions.</w:t>
      </w:r>
    </w:p>
    <w:p>
      <w:pPr>
        <w:spacing w:after="0" w:line="124"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right="60" w:firstLine="324"/>
        <w:spacing w:after="0" w:line="289" w:lineRule="auto"/>
        <w:rPr>
          <w:sz w:val="20"/>
          <w:szCs w:val="20"/>
          <w:color w:val="auto"/>
        </w:rPr>
      </w:pPr>
      <w:r>
        <w:rPr>
          <w:rFonts w:ascii="Arial" w:cs="Arial" w:eastAsia="Arial" w:hAnsi="Arial"/>
          <w:sz w:val="11"/>
          <w:szCs w:val="11"/>
          <w:color w:val="auto"/>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$537.0 million, after deducting purchaser discounts and debt issuance costs paid by us, from the issuance of our Convertible Notes in May 2018; (iii) the aggregate net proceeds of approximately $984.7 million, after deducting purchaser discounts and debt issuance costs paid by us, from the issuance of our 2029 Notes and 2031 Notes in March 2021; (iv) the net proceeds of $228.4 million, after deducting transaction costs paid by us, from settlement of our capped call arrangements in June 2021; and (v) the payments received from customers using our products.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Our primary uses of cash include operating costs, such as personnel-related costs, network service provider costs, cloud infrastructure costs, facility-related spending, as well as acquisitions and investments. Refer to Note 6, Note 10, Note 13(a) and Note 18 to our consolidated financial statements included elsewhere in this Annual Report on Form 10-K for detailed discussions of our obligations and commitments related to leases, debt, other purchase obligations and our proposed minority investment in Syniverse Corporation.</w:t>
      </w:r>
    </w:p>
    <w:p>
      <w:pPr>
        <w:spacing w:after="0" w:line="122" w:lineRule="exact"/>
        <w:rPr>
          <w:sz w:val="20"/>
          <w:szCs w:val="20"/>
          <w:color w:val="auto"/>
        </w:rPr>
      </w:pPr>
    </w:p>
    <w:p>
      <w:pPr>
        <w:ind w:right="360" w:firstLine="324"/>
        <w:spacing w:after="0" w:line="323" w:lineRule="auto"/>
        <w:rPr>
          <w:sz w:val="20"/>
          <w:szCs w:val="20"/>
          <w:color w:val="auto"/>
        </w:rPr>
      </w:pPr>
      <w:r>
        <w:rPr>
          <w:rFonts w:ascii="Arial" w:cs="Arial" w:eastAsia="Arial" w:hAnsi="Arial"/>
          <w:sz w:val="11"/>
          <w:szCs w:val="11"/>
          <w:color w:val="auto"/>
        </w:rPr>
        <w:t>We may, from time to time, consider acquisitions of, or investments in, complementary businesses, products, services, capital infrastructure or technologies which might affect our liquidity requirements, cause us to secure additional financing or issue additional equity or debt securities. There can be no assurance that additional credit lines or financing instruments will be available in amounts or on terms acceptable to us, if at all.</w:t>
      </w:r>
    </w:p>
    <w:p>
      <w:pPr>
        <w:spacing w:after="0" w:line="92" w:lineRule="exact"/>
        <w:rPr>
          <w:sz w:val="20"/>
          <w:szCs w:val="20"/>
          <w:color w:val="auto"/>
        </w:rPr>
      </w:pPr>
    </w:p>
    <w:p>
      <w:pPr>
        <w:ind w:right="40" w:firstLine="324"/>
        <w:spacing w:after="0" w:line="255" w:lineRule="auto"/>
        <w:rPr>
          <w:sz w:val="20"/>
          <w:szCs w:val="20"/>
          <w:color w:val="auto"/>
        </w:rPr>
      </w:pPr>
      <w:r>
        <w:rPr>
          <w:rFonts w:ascii="Arial" w:cs="Arial" w:eastAsia="Arial" w:hAnsi="Arial"/>
          <w:sz w:val="12"/>
          <w:szCs w:val="12"/>
          <w:color w:val="auto"/>
        </w:rPr>
        <w:t>We believe that our cash, cash equivalents and marketable securities balances, as well as the cash flows generated by our operations, will be sufficient to satisfy our anticipated cash needs for working capital and capital expenditures for the next 12 months and beyond. However, our belief may prove to be incorrect, and we could utilize our available financial resources sooner than we currently expect. Our future capital requirements and the adequacy of available funds will depend on many factors, including those set forth in Part I, Item 1A,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Additionally, cash from operations could also be affected by various risks and uncertainties in connection with the COVID-19 pandemic, including timing and ability to collect payments from our customers and other risks detailed in Part I, Item 1A, “Risk Factors.”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0" w:name="page71"/>
    <w:bookmarkEnd w:id="7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Cash Flows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summarizes our cash flows:</w:t>
      </w:r>
    </w:p>
    <w:p>
      <w:pPr>
        <w:spacing w:after="0" w:line="177" w:lineRule="exact"/>
        <w:rPr>
          <w:sz w:val="20"/>
          <w:szCs w:val="20"/>
          <w:color w:val="auto"/>
        </w:rPr>
      </w:pPr>
    </w:p>
    <w:tbl>
      <w:tblPr>
        <w:tblLayout w:type="fixed"/>
        <w:tblInd w:w="820" w:type="dxa"/>
        <w:tblCellMar>
          <w:top w:w="0" w:type="dxa"/>
          <w:left w:w="0" w:type="dxa"/>
          <w:bottom w:w="0" w:type="dxa"/>
          <w:right w:w="0" w:type="dxa"/>
        </w:tblCellMar>
      </w:tblPr>
      <w:tr>
        <w:trPr>
          <w:trHeight w:val="142"/>
        </w:trPr>
        <w:tc>
          <w:tcPr>
            <w:tcW w:w="56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center"/>
              <w:ind w:left="206"/>
              <w:spacing w:after="0"/>
              <w:rPr>
                <w:sz w:val="20"/>
                <w:szCs w:val="20"/>
                <w:color w:val="auto"/>
              </w:rPr>
            </w:pPr>
            <w:r>
              <w:rPr>
                <w:rFonts w:ascii="Arial" w:cs="Arial" w:eastAsia="Arial" w:hAnsi="Arial"/>
                <w:sz w:val="11"/>
                <w:szCs w:val="11"/>
                <w:b w:val="1"/>
                <w:bCs w:val="1"/>
                <w:color w:val="auto"/>
                <w:w w:val="88"/>
              </w:rPr>
              <w:t>Year Ended December 31,</w:t>
            </w:r>
          </w:p>
        </w:tc>
        <w:tc>
          <w:tcPr>
            <w:tcW w:w="5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33"/>
        </w:trPr>
        <w:tc>
          <w:tcPr>
            <w:tcW w:w="56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127"/>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2019</w:t>
            </w:r>
          </w:p>
        </w:tc>
      </w:tr>
      <w:tr>
        <w:trPr>
          <w:trHeight w:val="115"/>
        </w:trPr>
        <w:tc>
          <w:tcPr>
            <w:tcW w:w="5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0"/>
                <w:szCs w:val="10"/>
                <w:color w:val="auto"/>
                <w:w w:val="87"/>
              </w:rPr>
              <w:t>(In thousands)</w:t>
            </w: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46"/>
        </w:trPr>
        <w:tc>
          <w:tcPr>
            <w:tcW w:w="56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Cash (used in) provided by operating activities</w:t>
            </w:r>
          </w:p>
        </w:tc>
        <w:tc>
          <w:tcPr>
            <w:tcW w:w="5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(58,192)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32,654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14,048</w:t>
            </w:r>
          </w:p>
        </w:tc>
      </w:tr>
      <w:tr>
        <w:trPr>
          <w:trHeight w:val="142"/>
        </w:trPr>
        <w:tc>
          <w:tcPr>
            <w:tcW w:w="5660" w:type="dxa"/>
            <w:vAlign w:val="bottom"/>
          </w:tcPr>
          <w:p>
            <w:pPr>
              <w:ind w:left="340"/>
              <w:spacing w:after="0"/>
              <w:rPr>
                <w:sz w:val="20"/>
                <w:szCs w:val="20"/>
                <w:color w:val="auto"/>
              </w:rPr>
            </w:pPr>
            <w:r>
              <w:rPr>
                <w:rFonts w:ascii="Arial" w:cs="Arial" w:eastAsia="Arial" w:hAnsi="Arial"/>
                <w:sz w:val="11"/>
                <w:szCs w:val="11"/>
                <w:color w:val="auto"/>
              </w:rPr>
              <w:t>Cash (used in) investing activities</w:t>
            </w:r>
          </w:p>
        </w:tc>
        <w:tc>
          <w:tcPr>
            <w:tcW w:w="5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(2,489,996)</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(845,855)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(1,285,792)</w:t>
            </w:r>
          </w:p>
        </w:tc>
      </w:tr>
      <w:tr>
        <w:trPr>
          <w:trHeight w:val="146"/>
        </w:trPr>
        <w:tc>
          <w:tcPr>
            <w:tcW w:w="56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Cash provided by financing activities</w:t>
            </w: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3,096,325</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1,493,311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1,020,145</w:t>
            </w:r>
          </w:p>
        </w:tc>
      </w:tr>
      <w:tr>
        <w:trPr>
          <w:trHeight w:val="142"/>
        </w:trPr>
        <w:tc>
          <w:tcPr>
            <w:tcW w:w="566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Effect of exchange rate changes on cash, cash equivalents and restricted cash</w:t>
            </w:r>
          </w:p>
        </w:tc>
        <w:tc>
          <w:tcPr>
            <w:tcW w:w="5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(191)</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40</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5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Net increase (decrease) in cash, cash equivalents and restricted cash</w:t>
            </w:r>
          </w:p>
        </w:tc>
        <w:tc>
          <w:tcPr>
            <w:tcW w:w="5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547,946</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680,150</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(251,599)</w:t>
            </w: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Cash Flows from Operating Activities</w:t>
      </w:r>
    </w:p>
    <w:p>
      <w:pPr>
        <w:spacing w:after="0" w:line="150" w:lineRule="exact"/>
        <w:rPr>
          <w:sz w:val="20"/>
          <w:szCs w:val="20"/>
          <w:color w:val="auto"/>
        </w:rPr>
      </w:pPr>
    </w:p>
    <w:p>
      <w:pPr>
        <w:ind w:right="120" w:firstLine="324"/>
        <w:spacing w:after="0" w:line="283" w:lineRule="auto"/>
        <w:rPr>
          <w:sz w:val="20"/>
          <w:szCs w:val="20"/>
          <w:color w:val="auto"/>
        </w:rPr>
      </w:pPr>
      <w:r>
        <w:rPr>
          <w:rFonts w:ascii="Arial" w:cs="Arial" w:eastAsia="Arial" w:hAnsi="Arial"/>
          <w:sz w:val="11"/>
          <w:szCs w:val="11"/>
          <w:color w:val="auto"/>
        </w:rPr>
        <w:t>In 2021, cash used in operating activities consisted primarily of our net loss of $949.9 million adjusted for non-cash items, including $632.3 million of stock-based compensation expense, $17.2 million of tax benefit related to release of valuation allowance in connection with our Zipwhip and prior acquisitions, $258.4 million of depreciation and amortization expense, $5.8 million amortization of the debt discount and issuance costs related to our long-term debt, $48.8 million of non-cash reduction to our operating right-of-use asset, $31.5 million amortization of deferred commissions and $185.1 million of cumulative changes in operating assets and liabilities. With respect to changes in operating assets and liabilities, accounts receivable and prepaid expenses increased $196.0 million primarily due to revenue growth, the timing of cash receipts and pre-payments for cloud infrastructure fees and certain operating expenses. Accounts payable and other current liabilities increased $137.7 million primarily due to increases in transaction volumes. Operating lease liability decreased $49.0 million due to payments made against our operating lease obligations. Other long-term assets increased $121.2 million primarily due to an increase in the sales commissions balances related to the growth of our business.</w:t>
      </w:r>
    </w:p>
    <w:p>
      <w:pPr>
        <w:spacing w:after="0" w:line="113" w:lineRule="exact"/>
        <w:rPr>
          <w:sz w:val="20"/>
          <w:szCs w:val="20"/>
          <w:color w:val="auto"/>
        </w:rPr>
      </w:pPr>
    </w:p>
    <w:p>
      <w:pPr>
        <w:ind w:firstLine="324"/>
        <w:spacing w:after="0" w:line="316" w:lineRule="auto"/>
        <w:rPr>
          <w:sz w:val="20"/>
          <w:szCs w:val="20"/>
          <w:color w:val="auto"/>
        </w:rPr>
      </w:pPr>
      <w:r>
        <w:rPr>
          <w:rFonts w:ascii="Arial" w:cs="Arial" w:eastAsia="Arial" w:hAnsi="Arial"/>
          <w:sz w:val="10"/>
          <w:szCs w:val="10"/>
          <w:color w:val="auto"/>
        </w:rPr>
        <w:t>In 2020, cash provided by operating activities consisted primarily of our net loss of $491.0 million adjusted for non-cash items, including $360.9 million of stock-based compensation expense, $16.5 million of tax benefit related to release of valuation allowance in connection with our acquisitions of other businesses, $149.7 million of depreciation and amortization expense, $23.8 million amortization of the debt discount and issuance costs related to our long-term debt, $38.4 million of non-cash reduction to our operating right-of-use asset, $13.3 million amortization of deferred commissions, a $13.2 million increase in our allowance for credit losses, and $97.4 million of cumulative changes in operating assets and liabilities. With respect to changes in operating assets and liabilities, accounts receivable and prepaid expenses increased $92.9 million primarily due to the timing of cash receipts from certain of our larger customers, pre-payments for cloud infrastructure fees and certain operating expenses. Accounts payable and other current liabilities increased $98.4 million primarily due to increases in transaction volumes. Operating lease liability decreased $33.9 million due to payments made against our operating lease obligations. Other long-term assets increased $81.9 million primarily due to an increase in the sales commissions balances related to the growth of our business.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Cash Flows from Investing Activities</w:t>
      </w:r>
    </w:p>
    <w:p>
      <w:pPr>
        <w:spacing w:after="0" w:line="150"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2"/>
          <w:szCs w:val="12"/>
          <w:color w:val="auto"/>
        </w:rPr>
        <w:t>In 2021, cash used in investing activities was $2.5 billion primarily consisting of $1.9 billion of purchases of marketable securities and other investments, net of maturities and sales, $491.5 million of net cash paid to acquire other businesses as described in Note 7 to our consolidated financial statements included elsewhere in this Annual Report on Form 10-K, $44.0 million related to capitalized software development costs and $46.0 million related to purchases of long-lived assets.</w:t>
      </w:r>
    </w:p>
    <w:p>
      <w:pPr>
        <w:spacing w:after="0" w:line="122"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In 2020, cash used in investing activities was $845.9 million primarily consisting of $453.1 million of purchases of marketable securities and other investments, net of maturities and sales, $333.6 million of net cash paid to acquire other businesses as described in Note 7 to our consolidated financial statements included elsewhere in this Annual Report on Form 10-K, $33.3 million related to capitalized software development costs and $25.8 million related to purchases of long-lived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1" w:name="page72"/>
    <w:bookmarkEnd w:id="7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Cash Flows from Financing Activities</w:t>
      </w:r>
    </w:p>
    <w:p>
      <w:pPr>
        <w:spacing w:after="0" w:line="150"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In 2021, cash provided by financing activities was $3.1 billion primarily consisting of $1.8 billion in net proceeds from our public equity offering, as described in Note 14 to our consolidated financial statements included elsewhere in this Annual Report on Form 10-K; $984.7 million in net proceeds from the issuance of our 2029 Notes and 2031 Notes and $228.4 million in net proceeds from the settlement of the capped call transactions related to our Convertible Notes, which were fully redeemed during 2021, as described in Note 10 to our consolidated financial statements included elsewhere in this Annual Report on Form 10-K; and $136.2 million in proceeds from stock options exercised by our employees and shares issued under our employee stock purchase plan.</w:t>
      </w:r>
    </w:p>
    <w:p>
      <w:pPr>
        <w:spacing w:after="0" w:line="124" w:lineRule="exact"/>
        <w:rPr>
          <w:sz w:val="20"/>
          <w:szCs w:val="20"/>
          <w:color w:val="auto"/>
        </w:rPr>
      </w:pPr>
    </w:p>
    <w:p>
      <w:pPr>
        <w:ind w:right="320" w:firstLine="324"/>
        <w:spacing w:after="0" w:line="323" w:lineRule="auto"/>
        <w:rPr>
          <w:sz w:val="20"/>
          <w:szCs w:val="20"/>
          <w:color w:val="auto"/>
        </w:rPr>
      </w:pPr>
      <w:r>
        <w:rPr>
          <w:rFonts w:ascii="Arial" w:cs="Arial" w:eastAsia="Arial" w:hAnsi="Arial"/>
          <w:sz w:val="11"/>
          <w:szCs w:val="11"/>
          <w:color w:val="auto"/>
        </w:rPr>
        <w:t>In 2020, cash provided by financing activities was $1.5 billion primarily consisting of $1.4 billion in net proceeds from our public equity offering, as described in Note 14 to our consolidated financial statements included elsewhere in this Annual Report on Form 10-K, and $104.8 million in proceeds from stock options exercised by our employees and shares issued under our employee stock purchase plan.</w:t>
      </w:r>
    </w:p>
    <w:p>
      <w:pPr>
        <w:spacing w:after="0" w:line="88"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Off-Balance Sheet Arrangements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have not entered into any off-balance sheet arrangements and do not have any holdings in variable interest entities.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Segment Information</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have one business activity and operate in one reportable segment.</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2"/>
          <w:szCs w:val="12"/>
          <w:color w:val="auto"/>
        </w:rPr>
        <w:t>Our consolidated financial statements are prepared in accordance with generally accepted accounting principles in the United States of America.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2" w:lineRule="exact"/>
        <w:rPr>
          <w:sz w:val="20"/>
          <w:szCs w:val="20"/>
          <w:color w:val="auto"/>
        </w:rPr>
      </w:pPr>
    </w:p>
    <w:p>
      <w:pPr>
        <w:ind w:right="240" w:firstLine="324"/>
        <w:spacing w:after="0" w:line="276" w:lineRule="auto"/>
        <w:rPr>
          <w:sz w:val="20"/>
          <w:szCs w:val="20"/>
          <w:color w:val="auto"/>
        </w:rPr>
      </w:pPr>
      <w:r>
        <w:rPr>
          <w:rFonts w:ascii="Arial" w:cs="Arial" w:eastAsia="Arial" w:hAnsi="Arial"/>
          <w:sz w:val="12"/>
          <w:szCs w:val="12"/>
          <w:color w:val="auto"/>
        </w:rPr>
        <w:t>We believe that the accounting policies, assumptions and estimates associated with revenue recognition and business combinations have the greatest potential impact on our consolidated financial statements. Therefore, we consider these to be our critical accounting policies and estimates.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See Note 2 to the consolidated financial statements included elsewhere in this Annual Report on Form 10-K for a discussion of our accounting policies.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23"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2"/>
          <w:szCs w:val="12"/>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credits and any taxes collected from customers, which are subsequently remitted to governmental authorities.</w:t>
      </w:r>
    </w:p>
    <w:p>
      <w:pPr>
        <w:spacing w:after="0" w:line="9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2"/>
          <w:szCs w:val="12"/>
          <w:color w:val="auto"/>
        </w:rPr>
        <w:t>Our revenue is primarily derived from usage-based fees earned from customers accessing our enterprise cloud computing services. Platform access is considered a monthly series comprising one performance obligation and usage-based fees are recognized as revenue in the period in which the usage occurs.</w:t>
      </w:r>
    </w:p>
    <w:p>
      <w:pPr>
        <w:spacing w:after="0" w:line="9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2"/>
          <w:szCs w:val="12"/>
          <w:color w:val="auto"/>
        </w:rPr>
        <w:t>Subscription-based fees are derived from certain non-usage-based contracts, such as with the sales of short codes, customer support, and fees charged to access the cloud-based platform of our Twilio Segment business, which acquisition is further described in Note 7 to our consolidated financial statements included elsewhere in this Annual Report of Form 10-K. Non-usage-based contracts revenue is recognized on a ratable basis over the contractual term which is generally from one to three years.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31" w:right="419" w:bottom="1440" w:gutter="0" w:footer="0" w:header="0"/>
        </w:sectPr>
      </w:pPr>
    </w:p>
    <w:bookmarkStart w:id="72" w:name="page73"/>
    <w:bookmarkEnd w:id="7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92"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2"/>
          <w:szCs w:val="12"/>
          <w:color w:val="auto"/>
        </w:rPr>
        <w:t>Our arrangements do not contain general rights of return. However, credits may be issued on a case-by-case basis. Credits are accounted for as variable consideration, are estimated based on historical trends and are recorded against revenue. The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168" w:lineRule="exact"/>
        <w:rPr>
          <w:sz w:val="20"/>
          <w:szCs w:val="20"/>
          <w:color w:val="auto"/>
        </w:rPr>
      </w:pPr>
    </w:p>
    <w:p>
      <w:pPr>
        <w:ind w:right="20" w:firstLine="324"/>
        <w:spacing w:after="0" w:line="289" w:lineRule="auto"/>
        <w:rPr>
          <w:sz w:val="20"/>
          <w:szCs w:val="20"/>
          <w:color w:val="auto"/>
        </w:rPr>
      </w:pPr>
      <w:r>
        <w:rPr>
          <w:rFonts w:ascii="Arial" w:cs="Arial" w:eastAsia="Arial" w:hAnsi="Arial"/>
          <w:sz w:val="11"/>
          <w:szCs w:val="11"/>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Examples of critical estimates in valuing certain of the intangible assets and goodwill we have acquired include but are not limited to future expected cash flows from acquired developed technologies; existing customer relationships; uncertain tax positions and tax related valuation allowances assumed; and discount rates. Unanticipated events and circumstances may occur that may affect the accuracy or validity of such assumptions, estimates or actual results.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Recent Accounting Pronouncements Not Yet Adopted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See Note 2(ac) to the consolidated financial statements included elsewhere in this Annual Report on Form 10-K for a discussion of recent accounting pronouncements not yet adopted.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7A. </w:t>
      </w:r>
      <w:r>
        <w:rPr>
          <w:rFonts w:ascii="Arial" w:cs="Arial" w:eastAsia="Arial" w:hAnsi="Arial"/>
          <w:sz w:val="12"/>
          <w:szCs w:val="12"/>
          <w:b w:val="1"/>
          <w:bCs w:val="1"/>
          <w:i w:val="1"/>
          <w:iCs w:val="1"/>
          <w:color w:val="auto"/>
        </w:rPr>
        <w:t>Quantitative and Qualitative Disclosures about Market Risk</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We are exposed to certain market risks in the ordinary course of our business, including sensitivities as follows: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50" w:lineRule="exact"/>
        <w:rPr>
          <w:sz w:val="20"/>
          <w:szCs w:val="20"/>
          <w:color w:val="auto"/>
        </w:rPr>
      </w:pPr>
    </w:p>
    <w:p>
      <w:pPr>
        <w:ind w:firstLine="324"/>
        <w:spacing w:after="0" w:line="146" w:lineRule="exact"/>
        <w:rPr>
          <w:sz w:val="20"/>
          <w:szCs w:val="20"/>
          <w:color w:val="auto"/>
        </w:rPr>
      </w:pPr>
      <w:r>
        <w:rPr>
          <w:rFonts w:ascii="Arial" w:cs="Arial" w:eastAsia="Arial" w:hAnsi="Arial"/>
          <w:sz w:val="12"/>
          <w:szCs w:val="12"/>
          <w:color w:val="auto"/>
        </w:rPr>
        <w:t>We had cash, cash equivalents and restricted cash of $1.5 billion and marketable securities of $3.9 billion as of December 31, 2021. Cash, cash equivalents and restricted cash consist of bank deposits, money market funds and commercial paper. Marketable securities consist primarily of U.S. treasury securities, non-U.S. government securities and high credit quality corporate debt securities. The cash and cash equivalents and marketable securities are held for working capital purposes. Such interest</w:t>
      </w:r>
      <w:r>
        <w:rPr>
          <w:rFonts w:ascii="MS PGothic" w:cs="MS PGothic" w:eastAsia="MS PGothic" w:hAnsi="MS PGothic"/>
          <w:sz w:val="12"/>
          <w:szCs w:val="12"/>
          <w:color w:val="auto"/>
        </w:rPr>
        <w:t>‑</w:t>
      </w:r>
      <w:r>
        <w:rPr>
          <w:rFonts w:ascii="Arial" w:cs="Arial" w:eastAsia="Arial" w:hAnsi="Arial"/>
          <w:sz w:val="12"/>
          <w:szCs w:val="12"/>
          <w:color w:val="auto"/>
        </w:rPr>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w:t>
      </w:r>
      <w:r>
        <w:rPr>
          <w:rFonts w:ascii="MS PGothic" w:cs="MS PGothic" w:eastAsia="MS PGothic" w:hAnsi="MS PGothic"/>
          <w:sz w:val="12"/>
          <w:szCs w:val="12"/>
          <w:color w:val="auto"/>
        </w:rPr>
        <w:t>‑</w:t>
      </w:r>
      <w:r>
        <w:rPr>
          <w:rFonts w:ascii="Arial" w:cs="Arial" w:eastAsia="Arial" w:hAnsi="Arial"/>
          <w:sz w:val="12"/>
          <w:szCs w:val="12"/>
          <w:color w:val="auto"/>
        </w:rPr>
        <w:t>term nature of our investments, we have not been exposed to,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May 2018, we issued $550.0 million aggregate principal amount of Convertible Notes, which were fully redeemed as of June 2, 2021.</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March 2021, we issued $1.0 billion aggregate principal amount of our 2029 Notes and 2031 Notes carrying fixed interest rates of 3.625% and 3.875%, respectively.</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Currency Exchange Risks</w:t>
      </w:r>
    </w:p>
    <w:p>
      <w:pPr>
        <w:spacing w:after="0" w:line="150" w:lineRule="exact"/>
        <w:rPr>
          <w:sz w:val="20"/>
          <w:szCs w:val="20"/>
          <w:color w:val="auto"/>
        </w:rPr>
      </w:pPr>
    </w:p>
    <w:p>
      <w:pPr>
        <w:ind w:firstLine="324"/>
        <w:spacing w:after="0" w:line="323" w:lineRule="auto"/>
        <w:rPr>
          <w:sz w:val="20"/>
          <w:szCs w:val="20"/>
          <w:color w:val="auto"/>
        </w:rPr>
      </w:pPr>
      <w:r>
        <w:rPr>
          <w:rFonts w:ascii="Arial" w:cs="Arial" w:eastAsia="Arial" w:hAnsi="Arial"/>
          <w:sz w:val="11"/>
          <w:szCs w:val="11"/>
          <w:color w:val="auto"/>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spacing w:after="0" w:line="9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consolidated statements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3" w:name="page74"/>
    <w:bookmarkEnd w:id="7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We enter into foreign currency derivative hedging transactions to mitigate our exposure to market risks that may result from changes in foreign currency exchange rates. For further information, see Note 2(x) and Note 5 to our consolidated financial statements included elsewhere in this Annual Report on Form 10-K.</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 hypothetical 10% change in foreign exchange rates during any of the periods presented would not have had a material impact on our consolidated financial statements.</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131" w:right="47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38"/>
        </w:trPr>
        <w:tc>
          <w:tcPr>
            <w:tcW w:w="3940" w:type="dxa"/>
            <w:vAlign w:val="bottom"/>
            <w:gridSpan w:val="10"/>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7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4"/>
        </w:trPr>
        <w:tc>
          <w:tcPr>
            <w:tcW w:w="3940" w:type="dxa"/>
            <w:vAlign w:val="bottom"/>
            <w:gridSpan w:val="10"/>
          </w:tcPr>
          <w:p>
            <w:pPr>
              <w:spacing w:after="0"/>
              <w:rPr>
                <w:sz w:val="20"/>
                <w:szCs w:val="20"/>
                <w:color w:val="auto"/>
              </w:rPr>
            </w:pPr>
            <w:r>
              <w:rPr>
                <w:rFonts w:ascii="Arial" w:cs="Arial" w:eastAsia="Arial" w:hAnsi="Arial"/>
                <w:sz w:val="12"/>
                <w:szCs w:val="12"/>
                <w:b w:val="1"/>
                <w:bCs w:val="1"/>
                <w:color w:val="auto"/>
              </w:rPr>
              <w:t xml:space="preserve">Item 8. </w:t>
            </w:r>
            <w:r>
              <w:rPr>
                <w:rFonts w:ascii="Arial" w:cs="Arial" w:eastAsia="Arial" w:hAnsi="Arial"/>
                <w:sz w:val="12"/>
                <w:szCs w:val="12"/>
                <w:b w:val="1"/>
                <w:bCs w:val="1"/>
                <w:i w:val="1"/>
                <w:iCs w:val="1"/>
                <w:color w:val="auto"/>
              </w:rPr>
              <w:t>Financial Statements and Supplementary Data</w:t>
            </w: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8"/>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60" w:type="dxa"/>
            <w:vAlign w:val="bottom"/>
            <w:gridSpan w:val="3"/>
          </w:tcPr>
          <w:p>
            <w:pPr>
              <w:jc w:val="center"/>
              <w:ind w:right="3960"/>
              <w:spacing w:after="0"/>
              <w:rPr>
                <w:sz w:val="20"/>
                <w:szCs w:val="20"/>
                <w:color w:val="auto"/>
              </w:rPr>
            </w:pPr>
            <w:r>
              <w:rPr>
                <w:rFonts w:ascii="Arial" w:cs="Arial" w:eastAsia="Arial" w:hAnsi="Arial"/>
                <w:sz w:val="12"/>
                <w:szCs w:val="12"/>
                <w:b w:val="1"/>
                <w:bCs w:val="1"/>
                <w:color w:val="auto"/>
              </w:rPr>
              <w:t>INDEX TO CONSOLIDATED FINANCIAL STATEMENTS</w:t>
            </w:r>
          </w:p>
        </w:tc>
      </w:tr>
      <w:tr>
        <w:trPr>
          <w:trHeight w:val="171"/>
        </w:trPr>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360" w:type="dxa"/>
            <w:vAlign w:val="bottom"/>
            <w:gridSpan w:val="3"/>
          </w:tcPr>
          <w:p>
            <w:pPr>
              <w:ind w:left="6800"/>
              <w:spacing w:after="0"/>
              <w:rPr>
                <w:sz w:val="20"/>
                <w:szCs w:val="20"/>
                <w:color w:val="auto"/>
              </w:rPr>
            </w:pPr>
            <w:r>
              <w:rPr>
                <w:rFonts w:ascii="Arial" w:cs="Arial" w:eastAsia="Arial" w:hAnsi="Arial"/>
                <w:sz w:val="12"/>
                <w:szCs w:val="12"/>
                <w:b w:val="1"/>
                <w:bCs w:val="1"/>
                <w:color w:val="auto"/>
              </w:rPr>
              <w:t>Page</w:t>
            </w:r>
          </w:p>
        </w:tc>
      </w:tr>
      <w:tr>
        <w:trPr>
          <w:trHeight w:val="126"/>
        </w:trPr>
        <w:tc>
          <w:tcPr>
            <w:tcW w:w="40" w:type="dxa"/>
            <w:vAlign w:val="bottom"/>
          </w:tcPr>
          <w:p>
            <w:pPr>
              <w:spacing w:after="0"/>
              <w:rPr>
                <w:sz w:val="10"/>
                <w:szCs w:val="10"/>
                <w:color w:val="auto"/>
              </w:rPr>
            </w:pPr>
          </w:p>
        </w:tc>
        <w:tc>
          <w:tcPr>
            <w:tcW w:w="3900" w:type="dxa"/>
            <w:vAlign w:val="bottom"/>
            <w:tcBorders>
              <w:bottom w:val="single" w:sz="8" w:color="0000FF"/>
            </w:tcBorders>
            <w:gridSpan w:val="9"/>
          </w:tcPr>
          <w:p>
            <w:pPr>
              <w:spacing w:after="0" w:line="126" w:lineRule="exact"/>
              <w:rPr>
                <w:rFonts w:ascii="Arial" w:cs="Arial" w:eastAsia="Arial" w:hAnsi="Arial"/>
                <w:sz w:val="12"/>
                <w:szCs w:val="12"/>
                <w:color w:val="0000FF"/>
                <w:w w:val="95"/>
              </w:rPr>
            </w:pPr>
            <w:hyperlink w:anchor="page75">
              <w:r>
                <w:rPr>
                  <w:rFonts w:ascii="Arial" w:cs="Arial" w:eastAsia="Arial" w:hAnsi="Arial"/>
                  <w:sz w:val="12"/>
                  <w:szCs w:val="12"/>
                  <w:color w:val="0000FF"/>
                  <w:w w:val="95"/>
                </w:rPr>
                <w:t xml:space="preserve">Reports of Independent Registered Public Accounting Firm (PCAOB ID: </w:t>
              </w:r>
            </w:hyperlink>
            <w:r>
              <w:rPr>
                <w:rFonts w:ascii="Arial" w:cs="Arial" w:eastAsia="Arial" w:hAnsi="Arial"/>
                <w:sz w:val="12"/>
                <w:szCs w:val="12"/>
                <w:color w:val="000000"/>
                <w:w w:val="95"/>
              </w:rPr>
              <w:t>185</w:t>
            </w:r>
            <w:hyperlink w:anchor="page75">
              <w:r>
                <w:rPr>
                  <w:rFonts w:ascii="Arial" w:cs="Arial" w:eastAsia="Arial" w:hAnsi="Arial"/>
                  <w:sz w:val="12"/>
                  <w:szCs w:val="12"/>
                  <w:u w:val="single" w:color="auto"/>
                  <w:color w:val="0000FF"/>
                  <w:w w:val="95"/>
                </w:rPr>
                <w:t>)</w:t>
              </w:r>
            </w:hyperlink>
          </w:p>
        </w:tc>
        <w:tc>
          <w:tcPr>
            <w:tcW w:w="7180" w:type="dxa"/>
            <w:vAlign w:val="bottom"/>
          </w:tcPr>
          <w:p>
            <w:pPr>
              <w:spacing w:after="0"/>
              <w:rPr>
                <w:sz w:val="10"/>
                <w:szCs w:val="10"/>
                <w:color w:val="auto"/>
              </w:rPr>
            </w:pPr>
          </w:p>
        </w:tc>
        <w:tc>
          <w:tcPr>
            <w:tcW w:w="120" w:type="dxa"/>
            <w:vAlign w:val="bottom"/>
            <w:tcBorders>
              <w:bottom w:val="single" w:sz="8" w:color="0000FF"/>
            </w:tcBorders>
          </w:tcPr>
          <w:p>
            <w:pPr>
              <w:jc w:val="right"/>
              <w:spacing w:after="0" w:line="126" w:lineRule="exact"/>
              <w:rPr>
                <w:rFonts w:ascii="Arial" w:cs="Arial" w:eastAsia="Arial" w:hAnsi="Arial"/>
                <w:sz w:val="12"/>
                <w:szCs w:val="12"/>
                <w:color w:val="0000FF"/>
                <w:w w:val="74"/>
              </w:rPr>
            </w:pPr>
            <w:hyperlink w:anchor="page75">
              <w:r>
                <w:rPr>
                  <w:rFonts w:ascii="Arial" w:cs="Arial" w:eastAsia="Arial" w:hAnsi="Arial"/>
                  <w:sz w:val="12"/>
                  <w:szCs w:val="12"/>
                  <w:color w:val="0000FF"/>
                  <w:w w:val="74"/>
                </w:rPr>
                <w:t>75</w:t>
              </w:r>
            </w:hyperlink>
          </w:p>
        </w:tc>
        <w:tc>
          <w:tcPr>
            <w:tcW w:w="60" w:type="dxa"/>
            <w:vAlign w:val="bottom"/>
          </w:tcPr>
          <w:p>
            <w:pPr>
              <w:spacing w:after="0"/>
              <w:rPr>
                <w:sz w:val="10"/>
                <w:szCs w:val="10"/>
                <w:color w:val="auto"/>
              </w:rPr>
            </w:pPr>
          </w:p>
        </w:tc>
      </w:tr>
      <w:tr>
        <w:trPr>
          <w:trHeight w:val="133"/>
        </w:trPr>
        <w:tc>
          <w:tcPr>
            <w:tcW w:w="40" w:type="dxa"/>
            <w:vAlign w:val="bottom"/>
          </w:tcPr>
          <w:p>
            <w:pPr>
              <w:spacing w:after="0"/>
              <w:rPr>
                <w:sz w:val="11"/>
                <w:szCs w:val="11"/>
                <w:color w:val="auto"/>
              </w:rPr>
            </w:pPr>
          </w:p>
        </w:tc>
        <w:tc>
          <w:tcPr>
            <w:tcW w:w="1400" w:type="dxa"/>
            <w:vAlign w:val="bottom"/>
            <w:tcBorders>
              <w:bottom w:val="single" w:sz="8" w:color="0000FF"/>
            </w:tcBorders>
            <w:gridSpan w:val="2"/>
          </w:tcPr>
          <w:p>
            <w:pPr>
              <w:spacing w:after="0" w:line="133" w:lineRule="exact"/>
              <w:rPr>
                <w:rFonts w:ascii="Arial" w:cs="Arial" w:eastAsia="Arial" w:hAnsi="Arial"/>
                <w:sz w:val="12"/>
                <w:szCs w:val="12"/>
                <w:color w:val="0000FF"/>
                <w:w w:val="87"/>
              </w:rPr>
            </w:pPr>
            <w:hyperlink w:anchor="page78">
              <w:r>
                <w:rPr>
                  <w:rFonts w:ascii="Arial" w:cs="Arial" w:eastAsia="Arial" w:hAnsi="Arial"/>
                  <w:sz w:val="12"/>
                  <w:szCs w:val="12"/>
                  <w:color w:val="0000FF"/>
                  <w:w w:val="87"/>
                </w:rPr>
                <w:t>Consolidated Balance Sheets</w:t>
              </w:r>
            </w:hyperlink>
          </w:p>
        </w:tc>
        <w:tc>
          <w:tcPr>
            <w:tcW w:w="2500" w:type="dxa"/>
            <w:vAlign w:val="bottom"/>
            <w:gridSpan w:val="7"/>
          </w:tcPr>
          <w:p>
            <w:pPr>
              <w:spacing w:after="0"/>
              <w:rPr>
                <w:sz w:val="11"/>
                <w:szCs w:val="11"/>
                <w:color w:val="auto"/>
              </w:rPr>
            </w:pPr>
          </w:p>
        </w:tc>
        <w:tc>
          <w:tcPr>
            <w:tcW w:w="71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rFonts w:ascii="Arial" w:cs="Arial" w:eastAsia="Arial" w:hAnsi="Arial"/>
                <w:sz w:val="12"/>
                <w:szCs w:val="12"/>
                <w:color w:val="0000FF"/>
                <w:w w:val="74"/>
              </w:rPr>
            </w:pPr>
            <w:hyperlink w:anchor="page78">
              <w:r>
                <w:rPr>
                  <w:rFonts w:ascii="Arial" w:cs="Arial" w:eastAsia="Arial" w:hAnsi="Arial"/>
                  <w:sz w:val="12"/>
                  <w:szCs w:val="12"/>
                  <w:color w:val="0000FF"/>
                  <w:w w:val="74"/>
                </w:rPr>
                <w:t>78</w:t>
              </w:r>
            </w:hyperlink>
          </w:p>
        </w:tc>
        <w:tc>
          <w:tcPr>
            <w:tcW w:w="60" w:type="dxa"/>
            <w:vAlign w:val="bottom"/>
          </w:tcPr>
          <w:p>
            <w:pPr>
              <w:spacing w:after="0"/>
              <w:rPr>
                <w:sz w:val="11"/>
                <w:szCs w:val="11"/>
                <w:color w:val="auto"/>
              </w:rPr>
            </w:pPr>
          </w:p>
        </w:tc>
      </w:tr>
      <w:tr>
        <w:trPr>
          <w:trHeight w:val="133"/>
        </w:trPr>
        <w:tc>
          <w:tcPr>
            <w:tcW w:w="40" w:type="dxa"/>
            <w:vAlign w:val="bottom"/>
          </w:tcPr>
          <w:p>
            <w:pPr>
              <w:spacing w:after="0"/>
              <w:rPr>
                <w:sz w:val="11"/>
                <w:szCs w:val="11"/>
                <w:color w:val="auto"/>
              </w:rPr>
            </w:pPr>
          </w:p>
        </w:tc>
        <w:tc>
          <w:tcPr>
            <w:tcW w:w="1880" w:type="dxa"/>
            <w:vAlign w:val="bottom"/>
            <w:tcBorders>
              <w:bottom w:val="single" w:sz="8" w:color="0000FF"/>
            </w:tcBorders>
            <w:gridSpan w:val="3"/>
          </w:tcPr>
          <w:p>
            <w:pPr>
              <w:spacing w:after="0" w:line="133" w:lineRule="exact"/>
              <w:rPr>
                <w:rFonts w:ascii="Arial" w:cs="Arial" w:eastAsia="Arial" w:hAnsi="Arial"/>
                <w:sz w:val="12"/>
                <w:szCs w:val="12"/>
                <w:color w:val="0000FF"/>
                <w:w w:val="88"/>
              </w:rPr>
            </w:pPr>
            <w:hyperlink w:anchor="page79">
              <w:r>
                <w:rPr>
                  <w:rFonts w:ascii="Arial" w:cs="Arial" w:eastAsia="Arial" w:hAnsi="Arial"/>
                  <w:sz w:val="12"/>
                  <w:szCs w:val="12"/>
                  <w:color w:val="0000FF"/>
                  <w:w w:val="88"/>
                </w:rPr>
                <w:t>Consolidated Statements of Operations</w:t>
              </w:r>
            </w:hyperlink>
          </w:p>
        </w:tc>
        <w:tc>
          <w:tcPr>
            <w:tcW w:w="2020" w:type="dxa"/>
            <w:vAlign w:val="bottom"/>
            <w:gridSpan w:val="6"/>
          </w:tcPr>
          <w:p>
            <w:pPr>
              <w:spacing w:after="0"/>
              <w:rPr>
                <w:sz w:val="11"/>
                <w:szCs w:val="11"/>
                <w:color w:val="auto"/>
              </w:rPr>
            </w:pPr>
          </w:p>
        </w:tc>
        <w:tc>
          <w:tcPr>
            <w:tcW w:w="71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rFonts w:ascii="Arial" w:cs="Arial" w:eastAsia="Arial" w:hAnsi="Arial"/>
                <w:sz w:val="12"/>
                <w:szCs w:val="12"/>
                <w:color w:val="0000FF"/>
                <w:w w:val="74"/>
              </w:rPr>
            </w:pPr>
            <w:hyperlink w:anchor="page79">
              <w:r>
                <w:rPr>
                  <w:rFonts w:ascii="Arial" w:cs="Arial" w:eastAsia="Arial" w:hAnsi="Arial"/>
                  <w:sz w:val="12"/>
                  <w:szCs w:val="12"/>
                  <w:color w:val="0000FF"/>
                  <w:w w:val="74"/>
                </w:rPr>
                <w:t>79</w:t>
              </w:r>
            </w:hyperlink>
          </w:p>
        </w:tc>
        <w:tc>
          <w:tcPr>
            <w:tcW w:w="60" w:type="dxa"/>
            <w:vAlign w:val="bottom"/>
          </w:tcPr>
          <w:p>
            <w:pPr>
              <w:spacing w:after="0"/>
              <w:rPr>
                <w:sz w:val="11"/>
                <w:szCs w:val="11"/>
                <w:color w:val="auto"/>
              </w:rPr>
            </w:pPr>
          </w:p>
        </w:tc>
      </w:tr>
      <w:tr>
        <w:trPr>
          <w:trHeight w:val="133"/>
        </w:trPr>
        <w:tc>
          <w:tcPr>
            <w:tcW w:w="40" w:type="dxa"/>
            <w:vAlign w:val="bottom"/>
          </w:tcPr>
          <w:p>
            <w:pPr>
              <w:spacing w:after="0"/>
              <w:rPr>
                <w:sz w:val="11"/>
                <w:szCs w:val="11"/>
                <w:color w:val="auto"/>
              </w:rPr>
            </w:pPr>
          </w:p>
        </w:tc>
        <w:tc>
          <w:tcPr>
            <w:tcW w:w="2360" w:type="dxa"/>
            <w:vAlign w:val="bottom"/>
            <w:tcBorders>
              <w:bottom w:val="single" w:sz="8" w:color="0000FF"/>
            </w:tcBorders>
            <w:gridSpan w:val="7"/>
          </w:tcPr>
          <w:p>
            <w:pPr>
              <w:spacing w:after="0" w:line="133" w:lineRule="exact"/>
              <w:rPr>
                <w:rFonts w:ascii="Arial" w:cs="Arial" w:eastAsia="Arial" w:hAnsi="Arial"/>
                <w:sz w:val="12"/>
                <w:szCs w:val="12"/>
                <w:color w:val="0000FF"/>
                <w:w w:val="88"/>
              </w:rPr>
            </w:pPr>
            <w:hyperlink w:anchor="page80">
              <w:r>
                <w:rPr>
                  <w:rFonts w:ascii="Arial" w:cs="Arial" w:eastAsia="Arial" w:hAnsi="Arial"/>
                  <w:sz w:val="12"/>
                  <w:szCs w:val="12"/>
                  <w:color w:val="0000FF"/>
                  <w:w w:val="88"/>
                </w:rPr>
                <w:t>Consolidated Statements of Comprehensive Loss</w:t>
              </w:r>
            </w:hyperlink>
          </w:p>
        </w:tc>
        <w:tc>
          <w:tcPr>
            <w:tcW w:w="1540" w:type="dxa"/>
            <w:vAlign w:val="bottom"/>
            <w:gridSpan w:val="2"/>
          </w:tcPr>
          <w:p>
            <w:pPr>
              <w:spacing w:after="0"/>
              <w:rPr>
                <w:sz w:val="11"/>
                <w:szCs w:val="11"/>
                <w:color w:val="auto"/>
              </w:rPr>
            </w:pPr>
          </w:p>
        </w:tc>
        <w:tc>
          <w:tcPr>
            <w:tcW w:w="718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33" w:lineRule="exact"/>
              <w:rPr>
                <w:rFonts w:ascii="Arial" w:cs="Arial" w:eastAsia="Arial" w:hAnsi="Arial"/>
                <w:sz w:val="12"/>
                <w:szCs w:val="12"/>
                <w:color w:val="0000FF"/>
                <w:w w:val="74"/>
              </w:rPr>
            </w:pPr>
            <w:hyperlink w:anchor="page80">
              <w:r>
                <w:rPr>
                  <w:rFonts w:ascii="Arial" w:cs="Arial" w:eastAsia="Arial" w:hAnsi="Arial"/>
                  <w:sz w:val="12"/>
                  <w:szCs w:val="12"/>
                  <w:color w:val="0000FF"/>
                  <w:w w:val="74"/>
                </w:rPr>
                <w:t>80</w:t>
              </w:r>
            </w:hyperlink>
          </w:p>
        </w:tc>
        <w:tc>
          <w:tcPr>
            <w:tcW w:w="60" w:type="dxa"/>
            <w:vAlign w:val="bottom"/>
          </w:tcPr>
          <w:p>
            <w:pPr>
              <w:spacing w:after="0"/>
              <w:rPr>
                <w:sz w:val="11"/>
                <w:szCs w:val="11"/>
                <w:color w:val="auto"/>
              </w:rPr>
            </w:pPr>
          </w:p>
        </w:tc>
      </w:tr>
      <w:tr>
        <w:trPr>
          <w:trHeight w:val="133"/>
        </w:trPr>
        <w:tc>
          <w:tcPr>
            <w:tcW w:w="40" w:type="dxa"/>
            <w:vAlign w:val="bottom"/>
          </w:tcPr>
          <w:p>
            <w:pPr>
              <w:spacing w:after="0"/>
              <w:rPr>
                <w:sz w:val="11"/>
                <w:szCs w:val="11"/>
                <w:color w:val="auto"/>
              </w:rPr>
            </w:pPr>
          </w:p>
        </w:tc>
        <w:tc>
          <w:tcPr>
            <w:tcW w:w="3900" w:type="dxa"/>
            <w:vAlign w:val="bottom"/>
            <w:gridSpan w:val="9"/>
          </w:tcPr>
          <w:p>
            <w:pPr>
              <w:spacing w:after="0" w:line="133" w:lineRule="exact"/>
              <w:rPr>
                <w:rFonts w:ascii="Arial" w:cs="Arial" w:eastAsia="Arial" w:hAnsi="Arial"/>
                <w:sz w:val="12"/>
                <w:szCs w:val="12"/>
                <w:color w:val="0000FF"/>
              </w:rPr>
            </w:pPr>
            <w:hyperlink w:anchor="page81">
              <w:r>
                <w:rPr>
                  <w:rFonts w:ascii="Arial" w:cs="Arial" w:eastAsia="Arial" w:hAnsi="Arial"/>
                  <w:sz w:val="12"/>
                  <w:szCs w:val="12"/>
                  <w:color w:val="0000FF"/>
                </w:rPr>
                <w:t>Consolidated Statements of Stockholders' Equity</w:t>
              </w:r>
            </w:hyperlink>
          </w:p>
        </w:tc>
        <w:tc>
          <w:tcPr>
            <w:tcW w:w="7300" w:type="dxa"/>
            <w:vAlign w:val="bottom"/>
            <w:gridSpan w:val="2"/>
          </w:tcPr>
          <w:p>
            <w:pPr>
              <w:jc w:val="right"/>
              <w:spacing w:after="0" w:line="133" w:lineRule="exact"/>
              <w:rPr>
                <w:rFonts w:ascii="Arial" w:cs="Arial" w:eastAsia="Arial" w:hAnsi="Arial"/>
                <w:sz w:val="12"/>
                <w:szCs w:val="12"/>
                <w:color w:val="0000FF"/>
              </w:rPr>
            </w:pPr>
            <w:hyperlink w:anchor="page81">
              <w:r>
                <w:rPr>
                  <w:rFonts w:ascii="Arial" w:cs="Arial" w:eastAsia="Arial" w:hAnsi="Arial"/>
                  <w:sz w:val="12"/>
                  <w:szCs w:val="12"/>
                  <w:color w:val="0000FF"/>
                </w:rPr>
                <w:t>81</w:t>
              </w:r>
            </w:hyperlink>
          </w:p>
        </w:tc>
        <w:tc>
          <w:tcPr>
            <w:tcW w:w="60" w:type="dxa"/>
            <w:vAlign w:val="bottom"/>
          </w:tcPr>
          <w:p>
            <w:pPr>
              <w:spacing w:after="0"/>
              <w:rPr>
                <w:sz w:val="11"/>
                <w:szCs w:val="11"/>
                <w:color w:val="auto"/>
              </w:rPr>
            </w:pPr>
          </w:p>
        </w:tc>
      </w:tr>
      <w:tr>
        <w:trPr>
          <w:trHeight w:val="133"/>
        </w:trPr>
        <w:tc>
          <w:tcPr>
            <w:tcW w:w="40" w:type="dxa"/>
            <w:vAlign w:val="bottom"/>
          </w:tcPr>
          <w:p>
            <w:pPr>
              <w:spacing w:after="0"/>
              <w:rPr>
                <w:sz w:val="11"/>
                <w:szCs w:val="11"/>
                <w:color w:val="auto"/>
              </w:rPr>
            </w:pPr>
          </w:p>
        </w:tc>
        <w:tc>
          <w:tcPr>
            <w:tcW w:w="1920" w:type="dxa"/>
            <w:vAlign w:val="bottom"/>
            <w:tcBorders>
              <w:top w:val="single" w:sz="8" w:color="0000FF"/>
              <w:bottom w:val="single" w:sz="8" w:color="0000FF"/>
            </w:tcBorders>
            <w:gridSpan w:val="4"/>
          </w:tcPr>
          <w:p>
            <w:pPr>
              <w:spacing w:after="0" w:line="133" w:lineRule="exact"/>
              <w:rPr>
                <w:rFonts w:ascii="Arial" w:cs="Arial" w:eastAsia="Arial" w:hAnsi="Arial"/>
                <w:sz w:val="12"/>
                <w:szCs w:val="12"/>
                <w:color w:val="0000FF"/>
                <w:w w:val="89"/>
              </w:rPr>
            </w:pPr>
            <w:hyperlink w:anchor="page83">
              <w:r>
                <w:rPr>
                  <w:rFonts w:ascii="Arial" w:cs="Arial" w:eastAsia="Arial" w:hAnsi="Arial"/>
                  <w:sz w:val="12"/>
                  <w:szCs w:val="12"/>
                  <w:color w:val="0000FF"/>
                  <w:w w:val="89"/>
                </w:rPr>
                <w:t>Consolidated Statements of Cash Flows</w:t>
              </w:r>
            </w:hyperlink>
          </w:p>
        </w:tc>
        <w:tc>
          <w:tcPr>
            <w:tcW w:w="420" w:type="dxa"/>
            <w:vAlign w:val="bottom"/>
            <w:tcBorders>
              <w:top w:val="single" w:sz="8" w:color="0000FF"/>
            </w:tcBorders>
            <w:gridSpan w:val="2"/>
          </w:tcPr>
          <w:p>
            <w:pPr>
              <w:spacing w:after="0"/>
              <w:rPr>
                <w:sz w:val="11"/>
                <w:szCs w:val="11"/>
                <w:color w:val="auto"/>
              </w:rPr>
            </w:pPr>
          </w:p>
        </w:tc>
        <w:tc>
          <w:tcPr>
            <w:tcW w:w="1560" w:type="dxa"/>
            <w:vAlign w:val="bottom"/>
            <w:gridSpan w:val="3"/>
          </w:tcPr>
          <w:p>
            <w:pPr>
              <w:spacing w:after="0"/>
              <w:rPr>
                <w:sz w:val="11"/>
                <w:szCs w:val="11"/>
                <w:color w:val="auto"/>
              </w:rPr>
            </w:pPr>
          </w:p>
        </w:tc>
        <w:tc>
          <w:tcPr>
            <w:tcW w:w="7180" w:type="dxa"/>
            <w:vAlign w:val="bottom"/>
          </w:tcPr>
          <w:p>
            <w:pPr>
              <w:spacing w:after="0"/>
              <w:rPr>
                <w:sz w:val="11"/>
                <w:szCs w:val="11"/>
                <w:color w:val="auto"/>
              </w:rPr>
            </w:pPr>
          </w:p>
        </w:tc>
        <w:tc>
          <w:tcPr>
            <w:tcW w:w="120" w:type="dxa"/>
            <w:vAlign w:val="bottom"/>
            <w:tcBorders>
              <w:top w:val="single" w:sz="8" w:color="0000FF"/>
              <w:bottom w:val="single" w:sz="8" w:color="0000FF"/>
            </w:tcBorders>
          </w:tcPr>
          <w:p>
            <w:pPr>
              <w:jc w:val="right"/>
              <w:spacing w:after="0" w:line="133" w:lineRule="exact"/>
              <w:rPr>
                <w:rFonts w:ascii="Arial" w:cs="Arial" w:eastAsia="Arial" w:hAnsi="Arial"/>
                <w:sz w:val="12"/>
                <w:szCs w:val="12"/>
                <w:color w:val="0000FF"/>
                <w:w w:val="74"/>
              </w:rPr>
            </w:pPr>
            <w:hyperlink w:anchor="page83">
              <w:r>
                <w:rPr>
                  <w:rFonts w:ascii="Arial" w:cs="Arial" w:eastAsia="Arial" w:hAnsi="Arial"/>
                  <w:sz w:val="12"/>
                  <w:szCs w:val="12"/>
                  <w:color w:val="0000FF"/>
                  <w:w w:val="74"/>
                </w:rPr>
                <w:t>83</w:t>
              </w:r>
            </w:hyperlink>
          </w:p>
        </w:tc>
        <w:tc>
          <w:tcPr>
            <w:tcW w:w="60" w:type="dxa"/>
            <w:vAlign w:val="bottom"/>
          </w:tcPr>
          <w:p>
            <w:pPr>
              <w:spacing w:after="0"/>
              <w:rPr>
                <w:sz w:val="11"/>
                <w:szCs w:val="11"/>
                <w:color w:val="auto"/>
              </w:rPr>
            </w:pPr>
          </w:p>
        </w:tc>
      </w:tr>
      <w:tr>
        <w:trPr>
          <w:trHeight w:val="133"/>
        </w:trPr>
        <w:tc>
          <w:tcPr>
            <w:tcW w:w="40" w:type="dxa"/>
            <w:vAlign w:val="bottom"/>
          </w:tcPr>
          <w:p>
            <w:pPr>
              <w:spacing w:after="0"/>
              <w:rPr>
                <w:sz w:val="11"/>
                <w:szCs w:val="11"/>
                <w:color w:val="auto"/>
              </w:rPr>
            </w:pPr>
          </w:p>
        </w:tc>
        <w:tc>
          <w:tcPr>
            <w:tcW w:w="3900" w:type="dxa"/>
            <w:vAlign w:val="bottom"/>
            <w:gridSpan w:val="9"/>
          </w:tcPr>
          <w:p>
            <w:pPr>
              <w:spacing w:after="0" w:line="133" w:lineRule="exact"/>
              <w:rPr>
                <w:rFonts w:ascii="Arial" w:cs="Arial" w:eastAsia="Arial" w:hAnsi="Arial"/>
                <w:sz w:val="12"/>
                <w:szCs w:val="12"/>
                <w:color w:val="0000FF"/>
              </w:rPr>
            </w:pPr>
            <w:hyperlink w:anchor="page85">
              <w:r>
                <w:rPr>
                  <w:rFonts w:ascii="Arial" w:cs="Arial" w:eastAsia="Arial" w:hAnsi="Arial"/>
                  <w:sz w:val="12"/>
                  <w:szCs w:val="12"/>
                  <w:color w:val="0000FF"/>
                </w:rPr>
                <w:t>Notes to Consolidated Financial Statements</w:t>
              </w:r>
            </w:hyperlink>
          </w:p>
        </w:tc>
        <w:tc>
          <w:tcPr>
            <w:tcW w:w="7300" w:type="dxa"/>
            <w:vAlign w:val="bottom"/>
            <w:gridSpan w:val="2"/>
          </w:tcPr>
          <w:p>
            <w:pPr>
              <w:jc w:val="right"/>
              <w:spacing w:after="0" w:line="133" w:lineRule="exact"/>
              <w:rPr>
                <w:rFonts w:ascii="Arial" w:cs="Arial" w:eastAsia="Arial" w:hAnsi="Arial"/>
                <w:sz w:val="12"/>
                <w:szCs w:val="12"/>
                <w:color w:val="0000FF"/>
              </w:rPr>
            </w:pPr>
            <w:hyperlink w:anchor="page85">
              <w:r>
                <w:rPr>
                  <w:rFonts w:ascii="Arial" w:cs="Arial" w:eastAsia="Arial" w:hAnsi="Arial"/>
                  <w:sz w:val="12"/>
                  <w:szCs w:val="12"/>
                  <w:color w:val="0000FF"/>
                </w:rPr>
                <w:t>84</w:t>
              </w:r>
            </w:hyperlink>
          </w:p>
        </w:tc>
        <w:tc>
          <w:tcPr>
            <w:tcW w:w="60" w:type="dxa"/>
            <w:vAlign w:val="bottom"/>
          </w:tcPr>
          <w:p>
            <w:pPr>
              <w:spacing w:after="0"/>
              <w:rPr>
                <w:sz w:val="11"/>
                <w:szCs w:val="11"/>
                <w:color w:val="auto"/>
              </w:rPr>
            </w:pPr>
          </w:p>
        </w:tc>
      </w:tr>
      <w:tr>
        <w:trPr>
          <w:trHeight w:val="583"/>
        </w:trPr>
        <w:tc>
          <w:tcPr>
            <w:tcW w:w="4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80" w:type="dxa"/>
            <w:vAlign w:val="bottom"/>
          </w:tcPr>
          <w:p>
            <w:pPr>
              <w:jc w:val="right"/>
              <w:ind w:right="5360"/>
              <w:spacing w:after="0"/>
              <w:rPr>
                <w:sz w:val="20"/>
                <w:szCs w:val="20"/>
                <w:color w:val="auto"/>
              </w:rPr>
            </w:pPr>
            <w:r>
              <w:rPr>
                <w:rFonts w:ascii="Arial" w:cs="Arial" w:eastAsia="Arial" w:hAnsi="Arial"/>
                <w:sz w:val="12"/>
                <w:szCs w:val="12"/>
                <w:color w:val="auto"/>
              </w:rPr>
              <w:t>74</w:t>
            </w: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4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71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75" w:name="page76"/>
    <w:bookmarkEnd w:id="7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Twilio Inc.:</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Opinions on the Consolidated Financial Statements and Internal Control Over Financial Reporting</w:t>
      </w:r>
    </w:p>
    <w:p>
      <w:pPr>
        <w:spacing w:after="0" w:line="150" w:lineRule="exact"/>
        <w:rPr>
          <w:sz w:val="20"/>
          <w:szCs w:val="20"/>
          <w:color w:val="auto"/>
        </w:rPr>
      </w:pPr>
    </w:p>
    <w:p>
      <w:pPr>
        <w:ind w:left="20" w:right="120" w:firstLine="324"/>
        <w:spacing w:after="0" w:line="340" w:lineRule="auto"/>
        <w:rPr>
          <w:sz w:val="20"/>
          <w:szCs w:val="20"/>
          <w:color w:val="auto"/>
        </w:rPr>
      </w:pPr>
      <w:r>
        <w:rPr>
          <w:rFonts w:ascii="Arial" w:cs="Arial" w:eastAsia="Arial" w:hAnsi="Arial"/>
          <w:sz w:val="10"/>
          <w:szCs w:val="10"/>
          <w:color w:val="auto"/>
        </w:rPr>
        <w:t>We have audited the accompanying consolidated balance sheets of Twilio Inc. and subsidiaries (the "Company") as of December 31, 2021 and 2020, the related consolidated statements of operations, comprehensive loss, stockholders’ equity and cash flows for each of the years in the three-year period ended December 31, 2021, and the related notes (collectively,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w:t>
      </w:r>
    </w:p>
    <w:p>
      <w:pPr>
        <w:spacing w:after="0" w:line="87" w:lineRule="exact"/>
        <w:rPr>
          <w:sz w:val="20"/>
          <w:szCs w:val="20"/>
          <w:color w:val="auto"/>
        </w:rPr>
      </w:pPr>
    </w:p>
    <w:p>
      <w:pPr>
        <w:ind w:left="20" w:right="40" w:firstLine="324"/>
        <w:spacing w:after="0" w:line="340" w:lineRule="auto"/>
        <w:rPr>
          <w:sz w:val="20"/>
          <w:szCs w:val="20"/>
          <w:color w:val="auto"/>
        </w:rPr>
      </w:pPr>
      <w:r>
        <w:rPr>
          <w:rFonts w:ascii="Arial" w:cs="Arial" w:eastAsia="Arial" w:hAnsi="Arial"/>
          <w:sz w:val="10"/>
          <w:szCs w:val="10"/>
          <w:color w:val="auto"/>
        </w:rPr>
        <w:t>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87" w:lineRule="exact"/>
        <w:rPr>
          <w:sz w:val="20"/>
          <w:szCs w:val="20"/>
          <w:color w:val="auto"/>
        </w:rPr>
      </w:pPr>
    </w:p>
    <w:p>
      <w:pPr>
        <w:ind w:left="20" w:right="20" w:firstLine="324"/>
        <w:spacing w:after="0" w:line="263" w:lineRule="auto"/>
        <w:rPr>
          <w:sz w:val="20"/>
          <w:szCs w:val="20"/>
          <w:color w:val="auto"/>
        </w:rPr>
      </w:pPr>
      <w:r>
        <w:rPr>
          <w:rFonts w:ascii="Arial" w:cs="Arial" w:eastAsia="Arial" w:hAnsi="Arial"/>
          <w:sz w:val="12"/>
          <w:szCs w:val="12"/>
          <w:color w:val="auto"/>
        </w:rPr>
        <w:t>The Company acquired Zipwhip, Inc. during fiscal 2021, and management excluded from its assessment of the effectiveness of the Company’s internal control over financial reporting as of December 31, 2021, Zipwhip, Inc.’s internal control over financial reporting associated with total assets of $51.9 million and total revenues of $55.4 million included in the consolidated financial statements of the Company as of and for the year ended December 31, 2021. Our audit of internal control over financial reporting of the Company also excluded an evaluation of the internal control over financial reporting of Zipwhip, Inc.</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Opinions</w:t>
      </w:r>
    </w:p>
    <w:p>
      <w:pPr>
        <w:spacing w:after="0" w:line="150" w:lineRule="exact"/>
        <w:rPr>
          <w:sz w:val="20"/>
          <w:szCs w:val="20"/>
          <w:color w:val="auto"/>
        </w:rPr>
      </w:pPr>
    </w:p>
    <w:p>
      <w:pPr>
        <w:ind w:left="20" w:firstLine="324"/>
        <w:spacing w:after="0" w:line="289" w:lineRule="auto"/>
        <w:rPr>
          <w:sz w:val="20"/>
          <w:szCs w:val="20"/>
          <w:color w:val="auto"/>
        </w:rPr>
      </w:pPr>
      <w:r>
        <w:rPr>
          <w:rFonts w:ascii="Arial" w:cs="Arial" w:eastAsia="Arial" w:hAnsi="Arial"/>
          <w:sz w:val="11"/>
          <w:szCs w:val="11"/>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20" w:right="200" w:firstLine="324"/>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5" w:lineRule="exact"/>
        <w:rPr>
          <w:sz w:val="20"/>
          <w:szCs w:val="20"/>
          <w:color w:val="auto"/>
        </w:rPr>
      </w:pPr>
    </w:p>
    <w:p>
      <w:pPr>
        <w:ind w:left="20" w:firstLine="324"/>
        <w:spacing w:after="0" w:line="285" w:lineRule="auto"/>
        <w:rPr>
          <w:sz w:val="20"/>
          <w:szCs w:val="20"/>
          <w:color w:val="auto"/>
        </w:rPr>
      </w:pPr>
      <w:r>
        <w:rPr>
          <w:rFonts w:ascii="Arial" w:cs="Arial" w:eastAsia="Arial" w:hAnsi="Arial"/>
          <w:sz w:val="11"/>
          <w:szCs w:val="1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31" w:right="419" w:bottom="1440" w:gutter="0" w:footer="0" w:header="0"/>
        </w:sectPr>
      </w:pPr>
    </w:p>
    <w:bookmarkStart w:id="76" w:name="page77"/>
    <w:bookmarkEnd w:id="7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Definition and Limitations of Internal Control Over Financial Reporting</w:t>
      </w:r>
    </w:p>
    <w:p>
      <w:pPr>
        <w:spacing w:after="0" w:line="150" w:lineRule="exact"/>
        <w:rPr>
          <w:sz w:val="20"/>
          <w:szCs w:val="20"/>
          <w:color w:val="auto"/>
        </w:rPr>
      </w:pPr>
    </w:p>
    <w:p>
      <w:pPr>
        <w:ind w:left="20" w:right="40" w:firstLine="324"/>
        <w:spacing w:after="0" w:line="285"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left="20" w:firstLine="324"/>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Critical Audit Matters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0"/>
          <w:szCs w:val="10"/>
          <w:color w:val="auto"/>
        </w:rPr>
        <w:t>The critical audit matters communicated below are matters arising from the current period audit of the consolidated financial statements that were communicated or required to be communicated to the audit committee and that:</w:t>
      </w:r>
    </w:p>
    <w:p>
      <w:pPr>
        <w:spacing w:after="0" w:line="38" w:lineRule="exact"/>
        <w:rPr>
          <w:sz w:val="20"/>
          <w:szCs w:val="20"/>
          <w:color w:val="auto"/>
        </w:rPr>
      </w:pPr>
    </w:p>
    <w:p>
      <w:pPr>
        <w:ind w:left="20" w:right="100" w:hanging="1"/>
        <w:spacing w:after="0" w:line="255" w:lineRule="auto"/>
        <w:tabs>
          <w:tab w:leader="none" w:pos="19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Evaluation of the sufficiency of audit evidence over revenue recognition</w:t>
      </w:r>
    </w:p>
    <w:p>
      <w:pPr>
        <w:spacing w:after="0" w:line="150" w:lineRule="exact"/>
        <w:rPr>
          <w:sz w:val="20"/>
          <w:szCs w:val="20"/>
          <w:color w:val="auto"/>
        </w:rPr>
      </w:pPr>
    </w:p>
    <w:p>
      <w:pPr>
        <w:jc w:val="both"/>
        <w:ind w:left="20" w:right="20" w:firstLine="324"/>
        <w:spacing w:after="0" w:line="263" w:lineRule="auto"/>
        <w:rPr>
          <w:sz w:val="20"/>
          <w:szCs w:val="20"/>
          <w:color w:val="auto"/>
        </w:rPr>
      </w:pPr>
      <w:r>
        <w:rPr>
          <w:rFonts w:ascii="Arial" w:cs="Arial" w:eastAsia="Arial" w:hAnsi="Arial"/>
          <w:sz w:val="12"/>
          <w:szCs w:val="12"/>
          <w:color w:val="auto"/>
        </w:rPr>
        <w:t>As discussed in Note 2(e) to the consolidated financial statements, the Company's revenue is derived from usage and non-usage based fees earned from customers accessing the Company's enterprise cloud computing services. As of December 31, 2021, the Company recorded $2.8 billion in revenues, a portion of which related to Programmable Messaging and Programmable Voice APIs. The Company’s revenue recognition process is highly automated and revenue is recorded within the Company’s general ledger through reliance on customized and proprietary information technology (IT) systems.</w:t>
      </w:r>
    </w:p>
    <w:p>
      <w:pPr>
        <w:spacing w:after="0" w:line="122" w:lineRule="exact"/>
        <w:rPr>
          <w:sz w:val="20"/>
          <w:szCs w:val="20"/>
          <w:color w:val="auto"/>
        </w:rPr>
      </w:pPr>
    </w:p>
    <w:p>
      <w:pPr>
        <w:ind w:left="20" w:right="100" w:firstLine="324"/>
        <w:spacing w:after="0" w:line="259" w:lineRule="auto"/>
        <w:rPr>
          <w:sz w:val="20"/>
          <w:szCs w:val="20"/>
          <w:color w:val="auto"/>
        </w:rPr>
      </w:pPr>
      <w:r>
        <w:rPr>
          <w:rFonts w:ascii="Arial" w:cs="Arial" w:eastAsia="Arial" w:hAnsi="Arial"/>
          <w:sz w:val="12"/>
          <w:szCs w:val="12"/>
          <w:color w:val="auto"/>
        </w:rPr>
        <w:t>We identified the evaluation of the sufficiency of audit evidence over revenue recognition related to the Company’s Programmable Messaging and Programmable Voice APIs as a critical audit matter. This matter required especially subjective auditor judgment because of the large number of information technology (IT) applications involved in the revenue recognition process. Auditor judgment was required in determining the nature and extent of audit evidence obtained over these information systems that process revenue transactions. Involvement of IT professionals with specialized skills and knowledge was required to assist with the performance and evaluation of certain procedures and determination of IT applications subject to testing.</w:t>
      </w:r>
    </w:p>
    <w:p>
      <w:pPr>
        <w:spacing w:after="0" w:line="124" w:lineRule="exact"/>
        <w:rPr>
          <w:sz w:val="20"/>
          <w:szCs w:val="20"/>
          <w:color w:val="auto"/>
        </w:rPr>
      </w:pPr>
    </w:p>
    <w:p>
      <w:pPr>
        <w:ind w:left="20" w:firstLine="324"/>
        <w:spacing w:after="0" w:line="281" w:lineRule="auto"/>
        <w:rPr>
          <w:sz w:val="20"/>
          <w:szCs w:val="20"/>
          <w:color w:val="auto"/>
        </w:rPr>
      </w:pPr>
      <w:r>
        <w:rPr>
          <w:rFonts w:ascii="Arial" w:cs="Arial" w:eastAsia="Arial" w:hAnsi="Arial"/>
          <w:sz w:val="11"/>
          <w:szCs w:val="11"/>
          <w:color w:val="auto"/>
        </w:rPr>
        <w:t>The following are the primary procedures we performed to address this critical audit matter. We applied auditor judgment to determine the nature and extent of procedures to be performed over revenue recognition. We evaluated the design and tested the operating effectiveness of certain internal controls related to the Company’s Programmable Messaging and Programmable Voice revenue recognition process. We involved IT professionals with specialized skills and knowledge, who assisted in testing controls related to the Company’s general information technology and application controls related to the systems utilized within the Company’s Programmable Messaging and Programmable Voice revenue recognition process. For a sample of customer agreements, we tested the Company’s identification and treatment of significant contract terms, including comparing the pricing reflected in the Company’s revenue IT system to the contractually agreed upon pricing with the customer. For a sample of revenue transactions, we compared the amounts recognized for consistency with underlying documentation, including contracts with customers. We assessed the recorded revenue by comparing revenue to underlying cash receipts. We evaluated credits issued after year end to assess the revenue recorded within the period. In addition, we evaluated the overall sufficiency of audit evidence obtained by assessing the results of procedures performed, including appropriateness of the nature and extent of such evidence.</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31" w:right="419" w:bottom="1440" w:gutter="0" w:footer="0" w:header="0"/>
        </w:sectPr>
      </w:pPr>
    </w:p>
    <w:bookmarkStart w:id="77" w:name="page78"/>
    <w:bookmarkEnd w:id="7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Valuation of the acquisition date intangible assets related to a business combination</w:t>
      </w:r>
    </w:p>
    <w:p>
      <w:pPr>
        <w:spacing w:after="0" w:line="150" w:lineRule="exact"/>
        <w:rPr>
          <w:sz w:val="20"/>
          <w:szCs w:val="20"/>
          <w:color w:val="auto"/>
        </w:rPr>
      </w:pPr>
    </w:p>
    <w:p>
      <w:pPr>
        <w:ind w:left="20" w:right="20" w:firstLine="324"/>
        <w:spacing w:after="0" w:line="276" w:lineRule="auto"/>
        <w:rPr>
          <w:sz w:val="20"/>
          <w:szCs w:val="20"/>
          <w:color w:val="auto"/>
        </w:rPr>
      </w:pPr>
      <w:r>
        <w:rPr>
          <w:rFonts w:ascii="Arial" w:cs="Arial" w:eastAsia="Arial" w:hAnsi="Arial"/>
          <w:sz w:val="12"/>
          <w:szCs w:val="12"/>
          <w:color w:val="auto"/>
        </w:rPr>
        <w:t>As discussed in Note 7 to the consolidated financial statements, on July 14, 2021, the Company acquired Zipwhip, Inc. (Zipwhip) by issuing shares of its Class A common stock worth approximately $419.2 million and paying approximately $418.1 million of cash. As part of the acquisition, the Company acquired $244.5 million of intangible assets, including customer relationships.</w:t>
      </w:r>
    </w:p>
    <w:p>
      <w:pPr>
        <w:spacing w:after="0" w:line="115" w:lineRule="exact"/>
        <w:rPr>
          <w:sz w:val="20"/>
          <w:szCs w:val="20"/>
          <w:color w:val="auto"/>
        </w:rPr>
      </w:pPr>
    </w:p>
    <w:p>
      <w:pPr>
        <w:jc w:val="both"/>
        <w:ind w:left="20" w:right="180" w:firstLine="324"/>
        <w:spacing w:after="0" w:line="263" w:lineRule="auto"/>
        <w:rPr>
          <w:sz w:val="20"/>
          <w:szCs w:val="20"/>
          <w:color w:val="auto"/>
        </w:rPr>
      </w:pPr>
      <w:r>
        <w:rPr>
          <w:rFonts w:ascii="Arial" w:cs="Arial" w:eastAsia="Arial" w:hAnsi="Arial"/>
          <w:sz w:val="12"/>
          <w:szCs w:val="12"/>
          <w:color w:val="auto"/>
        </w:rPr>
        <w:t>We identified the assessment of the valuation of the acquisition date customer relationship intangible asset acquired as a critical audit matter. There was a high degree of subjective auditor judgment in assessing the discount rate and forecasted revenue growth rates used to derive the fair value of the customer relationship acquired intangible asset. In addition, this fair value was challenging to test due to the sensitivity of the fair value determination to changes in these assumptions.</w:t>
      </w:r>
    </w:p>
    <w:p>
      <w:pPr>
        <w:spacing w:after="0" w:line="122" w:lineRule="exact"/>
        <w:rPr>
          <w:sz w:val="20"/>
          <w:szCs w:val="20"/>
          <w:color w:val="auto"/>
        </w:rPr>
      </w:pPr>
    </w:p>
    <w:p>
      <w:pPr>
        <w:ind w:left="20" w:firstLine="324"/>
        <w:spacing w:after="0" w:line="275" w:lineRule="auto"/>
        <w:rPr>
          <w:sz w:val="20"/>
          <w:szCs w:val="20"/>
          <w:color w:val="auto"/>
        </w:rPr>
      </w:pPr>
      <w:r>
        <w:rPr>
          <w:rFonts w:ascii="Arial" w:cs="Arial" w:eastAsia="Arial" w:hAnsi="Arial"/>
          <w:sz w:val="11"/>
          <w:szCs w:val="11"/>
          <w:color w:val="auto"/>
        </w:rPr>
        <w:t>The following are the primary procedures we performed to address the critical audit matter. We evaluated the design and tested the operating effectiveness of certain internal controls over the Company’s process to value acquired intangible assets, including the Company’s controls over the discount rate and forecasted revenue growth rate. We compared prior period forecasted revenue to prior period actual revenue to evaluate the Company’s ability to forecast. We evaluated the Company’s forecasted revenue growth rates used to value the customer relationship intangible asset by (1) comparing the growth forecast assumptions to historical growth rates of peer companies, and (2) comparing forecasted growth rates to historical growth rates. We involved a valuation professional with specialized skills and knowledge, who assisted in testing by:</w:t>
      </w:r>
    </w:p>
    <w:p>
      <w:pPr>
        <w:spacing w:after="0" w:line="6" w:lineRule="exact"/>
        <w:rPr>
          <w:sz w:val="20"/>
          <w:szCs w:val="20"/>
          <w:color w:val="auto"/>
        </w:rPr>
      </w:pPr>
    </w:p>
    <w:p>
      <w:pPr>
        <w:ind w:left="640" w:hanging="216"/>
        <w:spacing w:after="0"/>
        <w:tabs>
          <w:tab w:leader="none" w:pos="640" w:val="left"/>
        </w:tabs>
        <w:numPr>
          <w:ilvl w:val="0"/>
          <w:numId w:val="41"/>
        </w:numPr>
        <w:rPr>
          <w:rFonts w:ascii="Arial" w:cs="Arial" w:eastAsia="Arial" w:hAnsi="Arial"/>
          <w:sz w:val="14"/>
          <w:szCs w:val="14"/>
          <w:color w:val="auto"/>
        </w:rPr>
      </w:pPr>
      <w:r>
        <w:rPr>
          <w:rFonts w:ascii="Arial" w:cs="Arial" w:eastAsia="Arial" w:hAnsi="Arial"/>
          <w:sz w:val="12"/>
          <w:szCs w:val="12"/>
          <w:color w:val="auto"/>
        </w:rPr>
        <w:t>evaluating the discount rate used by the Company to value the customer relationship intangible asset by assessing the relevant inputs used by the Company in their calculation of their discount rate</w:t>
      </w:r>
    </w:p>
    <w:p>
      <w:pPr>
        <w:spacing w:after="0" w:line="126" w:lineRule="exact"/>
        <w:rPr>
          <w:rFonts w:ascii="Arial" w:cs="Arial" w:eastAsia="Arial" w:hAnsi="Arial"/>
          <w:sz w:val="14"/>
          <w:szCs w:val="14"/>
          <w:color w:val="auto"/>
        </w:rPr>
      </w:pPr>
    </w:p>
    <w:p>
      <w:pPr>
        <w:ind w:left="640" w:right="240" w:hanging="216"/>
        <w:spacing w:after="0" w:line="276" w:lineRule="auto"/>
        <w:tabs>
          <w:tab w:leader="none" w:pos="6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recalculating the estimate of the fair value of the customer relationship intangible asset acquired using the Company’s cash flow forecast and discount rate independently corroborated by our valuation specialists and comparing the result to the Company’s fair value estimate.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Santa Clara,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31" w:right="419" w:bottom="1440" w:gutter="0" w:footer="0" w:header="0"/>
        </w:sectPr>
      </w:pPr>
    </w:p>
    <w:bookmarkStart w:id="78" w:name="page79"/>
    <w:bookmarkEnd w:id="7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TWILIO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Balance Sheets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688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3"/>
          </w:tcPr>
          <w:p>
            <w:pPr>
              <w:jc w:val="right"/>
              <w:ind w:right="921"/>
              <w:spacing w:after="0"/>
              <w:rPr>
                <w:sz w:val="20"/>
                <w:szCs w:val="20"/>
                <w:color w:val="auto"/>
              </w:rPr>
            </w:pPr>
            <w:r>
              <w:rPr>
                <w:rFonts w:ascii="Arial" w:cs="Arial" w:eastAsia="Arial" w:hAnsi="Arial"/>
                <w:sz w:val="11"/>
                <w:szCs w:val="11"/>
                <w:b w:val="1"/>
                <w:bCs w:val="1"/>
                <w:color w:val="auto"/>
              </w:rPr>
              <w:t>As of December 31,</w:t>
            </w: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880" w:type="dxa"/>
            <w:vAlign w:val="bottom"/>
          </w:tcPr>
          <w:p>
            <w:pPr>
              <w:spacing w:after="0"/>
              <w:rPr>
                <w:sz w:val="11"/>
                <w:szCs w:val="11"/>
                <w:color w:val="auto"/>
              </w:rPr>
            </w:pP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2021</w:t>
            </w: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2020</w:t>
            </w: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6880" w:type="dxa"/>
            <w:vAlign w:val="bottom"/>
          </w:tcPr>
          <w:p>
            <w:pPr>
              <w:spacing w:after="0"/>
              <w:rPr>
                <w:sz w:val="10"/>
                <w:szCs w:val="10"/>
                <w:color w:val="auto"/>
              </w:rPr>
            </w:pPr>
          </w:p>
        </w:tc>
        <w:tc>
          <w:tcPr>
            <w:tcW w:w="3600" w:type="dxa"/>
            <w:vAlign w:val="bottom"/>
            <w:gridSpan w:val="4"/>
          </w:tcPr>
          <w:p>
            <w:pPr>
              <w:jc w:val="right"/>
              <w:ind w:right="301"/>
              <w:spacing w:after="0"/>
              <w:rPr>
                <w:sz w:val="20"/>
                <w:szCs w:val="20"/>
                <w:color w:val="auto"/>
              </w:rPr>
            </w:pPr>
            <w:r>
              <w:rPr>
                <w:rFonts w:ascii="Arial" w:cs="Arial" w:eastAsia="Arial" w:hAnsi="Arial"/>
                <w:sz w:val="10"/>
                <w:szCs w:val="10"/>
                <w:b w:val="1"/>
                <w:bCs w:val="1"/>
                <w:color w:val="auto"/>
              </w:rPr>
              <w:t>(In thousands, except share and per share amounts)</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1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8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1360" w:type="dxa"/>
            <w:vAlign w:val="bottom"/>
            <w:shd w:val="clear" w:color="auto" w:fill="CCEEFF"/>
          </w:tcPr>
          <w:p>
            <w:pPr>
              <w:jc w:val="right"/>
              <w:ind w:right="1223"/>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1,479,452</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1241"/>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933,885</w:t>
            </w:r>
          </w:p>
        </w:tc>
        <w:tc>
          <w:tcPr>
            <w:tcW w:w="0" w:type="dxa"/>
            <w:vAlign w:val="bottom"/>
          </w:tcPr>
          <w:p>
            <w:pPr>
              <w:spacing w:after="0"/>
              <w:rPr>
                <w:sz w:val="1"/>
                <w:szCs w:val="1"/>
                <w:color w:val="auto"/>
              </w:rPr>
            </w:pPr>
          </w:p>
        </w:tc>
      </w:tr>
      <w:tr>
        <w:trPr>
          <w:trHeight w:val="153"/>
        </w:trPr>
        <w:tc>
          <w:tcPr>
            <w:tcW w:w="6880" w:type="dxa"/>
            <w:vAlign w:val="bottom"/>
          </w:tcPr>
          <w:p>
            <w:pPr>
              <w:ind w:left="160"/>
              <w:spacing w:after="0"/>
              <w:rPr>
                <w:sz w:val="20"/>
                <w:szCs w:val="20"/>
                <w:color w:val="auto"/>
              </w:rPr>
            </w:pPr>
            <w:r>
              <w:rPr>
                <w:rFonts w:ascii="Arial" w:cs="Arial" w:eastAsia="Arial" w:hAnsi="Arial"/>
                <w:sz w:val="12"/>
                <w:szCs w:val="12"/>
                <w:color w:val="auto"/>
              </w:rPr>
              <w:t>Short-term marketable securities</w:t>
            </w:r>
          </w:p>
        </w:tc>
        <w:tc>
          <w:tcPr>
            <w:tcW w:w="1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3,878,430</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2,105,906</w:t>
            </w: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receivable, net</w:t>
            </w:r>
          </w:p>
        </w:tc>
        <w:tc>
          <w:tcPr>
            <w:tcW w:w="1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388,215</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251,167</w:t>
            </w:r>
          </w:p>
        </w:tc>
        <w:tc>
          <w:tcPr>
            <w:tcW w:w="0" w:type="dxa"/>
            <w:vAlign w:val="bottom"/>
          </w:tcPr>
          <w:p>
            <w:pPr>
              <w:spacing w:after="0"/>
              <w:rPr>
                <w:sz w:val="1"/>
                <w:szCs w:val="1"/>
                <w:color w:val="auto"/>
              </w:rPr>
            </w:pPr>
          </w:p>
        </w:tc>
      </w:tr>
      <w:tr>
        <w:trPr>
          <w:trHeight w:val="153"/>
        </w:trPr>
        <w:tc>
          <w:tcPr>
            <w:tcW w:w="68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186,131</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81,377</w:t>
            </w:r>
          </w:p>
        </w:tc>
        <w:tc>
          <w:tcPr>
            <w:tcW w:w="0" w:type="dxa"/>
            <w:vAlign w:val="bottom"/>
          </w:tcPr>
          <w:p>
            <w:pPr>
              <w:spacing w:after="0"/>
              <w:rPr>
                <w:sz w:val="1"/>
                <w:szCs w:val="1"/>
                <w:color w:val="auto"/>
              </w:rPr>
            </w:pPr>
          </w:p>
        </w:tc>
      </w:tr>
      <w:tr>
        <w:trPr>
          <w:trHeight w:val="142"/>
        </w:trPr>
        <w:tc>
          <w:tcPr>
            <w:tcW w:w="68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current assets</w:t>
            </w:r>
          </w:p>
        </w:tc>
        <w:tc>
          <w:tcPr>
            <w:tcW w:w="1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5,932,228</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3,372,335</w:t>
            </w:r>
          </w:p>
        </w:tc>
        <w:tc>
          <w:tcPr>
            <w:tcW w:w="0" w:type="dxa"/>
            <w:vAlign w:val="bottom"/>
          </w:tcPr>
          <w:p>
            <w:pPr>
              <w:spacing w:after="0"/>
              <w:rPr>
                <w:sz w:val="1"/>
                <w:szCs w:val="1"/>
                <w:color w:val="auto"/>
              </w:rPr>
            </w:pPr>
          </w:p>
        </w:tc>
      </w:tr>
      <w:tr>
        <w:trPr>
          <w:trHeight w:val="153"/>
        </w:trPr>
        <w:tc>
          <w:tcPr>
            <w:tcW w:w="6880" w:type="dxa"/>
            <w:vAlign w:val="bottom"/>
          </w:tcPr>
          <w:p>
            <w:pPr>
              <w:ind w:left="160"/>
              <w:spacing w:after="0"/>
              <w:rPr>
                <w:sz w:val="20"/>
                <w:szCs w:val="20"/>
                <w:color w:val="auto"/>
              </w:rPr>
            </w:pPr>
            <w:r>
              <w:rPr>
                <w:rFonts w:ascii="Arial" w:cs="Arial" w:eastAsia="Arial" w:hAnsi="Arial"/>
                <w:sz w:val="12"/>
                <w:szCs w:val="12"/>
                <w:color w:val="auto"/>
              </w:rPr>
              <w:t>Property and equipment, net</w:t>
            </w:r>
          </w:p>
        </w:tc>
        <w:tc>
          <w:tcPr>
            <w:tcW w:w="1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255,316</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183,239</w:t>
            </w: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right-of-use assets</w:t>
            </w:r>
          </w:p>
        </w:tc>
        <w:tc>
          <w:tcPr>
            <w:tcW w:w="1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234,584</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258,610</w:t>
            </w:r>
          </w:p>
        </w:tc>
        <w:tc>
          <w:tcPr>
            <w:tcW w:w="0" w:type="dxa"/>
            <w:vAlign w:val="bottom"/>
          </w:tcPr>
          <w:p>
            <w:pPr>
              <w:spacing w:after="0"/>
              <w:rPr>
                <w:sz w:val="1"/>
                <w:szCs w:val="1"/>
                <w:color w:val="auto"/>
              </w:rPr>
            </w:pPr>
          </w:p>
        </w:tc>
      </w:tr>
      <w:tr>
        <w:trPr>
          <w:trHeight w:val="153"/>
        </w:trPr>
        <w:tc>
          <w:tcPr>
            <w:tcW w:w="6880" w:type="dxa"/>
            <w:vAlign w:val="bottom"/>
          </w:tcPr>
          <w:p>
            <w:pPr>
              <w:ind w:left="160"/>
              <w:spacing w:after="0"/>
              <w:rPr>
                <w:sz w:val="20"/>
                <w:szCs w:val="20"/>
                <w:color w:val="auto"/>
              </w:rPr>
            </w:pPr>
            <w:r>
              <w:rPr>
                <w:rFonts w:ascii="Arial" w:cs="Arial" w:eastAsia="Arial" w:hAnsi="Arial"/>
                <w:sz w:val="12"/>
                <w:szCs w:val="12"/>
                <w:color w:val="auto"/>
              </w:rPr>
              <w:t>Intangible assets, net</w:t>
            </w:r>
          </w:p>
        </w:tc>
        <w:tc>
          <w:tcPr>
            <w:tcW w:w="1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1,050,012</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966,573</w:t>
            </w: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Goodwill</w:t>
            </w:r>
          </w:p>
        </w:tc>
        <w:tc>
          <w:tcPr>
            <w:tcW w:w="1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5,263,166</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4,595,394</w:t>
            </w:r>
          </w:p>
        </w:tc>
        <w:tc>
          <w:tcPr>
            <w:tcW w:w="0" w:type="dxa"/>
            <w:vAlign w:val="bottom"/>
          </w:tcPr>
          <w:p>
            <w:pPr>
              <w:spacing w:after="0"/>
              <w:rPr>
                <w:sz w:val="1"/>
                <w:szCs w:val="1"/>
                <w:color w:val="auto"/>
              </w:rPr>
            </w:pPr>
          </w:p>
        </w:tc>
      </w:tr>
      <w:tr>
        <w:trPr>
          <w:trHeight w:val="153"/>
        </w:trPr>
        <w:tc>
          <w:tcPr>
            <w:tcW w:w="68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long-term assets</w:t>
            </w:r>
          </w:p>
        </w:tc>
        <w:tc>
          <w:tcPr>
            <w:tcW w:w="1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263,292</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111,282</w:t>
            </w:r>
          </w:p>
        </w:tc>
        <w:tc>
          <w:tcPr>
            <w:tcW w:w="0" w:type="dxa"/>
            <w:vAlign w:val="bottom"/>
          </w:tcPr>
          <w:p>
            <w:pPr>
              <w:spacing w:after="0"/>
              <w:rPr>
                <w:sz w:val="1"/>
                <w:szCs w:val="1"/>
                <w:color w:val="auto"/>
              </w:rPr>
            </w:pPr>
          </w:p>
        </w:tc>
      </w:tr>
      <w:tr>
        <w:trPr>
          <w:trHeight w:val="162"/>
        </w:trPr>
        <w:tc>
          <w:tcPr>
            <w:tcW w:w="6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assets</w:t>
            </w:r>
          </w:p>
        </w:tc>
        <w:tc>
          <w:tcPr>
            <w:tcW w:w="1360" w:type="dxa"/>
            <w:vAlign w:val="bottom"/>
            <w:tcBorders>
              <w:bottom w:val="single" w:sz="8" w:color="auto"/>
            </w:tcBorders>
            <w:shd w:val="clear" w:color="auto" w:fill="CCEEFF"/>
          </w:tcPr>
          <w:p>
            <w:pPr>
              <w:jc w:val="right"/>
              <w:ind w:right="1223"/>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12,998,598</w:t>
            </w: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9,487,433</w:t>
            </w:r>
          </w:p>
        </w:tc>
        <w:tc>
          <w:tcPr>
            <w:tcW w:w="0" w:type="dxa"/>
            <w:vAlign w:val="bottom"/>
          </w:tcPr>
          <w:p>
            <w:pPr>
              <w:spacing w:after="0"/>
              <w:rPr>
                <w:sz w:val="1"/>
                <w:szCs w:val="1"/>
                <w:color w:val="auto"/>
              </w:rPr>
            </w:pPr>
          </w:p>
        </w:tc>
      </w:tr>
      <w:tr>
        <w:trPr>
          <w:trHeight w:val="131"/>
        </w:trPr>
        <w:tc>
          <w:tcPr>
            <w:tcW w:w="6880" w:type="dxa"/>
            <w:vAlign w:val="bottom"/>
          </w:tcPr>
          <w:p>
            <w:pPr>
              <w:ind w:left="20"/>
              <w:spacing w:after="0" w:line="131" w:lineRule="exact"/>
              <w:rPr>
                <w:sz w:val="20"/>
                <w:szCs w:val="20"/>
                <w:color w:val="auto"/>
              </w:rPr>
            </w:pPr>
            <w:r>
              <w:rPr>
                <w:rFonts w:ascii="Arial" w:cs="Arial" w:eastAsia="Arial" w:hAnsi="Arial"/>
                <w:sz w:val="12"/>
                <w:szCs w:val="12"/>
                <w:color w:val="auto"/>
              </w:rPr>
              <w:t>LIABILITIES AND STOCKHOLDERS’ EQUITY</w:t>
            </w:r>
          </w:p>
        </w:tc>
        <w:tc>
          <w:tcPr>
            <w:tcW w:w="1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8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1360" w:type="dxa"/>
            <w:vAlign w:val="bottom"/>
          </w:tcPr>
          <w:p>
            <w:pPr>
              <w:jc w:val="right"/>
              <w:ind w:right="1223"/>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93,333</w:t>
            </w:r>
          </w:p>
        </w:tc>
        <w:tc>
          <w:tcPr>
            <w:tcW w:w="80" w:type="dxa"/>
            <w:vAlign w:val="bottom"/>
          </w:tcPr>
          <w:p>
            <w:pPr>
              <w:spacing w:after="0"/>
              <w:rPr>
                <w:sz w:val="13"/>
                <w:szCs w:val="13"/>
                <w:color w:val="auto"/>
              </w:rPr>
            </w:pPr>
          </w:p>
        </w:tc>
        <w:tc>
          <w:tcPr>
            <w:tcW w:w="1380" w:type="dxa"/>
            <w:vAlign w:val="bottom"/>
          </w:tcPr>
          <w:p>
            <w:pPr>
              <w:jc w:val="right"/>
              <w:ind w:right="1241"/>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60,042</w:t>
            </w: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1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417,503</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252,895</w:t>
            </w:r>
          </w:p>
        </w:tc>
        <w:tc>
          <w:tcPr>
            <w:tcW w:w="0" w:type="dxa"/>
            <w:vAlign w:val="bottom"/>
          </w:tcPr>
          <w:p>
            <w:pPr>
              <w:spacing w:after="0"/>
              <w:rPr>
                <w:sz w:val="1"/>
                <w:szCs w:val="1"/>
                <w:color w:val="auto"/>
              </w:rPr>
            </w:pPr>
          </w:p>
        </w:tc>
      </w:tr>
      <w:tr>
        <w:trPr>
          <w:trHeight w:val="153"/>
        </w:trPr>
        <w:tc>
          <w:tcPr>
            <w:tcW w:w="6880" w:type="dxa"/>
            <w:vAlign w:val="bottom"/>
          </w:tcPr>
          <w:p>
            <w:pPr>
              <w:ind w:left="160"/>
              <w:spacing w:after="0"/>
              <w:rPr>
                <w:sz w:val="20"/>
                <w:szCs w:val="20"/>
                <w:color w:val="auto"/>
              </w:rPr>
            </w:pPr>
            <w:r>
              <w:rPr>
                <w:rFonts w:ascii="Arial" w:cs="Arial" w:eastAsia="Arial" w:hAnsi="Arial"/>
                <w:sz w:val="12"/>
                <w:szCs w:val="12"/>
                <w:color w:val="auto"/>
              </w:rPr>
              <w:t>Deferred revenue and customer deposits</w:t>
            </w:r>
          </w:p>
        </w:tc>
        <w:tc>
          <w:tcPr>
            <w:tcW w:w="1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140,389</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87,031</w:t>
            </w: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lease liability, current</w:t>
            </w:r>
          </w:p>
        </w:tc>
        <w:tc>
          <w:tcPr>
            <w:tcW w:w="1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52,325</w:t>
            </w:r>
          </w:p>
        </w:tc>
        <w:tc>
          <w:tcPr>
            <w:tcW w:w="8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48,338</w:t>
            </w:r>
          </w:p>
        </w:tc>
        <w:tc>
          <w:tcPr>
            <w:tcW w:w="0" w:type="dxa"/>
            <w:vAlign w:val="bottom"/>
          </w:tcPr>
          <w:p>
            <w:pPr>
              <w:spacing w:after="0"/>
              <w:rPr>
                <w:sz w:val="1"/>
                <w:szCs w:val="1"/>
                <w:color w:val="auto"/>
              </w:rPr>
            </w:pPr>
          </w:p>
        </w:tc>
      </w:tr>
      <w:tr>
        <w:trPr>
          <w:trHeight w:val="142"/>
        </w:trPr>
        <w:tc>
          <w:tcPr>
            <w:tcW w:w="68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current liabilities</w:t>
            </w:r>
          </w:p>
        </w:tc>
        <w:tc>
          <w:tcPr>
            <w:tcW w:w="1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703,550</w:t>
            </w: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448,306</w:t>
            </w:r>
          </w:p>
        </w:tc>
        <w:tc>
          <w:tcPr>
            <w:tcW w:w="0" w:type="dxa"/>
            <w:vAlign w:val="bottom"/>
          </w:tcPr>
          <w:p>
            <w:pPr>
              <w:spacing w:after="0"/>
              <w:rPr>
                <w:sz w:val="1"/>
                <w:szCs w:val="1"/>
                <w:color w:val="auto"/>
              </w:rPr>
            </w:pPr>
          </w:p>
        </w:tc>
      </w:tr>
      <w:tr>
        <w:trPr>
          <w:trHeight w:val="142"/>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lease liability, noncurrent</w:t>
            </w:r>
          </w:p>
        </w:tc>
        <w:tc>
          <w:tcPr>
            <w:tcW w:w="1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211,253</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229,905</w:t>
            </w:r>
          </w:p>
        </w:tc>
        <w:tc>
          <w:tcPr>
            <w:tcW w:w="0" w:type="dxa"/>
            <w:vAlign w:val="bottom"/>
          </w:tcPr>
          <w:p>
            <w:pPr>
              <w:spacing w:after="0"/>
              <w:rPr>
                <w:sz w:val="1"/>
                <w:szCs w:val="1"/>
                <w:color w:val="auto"/>
              </w:rPr>
            </w:pPr>
          </w:p>
        </w:tc>
      </w:tr>
      <w:tr>
        <w:trPr>
          <w:trHeight w:val="153"/>
        </w:trPr>
        <w:tc>
          <w:tcPr>
            <w:tcW w:w="6880" w:type="dxa"/>
            <w:vAlign w:val="bottom"/>
          </w:tcPr>
          <w:p>
            <w:pPr>
              <w:ind w:left="160"/>
              <w:spacing w:after="0"/>
              <w:rPr>
                <w:sz w:val="20"/>
                <w:szCs w:val="20"/>
                <w:color w:val="auto"/>
              </w:rPr>
            </w:pPr>
            <w:r>
              <w:rPr>
                <w:rFonts w:ascii="Arial" w:cs="Arial" w:eastAsia="Arial" w:hAnsi="Arial"/>
                <w:sz w:val="12"/>
                <w:szCs w:val="12"/>
                <w:color w:val="auto"/>
              </w:rPr>
              <w:t>Finance lease liability, noncurrent</w:t>
            </w:r>
          </w:p>
        </w:tc>
        <w:tc>
          <w:tcPr>
            <w:tcW w:w="1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25,132</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17,856</w:t>
            </w: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Long-term debt</w:t>
            </w:r>
          </w:p>
        </w:tc>
        <w:tc>
          <w:tcPr>
            <w:tcW w:w="1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985,907</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302,068</w:t>
            </w:r>
          </w:p>
        </w:tc>
        <w:tc>
          <w:tcPr>
            <w:tcW w:w="0" w:type="dxa"/>
            <w:vAlign w:val="bottom"/>
          </w:tcPr>
          <w:p>
            <w:pPr>
              <w:spacing w:after="0"/>
              <w:rPr>
                <w:sz w:val="1"/>
                <w:szCs w:val="1"/>
                <w:color w:val="auto"/>
              </w:rPr>
            </w:pPr>
          </w:p>
        </w:tc>
      </w:tr>
      <w:tr>
        <w:trPr>
          <w:trHeight w:val="153"/>
        </w:trPr>
        <w:tc>
          <w:tcPr>
            <w:tcW w:w="68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long-term liabilities</w:t>
            </w:r>
          </w:p>
        </w:tc>
        <w:tc>
          <w:tcPr>
            <w:tcW w:w="1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41,290</w:t>
            </w:r>
          </w:p>
        </w:tc>
        <w:tc>
          <w:tcPr>
            <w:tcW w:w="8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36,633</w:t>
            </w:r>
          </w:p>
        </w:tc>
        <w:tc>
          <w:tcPr>
            <w:tcW w:w="0" w:type="dxa"/>
            <w:vAlign w:val="bottom"/>
          </w:tcPr>
          <w:p>
            <w:pPr>
              <w:spacing w:after="0"/>
              <w:rPr>
                <w:sz w:val="1"/>
                <w:szCs w:val="1"/>
                <w:color w:val="auto"/>
              </w:rPr>
            </w:pPr>
          </w:p>
        </w:tc>
      </w:tr>
      <w:tr>
        <w:trPr>
          <w:trHeight w:val="142"/>
        </w:trPr>
        <w:tc>
          <w:tcPr>
            <w:tcW w:w="68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Total liabilities</w:t>
            </w:r>
          </w:p>
        </w:tc>
        <w:tc>
          <w:tcPr>
            <w:tcW w:w="13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1,967,132</w:t>
            </w:r>
          </w:p>
        </w:tc>
        <w:tc>
          <w:tcPr>
            <w:tcW w:w="8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1,034,768</w:t>
            </w:r>
          </w:p>
        </w:tc>
        <w:tc>
          <w:tcPr>
            <w:tcW w:w="0" w:type="dxa"/>
            <w:vAlign w:val="bottom"/>
          </w:tcPr>
          <w:p>
            <w:pPr>
              <w:spacing w:after="0"/>
              <w:rPr>
                <w:sz w:val="1"/>
                <w:szCs w:val="1"/>
                <w:color w:val="auto"/>
              </w:rPr>
            </w:pPr>
          </w:p>
        </w:tc>
      </w:tr>
      <w:tr>
        <w:trPr>
          <w:trHeight w:val="133"/>
        </w:trPr>
        <w:tc>
          <w:tcPr>
            <w:tcW w:w="6880" w:type="dxa"/>
            <w:vAlign w:val="bottom"/>
          </w:tcPr>
          <w:p>
            <w:pPr>
              <w:ind w:left="20"/>
              <w:spacing w:after="0" w:line="133" w:lineRule="exact"/>
              <w:rPr>
                <w:sz w:val="20"/>
                <w:szCs w:val="20"/>
                <w:color w:val="auto"/>
              </w:rPr>
            </w:pPr>
            <w:r>
              <w:rPr>
                <w:rFonts w:ascii="Arial" w:cs="Arial" w:eastAsia="Arial" w:hAnsi="Arial"/>
                <w:sz w:val="12"/>
                <w:szCs w:val="12"/>
                <w:color w:val="auto"/>
              </w:rPr>
              <w:t>Commitments and contingencies (Note 13)</w:t>
            </w:r>
          </w:p>
        </w:tc>
        <w:tc>
          <w:tcPr>
            <w:tcW w:w="1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equity:</w:t>
            </w:r>
          </w:p>
        </w:tc>
        <w:tc>
          <w:tcPr>
            <w:tcW w:w="1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80" w:type="dxa"/>
            <w:vAlign w:val="bottom"/>
          </w:tcPr>
          <w:p>
            <w:pPr>
              <w:ind w:left="160"/>
              <w:spacing w:after="0"/>
              <w:rPr>
                <w:sz w:val="20"/>
                <w:szCs w:val="20"/>
                <w:color w:val="auto"/>
              </w:rPr>
            </w:pPr>
            <w:r>
              <w:rPr>
                <w:rFonts w:ascii="Arial" w:cs="Arial" w:eastAsia="Arial" w:hAnsi="Arial"/>
                <w:sz w:val="12"/>
                <w:szCs w:val="12"/>
                <w:color w:val="auto"/>
              </w:rPr>
              <w:t>Preferred stock, $0.001 par value, 100,000,000 shares authorized, none issued</w:t>
            </w:r>
          </w:p>
        </w:tc>
        <w:tc>
          <w:tcPr>
            <w:tcW w:w="13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Class A and Class B common stock, $0.001 par value per share</w:t>
            </w:r>
          </w:p>
        </w:tc>
        <w:tc>
          <w:tcPr>
            <w:tcW w:w="1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880" w:type="dxa"/>
            <w:vAlign w:val="bottom"/>
          </w:tcPr>
          <w:p>
            <w:pPr>
              <w:ind w:left="160"/>
              <w:spacing w:after="0" w:line="117" w:lineRule="exact"/>
              <w:rPr>
                <w:sz w:val="20"/>
                <w:szCs w:val="20"/>
                <w:color w:val="auto"/>
              </w:rPr>
            </w:pPr>
            <w:r>
              <w:rPr>
                <w:rFonts w:ascii="Arial" w:cs="Arial" w:eastAsia="Arial" w:hAnsi="Arial"/>
                <w:sz w:val="12"/>
                <w:szCs w:val="12"/>
                <w:color w:val="auto"/>
              </w:rPr>
              <w:t>Authorized shares 1,100,000,000 as of December 31, 2021 and 2020;</w:t>
            </w:r>
          </w:p>
        </w:tc>
        <w:tc>
          <w:tcPr>
            <w:tcW w:w="1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880" w:type="dxa"/>
            <w:vAlign w:val="bottom"/>
          </w:tcPr>
          <w:p>
            <w:pPr>
              <w:ind w:left="300"/>
              <w:spacing w:after="0" w:line="117" w:lineRule="exact"/>
              <w:rPr>
                <w:sz w:val="20"/>
                <w:szCs w:val="20"/>
                <w:color w:val="auto"/>
              </w:rPr>
            </w:pPr>
            <w:r>
              <w:rPr>
                <w:rFonts w:ascii="Arial" w:cs="Arial" w:eastAsia="Arial" w:hAnsi="Arial"/>
                <w:sz w:val="12"/>
                <w:szCs w:val="12"/>
                <w:color w:val="auto"/>
              </w:rPr>
              <w:t>Issued and outstanding shares 180,468,099 and 164,047,524 as of</w:t>
            </w:r>
          </w:p>
        </w:tc>
        <w:tc>
          <w:tcPr>
            <w:tcW w:w="13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180</w:t>
            </w: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153"/>
        </w:trPr>
        <w:tc>
          <w:tcPr>
            <w:tcW w:w="6880" w:type="dxa"/>
            <w:vAlign w:val="bottom"/>
          </w:tcPr>
          <w:p>
            <w:pPr>
              <w:ind w:left="300"/>
              <w:spacing w:after="0"/>
              <w:rPr>
                <w:sz w:val="20"/>
                <w:szCs w:val="20"/>
                <w:color w:val="auto"/>
              </w:rPr>
            </w:pPr>
            <w:r>
              <w:rPr>
                <w:rFonts w:ascii="Arial" w:cs="Arial" w:eastAsia="Arial" w:hAnsi="Arial"/>
                <w:sz w:val="12"/>
                <w:szCs w:val="12"/>
                <w:color w:val="auto"/>
              </w:rPr>
              <w:t>December 31, 2021 and 2020</w:t>
            </w:r>
          </w:p>
        </w:tc>
        <w:tc>
          <w:tcPr>
            <w:tcW w:w="1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Additional paid-in capital</w:t>
            </w:r>
          </w:p>
        </w:tc>
        <w:tc>
          <w:tcPr>
            <w:tcW w:w="13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13,169,118</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9,613,246</w:t>
            </w:r>
          </w:p>
        </w:tc>
        <w:tc>
          <w:tcPr>
            <w:tcW w:w="0" w:type="dxa"/>
            <w:vAlign w:val="bottom"/>
          </w:tcPr>
          <w:p>
            <w:pPr>
              <w:spacing w:after="0"/>
              <w:rPr>
                <w:sz w:val="1"/>
                <w:szCs w:val="1"/>
                <w:color w:val="auto"/>
              </w:rPr>
            </w:pPr>
          </w:p>
        </w:tc>
      </w:tr>
      <w:tr>
        <w:trPr>
          <w:trHeight w:val="153"/>
        </w:trPr>
        <w:tc>
          <w:tcPr>
            <w:tcW w:w="6880" w:type="dxa"/>
            <w:vAlign w:val="bottom"/>
          </w:tcPr>
          <w:p>
            <w:pPr>
              <w:ind w:left="160"/>
              <w:spacing w:after="0"/>
              <w:rPr>
                <w:sz w:val="20"/>
                <w:szCs w:val="20"/>
                <w:color w:val="auto"/>
              </w:rPr>
            </w:pPr>
            <w:r>
              <w:rPr>
                <w:rFonts w:ascii="Arial" w:cs="Arial" w:eastAsia="Arial" w:hAnsi="Arial"/>
                <w:sz w:val="12"/>
                <w:szCs w:val="12"/>
                <w:color w:val="auto"/>
              </w:rPr>
              <w:t>Accumulated other comprehensive (loss) income</w:t>
            </w:r>
          </w:p>
        </w:tc>
        <w:tc>
          <w:tcPr>
            <w:tcW w:w="1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(18,141)</w:t>
            </w: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9,046</w:t>
            </w:r>
          </w:p>
        </w:tc>
        <w:tc>
          <w:tcPr>
            <w:tcW w:w="0" w:type="dxa"/>
            <w:vAlign w:val="bottom"/>
          </w:tcPr>
          <w:p>
            <w:pPr>
              <w:spacing w:after="0"/>
              <w:rPr>
                <w:sz w:val="1"/>
                <w:szCs w:val="1"/>
                <w:color w:val="auto"/>
              </w:rPr>
            </w:pPr>
          </w:p>
        </w:tc>
      </w:tr>
      <w:tr>
        <w:trPr>
          <w:trHeight w:val="153"/>
        </w:trPr>
        <w:tc>
          <w:tcPr>
            <w:tcW w:w="6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Accumulated deficit</w:t>
            </w:r>
          </w:p>
        </w:tc>
        <w:tc>
          <w:tcPr>
            <w:tcW w:w="1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(2,119,691)</w:t>
            </w:r>
          </w:p>
        </w:tc>
        <w:tc>
          <w:tcPr>
            <w:tcW w:w="8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(1,169,791)</w:t>
            </w:r>
          </w:p>
        </w:tc>
        <w:tc>
          <w:tcPr>
            <w:tcW w:w="0" w:type="dxa"/>
            <w:vAlign w:val="bottom"/>
          </w:tcPr>
          <w:p>
            <w:pPr>
              <w:spacing w:after="0"/>
              <w:rPr>
                <w:sz w:val="1"/>
                <w:szCs w:val="1"/>
                <w:color w:val="auto"/>
              </w:rPr>
            </w:pPr>
          </w:p>
        </w:tc>
      </w:tr>
      <w:tr>
        <w:trPr>
          <w:trHeight w:val="142"/>
        </w:trPr>
        <w:tc>
          <w:tcPr>
            <w:tcW w:w="68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stockholders’ equity</w:t>
            </w:r>
          </w:p>
        </w:tc>
        <w:tc>
          <w:tcPr>
            <w:tcW w:w="1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11,031,466</w:t>
            </w:r>
          </w:p>
        </w:tc>
        <w:tc>
          <w:tcPr>
            <w:tcW w:w="8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8,452,665</w:t>
            </w:r>
          </w:p>
        </w:tc>
        <w:tc>
          <w:tcPr>
            <w:tcW w:w="0" w:type="dxa"/>
            <w:vAlign w:val="bottom"/>
          </w:tcPr>
          <w:p>
            <w:pPr>
              <w:spacing w:after="0"/>
              <w:rPr>
                <w:sz w:val="1"/>
                <w:szCs w:val="1"/>
                <w:color w:val="auto"/>
              </w:rPr>
            </w:pPr>
          </w:p>
        </w:tc>
      </w:tr>
      <w:tr>
        <w:trPr>
          <w:trHeight w:val="158"/>
        </w:trPr>
        <w:tc>
          <w:tcPr>
            <w:tcW w:w="6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liabilities and stockholders’ equity</w:t>
            </w:r>
          </w:p>
        </w:tc>
        <w:tc>
          <w:tcPr>
            <w:tcW w:w="1360" w:type="dxa"/>
            <w:vAlign w:val="bottom"/>
            <w:tcBorders>
              <w:bottom w:val="single" w:sz="8" w:color="auto"/>
            </w:tcBorders>
            <w:shd w:val="clear" w:color="auto" w:fill="CCEEFF"/>
          </w:tcPr>
          <w:p>
            <w:pPr>
              <w:jc w:val="right"/>
              <w:ind w:right="1223"/>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12,998,598</w:t>
            </w:r>
          </w:p>
        </w:tc>
        <w:tc>
          <w:tcPr>
            <w:tcW w:w="8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9,487,433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2"/>
          <w:szCs w:val="12"/>
          <w:b w:val="1"/>
          <w:bCs w:val="1"/>
          <w:color w:val="auto"/>
        </w:rPr>
        <w:t>TWILIO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9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92"/>
              </w:rPr>
              <w:t>Year Ended December 31,</w:t>
            </w:r>
          </w:p>
        </w:tc>
        <w:tc>
          <w:tcPr>
            <w:tcW w:w="4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25"/>
        </w:trPr>
        <w:tc>
          <w:tcPr>
            <w:tcW w:w="69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2019</w:t>
            </w:r>
          </w:p>
        </w:tc>
      </w:tr>
      <w:tr>
        <w:trPr>
          <w:trHeight w:val="123"/>
        </w:trPr>
        <w:tc>
          <w:tcPr>
            <w:tcW w:w="6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20" w:type="dxa"/>
            <w:vAlign w:val="bottom"/>
            <w:gridSpan w:val="6"/>
          </w:tcPr>
          <w:p>
            <w:pPr>
              <w:jc w:val="center"/>
              <w:ind w:left="564"/>
              <w:spacing w:after="0"/>
              <w:rPr>
                <w:sz w:val="20"/>
                <w:szCs w:val="20"/>
                <w:color w:val="auto"/>
              </w:rPr>
            </w:pPr>
            <w:r>
              <w:rPr>
                <w:rFonts w:ascii="Arial" w:cs="Arial" w:eastAsia="Arial" w:hAnsi="Arial"/>
                <w:sz w:val="10"/>
                <w:szCs w:val="10"/>
                <w:color w:val="auto"/>
                <w:w w:val="89"/>
              </w:rPr>
              <w:t>(In thousands, except share and per share amounts)</w:t>
            </w:r>
          </w:p>
        </w:tc>
        <w:tc>
          <w:tcPr>
            <w:tcW w:w="960" w:type="dxa"/>
            <w:vAlign w:val="bottom"/>
          </w:tcPr>
          <w:p>
            <w:pPr>
              <w:spacing w:after="0"/>
              <w:rPr>
                <w:sz w:val="10"/>
                <w:szCs w:val="10"/>
                <w:color w:val="auto"/>
              </w:rPr>
            </w:pPr>
          </w:p>
        </w:tc>
      </w:tr>
      <w:tr>
        <w:trPr>
          <w:trHeight w:val="147"/>
        </w:trPr>
        <w:tc>
          <w:tcPr>
            <w:tcW w:w="6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2,841,839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1,761,776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1,134,468</w:t>
            </w:r>
          </w:p>
        </w:tc>
      </w:tr>
      <w:tr>
        <w:trPr>
          <w:trHeight w:val="144"/>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Cost of revenue</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1,451,126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846,115</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525,551</w:t>
            </w:r>
          </w:p>
        </w:tc>
      </w:tr>
      <w:tr>
        <w:trPr>
          <w:trHeight w:val="133"/>
        </w:trPr>
        <w:tc>
          <w:tcPr>
            <w:tcW w:w="69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Gross profit</w:t>
            </w:r>
          </w:p>
        </w:tc>
        <w:tc>
          <w:tcPr>
            <w:tcW w:w="3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1,390,713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915,661</w:t>
            </w:r>
          </w:p>
        </w:tc>
        <w:tc>
          <w:tcPr>
            <w:tcW w:w="10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608,917</w:t>
            </w:r>
          </w:p>
        </w:tc>
      </w:tr>
      <w:tr>
        <w:trPr>
          <w:trHeight w:val="124"/>
        </w:trPr>
        <w:tc>
          <w:tcPr>
            <w:tcW w:w="6980" w:type="dxa"/>
            <w:vAlign w:val="bottom"/>
          </w:tcPr>
          <w:p>
            <w:pPr>
              <w:ind w:left="20"/>
              <w:spacing w:after="0" w:line="124" w:lineRule="exact"/>
              <w:rPr>
                <w:sz w:val="20"/>
                <w:szCs w:val="20"/>
                <w:color w:val="auto"/>
              </w:rPr>
            </w:pPr>
            <w:r>
              <w:rPr>
                <w:rFonts w:ascii="Arial" w:cs="Arial" w:eastAsia="Arial" w:hAnsi="Arial"/>
                <w:sz w:val="11"/>
                <w:szCs w:val="11"/>
                <w:color w:val="auto"/>
              </w:rPr>
              <w:t>Operating expenses: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4"/>
        </w:trPr>
        <w:tc>
          <w:tcPr>
            <w:tcW w:w="69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Research and development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789,219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530,548</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391,355</w:t>
            </w:r>
          </w:p>
        </w:tc>
      </w:tr>
      <w:tr>
        <w:trPr>
          <w:trHeight w:val="144"/>
        </w:trPr>
        <w:tc>
          <w:tcPr>
            <w:tcW w:w="6980" w:type="dxa"/>
            <w:vAlign w:val="bottom"/>
          </w:tcPr>
          <w:p>
            <w:pPr>
              <w:ind w:left="240"/>
              <w:spacing w:after="0"/>
              <w:rPr>
                <w:sz w:val="20"/>
                <w:szCs w:val="20"/>
                <w:color w:val="auto"/>
              </w:rPr>
            </w:pPr>
            <w:r>
              <w:rPr>
                <w:rFonts w:ascii="Arial" w:cs="Arial" w:eastAsia="Arial" w:hAnsi="Arial"/>
                <w:sz w:val="11"/>
                <w:szCs w:val="11"/>
                <w:color w:val="auto"/>
              </w:rPr>
              <w:t>Sales and marketing</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1,044,618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567,407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369,079</w:t>
            </w:r>
          </w:p>
        </w:tc>
      </w:tr>
      <w:tr>
        <w:trPr>
          <w:trHeight w:val="144"/>
        </w:trPr>
        <w:tc>
          <w:tcPr>
            <w:tcW w:w="69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General and administrative</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472,460</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310,607</w:t>
            </w:r>
          </w:p>
        </w:tc>
        <w:tc>
          <w:tcPr>
            <w:tcW w:w="1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218,268</w:t>
            </w:r>
          </w:p>
        </w:tc>
      </w:tr>
      <w:tr>
        <w:trPr>
          <w:trHeight w:val="133"/>
        </w:trPr>
        <w:tc>
          <w:tcPr>
            <w:tcW w:w="6980" w:type="dxa"/>
            <w:vAlign w:val="bottom"/>
            <w:tcBorders>
              <w:bottom w:val="single" w:sz="8" w:color="CCEEFF"/>
            </w:tcBorders>
          </w:tcPr>
          <w:p>
            <w:pPr>
              <w:ind w:left="380"/>
              <w:spacing w:after="0"/>
              <w:rPr>
                <w:sz w:val="20"/>
                <w:szCs w:val="20"/>
                <w:color w:val="auto"/>
              </w:rPr>
            </w:pPr>
            <w:r>
              <w:rPr>
                <w:rFonts w:ascii="Arial" w:cs="Arial" w:eastAsia="Arial" w:hAnsi="Arial"/>
                <w:sz w:val="11"/>
                <w:szCs w:val="11"/>
                <w:color w:val="auto"/>
              </w:rPr>
              <w:t>Total operating expenses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2,306,297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1,408,562</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978,702</w:t>
            </w:r>
          </w:p>
        </w:tc>
      </w:tr>
      <w:tr>
        <w:trPr>
          <w:trHeight w:val="133"/>
        </w:trPr>
        <w:tc>
          <w:tcPr>
            <w:tcW w:w="69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Loss from operations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(915,584)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(492,901)</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(369,785)</w:t>
            </w:r>
          </w:p>
        </w:tc>
      </w:tr>
      <w:tr>
        <w:trPr>
          <w:trHeight w:val="144"/>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(expenses) income, net</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(45,345)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(11,525)</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7,569</w:t>
            </w:r>
          </w:p>
        </w:tc>
      </w:tr>
      <w:tr>
        <w:trPr>
          <w:trHeight w:val="133"/>
        </w:trPr>
        <w:tc>
          <w:tcPr>
            <w:tcW w:w="69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Loss before benefit for income taxes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(960,929)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(504,426)</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(362,216)</w:t>
            </w:r>
          </w:p>
        </w:tc>
      </w:tr>
      <w:tr>
        <w:trPr>
          <w:trHeight w:val="144"/>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Benefit for income taxes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11,029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13,447</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55,153</w:t>
            </w:r>
          </w:p>
        </w:tc>
      </w:tr>
      <w:tr>
        <w:trPr>
          <w:trHeight w:val="153"/>
        </w:trPr>
        <w:tc>
          <w:tcPr>
            <w:tcW w:w="6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Net loss attributable to common stockholders</w:t>
            </w: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(949,900)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(490,979)</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(307,063)</w:t>
            </w:r>
          </w:p>
        </w:tc>
      </w:tr>
      <w:tr>
        <w:trPr>
          <w:trHeight w:val="156"/>
        </w:trPr>
        <w:tc>
          <w:tcPr>
            <w:tcW w:w="6980" w:type="dxa"/>
            <w:vAlign w:val="bottom"/>
            <w:tcBorders>
              <w:bottom w:val="single" w:sz="8" w:color="CCEEFF"/>
            </w:tcBorders>
          </w:tcPr>
          <w:p>
            <w:pPr>
              <w:ind w:left="240"/>
              <w:spacing w:after="0"/>
              <w:rPr>
                <w:sz w:val="20"/>
                <w:szCs w:val="20"/>
                <w:color w:val="auto"/>
              </w:rPr>
            </w:pPr>
            <w:r>
              <w:rPr>
                <w:rFonts w:ascii="Arial" w:cs="Arial" w:eastAsia="Arial" w:hAnsi="Arial"/>
                <w:sz w:val="11"/>
                <w:szCs w:val="11"/>
                <w:color w:val="auto"/>
              </w:rPr>
              <w:t>Net loss per share attributable to common stockholders, basic and diluted</w:t>
            </w: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w:t>
            </w:r>
          </w:p>
        </w:tc>
      </w:tr>
      <w:tr>
        <w:trPr>
          <w:trHeight w:val="160"/>
        </w:trPr>
        <w:tc>
          <w:tcPr>
            <w:tcW w:w="6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Weighted-average shares used in computing net loss per share attributable to common stockholders, basic and diluted</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174,180,465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146,708,663</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130,083,046</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0"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2"/>
          <w:szCs w:val="12"/>
          <w:b w:val="1"/>
          <w:bCs w:val="1"/>
          <w:color w:val="auto"/>
        </w:rPr>
        <w:t>TWILIO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8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88"/>
              </w:rPr>
              <w:t>Year Ended December 31,</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33"/>
        </w:trPr>
        <w:tc>
          <w:tcPr>
            <w:tcW w:w="6880" w:type="dxa"/>
            <w:vAlign w:val="bottom"/>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2"/>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1"/>
                <w:szCs w:val="11"/>
                <w:b w:val="1"/>
                <w:bCs w:val="1"/>
                <w:color w:val="auto"/>
              </w:rPr>
              <w:t>2019</w:t>
            </w:r>
          </w:p>
        </w:tc>
      </w:tr>
      <w:tr>
        <w:trPr>
          <w:trHeight w:val="133"/>
        </w:trPr>
        <w:tc>
          <w:tcPr>
            <w:tcW w:w="6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(In thousands)</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5"/>
        </w:trPr>
        <w:tc>
          <w:tcPr>
            <w:tcW w:w="6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shd w:val="clear" w:color="auto" w:fill="CCEEFF"/>
          </w:tcPr>
          <w:p>
            <w:pPr>
              <w:jc w:val="right"/>
              <w:ind w:right="722"/>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(949,900)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(490,979)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(307,063)</w:t>
            </w:r>
          </w:p>
        </w:tc>
      </w:tr>
      <w:tr>
        <w:trPr>
          <w:trHeight w:val="153"/>
        </w:trPr>
        <w:tc>
          <w:tcPr>
            <w:tcW w:w="6880" w:type="dxa"/>
            <w:vAlign w:val="bottom"/>
          </w:tcPr>
          <w:p>
            <w:pPr>
              <w:ind w:left="20"/>
              <w:spacing w:after="0"/>
              <w:rPr>
                <w:sz w:val="20"/>
                <w:szCs w:val="20"/>
                <w:color w:val="auto"/>
              </w:rPr>
            </w:pPr>
            <w:r>
              <w:rPr>
                <w:rFonts w:ascii="Arial" w:cs="Arial" w:eastAsia="Arial" w:hAnsi="Arial"/>
                <w:sz w:val="12"/>
                <w:szCs w:val="12"/>
                <w:color w:val="auto"/>
              </w:rPr>
              <w:t>Other comprehensive (loss) income:</w:t>
            </w: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6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(loss) gain on marketable securities</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(27,215)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3,804</w:t>
            </w:r>
          </w:p>
        </w:tc>
      </w:tr>
      <w:tr>
        <w:trPr>
          <w:trHeight w:val="153"/>
        </w:trPr>
        <w:tc>
          <w:tcPr>
            <w:tcW w:w="6880" w:type="dxa"/>
            <w:vAlign w:val="bottom"/>
          </w:tcPr>
          <w:p>
            <w:pPr>
              <w:ind w:left="240"/>
              <w:spacing w:after="0"/>
              <w:rPr>
                <w:sz w:val="20"/>
                <w:szCs w:val="20"/>
                <w:color w:val="auto"/>
              </w:rPr>
            </w:pPr>
            <w:r>
              <w:rPr>
                <w:rFonts w:ascii="Arial" w:cs="Arial" w:eastAsia="Arial" w:hAnsi="Arial"/>
                <w:sz w:val="12"/>
                <w:szCs w:val="12"/>
                <w:color w:val="auto"/>
              </w:rPr>
              <w:t>Foreign currency translation</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8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Net change in market value of effective foreign currency forward exchange contracts</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88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Total other comprehensive (loss) income</w:t>
            </w:r>
          </w:p>
        </w:tc>
        <w:tc>
          <w:tcPr>
            <w:tcW w:w="8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(27,187)</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3,960</w:t>
            </w: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3,804</w:t>
            </w:r>
          </w:p>
        </w:tc>
      </w:tr>
      <w:tr>
        <w:trPr>
          <w:trHeight w:val="158"/>
        </w:trPr>
        <w:tc>
          <w:tcPr>
            <w:tcW w:w="6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Comprehensive loss attributable to common stockholders</w:t>
            </w:r>
          </w:p>
        </w:tc>
        <w:tc>
          <w:tcPr>
            <w:tcW w:w="86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(977,087)</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(487,019)</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(303,259)</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343" w:right="31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1"/>
          <w:szCs w:val="11"/>
          <w:b w:val="1"/>
          <w:bCs w:val="1"/>
          <w:color w:val="auto"/>
        </w:rPr>
        <w:t>TWILIO,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1120" w:type="dxa"/>
            <w:vAlign w:val="bottom"/>
            <w:gridSpan w:val="3"/>
          </w:tcPr>
          <w:p>
            <w:pPr>
              <w:jc w:val="center"/>
              <w:ind w:left="432"/>
              <w:spacing w:after="0"/>
              <w:rPr>
                <w:sz w:val="20"/>
                <w:szCs w:val="20"/>
                <w:color w:val="auto"/>
              </w:rPr>
            </w:pPr>
            <w:r>
              <w:rPr>
                <w:rFonts w:ascii="Arial" w:cs="Arial" w:eastAsia="Arial" w:hAnsi="Arial"/>
                <w:sz w:val="10"/>
                <w:szCs w:val="10"/>
                <w:b w:val="1"/>
                <w:bCs w:val="1"/>
                <w:color w:val="auto"/>
                <w:w w:val="87"/>
              </w:rPr>
              <w:t>Common Stock</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gridSpan w:val="5"/>
          </w:tcPr>
          <w:p>
            <w:pPr>
              <w:ind w:left="460"/>
              <w:spacing w:after="0"/>
              <w:rPr>
                <w:sz w:val="20"/>
                <w:szCs w:val="20"/>
                <w:color w:val="auto"/>
              </w:rPr>
            </w:pPr>
            <w:r>
              <w:rPr>
                <w:rFonts w:ascii="Arial" w:cs="Arial" w:eastAsia="Arial" w:hAnsi="Arial"/>
                <w:sz w:val="10"/>
                <w:szCs w:val="10"/>
                <w:b w:val="1"/>
                <w:bCs w:val="1"/>
                <w:color w:val="auto"/>
              </w:rPr>
              <w:t>Common Stock</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100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0"/>
                <w:szCs w:val="10"/>
                <w:b w:val="1"/>
                <w:bCs w:val="1"/>
                <w:color w:val="auto"/>
                <w:w w:val="87"/>
              </w:rPr>
              <w:t>Class A</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Class B</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Arial" w:cs="Arial" w:eastAsia="Arial" w:hAnsi="Arial"/>
                <w:sz w:val="10"/>
                <w:szCs w:val="10"/>
                <w:b w:val="1"/>
                <w:bCs w:val="1"/>
                <w:color w:val="auto"/>
                <w:w w:val="99"/>
              </w:rPr>
              <w:t>Additional Paid-</w:t>
            </w:r>
          </w:p>
        </w:tc>
        <w:tc>
          <w:tcPr>
            <w:tcW w:w="100" w:type="dxa"/>
            <w:vAlign w:val="bottom"/>
          </w:tcPr>
          <w:p>
            <w:pPr>
              <w:spacing w:after="0"/>
              <w:rPr>
                <w:sz w:val="10"/>
                <w:szCs w:val="1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Accumulated Other</w:t>
            </w:r>
          </w:p>
        </w:tc>
        <w:tc>
          <w:tcPr>
            <w:tcW w:w="10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b w:val="1"/>
                <w:bCs w:val="1"/>
                <w:color w:val="auto"/>
                <w:w w:val="86"/>
              </w:rPr>
              <w:t>Total Stockholders'</w:t>
            </w:r>
          </w:p>
        </w:tc>
        <w:tc>
          <w:tcPr>
            <w:tcW w:w="0" w:type="dxa"/>
            <w:vAlign w:val="bottom"/>
          </w:tcPr>
          <w:p>
            <w:pPr>
              <w:spacing w:after="0"/>
              <w:rPr>
                <w:sz w:val="1"/>
                <w:szCs w:val="1"/>
                <w:color w:val="auto"/>
              </w:rPr>
            </w:pPr>
          </w:p>
        </w:tc>
      </w:tr>
      <w:tr>
        <w:trPr>
          <w:trHeight w:val="123"/>
        </w:trPr>
        <w:tc>
          <w:tcPr>
            <w:tcW w:w="4220" w:type="dxa"/>
            <w:vAlign w:val="bottom"/>
          </w:tcPr>
          <w:p>
            <w:pPr>
              <w:spacing w:after="0"/>
              <w:rPr>
                <w:sz w:val="10"/>
                <w:szCs w:val="10"/>
                <w:color w:val="auto"/>
              </w:rPr>
            </w:pPr>
          </w:p>
        </w:tc>
        <w:tc>
          <w:tcPr>
            <w:tcW w:w="1000" w:type="dxa"/>
            <w:vAlign w:val="bottom"/>
            <w:gridSpan w:val="2"/>
          </w:tcPr>
          <w:p>
            <w:pPr>
              <w:ind w:left="32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860" w:type="dxa"/>
            <w:vAlign w:val="bottom"/>
            <w:gridSpan w:val="2"/>
          </w:tcPr>
          <w:p>
            <w:pPr>
              <w:ind w:left="26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In Capital</w:t>
            </w:r>
          </w:p>
        </w:tc>
        <w:tc>
          <w:tcPr>
            <w:tcW w:w="11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6"/>
              </w:rPr>
              <w:t>Comprehensive Income</w:t>
            </w:r>
          </w:p>
        </w:tc>
        <w:tc>
          <w:tcPr>
            <w:tcW w:w="100" w:type="dxa"/>
            <w:vAlign w:val="bottom"/>
          </w:tcPr>
          <w:p>
            <w:pPr>
              <w:spacing w:after="0"/>
              <w:rPr>
                <w:sz w:val="10"/>
                <w:szCs w:val="10"/>
                <w:color w:val="auto"/>
              </w:rPr>
            </w:pPr>
          </w:p>
        </w:tc>
        <w:tc>
          <w:tcPr>
            <w:tcW w:w="800" w:type="dxa"/>
            <w:vAlign w:val="bottom"/>
            <w:gridSpan w:val="2"/>
          </w:tcPr>
          <w:p>
            <w:pPr>
              <w:ind w:left="180"/>
              <w:spacing w:after="0"/>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10"/>
                <w:szCs w:val="10"/>
                <w:color w:val="auto"/>
              </w:rPr>
            </w:pPr>
          </w:p>
        </w:tc>
        <w:tc>
          <w:tcPr>
            <w:tcW w:w="940" w:type="dxa"/>
            <w:vAlign w:val="bottom"/>
          </w:tcPr>
          <w:p>
            <w:pPr>
              <w:jc w:val="right"/>
              <w:ind w:right="332"/>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14"/>
        </w:trPr>
        <w:tc>
          <w:tcPr>
            <w:tcW w:w="422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6"/>
          </w:tcPr>
          <w:p>
            <w:pPr>
              <w:jc w:val="right"/>
              <w:spacing w:after="0"/>
              <w:rPr>
                <w:sz w:val="20"/>
                <w:szCs w:val="20"/>
                <w:color w:val="auto"/>
              </w:rPr>
            </w:pPr>
            <w:r>
              <w:rPr>
                <w:rFonts w:ascii="Arial" w:cs="Arial" w:eastAsia="Arial" w:hAnsi="Arial"/>
                <w:sz w:val="8"/>
                <w:szCs w:val="8"/>
                <w:color w:val="auto"/>
              </w:rPr>
              <w:t>(In thousands, except share amounts)</w:t>
            </w: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Balance as of December 31, 2018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80,769,763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w:t>
            </w:r>
          </w:p>
        </w:tc>
        <w:tc>
          <w:tcPr>
            <w:tcW w:w="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19,310,465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808,527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1,282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(371,674)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438,235</w:t>
            </w:r>
          </w:p>
        </w:tc>
        <w:tc>
          <w:tcPr>
            <w:tcW w:w="0" w:type="dxa"/>
            <w:vAlign w:val="bottom"/>
          </w:tcPr>
          <w:p>
            <w:pPr>
              <w:spacing w:after="0"/>
              <w:rPr>
                <w:sz w:val="1"/>
                <w:szCs w:val="1"/>
                <w:color w:val="auto"/>
              </w:rPr>
            </w:pPr>
          </w:p>
        </w:tc>
      </w:tr>
      <w:tr>
        <w:trPr>
          <w:trHeight w:val="120"/>
        </w:trPr>
        <w:tc>
          <w:tcPr>
            <w:tcW w:w="4220" w:type="dxa"/>
            <w:vAlign w:val="bottom"/>
          </w:tcPr>
          <w:p>
            <w:pPr>
              <w:ind w:left="220"/>
              <w:spacing w:after="0"/>
              <w:rPr>
                <w:sz w:val="20"/>
                <w:szCs w:val="20"/>
                <w:color w:val="auto"/>
              </w:rPr>
            </w:pPr>
            <w:r>
              <w:rPr>
                <w:rFonts w:ascii="Arial" w:cs="Arial" w:eastAsia="Arial" w:hAnsi="Arial"/>
                <w:sz w:val="10"/>
                <w:szCs w:val="10"/>
                <w:color w:val="auto"/>
              </w:rPr>
              <w:t>Net loss</w:t>
            </w: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(307,063)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(307,063)</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Exercises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1,466,813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2,154,053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37,760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37,763</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Recapitalization of a subsidiary</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(75)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Vesting 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2,775,788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117,331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Value of equity awards withheld for tax liability</w:t>
            </w:r>
          </w:p>
        </w:tc>
        <w:tc>
          <w:tcPr>
            <w:tcW w:w="920" w:type="dxa"/>
            <w:vAlign w:val="bottom"/>
          </w:tcPr>
          <w:p>
            <w:pPr>
              <w:jc w:val="right"/>
              <w:spacing w:after="0"/>
              <w:rPr>
                <w:sz w:val="20"/>
                <w:szCs w:val="20"/>
                <w:color w:val="auto"/>
              </w:rPr>
            </w:pPr>
            <w:r>
              <w:rPr>
                <w:rFonts w:ascii="Arial" w:cs="Arial" w:eastAsia="Arial" w:hAnsi="Arial"/>
                <w:sz w:val="10"/>
                <w:szCs w:val="10"/>
                <w:color w:val="auto"/>
              </w:rPr>
              <w:t>(23,543)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(22,095)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(5,412)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(5,412)</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Conversion of shares of Class B common stock into shares of Class A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10,029,127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(10,029,127)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Shares of Class A common stock issued under ESPP</w:t>
            </w:r>
          </w:p>
        </w:tc>
        <w:tc>
          <w:tcPr>
            <w:tcW w:w="920" w:type="dxa"/>
            <w:vAlign w:val="bottom"/>
          </w:tcPr>
          <w:p>
            <w:pPr>
              <w:jc w:val="right"/>
              <w:spacing w:after="0"/>
              <w:rPr>
                <w:sz w:val="20"/>
                <w:szCs w:val="20"/>
                <w:color w:val="auto"/>
              </w:rPr>
            </w:pPr>
            <w:r>
              <w:rPr>
                <w:rFonts w:ascii="Arial" w:cs="Arial" w:eastAsia="Arial" w:hAnsi="Arial"/>
                <w:sz w:val="10"/>
                <w:szCs w:val="10"/>
                <w:color w:val="auto"/>
              </w:rPr>
              <w:t>244,628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19,738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19,738</w:t>
            </w:r>
          </w:p>
        </w:tc>
        <w:tc>
          <w:tcPr>
            <w:tcW w:w="0" w:type="dxa"/>
            <w:vAlign w:val="bottom"/>
          </w:tcPr>
          <w:p>
            <w:pPr>
              <w:spacing w:after="0"/>
              <w:rPr>
                <w:sz w:val="1"/>
                <w:szCs w:val="1"/>
                <w:color w:val="auto"/>
              </w:rPr>
            </w:pPr>
          </w:p>
        </w:tc>
      </w:tr>
      <w:tr>
        <w:trPr>
          <w:trHeight w:val="92"/>
        </w:trPr>
        <w:tc>
          <w:tcPr>
            <w:tcW w:w="4220" w:type="dxa"/>
            <w:vAlign w:val="bottom"/>
            <w:shd w:val="clear" w:color="auto" w:fill="CCEEFF"/>
          </w:tcPr>
          <w:p>
            <w:pPr>
              <w:ind w:left="220"/>
              <w:spacing w:after="0" w:line="92" w:lineRule="exact"/>
              <w:rPr>
                <w:sz w:val="20"/>
                <w:szCs w:val="20"/>
                <w:color w:val="auto"/>
              </w:rPr>
            </w:pPr>
            <w:r>
              <w:rPr>
                <w:rFonts w:ascii="Arial" w:cs="Arial" w:eastAsia="Arial" w:hAnsi="Arial"/>
                <w:sz w:val="10"/>
                <w:szCs w:val="10"/>
                <w:color w:val="auto"/>
                <w:w w:val="97"/>
              </w:rPr>
              <w:t>Shares of Class A common stock issued in connection with a follow-on public offering, net of</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8,064,515</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6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979,039</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979,047</w:t>
            </w: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underwriters' discounts and issuance costs</w:t>
            </w:r>
          </w:p>
        </w:tc>
        <w:tc>
          <w:tcPr>
            <w:tcW w:w="9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Shares of Class A common stock issued in acquisition</w:t>
            </w:r>
          </w:p>
        </w:tc>
        <w:tc>
          <w:tcPr>
            <w:tcW w:w="920" w:type="dxa"/>
            <w:vAlign w:val="bottom"/>
          </w:tcPr>
          <w:p>
            <w:pPr>
              <w:jc w:val="right"/>
              <w:spacing w:after="0"/>
              <w:rPr>
                <w:sz w:val="20"/>
                <w:szCs w:val="20"/>
                <w:color w:val="auto"/>
              </w:rPr>
            </w:pPr>
            <w:r>
              <w:rPr>
                <w:rFonts w:ascii="Arial" w:cs="Arial" w:eastAsia="Arial" w:hAnsi="Arial"/>
                <w:sz w:val="10"/>
                <w:szCs w:val="10"/>
                <w:color w:val="auto"/>
              </w:rPr>
              <w:t>23,555,081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24</w:t>
            </w:r>
          </w:p>
        </w:tc>
        <w:tc>
          <w:tcPr>
            <w:tcW w:w="6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2,658,874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2,658,898</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Value of equity awards assumed in acquisition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182,554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182,554</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Unrealized gain on marketable securities</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3,804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3,804</w:t>
            </w: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271,844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271,844</w:t>
            </w:r>
          </w:p>
        </w:tc>
        <w:tc>
          <w:tcPr>
            <w:tcW w:w="0" w:type="dxa"/>
            <w:vAlign w:val="bottom"/>
          </w:tcPr>
          <w:p>
            <w:pPr>
              <w:spacing w:after="0"/>
              <w:rPr>
                <w:sz w:val="1"/>
                <w:szCs w:val="1"/>
                <w:color w:val="auto"/>
              </w:rPr>
            </w:pPr>
          </w:p>
        </w:tc>
      </w:tr>
      <w:tr>
        <w:trPr>
          <w:trHeight w:val="149"/>
        </w:trPr>
        <w:tc>
          <w:tcPr>
            <w:tcW w:w="42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Balance as of December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126,882,172</w:t>
            </w:r>
          </w:p>
        </w:tc>
        <w:tc>
          <w:tcPr>
            <w:tcW w:w="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124</w:t>
            </w:r>
          </w:p>
        </w:tc>
        <w:tc>
          <w:tcPr>
            <w:tcW w:w="6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11,530,627</w:t>
            </w:r>
          </w:p>
        </w:tc>
        <w:tc>
          <w:tcPr>
            <w:tcW w:w="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4,952,999</w:t>
            </w:r>
          </w:p>
        </w:tc>
        <w:tc>
          <w:tcPr>
            <w:tcW w:w="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5,086</w:t>
            </w:r>
          </w:p>
        </w:tc>
        <w:tc>
          <w:tcPr>
            <w:tcW w:w="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(678,812)</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4,279,411</w:t>
            </w:r>
          </w:p>
        </w:tc>
        <w:tc>
          <w:tcPr>
            <w:tcW w:w="0" w:type="dxa"/>
            <w:vAlign w:val="bottom"/>
          </w:tcPr>
          <w:p>
            <w:pPr>
              <w:spacing w:after="0"/>
              <w:rPr>
                <w:sz w:val="1"/>
                <w:szCs w:val="1"/>
                <w:color w:val="auto"/>
              </w:rPr>
            </w:pPr>
          </w:p>
        </w:tc>
      </w:tr>
      <w:tr>
        <w:trPr>
          <w:trHeight w:val="115"/>
        </w:trPr>
        <w:tc>
          <w:tcPr>
            <w:tcW w:w="4220" w:type="dxa"/>
            <w:vAlign w:val="bottom"/>
            <w:tcBorders>
              <w:top w:val="single" w:sz="8" w:color="CCEEFF"/>
            </w:tcBorders>
            <w:shd w:val="clear" w:color="auto" w:fill="CCEEFF"/>
          </w:tcPr>
          <w:p>
            <w:pPr>
              <w:ind w:left="220"/>
              <w:spacing w:after="0" w:line="107" w:lineRule="exact"/>
              <w:rPr>
                <w:sz w:val="20"/>
                <w:szCs w:val="20"/>
                <w:color w:val="auto"/>
              </w:rPr>
            </w:pPr>
            <w:r>
              <w:rPr>
                <w:rFonts w:ascii="Arial" w:cs="Arial" w:eastAsia="Arial" w:hAnsi="Arial"/>
                <w:sz w:val="10"/>
                <w:szCs w:val="10"/>
                <w:color w:val="auto"/>
              </w:rPr>
              <w:t>Net loss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(490,979)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(490,979)</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Exercises of stock options</w:t>
            </w:r>
          </w:p>
        </w:tc>
        <w:tc>
          <w:tcPr>
            <w:tcW w:w="920" w:type="dxa"/>
            <w:vAlign w:val="bottom"/>
          </w:tcPr>
          <w:p>
            <w:pPr>
              <w:jc w:val="right"/>
              <w:spacing w:after="0"/>
              <w:rPr>
                <w:sz w:val="20"/>
                <w:szCs w:val="20"/>
                <w:color w:val="auto"/>
              </w:rPr>
            </w:pPr>
            <w:r>
              <w:rPr>
                <w:rFonts w:ascii="Arial" w:cs="Arial" w:eastAsia="Arial" w:hAnsi="Arial"/>
                <w:sz w:val="10"/>
                <w:szCs w:val="10"/>
                <w:color w:val="auto"/>
              </w:rPr>
              <w:t>2,263,629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w:t>
            </w:r>
          </w:p>
        </w:tc>
        <w:tc>
          <w:tcPr>
            <w:tcW w:w="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1,232,099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72,514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72,517</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Vesting 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3,525,401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29,007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Value of equity awards withheld for tax liability</w:t>
            </w:r>
          </w:p>
        </w:tc>
        <w:tc>
          <w:tcPr>
            <w:tcW w:w="920" w:type="dxa"/>
            <w:vAlign w:val="bottom"/>
          </w:tcPr>
          <w:p>
            <w:pPr>
              <w:jc w:val="right"/>
              <w:spacing w:after="0"/>
              <w:rPr>
                <w:sz w:val="20"/>
                <w:szCs w:val="20"/>
                <w:color w:val="auto"/>
              </w:rPr>
            </w:pPr>
            <w:r>
              <w:rPr>
                <w:rFonts w:ascii="Arial" w:cs="Arial" w:eastAsia="Arial" w:hAnsi="Arial"/>
                <w:sz w:val="10"/>
                <w:szCs w:val="10"/>
                <w:color w:val="auto"/>
              </w:rPr>
              <w:t>(34,893)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(4,692)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(8,778)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(8,778)</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Conversion of shares of Class B common stock into shares of Class A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2,235,739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(2,235,739)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Equity component from partial settlement of convertible senior notes due 2023</w:t>
            </w:r>
          </w:p>
        </w:tc>
        <w:tc>
          <w:tcPr>
            <w:tcW w:w="920" w:type="dxa"/>
            <w:vAlign w:val="bottom"/>
          </w:tcPr>
          <w:p>
            <w:pPr>
              <w:jc w:val="right"/>
              <w:spacing w:after="0"/>
              <w:rPr>
                <w:sz w:val="20"/>
                <w:szCs w:val="20"/>
                <w:color w:val="auto"/>
              </w:rPr>
            </w:pPr>
            <w:r>
              <w:rPr>
                <w:rFonts w:ascii="Arial" w:cs="Arial" w:eastAsia="Arial" w:hAnsi="Arial"/>
                <w:sz w:val="10"/>
                <w:szCs w:val="10"/>
                <w:color w:val="auto"/>
              </w:rPr>
              <w:t>2,902,434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w:t>
            </w:r>
          </w:p>
        </w:tc>
        <w:tc>
          <w:tcPr>
            <w:tcW w:w="6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190,757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190,760</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Shares of Class A common stock issued under ESPP</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291,800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32,242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32,243</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Shares of Class A common stock donated to charity</w:t>
            </w:r>
          </w:p>
        </w:tc>
        <w:tc>
          <w:tcPr>
            <w:tcW w:w="920" w:type="dxa"/>
            <w:vAlign w:val="bottom"/>
          </w:tcPr>
          <w:p>
            <w:pPr>
              <w:jc w:val="right"/>
              <w:spacing w:after="0"/>
              <w:rPr>
                <w:sz w:val="20"/>
                <w:szCs w:val="20"/>
                <w:color w:val="auto"/>
              </w:rPr>
            </w:pPr>
            <w:r>
              <w:rPr>
                <w:rFonts w:ascii="Arial" w:cs="Arial" w:eastAsia="Arial" w:hAnsi="Arial"/>
                <w:sz w:val="10"/>
                <w:szCs w:val="10"/>
                <w:color w:val="auto"/>
              </w:rPr>
              <w:t>88,408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18,993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18,993</w:t>
            </w:r>
          </w:p>
        </w:tc>
        <w:tc>
          <w:tcPr>
            <w:tcW w:w="0" w:type="dxa"/>
            <w:vAlign w:val="bottom"/>
          </w:tcPr>
          <w:p>
            <w:pPr>
              <w:spacing w:after="0"/>
              <w:rPr>
                <w:sz w:val="1"/>
                <w:szCs w:val="1"/>
                <w:color w:val="auto"/>
              </w:rPr>
            </w:pPr>
          </w:p>
        </w:tc>
      </w:tr>
      <w:tr>
        <w:trPr>
          <w:trHeight w:val="92"/>
        </w:trPr>
        <w:tc>
          <w:tcPr>
            <w:tcW w:w="4220" w:type="dxa"/>
            <w:vAlign w:val="bottom"/>
            <w:shd w:val="clear" w:color="auto" w:fill="CCEEFF"/>
          </w:tcPr>
          <w:p>
            <w:pPr>
              <w:ind w:left="220"/>
              <w:spacing w:after="0" w:line="92" w:lineRule="exact"/>
              <w:rPr>
                <w:sz w:val="20"/>
                <w:szCs w:val="20"/>
                <w:color w:val="auto"/>
              </w:rPr>
            </w:pPr>
            <w:r>
              <w:rPr>
                <w:rFonts w:ascii="Arial" w:cs="Arial" w:eastAsia="Arial" w:hAnsi="Arial"/>
                <w:sz w:val="10"/>
                <w:szCs w:val="10"/>
                <w:color w:val="auto"/>
                <w:w w:val="92"/>
              </w:rPr>
              <w:t>Issuance of shares of Class A common stock in connection with a follow-on public offering, net of</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5,819,838</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60" w:type="dxa"/>
            <w:vAlign w:val="bottom"/>
            <w:shd w:val="clear" w:color="auto" w:fill="CCEEFF"/>
          </w:tcPr>
          <w:p>
            <w:pPr>
              <w:spacing w:after="0"/>
              <w:rPr>
                <w:sz w:val="8"/>
                <w:szCs w:val="8"/>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1,408,163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1,408,169</w:t>
            </w: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underwriters' discounts and issuance costs</w:t>
            </w:r>
          </w:p>
        </w:tc>
        <w:tc>
          <w:tcPr>
            <w:tcW w:w="9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Shares of Class A common stock issued in acquisition</w:t>
            </w:r>
          </w:p>
        </w:tc>
        <w:tc>
          <w:tcPr>
            <w:tcW w:w="920" w:type="dxa"/>
            <w:vAlign w:val="bottom"/>
          </w:tcPr>
          <w:p>
            <w:pPr>
              <w:jc w:val="right"/>
              <w:spacing w:after="0"/>
              <w:rPr>
                <w:sz w:val="20"/>
                <w:szCs w:val="20"/>
                <w:color w:val="auto"/>
              </w:rPr>
            </w:pPr>
            <w:r>
              <w:rPr>
                <w:rFonts w:ascii="Arial" w:cs="Arial" w:eastAsia="Arial" w:hAnsi="Arial"/>
                <w:sz w:val="10"/>
                <w:szCs w:val="10"/>
                <w:color w:val="auto"/>
              </w:rPr>
              <w:t>9,263,140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w:t>
            </w:r>
          </w:p>
        </w:tc>
        <w:tc>
          <w:tcPr>
            <w:tcW w:w="6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2,532,347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2,532,356</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Value of equity awards assumed in acquisition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38,972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38,972</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Shares of Class A common stock issued in acquisition subject to future vesting</w:t>
            </w:r>
          </w:p>
        </w:tc>
        <w:tc>
          <w:tcPr>
            <w:tcW w:w="920" w:type="dxa"/>
            <w:vAlign w:val="bottom"/>
          </w:tcPr>
          <w:p>
            <w:pPr>
              <w:jc w:val="right"/>
              <w:spacing w:after="0"/>
              <w:rPr>
                <w:sz w:val="20"/>
                <w:szCs w:val="20"/>
                <w:color w:val="auto"/>
              </w:rPr>
            </w:pPr>
            <w:r>
              <w:rPr>
                <w:rFonts w:ascii="Arial" w:cs="Arial" w:eastAsia="Arial" w:hAnsi="Arial"/>
                <w:sz w:val="10"/>
                <w:szCs w:val="10"/>
                <w:color w:val="auto"/>
              </w:rPr>
              <w:t>258,554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Unrealized gain on marketable securities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3,674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3,674</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Foreign currency translation</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286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286</w:t>
            </w: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375,037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375,037</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20"/>
                <w:szCs w:val="20"/>
                <w:color w:val="auto"/>
              </w:rPr>
            </w:pPr>
            <w:r>
              <w:rPr>
                <w:rFonts w:ascii="Arial" w:cs="Arial" w:eastAsia="Arial" w:hAnsi="Arial"/>
                <w:sz w:val="10"/>
                <w:szCs w:val="10"/>
                <w:color w:val="auto"/>
              </w:rPr>
              <w:t>Balance as of December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153,496,222</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151</w:t>
            </w:r>
          </w:p>
        </w:tc>
        <w:tc>
          <w:tcPr>
            <w:tcW w:w="6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10,551,302</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9,613,246</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9,046</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(1,169,791)</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8,452,665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1"/>
          <w:szCs w:val="11"/>
          <w:b w:val="1"/>
          <w:bCs w:val="1"/>
          <w:color w:val="auto"/>
        </w:rPr>
        <w:t>TWILIO,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Consolidated Statements of Stockholder's Equity</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1120" w:type="dxa"/>
            <w:vAlign w:val="bottom"/>
            <w:gridSpan w:val="3"/>
          </w:tcPr>
          <w:p>
            <w:pPr>
              <w:jc w:val="center"/>
              <w:ind w:left="432"/>
              <w:spacing w:after="0"/>
              <w:rPr>
                <w:sz w:val="20"/>
                <w:szCs w:val="20"/>
                <w:color w:val="auto"/>
              </w:rPr>
            </w:pPr>
            <w:r>
              <w:rPr>
                <w:rFonts w:ascii="Arial" w:cs="Arial" w:eastAsia="Arial" w:hAnsi="Arial"/>
                <w:sz w:val="10"/>
                <w:szCs w:val="10"/>
                <w:b w:val="1"/>
                <w:bCs w:val="1"/>
                <w:color w:val="auto"/>
                <w:w w:val="87"/>
              </w:rPr>
              <w:t>Common Stock</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gridSpan w:val="5"/>
          </w:tcPr>
          <w:p>
            <w:pPr>
              <w:ind w:left="460"/>
              <w:spacing w:after="0"/>
              <w:rPr>
                <w:sz w:val="20"/>
                <w:szCs w:val="20"/>
                <w:color w:val="auto"/>
              </w:rPr>
            </w:pPr>
            <w:r>
              <w:rPr>
                <w:rFonts w:ascii="Arial" w:cs="Arial" w:eastAsia="Arial" w:hAnsi="Arial"/>
                <w:sz w:val="10"/>
                <w:szCs w:val="10"/>
                <w:b w:val="1"/>
                <w:bCs w:val="1"/>
                <w:color w:val="auto"/>
              </w:rPr>
              <w:t>Common Stock</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220" w:type="dxa"/>
            <w:vAlign w:val="bottom"/>
          </w:tcPr>
          <w:p>
            <w:pPr>
              <w:spacing w:after="0"/>
              <w:rPr>
                <w:sz w:val="10"/>
                <w:szCs w:val="10"/>
                <w:color w:val="auto"/>
              </w:rPr>
            </w:pPr>
          </w:p>
        </w:tc>
        <w:tc>
          <w:tcPr>
            <w:tcW w:w="1000" w:type="dxa"/>
            <w:vAlign w:val="bottom"/>
            <w:tcBorders>
              <w:bottom w:val="single" w:sz="8" w:color="auto"/>
            </w:tcBorders>
            <w:gridSpan w:val="2"/>
          </w:tcPr>
          <w:p>
            <w:pPr>
              <w:jc w:val="center"/>
              <w:ind w:left="552"/>
              <w:spacing w:after="0"/>
              <w:rPr>
                <w:sz w:val="20"/>
                <w:szCs w:val="20"/>
                <w:color w:val="auto"/>
              </w:rPr>
            </w:pPr>
            <w:r>
              <w:rPr>
                <w:rFonts w:ascii="Arial" w:cs="Arial" w:eastAsia="Arial" w:hAnsi="Arial"/>
                <w:sz w:val="10"/>
                <w:szCs w:val="10"/>
                <w:b w:val="1"/>
                <w:bCs w:val="1"/>
                <w:color w:val="auto"/>
                <w:w w:val="87"/>
              </w:rPr>
              <w:t>Class A</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Class B</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ind w:left="20"/>
              <w:spacing w:after="0"/>
              <w:rPr>
                <w:sz w:val="20"/>
                <w:szCs w:val="20"/>
                <w:color w:val="auto"/>
              </w:rPr>
            </w:pPr>
            <w:r>
              <w:rPr>
                <w:rFonts w:ascii="Arial" w:cs="Arial" w:eastAsia="Arial" w:hAnsi="Arial"/>
                <w:sz w:val="10"/>
                <w:szCs w:val="10"/>
                <w:b w:val="1"/>
                <w:bCs w:val="1"/>
                <w:color w:val="auto"/>
                <w:w w:val="99"/>
              </w:rPr>
              <w:t>Additional Paid-</w:t>
            </w:r>
          </w:p>
        </w:tc>
        <w:tc>
          <w:tcPr>
            <w:tcW w:w="100" w:type="dxa"/>
            <w:vAlign w:val="bottom"/>
          </w:tcPr>
          <w:p>
            <w:pPr>
              <w:spacing w:after="0"/>
              <w:rPr>
                <w:sz w:val="10"/>
                <w:szCs w:val="10"/>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Accumulated Other</w:t>
            </w:r>
          </w:p>
        </w:tc>
        <w:tc>
          <w:tcPr>
            <w:tcW w:w="10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10"/>
                <w:szCs w:val="10"/>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b w:val="1"/>
                <w:bCs w:val="1"/>
                <w:color w:val="auto"/>
                <w:w w:val="86"/>
              </w:rPr>
              <w:t>Total Stockholders'</w:t>
            </w:r>
          </w:p>
        </w:tc>
        <w:tc>
          <w:tcPr>
            <w:tcW w:w="0" w:type="dxa"/>
            <w:vAlign w:val="bottom"/>
          </w:tcPr>
          <w:p>
            <w:pPr>
              <w:spacing w:after="0"/>
              <w:rPr>
                <w:sz w:val="1"/>
                <w:szCs w:val="1"/>
                <w:color w:val="auto"/>
              </w:rPr>
            </w:pPr>
          </w:p>
        </w:tc>
      </w:tr>
      <w:tr>
        <w:trPr>
          <w:trHeight w:val="123"/>
        </w:trPr>
        <w:tc>
          <w:tcPr>
            <w:tcW w:w="4220" w:type="dxa"/>
            <w:vAlign w:val="bottom"/>
          </w:tcPr>
          <w:p>
            <w:pPr>
              <w:spacing w:after="0"/>
              <w:rPr>
                <w:sz w:val="10"/>
                <w:szCs w:val="10"/>
                <w:color w:val="auto"/>
              </w:rPr>
            </w:pPr>
          </w:p>
        </w:tc>
        <w:tc>
          <w:tcPr>
            <w:tcW w:w="1000" w:type="dxa"/>
            <w:vAlign w:val="bottom"/>
            <w:gridSpan w:val="2"/>
          </w:tcPr>
          <w:p>
            <w:pPr>
              <w:ind w:left="32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860" w:type="dxa"/>
            <w:vAlign w:val="bottom"/>
            <w:gridSpan w:val="2"/>
          </w:tcPr>
          <w:p>
            <w:pPr>
              <w:ind w:left="26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In Capital</w:t>
            </w:r>
          </w:p>
        </w:tc>
        <w:tc>
          <w:tcPr>
            <w:tcW w:w="11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6"/>
              </w:rPr>
              <w:t>Comprehensive Income</w:t>
            </w:r>
          </w:p>
        </w:tc>
        <w:tc>
          <w:tcPr>
            <w:tcW w:w="100" w:type="dxa"/>
            <w:vAlign w:val="bottom"/>
          </w:tcPr>
          <w:p>
            <w:pPr>
              <w:spacing w:after="0"/>
              <w:rPr>
                <w:sz w:val="10"/>
                <w:szCs w:val="10"/>
                <w:color w:val="auto"/>
              </w:rPr>
            </w:pPr>
          </w:p>
        </w:tc>
        <w:tc>
          <w:tcPr>
            <w:tcW w:w="800" w:type="dxa"/>
            <w:vAlign w:val="bottom"/>
            <w:gridSpan w:val="2"/>
          </w:tcPr>
          <w:p>
            <w:pPr>
              <w:ind w:left="180"/>
              <w:spacing w:after="0"/>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10"/>
                <w:szCs w:val="10"/>
                <w:color w:val="auto"/>
              </w:rPr>
            </w:pPr>
          </w:p>
        </w:tc>
        <w:tc>
          <w:tcPr>
            <w:tcW w:w="940" w:type="dxa"/>
            <w:vAlign w:val="bottom"/>
          </w:tcPr>
          <w:p>
            <w:pPr>
              <w:jc w:val="right"/>
              <w:ind w:right="332"/>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14"/>
        </w:trPr>
        <w:tc>
          <w:tcPr>
            <w:tcW w:w="42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6"/>
          </w:tcPr>
          <w:p>
            <w:pPr>
              <w:ind w:left="280"/>
              <w:spacing w:after="0"/>
              <w:rPr>
                <w:sz w:val="20"/>
                <w:szCs w:val="20"/>
                <w:color w:val="auto"/>
              </w:rPr>
            </w:pPr>
            <w:r>
              <w:rPr>
                <w:rFonts w:ascii="Arial" w:cs="Arial" w:eastAsia="Arial" w:hAnsi="Arial"/>
                <w:sz w:val="8"/>
                <w:szCs w:val="8"/>
                <w:color w:val="auto"/>
                <w:w w:val="90"/>
              </w:rPr>
              <w:t>(In thousands, except share amounts)</w:t>
            </w: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2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Balance as of December 31, 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153,496,222</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151</w:t>
            </w: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10,551,302</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w w:val="89"/>
              </w:rPr>
              <w:t>13</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9,613,246</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9,046</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(1,169,791)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8,452,665</w:t>
            </w:r>
          </w:p>
        </w:tc>
        <w:tc>
          <w:tcPr>
            <w:tcW w:w="0" w:type="dxa"/>
            <w:vAlign w:val="bottom"/>
          </w:tcPr>
          <w:p>
            <w:pPr>
              <w:spacing w:after="0"/>
              <w:rPr>
                <w:sz w:val="1"/>
                <w:szCs w:val="1"/>
                <w:color w:val="auto"/>
              </w:rPr>
            </w:pPr>
          </w:p>
        </w:tc>
      </w:tr>
      <w:tr>
        <w:trPr>
          <w:trHeight w:val="115"/>
        </w:trPr>
        <w:tc>
          <w:tcPr>
            <w:tcW w:w="4220" w:type="dxa"/>
            <w:vAlign w:val="bottom"/>
            <w:tcBorders>
              <w:top w:val="single" w:sz="8" w:color="CCEEFF"/>
            </w:tcBorders>
            <w:shd w:val="clear" w:color="auto" w:fill="CCEEFF"/>
          </w:tcPr>
          <w:p>
            <w:pPr>
              <w:ind w:left="220"/>
              <w:spacing w:after="0" w:line="107" w:lineRule="exact"/>
              <w:rPr>
                <w:sz w:val="20"/>
                <w:szCs w:val="20"/>
                <w:color w:val="auto"/>
              </w:rPr>
            </w:pPr>
            <w:r>
              <w:rPr>
                <w:rFonts w:ascii="Arial" w:cs="Arial" w:eastAsia="Arial" w:hAnsi="Arial"/>
                <w:sz w:val="10"/>
                <w:szCs w:val="10"/>
                <w:color w:val="auto"/>
              </w:rPr>
              <w:t>Net loss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0"/>
                <w:szCs w:val="10"/>
                <w:color w:val="auto"/>
                <w:w w:val="99"/>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(949,900)</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(949,900)</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Exercises of stock options</w:t>
            </w:r>
          </w:p>
        </w:tc>
        <w:tc>
          <w:tcPr>
            <w:tcW w:w="920" w:type="dxa"/>
            <w:vAlign w:val="bottom"/>
          </w:tcPr>
          <w:p>
            <w:pPr>
              <w:jc w:val="right"/>
              <w:spacing w:after="0"/>
              <w:rPr>
                <w:sz w:val="20"/>
                <w:szCs w:val="20"/>
                <w:color w:val="auto"/>
              </w:rPr>
            </w:pPr>
            <w:r>
              <w:rPr>
                <w:rFonts w:ascii="Arial" w:cs="Arial" w:eastAsia="Arial" w:hAnsi="Arial"/>
                <w:sz w:val="10"/>
                <w:szCs w:val="10"/>
                <w:color w:val="auto"/>
              </w:rPr>
              <w:t>1,779,320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w:t>
            </w:r>
          </w:p>
        </w:tc>
        <w:tc>
          <w:tcPr>
            <w:tcW w:w="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509,499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87,693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87,695</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Vesting of 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3,515,913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Value of equity awards withheld for tax liability</w:t>
            </w:r>
          </w:p>
        </w:tc>
        <w:tc>
          <w:tcPr>
            <w:tcW w:w="920" w:type="dxa"/>
            <w:vAlign w:val="bottom"/>
          </w:tcPr>
          <w:p>
            <w:pPr>
              <w:jc w:val="right"/>
              <w:spacing w:after="0"/>
              <w:rPr>
                <w:sz w:val="20"/>
                <w:szCs w:val="20"/>
                <w:color w:val="auto"/>
              </w:rPr>
            </w:pPr>
            <w:r>
              <w:rPr>
                <w:rFonts w:ascii="Arial" w:cs="Arial" w:eastAsia="Arial" w:hAnsi="Arial"/>
                <w:sz w:val="10"/>
                <w:szCs w:val="10"/>
                <w:color w:val="auto"/>
              </w:rPr>
              <w:t>(32,002)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(10,388)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(10,388)</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Conversion of shares of Class B common stock into shares of Class A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1,218,696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(1,218,696)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0"/>
                <w:szCs w:val="10"/>
                <w:color w:val="auto"/>
                <w:w w:val="81"/>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w w:val="95"/>
              </w:rPr>
              <w:t>Equity component from partial settlement and redemption of convertible senior notes due 2023</w:t>
            </w:r>
          </w:p>
        </w:tc>
        <w:tc>
          <w:tcPr>
            <w:tcW w:w="920" w:type="dxa"/>
            <w:vAlign w:val="bottom"/>
          </w:tcPr>
          <w:p>
            <w:pPr>
              <w:jc w:val="right"/>
              <w:spacing w:after="0"/>
              <w:rPr>
                <w:sz w:val="20"/>
                <w:szCs w:val="20"/>
                <w:color w:val="auto"/>
              </w:rPr>
            </w:pPr>
            <w:r>
              <w:rPr>
                <w:rFonts w:ascii="Arial" w:cs="Arial" w:eastAsia="Arial" w:hAnsi="Arial"/>
                <w:sz w:val="10"/>
                <w:szCs w:val="10"/>
                <w:color w:val="auto"/>
              </w:rPr>
              <w:t>4,846,965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335,637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335,642</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Settlement of capped call, net of related costs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225,233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225,233</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Shares of Class A common stock issued under ESPP</w:t>
            </w:r>
          </w:p>
        </w:tc>
        <w:tc>
          <w:tcPr>
            <w:tcW w:w="920" w:type="dxa"/>
            <w:vAlign w:val="bottom"/>
          </w:tcPr>
          <w:p>
            <w:pPr>
              <w:jc w:val="right"/>
              <w:spacing w:after="0"/>
              <w:rPr>
                <w:sz w:val="20"/>
                <w:szCs w:val="20"/>
                <w:color w:val="auto"/>
              </w:rPr>
            </w:pPr>
            <w:r>
              <w:rPr>
                <w:rFonts w:ascii="Arial" w:cs="Arial" w:eastAsia="Arial" w:hAnsi="Arial"/>
                <w:sz w:val="10"/>
                <w:szCs w:val="10"/>
                <w:color w:val="auto"/>
              </w:rPr>
              <w:t>198,926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48,465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48,465</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Shares of Class A common stock donated to charity</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88,408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31,169</w:t>
            </w:r>
          </w:p>
        </w:tc>
        <w:tc>
          <w:tcPr>
            <w:tcW w:w="0" w:type="dxa"/>
            <w:vAlign w:val="bottom"/>
          </w:tcPr>
          <w:p>
            <w:pPr>
              <w:spacing w:after="0"/>
              <w:rPr>
                <w:sz w:val="1"/>
                <w:szCs w:val="1"/>
                <w:color w:val="auto"/>
              </w:rPr>
            </w:pPr>
          </w:p>
        </w:tc>
      </w:tr>
      <w:tr>
        <w:trPr>
          <w:trHeight w:val="90"/>
        </w:trPr>
        <w:tc>
          <w:tcPr>
            <w:tcW w:w="4220" w:type="dxa"/>
            <w:vAlign w:val="bottom"/>
          </w:tcPr>
          <w:p>
            <w:pPr>
              <w:ind w:left="220"/>
              <w:spacing w:after="0" w:line="90" w:lineRule="exact"/>
              <w:rPr>
                <w:sz w:val="20"/>
                <w:szCs w:val="20"/>
                <w:color w:val="auto"/>
              </w:rPr>
            </w:pPr>
            <w:r>
              <w:rPr>
                <w:rFonts w:ascii="Arial" w:cs="Arial" w:eastAsia="Arial" w:hAnsi="Arial"/>
                <w:sz w:val="10"/>
                <w:szCs w:val="10"/>
                <w:color w:val="auto"/>
                <w:w w:val="92"/>
              </w:rPr>
              <w:t>Issuance of shares of Class A common stock in connection with a follow-on public offering, net of</w:t>
            </w:r>
          </w:p>
        </w:tc>
        <w:tc>
          <w:tcPr>
            <w:tcW w:w="920" w:type="dxa"/>
            <w:vAlign w:val="bottom"/>
            <w:vMerge w:val="restart"/>
          </w:tcPr>
          <w:p>
            <w:pPr>
              <w:jc w:val="right"/>
              <w:spacing w:after="0"/>
              <w:rPr>
                <w:sz w:val="20"/>
                <w:szCs w:val="20"/>
                <w:color w:val="auto"/>
              </w:rPr>
            </w:pPr>
            <w:r>
              <w:rPr>
                <w:rFonts w:ascii="Arial" w:cs="Arial" w:eastAsia="Arial" w:hAnsi="Arial"/>
                <w:sz w:val="10"/>
                <w:szCs w:val="10"/>
                <w:color w:val="auto"/>
              </w:rPr>
              <w:t>4,312,500</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7"/>
                <w:szCs w:val="7"/>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7"/>
                <w:szCs w:val="7"/>
                <w:color w:val="auto"/>
              </w:rPr>
            </w:pPr>
          </w:p>
        </w:tc>
        <w:tc>
          <w:tcPr>
            <w:tcW w:w="620" w:type="dxa"/>
            <w:vAlign w:val="bottom"/>
            <w:gridSpan w:val="2"/>
            <w:vMerge w:val="restart"/>
          </w:tcPr>
          <w:p>
            <w:pPr>
              <w:ind w:left="4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1,765,709</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7"/>
                <w:szCs w:val="7"/>
                <w:color w:val="auto"/>
              </w:rPr>
            </w:pPr>
          </w:p>
        </w:tc>
        <w:tc>
          <w:tcPr>
            <w:tcW w:w="800" w:type="dxa"/>
            <w:vAlign w:val="bottom"/>
            <w:gridSpan w:val="2"/>
            <w:vMerge w:val="restart"/>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Arial" w:cs="Arial" w:eastAsia="Arial" w:hAnsi="Arial"/>
                <w:sz w:val="10"/>
                <w:szCs w:val="10"/>
                <w:color w:val="auto"/>
              </w:rPr>
              <w:t>1,765,713</w:t>
            </w:r>
          </w:p>
        </w:tc>
        <w:tc>
          <w:tcPr>
            <w:tcW w:w="0" w:type="dxa"/>
            <w:vAlign w:val="bottom"/>
          </w:tcPr>
          <w:p>
            <w:pPr>
              <w:spacing w:after="0"/>
              <w:rPr>
                <w:sz w:val="1"/>
                <w:szCs w:val="1"/>
                <w:color w:val="auto"/>
              </w:rPr>
            </w:pPr>
          </w:p>
        </w:tc>
      </w:tr>
      <w:tr>
        <w:trPr>
          <w:trHeight w:val="124"/>
        </w:trPr>
        <w:tc>
          <w:tcPr>
            <w:tcW w:w="4220" w:type="dxa"/>
            <w:vAlign w:val="bottom"/>
          </w:tcPr>
          <w:p>
            <w:pPr>
              <w:ind w:left="320"/>
              <w:spacing w:after="0"/>
              <w:rPr>
                <w:sz w:val="20"/>
                <w:szCs w:val="20"/>
                <w:color w:val="auto"/>
              </w:rPr>
            </w:pPr>
            <w:r>
              <w:rPr>
                <w:rFonts w:ascii="Arial" w:cs="Arial" w:eastAsia="Arial" w:hAnsi="Arial"/>
                <w:sz w:val="10"/>
                <w:szCs w:val="10"/>
                <w:color w:val="auto"/>
              </w:rPr>
              <w:t>underwriters' discounts and issuance costs</w:t>
            </w: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Shares of Class A common stock issued in acquisition</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1,116,816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419,169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419,170</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Value of equity awards assumed in acquisition</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1,511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1,511</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Shares of Class A common stock subject to future vesting</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84,230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Unrealized loss on marketable securities</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(27,215)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(27,215)</w:t>
            </w:r>
          </w:p>
        </w:tc>
        <w:tc>
          <w:tcPr>
            <w:tcW w:w="0" w:type="dxa"/>
            <w:vAlign w:val="bottom"/>
          </w:tcPr>
          <w:p>
            <w:pPr>
              <w:spacing w:after="0"/>
              <w:rPr>
                <w:sz w:val="1"/>
                <w:szCs w:val="1"/>
                <w:color w:val="auto"/>
              </w:rPr>
            </w:pPr>
          </w:p>
        </w:tc>
      </w:tr>
      <w:tr>
        <w:trPr>
          <w:trHeight w:val="128"/>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Foreign currency translation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(266)</w:t>
            </w:r>
          </w:p>
        </w:tc>
        <w:tc>
          <w:tcPr>
            <w:tcW w:w="0" w:type="dxa"/>
            <w:vAlign w:val="bottom"/>
          </w:tcPr>
          <w:p>
            <w:pPr>
              <w:spacing w:after="0"/>
              <w:rPr>
                <w:sz w:val="1"/>
                <w:szCs w:val="1"/>
                <w:color w:val="auto"/>
              </w:rPr>
            </w:pPr>
          </w:p>
        </w:tc>
      </w:tr>
      <w:tr>
        <w:trPr>
          <w:trHeight w:val="124"/>
        </w:trPr>
        <w:tc>
          <w:tcPr>
            <w:tcW w:w="4220" w:type="dxa"/>
            <w:vAlign w:val="bottom"/>
          </w:tcPr>
          <w:p>
            <w:pPr>
              <w:ind w:left="220"/>
              <w:spacing w:after="0"/>
              <w:rPr>
                <w:sz w:val="20"/>
                <w:szCs w:val="20"/>
                <w:color w:val="auto"/>
              </w:rPr>
            </w:pPr>
            <w:r>
              <w:rPr>
                <w:rFonts w:ascii="Arial" w:cs="Arial" w:eastAsia="Arial" w:hAnsi="Arial"/>
                <w:sz w:val="10"/>
                <w:szCs w:val="10"/>
                <w:color w:val="auto"/>
              </w:rPr>
              <w:t>Net change in market value of effective foreign currency forward exchange contracts</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62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294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294</w:t>
            </w: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Stock-based compensation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651,678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651,678</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20"/>
                <w:szCs w:val="20"/>
                <w:color w:val="auto"/>
              </w:rPr>
            </w:pPr>
            <w:r>
              <w:rPr>
                <w:rFonts w:ascii="Arial" w:cs="Arial" w:eastAsia="Arial" w:hAnsi="Arial"/>
                <w:sz w:val="10"/>
                <w:szCs w:val="10"/>
                <w:color w:val="auto"/>
              </w:rPr>
              <w:t>Balance as of December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170,625,994</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168</w:t>
            </w:r>
          </w:p>
        </w:tc>
        <w:tc>
          <w:tcPr>
            <w:tcW w:w="6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9,842,105</w:t>
            </w: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0"/>
                <w:szCs w:val="10"/>
                <w:color w:val="auto"/>
                <w:w w:val="89"/>
              </w:rPr>
              <w:t>12</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13,169,118</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(18,141)</w:t>
            </w: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(2,119,691)</w:t>
            </w: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11,031,466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83" w:name="page84"/>
    <w:bookmarkEnd w:id="83"/>
    <w:p>
      <w:pPr>
        <w:jc w:val="center"/>
        <w:spacing w:after="0"/>
        <w:rPr>
          <w:sz w:val="20"/>
          <w:szCs w:val="20"/>
          <w:color w:val="auto"/>
        </w:rPr>
      </w:pPr>
      <w:r>
        <w:rPr>
          <w:rFonts w:ascii="Arial" w:cs="Arial" w:eastAsia="Arial" w:hAnsi="Arial"/>
          <w:sz w:val="12"/>
          <w:szCs w:val="12"/>
          <w:b w:val="1"/>
          <w:bCs w:val="1"/>
          <w:color w:val="auto"/>
        </w:rPr>
        <w:t>TWILIO INC</w:t>
      </w:r>
      <w:r>
        <w:rPr>
          <w:rFonts w:ascii="Arial" w:cs="Arial" w:eastAsia="Arial" w:hAnsi="Arial"/>
          <w:sz w:val="9"/>
          <w:szCs w:val="9"/>
          <w:b w:val="1"/>
          <w:bCs w:val="1"/>
          <w:color w:val="auto"/>
        </w:rPr>
        <w: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71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9"/>
                <w:szCs w:val="9"/>
                <w:b w:val="1"/>
                <w:bCs w:val="1"/>
                <w:color w:val="auto"/>
                <w:w w:val="90"/>
              </w:rPr>
              <w:t>Year Ended December 31,</w:t>
            </w: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115"/>
        </w:trPr>
        <w:tc>
          <w:tcPr>
            <w:tcW w:w="71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2021</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15"/>
              <w:spacing w:after="0"/>
              <w:rPr>
                <w:sz w:val="20"/>
                <w:szCs w:val="20"/>
                <w:color w:val="auto"/>
              </w:rPr>
            </w:pPr>
            <w:r>
              <w:rPr>
                <w:rFonts w:ascii="Arial" w:cs="Arial" w:eastAsia="Arial" w:hAnsi="Arial"/>
                <w:sz w:val="9"/>
                <w:szCs w:val="9"/>
                <w:b w:val="1"/>
                <w:bCs w:val="1"/>
                <w:color w:val="auto"/>
                <w:w w:val="89"/>
              </w:rPr>
              <w:t>2020</w:t>
            </w: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9"/>
                <w:szCs w:val="9"/>
                <w:b w:val="1"/>
                <w:bCs w:val="1"/>
                <w:color w:val="auto"/>
              </w:rPr>
              <w:t>2019</w:t>
            </w:r>
          </w:p>
        </w:tc>
      </w:tr>
      <w:tr>
        <w:trPr>
          <w:trHeight w:val="120"/>
        </w:trPr>
        <w:tc>
          <w:tcPr>
            <w:tcW w:w="7180" w:type="dxa"/>
            <w:vAlign w:val="bottom"/>
            <w:shd w:val="clear" w:color="auto" w:fill="CCEEFF"/>
          </w:tcPr>
          <w:p>
            <w:pPr>
              <w:ind w:left="20"/>
              <w:spacing w:after="0"/>
              <w:rPr>
                <w:sz w:val="20"/>
                <w:szCs w:val="20"/>
                <w:color w:val="auto"/>
              </w:rPr>
            </w:pPr>
            <w:r>
              <w:rPr>
                <w:rFonts w:ascii="Arial" w:cs="Arial" w:eastAsia="Arial" w:hAnsi="Arial"/>
                <w:sz w:val="9"/>
                <w:szCs w:val="9"/>
                <w:color w:val="auto"/>
              </w:rPr>
              <w:t>CASH FLOWS FROM OPERATING ACTIVITIES:</w:t>
            </w:r>
          </w:p>
        </w:tc>
        <w:tc>
          <w:tcPr>
            <w:tcW w:w="6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9"/>
                <w:szCs w:val="9"/>
                <w:color w:val="auto"/>
                <w:w w:val="90"/>
              </w:rPr>
              <w:t>(In thousands)</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21"/>
        </w:trPr>
        <w:tc>
          <w:tcPr>
            <w:tcW w:w="7180" w:type="dxa"/>
            <w:vAlign w:val="bottom"/>
          </w:tcPr>
          <w:p>
            <w:pPr>
              <w:ind w:left="20"/>
              <w:spacing w:after="0"/>
              <w:rPr>
                <w:sz w:val="20"/>
                <w:szCs w:val="20"/>
                <w:color w:val="auto"/>
              </w:rPr>
            </w:pPr>
            <w:r>
              <w:rPr>
                <w:rFonts w:ascii="Arial" w:cs="Arial" w:eastAsia="Arial" w:hAnsi="Arial"/>
                <w:sz w:val="9"/>
                <w:szCs w:val="9"/>
                <w:color w:val="auto"/>
              </w:rPr>
              <w:t>Net loss</w:t>
            </w:r>
          </w:p>
        </w:tc>
        <w:tc>
          <w:tcPr>
            <w:tcW w:w="620" w:type="dxa"/>
            <w:vAlign w:val="bottom"/>
          </w:tcPr>
          <w:p>
            <w:pPr>
              <w:jc w:val="right"/>
              <w:ind w:right="555"/>
              <w:spacing w:after="0"/>
              <w:rPr>
                <w:sz w:val="20"/>
                <w:szCs w:val="20"/>
                <w:color w:val="auto"/>
              </w:rPr>
            </w:pPr>
            <w:r>
              <w:rPr>
                <w:rFonts w:ascii="Arial" w:cs="Arial" w:eastAsia="Arial" w:hAnsi="Arial"/>
                <w:sz w:val="4"/>
                <w:szCs w:val="4"/>
                <w:color w:val="auto"/>
                <w:w w:val="87"/>
              </w:rPr>
              <w:t>$</w:t>
            </w:r>
          </w:p>
        </w:tc>
        <w:tc>
          <w:tcPr>
            <w:tcW w:w="440" w:type="dxa"/>
            <w:vAlign w:val="bottom"/>
          </w:tcPr>
          <w:p>
            <w:pPr>
              <w:jc w:val="right"/>
              <w:spacing w:after="0"/>
              <w:rPr>
                <w:sz w:val="20"/>
                <w:szCs w:val="20"/>
                <w:color w:val="auto"/>
              </w:rPr>
            </w:pPr>
            <w:r>
              <w:rPr>
                <w:rFonts w:ascii="Arial" w:cs="Arial" w:eastAsia="Arial" w:hAnsi="Arial"/>
                <w:sz w:val="9"/>
                <w:szCs w:val="9"/>
                <w:color w:val="auto"/>
              </w:rPr>
              <w:t>(949,900)</w:t>
            </w:r>
          </w:p>
        </w:tc>
        <w:tc>
          <w:tcPr>
            <w:tcW w:w="100" w:type="dxa"/>
            <w:vAlign w:val="bottom"/>
          </w:tcPr>
          <w:p>
            <w:pPr>
              <w:spacing w:after="0"/>
              <w:rPr>
                <w:sz w:val="10"/>
                <w:szCs w:val="10"/>
                <w:color w:val="auto"/>
              </w:rPr>
            </w:pPr>
          </w:p>
        </w:tc>
        <w:tc>
          <w:tcPr>
            <w:tcW w:w="160" w:type="dxa"/>
            <w:vAlign w:val="bottom"/>
          </w:tcPr>
          <w:p>
            <w:pPr>
              <w:jc w:val="right"/>
              <w:ind w:right="95"/>
              <w:spacing w:after="0"/>
              <w:rPr>
                <w:sz w:val="20"/>
                <w:szCs w:val="20"/>
                <w:color w:val="auto"/>
              </w:rPr>
            </w:pPr>
            <w:r>
              <w:rPr>
                <w:rFonts w:ascii="Arial" w:cs="Arial" w:eastAsia="Arial" w:hAnsi="Arial"/>
                <w:sz w:val="4"/>
                <w:szCs w:val="4"/>
                <w:color w:val="auto"/>
                <w:w w:val="87"/>
              </w:rPr>
              <w:t>$</w:t>
            </w:r>
          </w:p>
        </w:tc>
        <w:tc>
          <w:tcPr>
            <w:tcW w:w="900" w:type="dxa"/>
            <w:vAlign w:val="bottom"/>
          </w:tcPr>
          <w:p>
            <w:pPr>
              <w:jc w:val="right"/>
              <w:spacing w:after="0"/>
              <w:rPr>
                <w:sz w:val="20"/>
                <w:szCs w:val="20"/>
                <w:color w:val="auto"/>
              </w:rPr>
            </w:pPr>
            <w:r>
              <w:rPr>
                <w:rFonts w:ascii="Arial" w:cs="Arial" w:eastAsia="Arial" w:hAnsi="Arial"/>
                <w:sz w:val="9"/>
                <w:szCs w:val="9"/>
                <w:color w:val="auto"/>
              </w:rPr>
              <w:t>(490,979)</w:t>
            </w:r>
          </w:p>
        </w:tc>
        <w:tc>
          <w:tcPr>
            <w:tcW w:w="100" w:type="dxa"/>
            <w:vAlign w:val="bottom"/>
          </w:tcPr>
          <w:p>
            <w:pPr>
              <w:spacing w:after="0"/>
              <w:rPr>
                <w:sz w:val="10"/>
                <w:szCs w:val="10"/>
                <w:color w:val="auto"/>
              </w:rPr>
            </w:pPr>
          </w:p>
        </w:tc>
        <w:tc>
          <w:tcPr>
            <w:tcW w:w="240" w:type="dxa"/>
            <w:vAlign w:val="bottom"/>
          </w:tcPr>
          <w:p>
            <w:pPr>
              <w:jc w:val="right"/>
              <w:ind w:right="178"/>
              <w:spacing w:after="0"/>
              <w:rPr>
                <w:sz w:val="20"/>
                <w:szCs w:val="20"/>
                <w:color w:val="auto"/>
              </w:rPr>
            </w:pPr>
            <w:r>
              <w:rPr>
                <w:rFonts w:ascii="Arial" w:cs="Arial" w:eastAsia="Arial" w:hAnsi="Arial"/>
                <w:sz w:val="4"/>
                <w:szCs w:val="4"/>
                <w:color w:val="auto"/>
                <w:w w:val="87"/>
              </w:rPr>
              <w:t>$</w:t>
            </w:r>
          </w:p>
        </w:tc>
        <w:tc>
          <w:tcPr>
            <w:tcW w:w="820" w:type="dxa"/>
            <w:vAlign w:val="bottom"/>
          </w:tcPr>
          <w:p>
            <w:pPr>
              <w:jc w:val="right"/>
              <w:spacing w:after="0"/>
              <w:rPr>
                <w:sz w:val="20"/>
                <w:szCs w:val="20"/>
                <w:color w:val="auto"/>
              </w:rPr>
            </w:pPr>
            <w:r>
              <w:rPr>
                <w:rFonts w:ascii="Arial" w:cs="Arial" w:eastAsia="Arial" w:hAnsi="Arial"/>
                <w:sz w:val="9"/>
                <w:szCs w:val="9"/>
                <w:color w:val="auto"/>
              </w:rPr>
              <w:t>(307,063)</w:t>
            </w:r>
          </w:p>
        </w:tc>
      </w:tr>
      <w:tr>
        <w:trPr>
          <w:trHeight w:val="131"/>
        </w:trPr>
        <w:tc>
          <w:tcPr>
            <w:tcW w:w="718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reconcile net loss to net cash (used in) provided by operating activities:</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Depreciation and amortization</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258,378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149,660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110,430</w:t>
            </w: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Non-cash reduction to the right-of-use asset</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48,786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38,395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23,193</w:t>
            </w: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Net amortization of investment premium and discount</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36,158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6,789</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(4,501)</w:t>
            </w: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Impairment of operating right-of-use assets</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8,854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Amortization of debt discount and issuance costs</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5,827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23,759</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23,696</w:t>
            </w: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Stock-based compensation</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632,285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360,936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264,318</w:t>
            </w: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Amortization of deferred commissions</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31,541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13,322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4,511</w:t>
            </w: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Tax benefit related to release of valuation allowance</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(17,236)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(16,459)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(55,745)</w:t>
            </w: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Value of shares of Class A common stock donated to charity</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31,169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18,993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Loss on extinguishment of debt</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28,965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12,863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Other adjustments</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12,094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12,762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3,165</w:t>
            </w: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Changes in operating assets and liabilities:</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21"/>
        </w:trPr>
        <w:tc>
          <w:tcPr>
            <w:tcW w:w="7180" w:type="dxa"/>
            <w:vAlign w:val="bottom"/>
          </w:tcPr>
          <w:p>
            <w:pPr>
              <w:ind w:left="240"/>
              <w:spacing w:after="0"/>
              <w:rPr>
                <w:sz w:val="20"/>
                <w:szCs w:val="20"/>
                <w:color w:val="auto"/>
              </w:rPr>
            </w:pPr>
            <w:r>
              <w:rPr>
                <w:rFonts w:ascii="Arial" w:cs="Arial" w:eastAsia="Arial" w:hAnsi="Arial"/>
                <w:sz w:val="9"/>
                <w:szCs w:val="9"/>
                <w:color w:val="auto"/>
              </w:rPr>
              <w:t>Accounts receivable</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(117,943)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(81,303)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(51,357)</w:t>
            </w:r>
          </w:p>
        </w:tc>
      </w:tr>
      <w:tr>
        <w:trPr>
          <w:trHeight w:val="131"/>
        </w:trPr>
        <w:tc>
          <w:tcPr>
            <w:tcW w:w="7180" w:type="dxa"/>
            <w:vAlign w:val="bottom"/>
            <w:shd w:val="clear" w:color="auto" w:fill="CCEEFF"/>
          </w:tcPr>
          <w:p>
            <w:pPr>
              <w:ind w:left="240"/>
              <w:spacing w:after="0"/>
              <w:rPr>
                <w:sz w:val="20"/>
                <w:szCs w:val="20"/>
                <w:color w:val="auto"/>
              </w:rPr>
            </w:pPr>
            <w:r>
              <w:rPr>
                <w:rFonts w:ascii="Arial" w:cs="Arial" w:eastAsia="Arial" w:hAnsi="Arial"/>
                <w:sz w:val="9"/>
                <w:szCs w:val="9"/>
                <w:color w:val="auto"/>
              </w:rPr>
              <w:t>Prepaid expenses and other current assets</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(78,012)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(11,636)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(20,316)</w:t>
            </w:r>
          </w:p>
        </w:tc>
      </w:tr>
      <w:tr>
        <w:trPr>
          <w:trHeight w:val="121"/>
        </w:trPr>
        <w:tc>
          <w:tcPr>
            <w:tcW w:w="7180" w:type="dxa"/>
            <w:vAlign w:val="bottom"/>
          </w:tcPr>
          <w:p>
            <w:pPr>
              <w:ind w:left="240"/>
              <w:spacing w:after="0"/>
              <w:rPr>
                <w:sz w:val="20"/>
                <w:szCs w:val="20"/>
                <w:color w:val="auto"/>
              </w:rPr>
            </w:pPr>
            <w:r>
              <w:rPr>
                <w:rFonts w:ascii="Arial" w:cs="Arial" w:eastAsia="Arial" w:hAnsi="Arial"/>
                <w:sz w:val="9"/>
                <w:szCs w:val="9"/>
                <w:color w:val="auto"/>
              </w:rPr>
              <w:t>Other long-term assets</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(121,225)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(81,908)</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(18,021)</w:t>
            </w:r>
          </w:p>
        </w:tc>
      </w:tr>
      <w:tr>
        <w:trPr>
          <w:trHeight w:val="131"/>
        </w:trPr>
        <w:tc>
          <w:tcPr>
            <w:tcW w:w="7180" w:type="dxa"/>
            <w:vAlign w:val="bottom"/>
            <w:shd w:val="clear" w:color="auto" w:fill="CCEEFF"/>
          </w:tcPr>
          <w:p>
            <w:pPr>
              <w:ind w:left="240"/>
              <w:spacing w:after="0"/>
              <w:rPr>
                <w:sz w:val="20"/>
                <w:szCs w:val="20"/>
                <w:color w:val="auto"/>
              </w:rPr>
            </w:pPr>
            <w:r>
              <w:rPr>
                <w:rFonts w:ascii="Arial" w:cs="Arial" w:eastAsia="Arial" w:hAnsi="Arial"/>
                <w:sz w:val="9"/>
                <w:szCs w:val="9"/>
                <w:color w:val="auto"/>
              </w:rPr>
              <w:t>Accounts payable</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10,191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10,060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17,255</w:t>
            </w:r>
          </w:p>
        </w:tc>
      </w:tr>
      <w:tr>
        <w:trPr>
          <w:trHeight w:val="121"/>
        </w:trPr>
        <w:tc>
          <w:tcPr>
            <w:tcW w:w="7180" w:type="dxa"/>
            <w:vAlign w:val="bottom"/>
          </w:tcPr>
          <w:p>
            <w:pPr>
              <w:ind w:left="240"/>
              <w:spacing w:after="0"/>
              <w:rPr>
                <w:sz w:val="20"/>
                <w:szCs w:val="20"/>
                <w:color w:val="auto"/>
              </w:rPr>
            </w:pPr>
            <w:r>
              <w:rPr>
                <w:rFonts w:ascii="Arial" w:cs="Arial" w:eastAsia="Arial" w:hAnsi="Arial"/>
                <w:sz w:val="9"/>
                <w:szCs w:val="9"/>
                <w:color w:val="auto"/>
              </w:rPr>
              <w:t>Accrued expenses and other current liabilities</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127,554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88,340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46,154</w:t>
            </w:r>
          </w:p>
        </w:tc>
      </w:tr>
      <w:tr>
        <w:trPr>
          <w:trHeight w:val="131"/>
        </w:trPr>
        <w:tc>
          <w:tcPr>
            <w:tcW w:w="7180" w:type="dxa"/>
            <w:vAlign w:val="bottom"/>
            <w:shd w:val="clear" w:color="auto" w:fill="CCEEFF"/>
          </w:tcPr>
          <w:p>
            <w:pPr>
              <w:ind w:left="240"/>
              <w:spacing w:after="0"/>
              <w:rPr>
                <w:sz w:val="20"/>
                <w:szCs w:val="20"/>
                <w:color w:val="auto"/>
              </w:rPr>
            </w:pPr>
            <w:r>
              <w:rPr>
                <w:rFonts w:ascii="Arial" w:cs="Arial" w:eastAsia="Arial" w:hAnsi="Arial"/>
                <w:sz w:val="9"/>
                <w:szCs w:val="9"/>
                <w:color w:val="auto"/>
              </w:rPr>
              <w:t>Deferred revenue and customer deposits</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45,634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13,824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2,968</w:t>
            </w:r>
          </w:p>
        </w:tc>
      </w:tr>
      <w:tr>
        <w:trPr>
          <w:trHeight w:val="121"/>
        </w:trPr>
        <w:tc>
          <w:tcPr>
            <w:tcW w:w="7180" w:type="dxa"/>
            <w:vAlign w:val="bottom"/>
          </w:tcPr>
          <w:p>
            <w:pPr>
              <w:ind w:left="240"/>
              <w:spacing w:after="0"/>
              <w:rPr>
                <w:sz w:val="20"/>
                <w:szCs w:val="20"/>
                <w:color w:val="auto"/>
              </w:rPr>
            </w:pPr>
            <w:r>
              <w:rPr>
                <w:rFonts w:ascii="Arial" w:cs="Arial" w:eastAsia="Arial" w:hAnsi="Arial"/>
                <w:sz w:val="9"/>
                <w:szCs w:val="9"/>
                <w:color w:val="auto"/>
              </w:rPr>
              <w:t>Operating lease liabilities</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(49,046)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(33,938)</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(21,138)</w:t>
            </w:r>
          </w:p>
        </w:tc>
      </w:tr>
      <w:tr>
        <w:trPr>
          <w:trHeight w:val="131"/>
        </w:trPr>
        <w:tc>
          <w:tcPr>
            <w:tcW w:w="7180" w:type="dxa"/>
            <w:vAlign w:val="bottom"/>
            <w:shd w:val="clear" w:color="auto" w:fill="CCEEFF"/>
          </w:tcPr>
          <w:p>
            <w:pPr>
              <w:ind w:left="240"/>
              <w:spacing w:after="0"/>
              <w:rPr>
                <w:sz w:val="20"/>
                <w:szCs w:val="20"/>
                <w:color w:val="auto"/>
              </w:rPr>
            </w:pPr>
            <w:r>
              <w:rPr>
                <w:rFonts w:ascii="Arial" w:cs="Arial" w:eastAsia="Arial" w:hAnsi="Arial"/>
                <w:sz w:val="9"/>
                <w:szCs w:val="9"/>
                <w:color w:val="auto"/>
              </w:rPr>
              <w:t>Other long-term liabilities</w:t>
            </w:r>
          </w:p>
        </w:tc>
        <w:tc>
          <w:tcPr>
            <w:tcW w:w="6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(2,266)</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(826)</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(3,501)</w:t>
            </w:r>
          </w:p>
        </w:tc>
      </w:tr>
      <w:tr>
        <w:trPr>
          <w:trHeight w:val="110"/>
        </w:trPr>
        <w:tc>
          <w:tcPr>
            <w:tcW w:w="7180" w:type="dxa"/>
            <w:vAlign w:val="bottom"/>
            <w:tcBorders>
              <w:bottom w:val="single" w:sz="8" w:color="CCEEFF"/>
            </w:tcBorders>
          </w:tcPr>
          <w:p>
            <w:pPr>
              <w:ind w:left="320"/>
              <w:spacing w:after="0"/>
              <w:rPr>
                <w:sz w:val="20"/>
                <w:szCs w:val="20"/>
                <w:color w:val="auto"/>
              </w:rPr>
            </w:pPr>
            <w:r>
              <w:rPr>
                <w:rFonts w:ascii="Arial" w:cs="Arial" w:eastAsia="Arial" w:hAnsi="Arial"/>
                <w:sz w:val="9"/>
                <w:szCs w:val="9"/>
                <w:color w:val="auto"/>
              </w:rPr>
              <w:t>Net cash (used in) provided by operating activities</w:t>
            </w:r>
          </w:p>
        </w:tc>
        <w:tc>
          <w:tcPr>
            <w:tcW w:w="6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(58,192)</w:t>
            </w: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32,654</w:t>
            </w: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14,048</w:t>
            </w:r>
          </w:p>
        </w:tc>
      </w:tr>
      <w:tr>
        <w:trPr>
          <w:trHeight w:val="111"/>
        </w:trPr>
        <w:tc>
          <w:tcPr>
            <w:tcW w:w="7180" w:type="dxa"/>
            <w:vAlign w:val="bottom"/>
            <w:shd w:val="clear" w:color="auto" w:fill="CCEEFF"/>
          </w:tcPr>
          <w:p>
            <w:pPr>
              <w:ind w:left="20"/>
              <w:spacing w:after="0" w:line="101" w:lineRule="exact"/>
              <w:rPr>
                <w:sz w:val="20"/>
                <w:szCs w:val="20"/>
                <w:color w:val="auto"/>
              </w:rPr>
            </w:pPr>
            <w:r>
              <w:rPr>
                <w:rFonts w:ascii="Arial" w:cs="Arial" w:eastAsia="Arial" w:hAnsi="Arial"/>
                <w:sz w:val="9"/>
                <w:szCs w:val="9"/>
                <w:color w:val="auto"/>
              </w:rPr>
              <w:t>CASH FLOWS FROM INVESTING ACTIVITIES:</w:t>
            </w:r>
          </w:p>
        </w:tc>
        <w:tc>
          <w:tcPr>
            <w:tcW w:w="6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Acquisitions, net of cash acquired and other related payments</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(491,522)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(333,591)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122,749</w:t>
            </w: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Purchases of marketable securities and other investments</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w w:val="86"/>
              </w:rPr>
              <w:t>(3,523,232)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(1,636,590)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(2,038,422)</w:t>
            </w: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Proceeds from sales and maturities of marketable securities</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w w:val="94"/>
              </w:rPr>
              <w:t>1,614,779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1,183,459</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697,171</w:t>
            </w: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Capitalized software development costs</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(43,973)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(33,328)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(21,922)</w:t>
            </w:r>
          </w:p>
        </w:tc>
      </w:tr>
      <w:tr>
        <w:trPr>
          <w:trHeight w:val="121"/>
        </w:trPr>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9"/>
                <w:szCs w:val="9"/>
                <w:color w:val="auto"/>
              </w:rPr>
              <w:t>Purchases of long-lived and intangible assets</w:t>
            </w: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(46,048)</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(25,805)</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(45,368)</w:t>
            </w:r>
          </w:p>
        </w:tc>
      </w:tr>
      <w:tr>
        <w:trPr>
          <w:trHeight w:val="120"/>
        </w:trPr>
        <w:tc>
          <w:tcPr>
            <w:tcW w:w="7180" w:type="dxa"/>
            <w:vAlign w:val="bottom"/>
            <w:shd w:val="clear" w:color="auto" w:fill="CCEEFF"/>
          </w:tcPr>
          <w:p>
            <w:pPr>
              <w:ind w:left="240"/>
              <w:spacing w:after="0"/>
              <w:rPr>
                <w:sz w:val="20"/>
                <w:szCs w:val="20"/>
                <w:color w:val="auto"/>
              </w:rPr>
            </w:pPr>
            <w:r>
              <w:rPr>
                <w:rFonts w:ascii="Arial" w:cs="Arial" w:eastAsia="Arial" w:hAnsi="Arial"/>
                <w:sz w:val="9"/>
                <w:szCs w:val="9"/>
                <w:color w:val="auto"/>
              </w:rPr>
              <w:t>Net cash used in investing activities</w:t>
            </w:r>
          </w:p>
        </w:tc>
        <w:tc>
          <w:tcPr>
            <w:tcW w:w="6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86"/>
              </w:rPr>
              <w:t>(2,489,996)</w:t>
            </w:r>
          </w:p>
        </w:tc>
        <w:tc>
          <w:tcPr>
            <w:tcW w:w="1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(845,855)</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(1,285,792)</w:t>
            </w:r>
          </w:p>
        </w:tc>
      </w:tr>
      <w:tr>
        <w:trPr>
          <w:trHeight w:val="101"/>
        </w:trPr>
        <w:tc>
          <w:tcPr>
            <w:tcW w:w="7180" w:type="dxa"/>
            <w:vAlign w:val="bottom"/>
          </w:tcPr>
          <w:p>
            <w:pPr>
              <w:ind w:left="20"/>
              <w:spacing w:after="0" w:line="96" w:lineRule="exact"/>
              <w:rPr>
                <w:sz w:val="20"/>
                <w:szCs w:val="20"/>
                <w:color w:val="auto"/>
              </w:rPr>
            </w:pPr>
            <w:r>
              <w:rPr>
                <w:rFonts w:ascii="Arial" w:cs="Arial" w:eastAsia="Arial" w:hAnsi="Arial"/>
                <w:sz w:val="9"/>
                <w:szCs w:val="9"/>
                <w:color w:val="auto"/>
              </w:rPr>
              <w:t>CASH FLOWS FROM FINANCING ACTIVITIES:</w:t>
            </w: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Proceeds from public offerings, net of underwriters' discount and issuance costs</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w w:val="94"/>
              </w:rPr>
              <w:t>1,765,713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1,408,113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979,123</w:t>
            </w: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Proceeds from issuance of senior notes due 2029 and 2031</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987,500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Payment of debt issuance costs</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(2,777)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Principal payments on debt and finance leases</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(8,295)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(10,784)</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(11,046)</w:t>
            </w: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Proceeds from exercises of stock options and shares of Class A common stock issued under ESPP</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136,160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104,760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57,480</w:t>
            </w: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Proceeds from settlements of capped call, net of settlement costs</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228,412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Value of equity awards withheld for tax liabilities</w:t>
            </w:r>
          </w:p>
        </w:tc>
        <w:tc>
          <w:tcPr>
            <w:tcW w:w="6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(10,388)</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(8,778)</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(5,412)</w:t>
            </w:r>
          </w:p>
        </w:tc>
      </w:tr>
      <w:tr>
        <w:trPr>
          <w:trHeight w:val="110"/>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9"/>
                <w:szCs w:val="9"/>
                <w:color w:val="auto"/>
              </w:rPr>
              <w:t>Net cash provided by financing activities</w:t>
            </w:r>
          </w:p>
        </w:tc>
        <w:tc>
          <w:tcPr>
            <w:tcW w:w="6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4"/>
              </w:rPr>
              <w:t>3,096,325</w:t>
            </w: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1,493,311</w:t>
            </w: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1,020,145</w:t>
            </w:r>
          </w:p>
        </w:tc>
      </w:tr>
      <w:tr>
        <w:trPr>
          <w:trHeight w:val="120"/>
        </w:trPr>
        <w:tc>
          <w:tcPr>
            <w:tcW w:w="7180" w:type="dxa"/>
            <w:vAlign w:val="bottom"/>
            <w:shd w:val="clear" w:color="auto" w:fill="CCEEFF"/>
          </w:tcPr>
          <w:p>
            <w:pPr>
              <w:ind w:left="20"/>
              <w:spacing w:after="0"/>
              <w:rPr>
                <w:sz w:val="20"/>
                <w:szCs w:val="20"/>
                <w:color w:val="auto"/>
              </w:rPr>
            </w:pPr>
            <w:r>
              <w:rPr>
                <w:rFonts w:ascii="Arial" w:cs="Arial" w:eastAsia="Arial" w:hAnsi="Arial"/>
                <w:sz w:val="9"/>
                <w:szCs w:val="9"/>
                <w:color w:val="auto"/>
              </w:rPr>
              <w:t>Effect of exchange rate changes on cash, cash equivalents and restricted cash</w:t>
            </w:r>
          </w:p>
        </w:tc>
        <w:tc>
          <w:tcPr>
            <w:tcW w:w="6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(191)</w:t>
            </w:r>
          </w:p>
        </w:tc>
        <w:tc>
          <w:tcPr>
            <w:tcW w:w="1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40</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10"/>
        </w:trPr>
        <w:tc>
          <w:tcPr>
            <w:tcW w:w="7180" w:type="dxa"/>
            <w:vAlign w:val="bottom"/>
          </w:tcPr>
          <w:p>
            <w:pPr>
              <w:ind w:left="20"/>
              <w:spacing w:after="0"/>
              <w:rPr>
                <w:sz w:val="20"/>
                <w:szCs w:val="20"/>
                <w:color w:val="auto"/>
              </w:rPr>
            </w:pPr>
            <w:r>
              <w:rPr>
                <w:rFonts w:ascii="Arial" w:cs="Arial" w:eastAsia="Arial" w:hAnsi="Arial"/>
                <w:sz w:val="9"/>
                <w:szCs w:val="9"/>
                <w:color w:val="auto"/>
              </w:rPr>
              <w:t>NET INCREASE (DECREASE) IN CASH, CASH EQUIVALENTS AND RESTRICTED CASH</w:t>
            </w:r>
          </w:p>
        </w:tc>
        <w:tc>
          <w:tcPr>
            <w:tcW w:w="62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547,946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jc w:val="right"/>
              <w:spacing w:after="0"/>
              <w:rPr>
                <w:sz w:val="20"/>
                <w:szCs w:val="20"/>
                <w:color w:val="auto"/>
              </w:rPr>
            </w:pPr>
            <w:r>
              <w:rPr>
                <w:rFonts w:ascii="Arial" w:cs="Arial" w:eastAsia="Arial" w:hAnsi="Arial"/>
                <w:sz w:val="9"/>
                <w:szCs w:val="9"/>
                <w:color w:val="auto"/>
              </w:rPr>
              <w:t>680,150</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(251,599)</w:t>
            </w:r>
          </w:p>
        </w:tc>
      </w:tr>
      <w:tr>
        <w:trPr>
          <w:trHeight w:val="126"/>
        </w:trPr>
        <w:tc>
          <w:tcPr>
            <w:tcW w:w="7180" w:type="dxa"/>
            <w:vAlign w:val="bottom"/>
            <w:shd w:val="clear" w:color="auto" w:fill="CCEEFF"/>
          </w:tcPr>
          <w:p>
            <w:pPr>
              <w:ind w:left="20"/>
              <w:spacing w:after="0"/>
              <w:rPr>
                <w:sz w:val="20"/>
                <w:szCs w:val="20"/>
                <w:color w:val="auto"/>
              </w:rPr>
            </w:pPr>
            <w:r>
              <w:rPr>
                <w:rFonts w:ascii="Arial" w:cs="Arial" w:eastAsia="Arial" w:hAnsi="Arial"/>
                <w:sz w:val="9"/>
                <w:szCs w:val="9"/>
                <w:color w:val="auto"/>
              </w:rPr>
              <w:t>CASH, CASH EQUIVALENTS AND RESTRICTED CASH—Beginning of year</w:t>
            </w:r>
          </w:p>
        </w:tc>
        <w:tc>
          <w:tcPr>
            <w:tcW w:w="6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933,885</w:t>
            </w:r>
          </w:p>
        </w:tc>
        <w:tc>
          <w:tcPr>
            <w:tcW w:w="1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253,735</w:t>
            </w: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505,334</w:t>
            </w:r>
          </w:p>
        </w:tc>
      </w:tr>
      <w:tr>
        <w:trPr>
          <w:trHeight w:val="136"/>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CASH, CASH EQUIVALENTS AND RESTRICTED CASH —End of year</w:t>
            </w:r>
          </w:p>
        </w:tc>
        <w:tc>
          <w:tcPr>
            <w:tcW w:w="620" w:type="dxa"/>
            <w:vAlign w:val="bottom"/>
            <w:tcBorders>
              <w:bottom w:val="single" w:sz="8" w:color="auto"/>
            </w:tcBorders>
          </w:tcPr>
          <w:p>
            <w:pPr>
              <w:jc w:val="right"/>
              <w:ind w:right="555"/>
              <w:spacing w:after="0"/>
              <w:rPr>
                <w:sz w:val="20"/>
                <w:szCs w:val="20"/>
                <w:color w:val="auto"/>
              </w:rPr>
            </w:pPr>
            <w:r>
              <w:rPr>
                <w:rFonts w:ascii="Arial" w:cs="Arial" w:eastAsia="Arial" w:hAnsi="Arial"/>
                <w:sz w:val="4"/>
                <w:szCs w:val="4"/>
                <w:color w:val="auto"/>
                <w:w w:val="8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4"/>
              </w:rPr>
              <w:t>1,481,831</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95"/>
              <w:spacing w:after="0"/>
              <w:rPr>
                <w:sz w:val="20"/>
                <w:szCs w:val="20"/>
                <w:color w:val="auto"/>
              </w:rPr>
            </w:pPr>
            <w:r>
              <w:rPr>
                <w:rFonts w:ascii="Arial" w:cs="Arial" w:eastAsia="Arial" w:hAnsi="Arial"/>
                <w:sz w:val="4"/>
                <w:szCs w:val="4"/>
                <w:color w:val="auto"/>
                <w:w w:val="8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933,885</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78"/>
              <w:spacing w:after="0"/>
              <w:rPr>
                <w:sz w:val="20"/>
                <w:szCs w:val="20"/>
                <w:color w:val="auto"/>
              </w:rPr>
            </w:pPr>
            <w:r>
              <w:rPr>
                <w:rFonts w:ascii="Arial" w:cs="Arial" w:eastAsia="Arial" w:hAnsi="Arial"/>
                <w:sz w:val="4"/>
                <w:szCs w:val="4"/>
                <w:color w:val="auto"/>
                <w:w w:val="8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253,735</w:t>
            </w:r>
          </w:p>
        </w:tc>
      </w:tr>
      <w:tr>
        <w:trPr>
          <w:trHeight w:val="14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Cash paid for income taxes, net</w:t>
            </w:r>
          </w:p>
        </w:tc>
        <w:tc>
          <w:tcPr>
            <w:tcW w:w="62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4"/>
                <w:szCs w:val="4"/>
                <w:color w:val="auto"/>
                <w:w w:val="8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6,147</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4"/>
                <w:szCs w:val="4"/>
                <w:color w:val="auto"/>
                <w:w w:val="8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3,092</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4"/>
                <w:szCs w:val="4"/>
                <w:color w:val="auto"/>
                <w:w w:val="8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1,368</w:t>
            </w:r>
          </w:p>
        </w:tc>
      </w:tr>
      <w:tr>
        <w:trPr>
          <w:trHeight w:val="12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Cash paid for interest</w:t>
            </w:r>
          </w:p>
        </w:tc>
        <w:tc>
          <w:tcPr>
            <w:tcW w:w="620" w:type="dxa"/>
            <w:vAlign w:val="bottom"/>
            <w:tcBorders>
              <w:bottom w:val="single" w:sz="8" w:color="auto"/>
            </w:tcBorders>
          </w:tcPr>
          <w:p>
            <w:pPr>
              <w:jc w:val="right"/>
              <w:ind w:right="555"/>
              <w:spacing w:after="0"/>
              <w:rPr>
                <w:sz w:val="20"/>
                <w:szCs w:val="20"/>
                <w:color w:val="auto"/>
              </w:rPr>
            </w:pPr>
            <w:r>
              <w:rPr>
                <w:rFonts w:ascii="Arial" w:cs="Arial" w:eastAsia="Arial" w:hAnsi="Arial"/>
                <w:sz w:val="4"/>
                <w:szCs w:val="4"/>
                <w:color w:val="auto"/>
                <w:w w:val="8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20,637</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jc w:val="right"/>
              <w:ind w:right="95"/>
              <w:spacing w:after="0"/>
              <w:rPr>
                <w:sz w:val="20"/>
                <w:szCs w:val="20"/>
                <w:color w:val="auto"/>
              </w:rPr>
            </w:pPr>
            <w:r>
              <w:rPr>
                <w:rFonts w:ascii="Arial" w:cs="Arial" w:eastAsia="Arial" w:hAnsi="Arial"/>
                <w:sz w:val="4"/>
                <w:szCs w:val="4"/>
                <w:color w:val="auto"/>
                <w:w w:val="8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2,139</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jc w:val="right"/>
              <w:ind w:right="178"/>
              <w:spacing w:after="0"/>
              <w:rPr>
                <w:sz w:val="20"/>
                <w:szCs w:val="20"/>
                <w:color w:val="auto"/>
              </w:rPr>
            </w:pPr>
            <w:r>
              <w:rPr>
                <w:rFonts w:ascii="Arial" w:cs="Arial" w:eastAsia="Arial" w:hAnsi="Arial"/>
                <w:sz w:val="4"/>
                <w:szCs w:val="4"/>
                <w:color w:val="auto"/>
                <w:w w:val="8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2,290</w:t>
            </w:r>
          </w:p>
        </w:tc>
      </w:tr>
      <w:tr>
        <w:trPr>
          <w:trHeight w:val="108"/>
        </w:trPr>
        <w:tc>
          <w:tcPr>
            <w:tcW w:w="71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NON-CASH INVESTING AND FINANCING ACTIVITIES:</w:t>
            </w:r>
          </w:p>
        </w:tc>
        <w:tc>
          <w:tcPr>
            <w:tcW w:w="6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r>
      <w:tr>
        <w:trPr>
          <w:trHeight w:val="124"/>
        </w:trPr>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9"/>
                <w:szCs w:val="9"/>
                <w:color w:val="auto"/>
              </w:rPr>
              <w:t>Purchases of property and equipment through finance leases</w:t>
            </w:r>
          </w:p>
        </w:tc>
        <w:tc>
          <w:tcPr>
            <w:tcW w:w="620" w:type="dxa"/>
            <w:vAlign w:val="bottom"/>
            <w:tcBorders>
              <w:bottom w:val="single" w:sz="8" w:color="auto"/>
            </w:tcBorders>
          </w:tcPr>
          <w:p>
            <w:pPr>
              <w:jc w:val="right"/>
              <w:ind w:right="555"/>
              <w:spacing w:after="0"/>
              <w:rPr>
                <w:sz w:val="20"/>
                <w:szCs w:val="20"/>
                <w:color w:val="auto"/>
              </w:rPr>
            </w:pPr>
            <w:r>
              <w:rPr>
                <w:rFonts w:ascii="Arial" w:cs="Arial" w:eastAsia="Arial" w:hAnsi="Arial"/>
                <w:sz w:val="4"/>
                <w:szCs w:val="4"/>
                <w:color w:val="auto"/>
                <w:w w:val="8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22,157</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jc w:val="right"/>
              <w:ind w:right="95"/>
              <w:spacing w:after="0"/>
              <w:rPr>
                <w:sz w:val="20"/>
                <w:szCs w:val="20"/>
                <w:color w:val="auto"/>
              </w:rPr>
            </w:pPr>
            <w:r>
              <w:rPr>
                <w:rFonts w:ascii="Arial" w:cs="Arial" w:eastAsia="Arial" w:hAnsi="Arial"/>
                <w:sz w:val="4"/>
                <w:szCs w:val="4"/>
                <w:color w:val="auto"/>
                <w:w w:val="8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20,108</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jc w:val="right"/>
              <w:ind w:right="178"/>
              <w:spacing w:after="0"/>
              <w:rPr>
                <w:sz w:val="20"/>
                <w:szCs w:val="20"/>
                <w:color w:val="auto"/>
              </w:rPr>
            </w:pPr>
            <w:r>
              <w:rPr>
                <w:rFonts w:ascii="Arial" w:cs="Arial" w:eastAsia="Arial" w:hAnsi="Arial"/>
                <w:sz w:val="4"/>
                <w:szCs w:val="4"/>
                <w:color w:val="auto"/>
                <w:w w:val="8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5,848</w:t>
            </w:r>
          </w:p>
        </w:tc>
      </w:tr>
      <w:tr>
        <w:trPr>
          <w:trHeight w:val="146"/>
        </w:trPr>
        <w:tc>
          <w:tcPr>
            <w:tcW w:w="7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9"/>
                <w:szCs w:val="9"/>
                <w:color w:val="auto"/>
              </w:rPr>
              <w:t>Value of common stock issued and equity awards assumed in acquisition</w:t>
            </w:r>
          </w:p>
        </w:tc>
        <w:tc>
          <w:tcPr>
            <w:tcW w:w="62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4"/>
                <w:szCs w:val="4"/>
                <w:color w:val="auto"/>
                <w:w w:val="87"/>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420,681</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4"/>
                <w:szCs w:val="4"/>
                <w:color w:val="auto"/>
                <w:w w:val="8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2,571,328</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4"/>
                <w:szCs w:val="4"/>
                <w:color w:val="auto"/>
                <w:w w:val="8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2,841,452</w:t>
            </w:r>
          </w:p>
        </w:tc>
      </w:tr>
      <w:tr>
        <w:trPr>
          <w:trHeight w:val="120"/>
        </w:trPr>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9"/>
                <w:szCs w:val="9"/>
                <w:color w:val="auto"/>
              </w:rPr>
              <w:t>Value of common stock issued to settle convertible senior notes due 2023</w:t>
            </w:r>
          </w:p>
        </w:tc>
        <w:tc>
          <w:tcPr>
            <w:tcW w:w="620" w:type="dxa"/>
            <w:vAlign w:val="bottom"/>
            <w:tcBorders>
              <w:bottom w:val="single" w:sz="8" w:color="auto"/>
            </w:tcBorders>
          </w:tcPr>
          <w:p>
            <w:pPr>
              <w:jc w:val="right"/>
              <w:ind w:right="555"/>
              <w:spacing w:after="0"/>
              <w:rPr>
                <w:sz w:val="20"/>
                <w:szCs w:val="20"/>
                <w:color w:val="auto"/>
              </w:rPr>
            </w:pPr>
            <w:r>
              <w:rPr>
                <w:rFonts w:ascii="Arial" w:cs="Arial" w:eastAsia="Arial" w:hAnsi="Arial"/>
                <w:sz w:val="4"/>
                <w:szCs w:val="4"/>
                <w:color w:val="auto"/>
                <w:w w:val="8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94"/>
              </w:rPr>
              <w:t>1,704,969</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jc w:val="right"/>
              <w:ind w:right="95"/>
              <w:spacing w:after="0"/>
              <w:rPr>
                <w:sz w:val="20"/>
                <w:szCs w:val="20"/>
                <w:color w:val="auto"/>
              </w:rPr>
            </w:pPr>
            <w:r>
              <w:rPr>
                <w:rFonts w:ascii="Arial" w:cs="Arial" w:eastAsia="Arial" w:hAnsi="Arial"/>
                <w:sz w:val="4"/>
                <w:szCs w:val="4"/>
                <w:color w:val="auto"/>
                <w:w w:val="8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892,640</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jc w:val="right"/>
              <w:ind w:right="178"/>
              <w:spacing w:after="0"/>
              <w:rPr>
                <w:sz w:val="20"/>
                <w:szCs w:val="20"/>
                <w:color w:val="auto"/>
              </w:rPr>
            </w:pPr>
            <w:r>
              <w:rPr>
                <w:rFonts w:ascii="Arial" w:cs="Arial" w:eastAsia="Arial" w:hAnsi="Arial"/>
                <w:sz w:val="4"/>
                <w:szCs w:val="4"/>
                <w:color w:val="auto"/>
                <w:w w:val="8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r>
      <w:tr>
        <w:trPr>
          <w:trHeight w:val="81"/>
        </w:trPr>
        <w:tc>
          <w:tcPr>
            <w:tcW w:w="7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r>
      <w:tr>
        <w:trPr>
          <w:trHeight w:val="121"/>
        </w:trPr>
        <w:tc>
          <w:tcPr>
            <w:tcW w:w="7180" w:type="dxa"/>
            <w:vAlign w:val="bottom"/>
          </w:tcPr>
          <w:p>
            <w:pPr>
              <w:ind w:left="20"/>
              <w:spacing w:after="0"/>
              <w:rPr>
                <w:sz w:val="20"/>
                <w:szCs w:val="20"/>
                <w:color w:val="auto"/>
              </w:rPr>
            </w:pPr>
            <w:r>
              <w:rPr>
                <w:rFonts w:ascii="Arial" w:cs="Arial" w:eastAsia="Arial" w:hAnsi="Arial"/>
                <w:sz w:val="9"/>
                <w:szCs w:val="9"/>
                <w:color w:val="auto"/>
              </w:rPr>
              <w:t>RECONCILIATION OF CASH, CASH EQUIVALENTS AND RESTRICTED CASH TO THE CONSOLIDATED BALANCE SHEETS</w:t>
            </w: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31"/>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Cash and cash equivalents</w:t>
            </w:r>
          </w:p>
        </w:tc>
        <w:tc>
          <w:tcPr>
            <w:tcW w:w="620" w:type="dxa"/>
            <w:vAlign w:val="bottom"/>
            <w:shd w:val="clear" w:color="auto" w:fill="CCEEFF"/>
          </w:tcPr>
          <w:p>
            <w:pPr>
              <w:jc w:val="right"/>
              <w:ind w:right="555"/>
              <w:spacing w:after="0"/>
              <w:rPr>
                <w:sz w:val="20"/>
                <w:szCs w:val="20"/>
                <w:color w:val="auto"/>
              </w:rPr>
            </w:pPr>
            <w:r>
              <w:rPr>
                <w:rFonts w:ascii="Arial" w:cs="Arial" w:eastAsia="Arial" w:hAnsi="Arial"/>
                <w:sz w:val="4"/>
                <w:szCs w:val="4"/>
                <w:color w:val="auto"/>
                <w:w w:val="8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w w:val="94"/>
              </w:rPr>
              <w:t>1,479,452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95"/>
              <w:spacing w:after="0"/>
              <w:rPr>
                <w:sz w:val="20"/>
                <w:szCs w:val="20"/>
                <w:color w:val="auto"/>
              </w:rPr>
            </w:pPr>
            <w:r>
              <w:rPr>
                <w:rFonts w:ascii="Arial" w:cs="Arial" w:eastAsia="Arial" w:hAnsi="Arial"/>
                <w:sz w:val="4"/>
                <w:szCs w:val="4"/>
                <w:color w:val="auto"/>
                <w:w w:val="8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9"/>
                <w:szCs w:val="9"/>
                <w:color w:val="auto"/>
              </w:rPr>
              <w:t>933,885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78"/>
              <w:spacing w:after="0"/>
              <w:rPr>
                <w:sz w:val="20"/>
                <w:szCs w:val="20"/>
                <w:color w:val="auto"/>
              </w:rPr>
            </w:pPr>
            <w:r>
              <w:rPr>
                <w:rFonts w:ascii="Arial" w:cs="Arial" w:eastAsia="Arial" w:hAnsi="Arial"/>
                <w:sz w:val="4"/>
                <w:szCs w:val="4"/>
                <w:color w:val="auto"/>
                <w:w w:val="8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253,735</w:t>
            </w:r>
          </w:p>
        </w:tc>
      </w:tr>
      <w:tr>
        <w:trPr>
          <w:trHeight w:val="121"/>
        </w:trPr>
        <w:tc>
          <w:tcPr>
            <w:tcW w:w="7180" w:type="dxa"/>
            <w:vAlign w:val="bottom"/>
          </w:tcPr>
          <w:p>
            <w:pPr>
              <w:ind w:left="160"/>
              <w:spacing w:after="0"/>
              <w:rPr>
                <w:sz w:val="20"/>
                <w:szCs w:val="20"/>
                <w:color w:val="auto"/>
              </w:rPr>
            </w:pPr>
            <w:r>
              <w:rPr>
                <w:rFonts w:ascii="Arial" w:cs="Arial" w:eastAsia="Arial" w:hAnsi="Arial"/>
                <w:sz w:val="9"/>
                <w:szCs w:val="9"/>
                <w:color w:val="auto"/>
              </w:rPr>
              <w:t>Restricted cash in other current assets</w:t>
            </w:r>
          </w:p>
        </w:tc>
        <w:tc>
          <w:tcPr>
            <w:tcW w:w="6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1,536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26"/>
        </w:trPr>
        <w:tc>
          <w:tcPr>
            <w:tcW w:w="7180" w:type="dxa"/>
            <w:vAlign w:val="bottom"/>
            <w:shd w:val="clear" w:color="auto" w:fill="CCEEFF"/>
          </w:tcPr>
          <w:p>
            <w:pPr>
              <w:ind w:left="160"/>
              <w:spacing w:after="0"/>
              <w:rPr>
                <w:sz w:val="20"/>
                <w:szCs w:val="20"/>
                <w:color w:val="auto"/>
              </w:rPr>
            </w:pPr>
            <w:r>
              <w:rPr>
                <w:rFonts w:ascii="Arial" w:cs="Arial" w:eastAsia="Arial" w:hAnsi="Arial"/>
                <w:sz w:val="9"/>
                <w:szCs w:val="9"/>
                <w:color w:val="auto"/>
              </w:rPr>
              <w:t>Restricted cash in other long-term assets</w:t>
            </w:r>
          </w:p>
        </w:tc>
        <w:tc>
          <w:tcPr>
            <w:tcW w:w="6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843</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r>
      <w:tr>
        <w:trPr>
          <w:trHeight w:val="120"/>
        </w:trPr>
        <w:tc>
          <w:tcPr>
            <w:tcW w:w="7180" w:type="dxa"/>
            <w:vAlign w:val="bottom"/>
          </w:tcPr>
          <w:p>
            <w:pPr>
              <w:ind w:left="240"/>
              <w:spacing w:after="0"/>
              <w:rPr>
                <w:sz w:val="20"/>
                <w:szCs w:val="20"/>
                <w:color w:val="auto"/>
              </w:rPr>
            </w:pPr>
            <w:r>
              <w:rPr>
                <w:rFonts w:ascii="Arial" w:cs="Arial" w:eastAsia="Arial" w:hAnsi="Arial"/>
                <w:sz w:val="9"/>
                <w:szCs w:val="9"/>
                <w:color w:val="auto"/>
              </w:rPr>
              <w:t>Total cash, cash equivalents and restricted cash</w:t>
            </w:r>
          </w:p>
        </w:tc>
        <w:tc>
          <w:tcPr>
            <w:tcW w:w="6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4"/>
                <w:szCs w:val="4"/>
                <w:color w:val="auto"/>
                <w:w w:val="87"/>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94"/>
              </w:rPr>
              <w:t>1,481,831</w:t>
            </w:r>
          </w:p>
        </w:tc>
        <w:tc>
          <w:tcPr>
            <w:tcW w:w="10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4"/>
                <w:szCs w:val="4"/>
                <w:color w:val="auto"/>
                <w:w w:val="8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933,885</w:t>
            </w:r>
          </w:p>
        </w:tc>
        <w:tc>
          <w:tcPr>
            <w:tcW w:w="10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4"/>
                <w:szCs w:val="4"/>
                <w:color w:val="auto"/>
                <w:w w:val="8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253,735</w:t>
            </w:r>
          </w:p>
        </w:tc>
      </w:tr>
      <w:tr>
        <w:trPr>
          <w:trHeight w:val="20"/>
        </w:trPr>
        <w:tc>
          <w:tcPr>
            <w:tcW w:w="7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145415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560"/>
          </w:cols>
          <w:pgMar w:left="660" w:top="343" w:right="679" w:bottom="1440" w:gutter="0" w:footer="0" w:header="0"/>
        </w:sectPr>
      </w:pPr>
    </w:p>
    <w:bookmarkStart w:id="84" w:name="page85"/>
    <w:bookmarkEnd w:id="84"/>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TWILIO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 Organization and Description of Business</w:t>
      </w:r>
    </w:p>
    <w:p>
      <w:pPr>
        <w:spacing w:after="0" w:line="154" w:lineRule="exact"/>
        <w:rPr>
          <w:sz w:val="20"/>
          <w:szCs w:val="20"/>
          <w:color w:val="auto"/>
        </w:rPr>
      </w:pPr>
    </w:p>
    <w:p>
      <w:pPr>
        <w:jc w:val="both"/>
        <w:ind w:left="8" w:right="300" w:firstLine="324"/>
        <w:spacing w:after="0" w:line="263" w:lineRule="auto"/>
        <w:rPr>
          <w:sz w:val="20"/>
          <w:szCs w:val="20"/>
          <w:color w:val="auto"/>
        </w:rPr>
      </w:pPr>
      <w:r>
        <w:rPr>
          <w:rFonts w:ascii="Arial" w:cs="Arial" w:eastAsia="Arial" w:hAnsi="Arial"/>
          <w:sz w:val="12"/>
          <w:szCs w:val="12"/>
          <w:color w:val="auto"/>
        </w:rPr>
        <w:t>Twilio Inc. (the “Company”) was incorporated in the state of Delaware on March 13, 2008. The Company is the leading cloud communications platform and enables developers to build, scale and operate real-time customer engagement within their software applications via simple-to-use Application Programming Interfaces (“API”). The power, flexibility, and reliability offered by the Company’s software building blocks empower entities of virtually every shape and size to build world-class engagement into their customer experience.</w:t>
      </w:r>
    </w:p>
    <w:p>
      <w:pPr>
        <w:spacing w:after="0" w:line="122"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Company’s headquarters are located in San Francisco, California, and the Company has subsidiaries across North America, South America, Europe, Asia and Australia.</w:t>
      </w:r>
    </w:p>
    <w:p>
      <w:pPr>
        <w:spacing w:after="0" w:line="146" w:lineRule="exact"/>
        <w:rPr>
          <w:sz w:val="20"/>
          <w:szCs w:val="20"/>
          <w:color w:val="auto"/>
        </w:rPr>
      </w:pPr>
    </w:p>
    <w:p>
      <w:pPr>
        <w:ind w:left="128" w:hanging="128"/>
        <w:spacing w:after="0"/>
        <w:tabs>
          <w:tab w:leader="none" w:pos="128"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w:t>
      </w:r>
    </w:p>
    <w:p>
      <w:pPr>
        <w:spacing w:after="0" w:line="154" w:lineRule="exact"/>
        <w:rPr>
          <w:rFonts w:ascii="Arial" w:cs="Arial" w:eastAsia="Arial" w:hAnsi="Arial"/>
          <w:sz w:val="12"/>
          <w:szCs w:val="12"/>
          <w:b w:val="1"/>
          <w:bCs w:val="1"/>
          <w:color w:val="auto"/>
        </w:rPr>
      </w:pPr>
    </w:p>
    <w:p>
      <w:pPr>
        <w:ind w:left="868" w:hanging="544"/>
        <w:spacing w:after="0"/>
        <w:tabs>
          <w:tab w:leader="none" w:pos="868" w:val="left"/>
        </w:tabs>
        <w:numPr>
          <w:ilvl w:val="1"/>
          <w:numId w:val="4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Basis of Presentation</w:t>
      </w:r>
    </w:p>
    <w:p>
      <w:pPr>
        <w:spacing w:after="0" w:line="150"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accompanying consolidated financial statements have been prepared in accordance with generally accepted accounting principles in the United States of America (“U.S. GAAP”).</w:t>
      </w:r>
    </w:p>
    <w:p>
      <w:pPr>
        <w:spacing w:after="0" w:line="150" w:lineRule="exact"/>
        <w:rPr>
          <w:sz w:val="20"/>
          <w:szCs w:val="20"/>
          <w:color w:val="auto"/>
        </w:rPr>
      </w:pPr>
    </w:p>
    <w:p>
      <w:pPr>
        <w:ind w:left="868" w:hanging="544"/>
        <w:spacing w:after="0"/>
        <w:tabs>
          <w:tab w:leader="none" w:pos="868" w:val="left"/>
        </w:tabs>
        <w:numPr>
          <w:ilvl w:val="0"/>
          <w:numId w:val="4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Principles of Consolidation</w:t>
      </w:r>
    </w:p>
    <w:p>
      <w:pPr>
        <w:spacing w:after="0" w:line="150"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consolidated financial statements include the Company and its wholly owned subsidiaries. All significant intercompany balances and transactions have been eliminated.</w:t>
      </w:r>
    </w:p>
    <w:p>
      <w:pPr>
        <w:spacing w:after="0" w:line="150" w:lineRule="exact"/>
        <w:rPr>
          <w:sz w:val="20"/>
          <w:szCs w:val="20"/>
          <w:color w:val="auto"/>
        </w:rPr>
      </w:pPr>
    </w:p>
    <w:p>
      <w:pPr>
        <w:ind w:left="868" w:hanging="544"/>
        <w:spacing w:after="0"/>
        <w:tabs>
          <w:tab w:leader="none" w:pos="868" w:val="left"/>
        </w:tabs>
        <w:numPr>
          <w:ilvl w:val="0"/>
          <w:numId w:val="4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Use of Estimates</w:t>
      </w:r>
    </w:p>
    <w:p>
      <w:pPr>
        <w:spacing w:after="0" w:line="150" w:lineRule="exact"/>
        <w:rPr>
          <w:sz w:val="20"/>
          <w:szCs w:val="20"/>
          <w:color w:val="auto"/>
        </w:rPr>
      </w:pPr>
    </w:p>
    <w:p>
      <w:pPr>
        <w:ind w:left="8" w:right="200" w:firstLine="324"/>
        <w:spacing w:after="0" w:line="320" w:lineRule="auto"/>
        <w:rPr>
          <w:sz w:val="20"/>
          <w:szCs w:val="20"/>
          <w:color w:val="auto"/>
        </w:rPr>
      </w:pPr>
      <w:r>
        <w:rPr>
          <w:rFonts w:ascii="Arial" w:cs="Arial" w:eastAsia="Arial" w:hAnsi="Arial"/>
          <w:sz w:val="10"/>
          <w:szCs w:val="10"/>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spacing w:after="0" w:line="97" w:lineRule="exact"/>
        <w:rPr>
          <w:sz w:val="20"/>
          <w:szCs w:val="20"/>
          <w:color w:val="auto"/>
        </w:rPr>
      </w:pPr>
    </w:p>
    <w:p>
      <w:pPr>
        <w:ind w:left="868" w:hanging="544"/>
        <w:spacing w:after="0"/>
        <w:tabs>
          <w:tab w:leader="none" w:pos="868" w:val="left"/>
        </w:tabs>
        <w:numPr>
          <w:ilvl w:val="0"/>
          <w:numId w:val="4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Concentration of Credit Risk</w:t>
      </w:r>
    </w:p>
    <w:p>
      <w:pPr>
        <w:spacing w:after="0" w:line="150" w:lineRule="exact"/>
        <w:rPr>
          <w:sz w:val="20"/>
          <w:szCs w:val="20"/>
          <w:color w:val="auto"/>
        </w:rPr>
      </w:pPr>
    </w:p>
    <w:p>
      <w:pPr>
        <w:ind w:left="8" w:right="60" w:firstLine="324"/>
        <w:spacing w:after="0" w:line="323" w:lineRule="auto"/>
        <w:rPr>
          <w:sz w:val="20"/>
          <w:szCs w:val="20"/>
          <w:color w:val="auto"/>
        </w:rPr>
      </w:pPr>
      <w:r>
        <w:rPr>
          <w:rFonts w:ascii="Arial" w:cs="Arial" w:eastAsia="Arial" w:hAnsi="Arial"/>
          <w:sz w:val="11"/>
          <w:szCs w:val="11"/>
          <w:color w:val="auto"/>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that management believes are financially sound and have minimal credit risk exposure although the balances will exceed insured limits.</w:t>
      </w:r>
    </w:p>
    <w:p>
      <w:pPr>
        <w:spacing w:after="0" w:line="92" w:lineRule="exact"/>
        <w:rPr>
          <w:sz w:val="20"/>
          <w:szCs w:val="20"/>
          <w:color w:val="auto"/>
        </w:rPr>
      </w:pPr>
    </w:p>
    <w:p>
      <w:pPr>
        <w:ind w:left="8" w:firstLine="324"/>
        <w:spacing w:after="0" w:line="259" w:lineRule="auto"/>
        <w:rPr>
          <w:sz w:val="20"/>
          <w:szCs w:val="20"/>
          <w:color w:val="auto"/>
        </w:rPr>
      </w:pPr>
      <w:r>
        <w:rPr>
          <w:rFonts w:ascii="Arial" w:cs="Arial" w:eastAsia="Arial" w:hAnsi="Arial"/>
          <w:sz w:val="12"/>
          <w:szCs w:val="12"/>
          <w:color w:val="auto"/>
        </w:rPr>
        <w:t>The Company sells its services to a wide variety of customers. If the financial condition or results of operations of any significant customer deteriorates substantially, operating results could be adversely affected. To reduce credit risk, management performs credit evaluations of the financial condition of significant customers. The Company does not require collateral from its credit customers and maintains reserves for estimated credit losses on customer accounts when considered necessary. Actual credit losses may differ from the Company’s estimates. During the years ended December 31, 2021, 2020 and 2019, no customer organization accounted for more than 10% of the Company’s total revenue.</w:t>
      </w:r>
    </w:p>
    <w:p>
      <w:pPr>
        <w:spacing w:after="0" w:line="124" w:lineRule="exact"/>
        <w:rPr>
          <w:sz w:val="20"/>
          <w:szCs w:val="20"/>
          <w:color w:val="auto"/>
        </w:rPr>
      </w:pPr>
    </w:p>
    <w:p>
      <w:pPr>
        <w:ind w:left="328"/>
        <w:spacing w:after="0"/>
        <w:rPr>
          <w:sz w:val="20"/>
          <w:szCs w:val="20"/>
          <w:color w:val="auto"/>
        </w:rPr>
      </w:pPr>
      <w:r>
        <w:rPr>
          <w:rFonts w:ascii="Arial" w:cs="Arial" w:eastAsia="Arial" w:hAnsi="Arial"/>
          <w:sz w:val="12"/>
          <w:szCs w:val="12"/>
          <w:color w:val="auto"/>
        </w:rPr>
        <w:t>As of December 31, 2021 and 2020, no customer organization represented more than 10% of the Company’s gross accounts receivable.</w:t>
      </w:r>
    </w:p>
    <w:p>
      <w:pPr>
        <w:spacing w:after="0" w:line="21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85" w:name="page86"/>
    <w:bookmarkEnd w:id="8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860" w:hanging="544"/>
        <w:spacing w:after="0"/>
        <w:tabs>
          <w:tab w:leader="none" w:pos="860" w:val="left"/>
        </w:tabs>
        <w:numPr>
          <w:ilvl w:val="0"/>
          <w:numId w:val="4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Revenue is recognized upon transfer of control of promised products or services to customers in an amount that reflects the consideration the Company expects to receive in exchange for those products or services. The Company enters into contracts that can include various combinations of products and services, which are generally capable of being distinct and accounted for as separate performance obligations. Revenue is recognized net of allowances for credits and any taxes collected from customers, which are subsequently remitted to governmental authorities.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determines revenue recognition through the following steps:</w:t>
      </w:r>
    </w:p>
    <w:p>
      <w:pPr>
        <w:spacing w:after="0" w:line="150" w:lineRule="exact"/>
        <w:rPr>
          <w:sz w:val="20"/>
          <w:szCs w:val="20"/>
          <w:color w:val="auto"/>
        </w:rPr>
      </w:pPr>
    </w:p>
    <w:p>
      <w:pPr>
        <w:ind w:left="420" w:hanging="104"/>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Identification of the contract, or contracts, with a customer;</w:t>
      </w:r>
    </w:p>
    <w:p>
      <w:pPr>
        <w:spacing w:after="0" w:line="150" w:lineRule="exact"/>
        <w:rPr>
          <w:rFonts w:ascii="Arial" w:cs="Arial" w:eastAsia="Arial" w:hAnsi="Arial"/>
          <w:sz w:val="12"/>
          <w:szCs w:val="12"/>
          <w:color w:val="auto"/>
        </w:rPr>
      </w:pPr>
    </w:p>
    <w:p>
      <w:pPr>
        <w:ind w:left="420" w:hanging="104"/>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Identification of the performance obligations in the contract;</w:t>
      </w:r>
    </w:p>
    <w:p>
      <w:pPr>
        <w:spacing w:after="0" w:line="150" w:lineRule="exact"/>
        <w:rPr>
          <w:rFonts w:ascii="Arial" w:cs="Arial" w:eastAsia="Arial" w:hAnsi="Arial"/>
          <w:sz w:val="12"/>
          <w:szCs w:val="12"/>
          <w:color w:val="auto"/>
        </w:rPr>
      </w:pPr>
    </w:p>
    <w:p>
      <w:pPr>
        <w:ind w:left="420" w:hanging="104"/>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Determination of the transaction price;</w:t>
      </w:r>
    </w:p>
    <w:p>
      <w:pPr>
        <w:spacing w:after="0" w:line="150" w:lineRule="exact"/>
        <w:rPr>
          <w:rFonts w:ascii="Arial" w:cs="Arial" w:eastAsia="Arial" w:hAnsi="Arial"/>
          <w:sz w:val="12"/>
          <w:szCs w:val="12"/>
          <w:color w:val="auto"/>
        </w:rPr>
      </w:pPr>
    </w:p>
    <w:p>
      <w:pPr>
        <w:ind w:left="420" w:hanging="104"/>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Allocation of the transaction price to the performance obligations in the contract; and,</w:t>
      </w:r>
    </w:p>
    <w:p>
      <w:pPr>
        <w:spacing w:after="0" w:line="150" w:lineRule="exact"/>
        <w:rPr>
          <w:rFonts w:ascii="Arial" w:cs="Arial" w:eastAsia="Arial" w:hAnsi="Arial"/>
          <w:sz w:val="12"/>
          <w:szCs w:val="12"/>
          <w:color w:val="auto"/>
        </w:rPr>
      </w:pPr>
    </w:p>
    <w:p>
      <w:pPr>
        <w:ind w:left="420" w:hanging="104"/>
        <w:spacing w:after="0"/>
        <w:tabs>
          <w:tab w:leader="none" w:pos="4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Recognition of revenue when, or as, the Company satisfies a performance obligation.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Nature of Products and Services</w:t>
      </w:r>
    </w:p>
    <w:p>
      <w:pPr>
        <w:spacing w:after="0" w:line="15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2"/>
          <w:szCs w:val="12"/>
          <w:color w:val="auto"/>
        </w:rPr>
        <w:t>The Company's revenue is primarily derived from usage-based fees earned from customers accessing the Company's enterprise cloud computing services. Platform access is considered a monthly series comprising of one performance obligation and usage-based fees are recognized as revenue in the period in which the usage occurs. In the years ended December 31, 2021, 2020 and 2019, the revenue from usage-based fees represented 72%, 76% and 75% of total revenue, respectively.</w:t>
      </w:r>
    </w:p>
    <w:p>
      <w:pPr>
        <w:spacing w:after="0" w:line="122"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Subscription-based fees are derived from certain non-usage-based contracts, such as those for the sales of short codes, customer support and fees charged to access the cloud-based platform of Segment io, Inc. (“Segment”), which the Company acquired in 2020 as further described in Note 7. Non-usage-based contracts revenue is recognized on a ratable basis over the contractual term which is generally between one to three years. In the years ended December 31, 2021, 2020 and 2019, the revenue from non-usage-based fees represented 28%, 24%, and 25% of total revenue, respectively.</w:t>
      </w:r>
    </w:p>
    <w:p>
      <w:pPr>
        <w:spacing w:after="0" w:line="122"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color w:val="auto"/>
        </w:rPr>
        <w:t>No significant judgments are required in determining whether products and services are considered distinct performance obligations and should be accounted for separately versus together, or to determine the stand-alone selling price (“SSP”).</w:t>
      </w:r>
    </w:p>
    <w:p>
      <w:pPr>
        <w:spacing w:after="0" w:line="115" w:lineRule="exact"/>
        <w:rPr>
          <w:sz w:val="20"/>
          <w:szCs w:val="20"/>
          <w:color w:val="auto"/>
        </w:rPr>
      </w:pPr>
    </w:p>
    <w:p>
      <w:pPr>
        <w:ind w:right="160" w:firstLine="324"/>
        <w:spacing w:after="0" w:line="323" w:lineRule="auto"/>
        <w:rPr>
          <w:sz w:val="20"/>
          <w:szCs w:val="20"/>
          <w:color w:val="auto"/>
        </w:rPr>
      </w:pPr>
      <w:r>
        <w:rPr>
          <w:rFonts w:ascii="Arial" w:cs="Arial" w:eastAsia="Arial" w:hAnsi="Arial"/>
          <w:sz w:val="11"/>
          <w:szCs w:val="11"/>
          <w:color w:val="auto"/>
        </w:rPr>
        <w:t>The Company's arrangements do not contain general rights of return. However, credits may be issued on a case-by-case basis. The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Remaining Performance Obligations</w:t>
      </w:r>
    </w:p>
    <w:p>
      <w:pPr>
        <w:spacing w:after="0" w:line="1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2"/>
          <w:szCs w:val="12"/>
          <w:color w:val="auto"/>
        </w:rPr>
        <w:t>Revenue allocated to remaining performance obligations represents unearned revenue and amounts that were and will be invoiced and recognized as revenue in future periods for non-cancelable multi-year subscription arrangements. The Company applies the optional exemption of not disclosing the transaction price allocated to the remaining performance obligations for its usage-based contracts and contracts with original duration of one year or less. Revenue allocated to remaining performance obligations for contracts with durations of more than one year was $154.2 million as of December 31, 2021, of which 62% is expected to be recognized over the next 12 months and 92% is expected to be recognized over the next 24 months.</w:t>
      </w:r>
    </w:p>
    <w:p>
      <w:pPr>
        <w:spacing w:after="0" w:line="124" w:lineRule="exact"/>
        <w:rPr>
          <w:sz w:val="20"/>
          <w:szCs w:val="20"/>
          <w:color w:val="auto"/>
        </w:rPr>
      </w:pPr>
    </w:p>
    <w:p>
      <w:pPr>
        <w:ind w:left="840" w:hanging="524"/>
        <w:spacing w:after="0"/>
        <w:tabs>
          <w:tab w:leader="none" w:pos="840" w:val="left"/>
        </w:tabs>
        <w:numPr>
          <w:ilvl w:val="0"/>
          <w:numId w:val="4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Deferred Revenue and Customer Deposits</w:t>
      </w:r>
    </w:p>
    <w:p>
      <w:pPr>
        <w:spacing w:after="0" w:line="15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2"/>
          <w:szCs w:val="12"/>
          <w:color w:val="auto"/>
        </w:rPr>
        <w:t>Deferred revenue is recorded when a non-cancellable contractual right to bill exists or when cash payments are received in advance of future usage on non-cancelable contracts. Customer refundable prepayments are recorded as customer deposits. As of December 31, 2021 and 2020, the Company recorded $141.5 million and $87.2 million as its deferred revenue and customer deposits, respectively, that are included in deferred revenue and customer deposits and other long-term liabilities in the accompanying consolidated balance sheets. During the years ended December 31, 2021, 2020 and 2019, the Company recognized $70.1 million, $19.5 million and $18.7 million of revenue, respectively, that was included in the deferred revenue and customer deposits balance as of the end of the previous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6" w:name="page87"/>
    <w:bookmarkEnd w:id="8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860" w:hanging="544"/>
        <w:spacing w:after="0"/>
        <w:tabs>
          <w:tab w:leader="none" w:pos="860" w:val="left"/>
        </w:tabs>
        <w:numPr>
          <w:ilvl w:val="0"/>
          <w:numId w:val="4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Deferred Sales Commissions</w:t>
      </w:r>
    </w:p>
    <w:p>
      <w:pPr>
        <w:spacing w:after="0" w:line="150" w:lineRule="exact"/>
        <w:rPr>
          <w:sz w:val="20"/>
          <w:szCs w:val="20"/>
          <w:color w:val="auto"/>
        </w:rPr>
      </w:pPr>
    </w:p>
    <w:p>
      <w:pPr>
        <w:ind w:right="220" w:firstLine="324"/>
        <w:spacing w:after="0" w:line="340" w:lineRule="auto"/>
        <w:rPr>
          <w:sz w:val="20"/>
          <w:szCs w:val="20"/>
          <w:color w:val="auto"/>
        </w:rPr>
      </w:pPr>
      <w:r>
        <w:rPr>
          <w:rFonts w:ascii="Arial" w:cs="Arial" w:eastAsia="Arial" w:hAnsi="Arial"/>
          <w:sz w:val="10"/>
          <w:szCs w:val="10"/>
          <w:color w:val="auto"/>
        </w:rPr>
        <w:t>The Company records an asset for the incremental costs of obtaining a contract with a customer, for example, sales commissions that are earned upon execution of contracts. The Company uses the portfolio of data method to determine the estimated period of benefit of capitalized commissions which is generally determined to be up to five years. Amortization expense related to these capitalized costs related to initial contracts, upsells and renewals, is recognized on a straight line basis over the estimated period of benefit of the capitalized commissions. The Company applies the optional exemption of expensing these costs as incurred with amortization periods of one year or less.</w:t>
      </w:r>
    </w:p>
    <w:p>
      <w:pPr>
        <w:spacing w:after="0" w:line="87" w:lineRule="exact"/>
        <w:rPr>
          <w:sz w:val="20"/>
          <w:szCs w:val="20"/>
          <w:color w:val="auto"/>
        </w:rPr>
      </w:pPr>
    </w:p>
    <w:p>
      <w:pPr>
        <w:ind w:right="180" w:firstLine="324"/>
        <w:spacing w:after="0" w:line="147" w:lineRule="exact"/>
        <w:rPr>
          <w:sz w:val="20"/>
          <w:szCs w:val="20"/>
          <w:color w:val="auto"/>
        </w:rPr>
      </w:pPr>
      <w:r>
        <w:rPr>
          <w:rFonts w:ascii="Arial" w:cs="Arial" w:eastAsia="Arial" w:hAnsi="Arial"/>
          <w:sz w:val="12"/>
          <w:szCs w:val="12"/>
          <w:color w:val="auto"/>
        </w:rPr>
        <w:t>Total net capitalized costs as of December 31, 2021 and 2020, were $193.4 million and $85.6 million, respectively, and are included in prepaid expenses and other current assets and other long</w:t>
      </w:r>
      <w:r>
        <w:rPr>
          <w:rFonts w:ascii="MS PGothic" w:cs="MS PGothic" w:eastAsia="MS PGothic" w:hAnsi="MS PGothic"/>
          <w:sz w:val="12"/>
          <w:szCs w:val="12"/>
          <w:color w:val="auto"/>
        </w:rPr>
        <w:t>‑</w:t>
      </w:r>
      <w:r>
        <w:rPr>
          <w:rFonts w:ascii="Arial" w:cs="Arial" w:eastAsia="Arial" w:hAnsi="Arial"/>
          <w:sz w:val="12"/>
          <w:szCs w:val="12"/>
          <w:color w:val="auto"/>
        </w:rPr>
        <w:t>term assets in the accompanying consolidated balance sheets. Amortization of these assets was $31.5 million, $13.3 million and $4.5 million in the years ended December 31, 2021, 2020 and 2019, respectively, and is included in sales and marketing expense in the accompanying consolidated statements of operations.</w:t>
      </w:r>
    </w:p>
    <w:p>
      <w:pPr>
        <w:spacing w:after="0" w:line="136" w:lineRule="exact"/>
        <w:rPr>
          <w:sz w:val="20"/>
          <w:szCs w:val="20"/>
          <w:color w:val="auto"/>
        </w:rPr>
      </w:pPr>
    </w:p>
    <w:p>
      <w:pPr>
        <w:ind w:left="840" w:hanging="524"/>
        <w:spacing w:after="0"/>
        <w:tabs>
          <w:tab w:leader="none" w:pos="840" w:val="left"/>
        </w:tabs>
        <w:numPr>
          <w:ilvl w:val="0"/>
          <w:numId w:val="5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Cost of Revenue</w:t>
      </w:r>
    </w:p>
    <w:p>
      <w:pPr>
        <w:spacing w:after="0" w:line="150" w:lineRule="exact"/>
        <w:rPr>
          <w:sz w:val="20"/>
          <w:szCs w:val="20"/>
          <w:color w:val="auto"/>
        </w:rPr>
      </w:pPr>
    </w:p>
    <w:p>
      <w:pPr>
        <w:ind w:right="80" w:firstLine="324"/>
        <w:spacing w:after="0" w:line="263" w:lineRule="auto"/>
        <w:rPr>
          <w:sz w:val="20"/>
          <w:szCs w:val="20"/>
          <w:color w:val="auto"/>
        </w:rPr>
      </w:pPr>
      <w:r>
        <w:rPr>
          <w:rFonts w:ascii="Arial" w:cs="Arial" w:eastAsia="Arial" w:hAnsi="Arial"/>
          <w:sz w:val="12"/>
          <w:szCs w:val="12"/>
          <w:color w:val="auto"/>
        </w:rPr>
        <w:t>Cost of revenue consists primarily of costs of communications services purchased from network service providers. Cost of revenue also includes fees to support the Company's cloud infrastructure, direct costs of personnel, such as salaries and stock-based compensation for the customer care and support services employees, and non-personnel costs, such as amortization of capitalized internal-use software development costs and amortization of acquired intangibles.</w:t>
      </w:r>
    </w:p>
    <w:p>
      <w:pPr>
        <w:spacing w:after="0" w:line="122" w:lineRule="exact"/>
        <w:rPr>
          <w:sz w:val="20"/>
          <w:szCs w:val="20"/>
          <w:color w:val="auto"/>
        </w:rPr>
      </w:pPr>
    </w:p>
    <w:p>
      <w:pPr>
        <w:ind w:left="860" w:hanging="544"/>
        <w:spacing w:after="0"/>
        <w:tabs>
          <w:tab w:leader="none" w:pos="860" w:val="left"/>
        </w:tabs>
        <w:numPr>
          <w:ilvl w:val="0"/>
          <w:numId w:val="5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Research and Development Expense</w:t>
      </w:r>
    </w:p>
    <w:p>
      <w:pPr>
        <w:spacing w:after="0" w:line="150" w:lineRule="exact"/>
        <w:rPr>
          <w:sz w:val="20"/>
          <w:szCs w:val="20"/>
          <w:color w:val="auto"/>
        </w:rPr>
      </w:pPr>
    </w:p>
    <w:p>
      <w:pPr>
        <w:ind w:right="240" w:firstLine="324"/>
        <w:spacing w:after="0" w:line="276" w:lineRule="auto"/>
        <w:rPr>
          <w:sz w:val="20"/>
          <w:szCs w:val="20"/>
          <w:color w:val="auto"/>
        </w:rPr>
      </w:pPr>
      <w:r>
        <w:rPr>
          <w:rFonts w:ascii="Arial" w:cs="Arial" w:eastAsia="Arial" w:hAnsi="Arial"/>
          <w:sz w:val="12"/>
          <w:szCs w:val="12"/>
          <w:color w:val="auto"/>
        </w:rPr>
        <w:t>Research and development expenses consist primarily of personnel costs, cloud infrastructure fees for staging and development, outsourced engineering services, amortization of capitalized internal-use software development costs and an allocation of general overhead expenses. The Company capitalizes the portion of its software development costs that meets the criteria for capitalization.</w:t>
      </w:r>
    </w:p>
    <w:p>
      <w:pPr>
        <w:spacing w:after="0" w:line="115" w:lineRule="exact"/>
        <w:rPr>
          <w:sz w:val="20"/>
          <w:szCs w:val="20"/>
          <w:color w:val="auto"/>
        </w:rPr>
      </w:pPr>
    </w:p>
    <w:p>
      <w:pPr>
        <w:ind w:left="860" w:hanging="544"/>
        <w:spacing w:after="0"/>
        <w:tabs>
          <w:tab w:leader="none" w:pos="860" w:val="left"/>
        </w:tabs>
        <w:numPr>
          <w:ilvl w:val="0"/>
          <w:numId w:val="5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Internal-Use Software Development Costs</w:t>
      </w:r>
    </w:p>
    <w:p>
      <w:pPr>
        <w:spacing w:after="0" w:line="150" w:lineRule="exact"/>
        <w:rPr>
          <w:sz w:val="20"/>
          <w:szCs w:val="20"/>
          <w:color w:val="auto"/>
        </w:rPr>
      </w:pPr>
    </w:p>
    <w:p>
      <w:pPr>
        <w:ind w:firstLine="324"/>
        <w:spacing w:after="0" w:line="256" w:lineRule="auto"/>
        <w:rPr>
          <w:sz w:val="20"/>
          <w:szCs w:val="20"/>
          <w:color w:val="auto"/>
        </w:rPr>
      </w:pPr>
      <w:r>
        <w:rPr>
          <w:rFonts w:ascii="Arial" w:cs="Arial" w:eastAsia="Arial" w:hAnsi="Arial"/>
          <w:sz w:val="12"/>
          <w:szCs w:val="12"/>
          <w:color w:val="auto"/>
        </w:rPr>
        <w:t>Certain costs of platform and other software applications developed for internal use are capitalized.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Costs incurred for maintenance, minor upgrades and enhancements are expensed. Costs related to preliminary project activities and post-implementation operating activities are also expensed as incurred.</w:t>
      </w:r>
    </w:p>
    <w:p>
      <w:pPr>
        <w:spacing w:after="0" w:line="12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 The amortization of costs related to the platform applications is included in cost of revenue, while the amortization of costs related to other software applications developed for internal use is included in operating expenses.</w:t>
      </w:r>
    </w:p>
    <w:p>
      <w:pPr>
        <w:spacing w:after="0" w:line="105" w:lineRule="exact"/>
        <w:rPr>
          <w:sz w:val="20"/>
          <w:szCs w:val="20"/>
          <w:color w:val="auto"/>
        </w:rPr>
      </w:pPr>
    </w:p>
    <w:p>
      <w:pPr>
        <w:ind w:left="860" w:hanging="544"/>
        <w:spacing w:after="0"/>
        <w:tabs>
          <w:tab w:leader="none" w:pos="860" w:val="left"/>
        </w:tabs>
        <w:numPr>
          <w:ilvl w:val="0"/>
          <w:numId w:val="5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Advertising Costs</w:t>
      </w:r>
    </w:p>
    <w:p>
      <w:pPr>
        <w:spacing w:after="0" w:line="150" w:lineRule="exact"/>
        <w:rPr>
          <w:sz w:val="20"/>
          <w:szCs w:val="20"/>
          <w:color w:val="auto"/>
        </w:rPr>
      </w:pPr>
    </w:p>
    <w:p>
      <w:pPr>
        <w:ind w:right="300" w:firstLine="324"/>
        <w:spacing w:after="0" w:line="276" w:lineRule="auto"/>
        <w:rPr>
          <w:sz w:val="20"/>
          <w:szCs w:val="20"/>
          <w:color w:val="auto"/>
        </w:rPr>
      </w:pPr>
      <w:r>
        <w:rPr>
          <w:rFonts w:ascii="Arial" w:cs="Arial" w:eastAsia="Arial" w:hAnsi="Arial"/>
          <w:sz w:val="12"/>
          <w:szCs w:val="12"/>
          <w:color w:val="auto"/>
        </w:rPr>
        <w:t>Advertising costs are expensed as incurred and were $78.8 million, $47.2 million and $27.0 million in the years ended December 31, 2021, 2020 and 2019, respectively. Advertising costs are included in sales and marketing expenses in the accompanying consolidated statements of operations.</w:t>
      </w:r>
    </w:p>
    <w:p>
      <w:pPr>
        <w:spacing w:after="0" w:line="115" w:lineRule="exact"/>
        <w:rPr>
          <w:sz w:val="20"/>
          <w:szCs w:val="20"/>
          <w:color w:val="auto"/>
        </w:rPr>
      </w:pPr>
    </w:p>
    <w:p>
      <w:pPr>
        <w:ind w:left="860" w:hanging="544"/>
        <w:spacing w:after="0"/>
        <w:tabs>
          <w:tab w:leader="none" w:pos="860" w:val="left"/>
        </w:tabs>
        <w:numPr>
          <w:ilvl w:val="0"/>
          <w:numId w:val="5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Stock-Based Compensation</w:t>
      </w:r>
    </w:p>
    <w:p>
      <w:pPr>
        <w:spacing w:after="0" w:line="150"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All stock-based compensation to employees, including the purchase rights issued under the Company's 2016 Employee Stock Purchase Plan (the “ESPP”), is measured on the grant date based on the fair value of the awards on the date of grant. These costs are recognized as an expense following straight-line attribution method over the requisite service period. The Company uses the Black-Scholes option pricing model to measure the fair value of its stock options and the purchase rights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7" w:name="page88"/>
    <w:bookmarkEnd w:id="8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issued under the ESPP. The fair value of the restricted stock units is determined using the fair value of the Company's Class A common stock on the date of grant and recognized as an expense following straight-line attribution method over the requisite service period. Forfeitures are recorded in the period in which they occur.</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Compensation expense for stock options granted to nonemployees is calculated using the Black-Scholes option pricing model and is recognized in expense over the service period.</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Black-Scholes option pricing model requires the use of complex assumptions, which determine the fair value of stock options and the purchase rights issued under ESPP. These assumptions include:</w:t>
      </w:r>
    </w:p>
    <w:p>
      <w:pPr>
        <w:spacing w:after="0" w:line="150" w:lineRule="exact"/>
        <w:rPr>
          <w:sz w:val="20"/>
          <w:szCs w:val="20"/>
          <w:color w:val="auto"/>
        </w:rPr>
      </w:pPr>
    </w:p>
    <w:p>
      <w:pPr>
        <w:ind w:left="640" w:hanging="216"/>
        <w:spacing w:after="0"/>
        <w:tabs>
          <w:tab w:leader="none" w:pos="640" w:val="left"/>
        </w:tabs>
        <w:numPr>
          <w:ilvl w:val="0"/>
          <w:numId w:val="5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Fair value of the common stock. </w:t>
      </w:r>
      <w:r>
        <w:rPr>
          <w:rFonts w:ascii="Arial" w:cs="Arial" w:eastAsia="Arial" w:hAnsi="Arial"/>
          <w:sz w:val="12"/>
          <w:szCs w:val="12"/>
          <w:color w:val="auto"/>
        </w:rPr>
        <w:t>The Company uses the market closing price of its Class A common stock, as reported on the New York Stock Exchange, for the fair value.</w:t>
      </w:r>
    </w:p>
    <w:p>
      <w:pPr>
        <w:spacing w:after="0" w:line="150" w:lineRule="exact"/>
        <w:rPr>
          <w:rFonts w:ascii="Arial" w:cs="Arial" w:eastAsia="Arial" w:hAnsi="Arial"/>
          <w:sz w:val="12"/>
          <w:szCs w:val="12"/>
          <w:i w:val="1"/>
          <w:iCs w:val="1"/>
          <w:color w:val="auto"/>
        </w:rPr>
      </w:pPr>
    </w:p>
    <w:p>
      <w:pPr>
        <w:ind w:left="640" w:right="40" w:hanging="216"/>
        <w:spacing w:after="0" w:line="276" w:lineRule="auto"/>
        <w:tabs>
          <w:tab w:leader="none" w:pos="637" w:val="left"/>
        </w:tabs>
        <w:numPr>
          <w:ilvl w:val="0"/>
          <w:numId w:val="5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Expected term. </w:t>
      </w:r>
      <w:r>
        <w:rPr>
          <w:rFonts w:ascii="Arial" w:cs="Arial" w:eastAsia="Arial" w:hAnsi="Arial"/>
          <w:sz w:val="12"/>
          <w:szCs w:val="12"/>
          <w:color w:val="auto"/>
        </w:rPr>
        <w:t>The expected term represents the period that the stock option or the purchase right is expected to be outstanding. The Company uses the simplified calculation of expected term, which reflects the weighted-average time-to-vest and the contractual life of the stock option or the purchase right;</w:t>
      </w:r>
    </w:p>
    <w:p>
      <w:pPr>
        <w:spacing w:after="0" w:line="114" w:lineRule="exact"/>
        <w:rPr>
          <w:rFonts w:ascii="Arial" w:cs="Arial" w:eastAsia="Arial" w:hAnsi="Arial"/>
          <w:sz w:val="12"/>
          <w:szCs w:val="12"/>
          <w:i w:val="1"/>
          <w:iCs w:val="1"/>
          <w:color w:val="auto"/>
        </w:rPr>
      </w:pPr>
    </w:p>
    <w:p>
      <w:pPr>
        <w:ind w:left="640" w:right="60" w:hanging="216"/>
        <w:spacing w:after="0" w:line="263" w:lineRule="auto"/>
        <w:tabs>
          <w:tab w:leader="none" w:pos="637" w:val="left"/>
        </w:tabs>
        <w:numPr>
          <w:ilvl w:val="0"/>
          <w:numId w:val="5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Prior to July 1, 2021, the expected volatility was derived from an average of the historical volatilities of the Class A common stock of the Company and several other entities with characteristics similar</w:t>
      </w:r>
      <w:r>
        <w:rPr>
          <w:rFonts w:ascii="Arial" w:cs="Arial" w:eastAsia="Arial" w:hAnsi="Arial"/>
          <w:sz w:val="12"/>
          <w:szCs w:val="12"/>
          <w:i w:val="1"/>
          <w:iCs w:val="1"/>
          <w:color w:val="auto"/>
        </w:rPr>
        <w:t xml:space="preserve"> </w:t>
      </w:r>
      <w:r>
        <w:rPr>
          <w:rFonts w:ascii="Arial" w:cs="Arial" w:eastAsia="Arial" w:hAnsi="Arial"/>
          <w:sz w:val="12"/>
          <w:szCs w:val="12"/>
          <w:color w:val="auto"/>
        </w:rPr>
        <w:t>to those of the Company, such as the size and operational and economic similarities to the Company's principal business operations. Beginning with the third quarter 2021, the expected volatility was derived from the average of the historical volatilities of the Class A common stock of the Company.</w:t>
      </w:r>
    </w:p>
    <w:p>
      <w:pPr>
        <w:spacing w:after="0" w:line="122" w:lineRule="exact"/>
        <w:rPr>
          <w:rFonts w:ascii="Arial" w:cs="Arial" w:eastAsia="Arial" w:hAnsi="Arial"/>
          <w:sz w:val="12"/>
          <w:szCs w:val="12"/>
          <w:i w:val="1"/>
          <w:iCs w:val="1"/>
          <w:color w:val="auto"/>
        </w:rPr>
      </w:pPr>
    </w:p>
    <w:p>
      <w:pPr>
        <w:ind w:left="640" w:right="80" w:hanging="216"/>
        <w:spacing w:after="0" w:line="276" w:lineRule="auto"/>
        <w:tabs>
          <w:tab w:leader="none" w:pos="637" w:val="left"/>
        </w:tabs>
        <w:numPr>
          <w:ilvl w:val="0"/>
          <w:numId w:val="5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Risk -free interest rate. </w:t>
      </w:r>
      <w:r>
        <w:rPr>
          <w:rFonts w:ascii="Arial" w:cs="Arial" w:eastAsia="Arial" w:hAnsi="Arial"/>
          <w:sz w:val="12"/>
          <w:szCs w:val="12"/>
          <w:color w:val="auto"/>
        </w:rPr>
        <w:t>The risk-free interest rate is based on the U.S. Treasury yield curve in effect at the time of grant for zero coupon U.S. Treasury notes with maturities approximately equal to the expected term of the</w:t>
      </w:r>
      <w:r>
        <w:rPr>
          <w:rFonts w:ascii="Arial" w:cs="Arial" w:eastAsia="Arial" w:hAnsi="Arial"/>
          <w:sz w:val="12"/>
          <w:szCs w:val="12"/>
          <w:i w:val="1"/>
          <w:iCs w:val="1"/>
          <w:color w:val="auto"/>
        </w:rPr>
        <w:t xml:space="preserve"> </w:t>
      </w:r>
      <w:r>
        <w:rPr>
          <w:rFonts w:ascii="Arial" w:cs="Arial" w:eastAsia="Arial" w:hAnsi="Arial"/>
          <w:sz w:val="12"/>
          <w:szCs w:val="12"/>
          <w:color w:val="auto"/>
        </w:rPr>
        <w:t>stock-based awards; and</w:t>
      </w:r>
    </w:p>
    <w:p>
      <w:pPr>
        <w:spacing w:after="0" w:line="114" w:lineRule="exact"/>
        <w:rPr>
          <w:rFonts w:ascii="Arial" w:cs="Arial" w:eastAsia="Arial" w:hAnsi="Arial"/>
          <w:sz w:val="12"/>
          <w:szCs w:val="12"/>
          <w:i w:val="1"/>
          <w:iCs w:val="1"/>
          <w:color w:val="auto"/>
        </w:rPr>
      </w:pPr>
    </w:p>
    <w:p>
      <w:pPr>
        <w:ind w:left="640" w:hanging="216"/>
        <w:spacing w:after="0"/>
        <w:tabs>
          <w:tab w:leader="none" w:pos="640" w:val="left"/>
        </w:tabs>
        <w:numPr>
          <w:ilvl w:val="0"/>
          <w:numId w:val="55"/>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Expected dividend. </w:t>
      </w:r>
      <w:r>
        <w:rPr>
          <w:rFonts w:ascii="Arial" w:cs="Arial" w:eastAsia="Arial" w:hAnsi="Arial"/>
          <w:sz w:val="12"/>
          <w:szCs w:val="12"/>
          <w:color w:val="auto"/>
        </w:rPr>
        <w:t>The expected dividend is assumed to be zero as the Company has never paid dividends and has no current plans to pay any dividends on its common stock.</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If any of the assumptions used in the Black-Scholes model changes, stock-based compensation for future options may differ materially compared to that associated with previous grants.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ind w:firstLine="324"/>
        <w:spacing w:after="0" w:line="289" w:lineRule="auto"/>
        <w:rPr>
          <w:sz w:val="20"/>
          <w:szCs w:val="20"/>
          <w:color w:val="auto"/>
        </w:rPr>
      </w:pPr>
      <w:r>
        <w:rPr>
          <w:rFonts w:ascii="Arial" w:cs="Arial" w:eastAsia="Arial" w:hAnsi="Arial"/>
          <w:sz w:val="11"/>
          <w:szCs w:val="11"/>
          <w:color w:val="auto"/>
        </w:rPr>
        <w:t>The Company accounts for income taxes in accordance with authoritative guidance which requires the use of the asset and liability approach. Deferred tax assets and liabilities are recognized for future tax consequences attributable to temporary differences between the financial statement carrying amounts of existing assets and liabilities and their respective tax bases, as well as net operating loss and tax credit carry-forwards. Deferred tax amounts are determined by using the enacted tax rates expected to be in effect when the temporary differences are expected to be recovered or settled. The effect on deferred tax assets and liabilities of a change in tax rates is recognized in income in the period that includes the enactment date. A valuation allowance reduces the deferred tax assets to the amount that is more likely than not to be realized.</w:t>
      </w:r>
    </w:p>
    <w:p>
      <w:pPr>
        <w:spacing w:after="0" w:line="11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2"/>
          <w:szCs w:val="12"/>
          <w:color w:val="auto"/>
        </w:rPr>
        <w:t>The Company recognizes the effect of uncertain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records interest and penalties related to uncertain tax positions in the provision for income taxes in the consolidated statements of operations.</w:t>
      </w:r>
    </w:p>
    <w:p>
      <w:pPr>
        <w:spacing w:after="0" w:line="150" w:lineRule="exact"/>
        <w:rPr>
          <w:sz w:val="20"/>
          <w:szCs w:val="20"/>
          <w:color w:val="auto"/>
        </w:rPr>
      </w:pPr>
    </w:p>
    <w:p>
      <w:pPr>
        <w:ind w:left="840" w:hanging="524"/>
        <w:spacing w:after="0"/>
        <w:tabs>
          <w:tab w:leader="none" w:pos="840" w:val="left"/>
        </w:tabs>
        <w:numPr>
          <w:ilvl w:val="0"/>
          <w:numId w:val="5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Foreign Currency Translation</w:t>
      </w:r>
    </w:p>
    <w:p>
      <w:pPr>
        <w:spacing w:after="0" w:line="150"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2"/>
          <w:szCs w:val="12"/>
          <w:color w:val="auto"/>
        </w:rPr>
        <w:t>The functional currency of the Company's foreign subsidiaries is generally the U.S. dollar. Accordingly, the subsidiaries remeasure monetary assets and liabilities at period-end exchange rates, while non-monetary items are remeasured at historical rates. Revenue and expense accounts are remeasured at the average exchange rate in effect during the year. Remeasurement adjustments are recognized in the consolidated statements of operations as other income or expense in the year of occurrence. Foreign currency transaction gains and losses were insignificant for all periods presented.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8" w:name="page89"/>
    <w:bookmarkEnd w:id="8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2"/>
          <w:szCs w:val="12"/>
          <w:color w:val="auto"/>
        </w:rPr>
        <w:t>For those entities where the functional currency is a foreign currency, adjustments resulting from translating the financial statements into U.S. dollars are recorded as a component of accumulated other comprehensive (loss) income in stockholders' equity. Monetary assets and liabilities denominated in a foreign currency are translated into U.S. dollars at the exchange rate on the balance sheet date. Revenue and expenses are translated at the weighted average exchange rates during the period. Equity transactions are translated using historical exchange rates. Foreign currency transaction gains and losses are included in other (expenses) income, net in the consolidated statements of operations.</w:t>
      </w:r>
    </w:p>
    <w:p>
      <w:pPr>
        <w:spacing w:after="0" w:line="124" w:lineRule="exact"/>
        <w:rPr>
          <w:sz w:val="20"/>
          <w:szCs w:val="20"/>
          <w:color w:val="auto"/>
        </w:rPr>
      </w:pPr>
    </w:p>
    <w:p>
      <w:pPr>
        <w:ind w:left="840" w:hanging="524"/>
        <w:spacing w:after="0"/>
        <w:tabs>
          <w:tab w:leader="none" w:pos="840" w:val="left"/>
        </w:tabs>
        <w:numPr>
          <w:ilvl w:val="0"/>
          <w:numId w:val="5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Comprehensive Loss</w:t>
      </w:r>
    </w:p>
    <w:p>
      <w:pPr>
        <w:spacing w:after="0" w:line="150" w:lineRule="exact"/>
        <w:rPr>
          <w:sz w:val="20"/>
          <w:szCs w:val="20"/>
          <w:color w:val="auto"/>
        </w:rPr>
      </w:pPr>
    </w:p>
    <w:p>
      <w:pPr>
        <w:ind w:right="20" w:firstLine="324"/>
        <w:spacing w:after="0" w:line="276" w:lineRule="auto"/>
        <w:rPr>
          <w:sz w:val="20"/>
          <w:szCs w:val="20"/>
          <w:color w:val="auto"/>
        </w:rPr>
      </w:pPr>
      <w:r>
        <w:rPr>
          <w:rFonts w:ascii="Arial" w:cs="Arial" w:eastAsia="Arial" w:hAnsi="Arial"/>
          <w:sz w:val="12"/>
          <w:szCs w:val="12"/>
          <w:color w:val="auto"/>
        </w:rPr>
        <w:t>Comprehensive loss refers to net loss and other revenue, expenses, gains and losses that, under generally accepted accounting principles, are recorded as an element of stockholders' equity but are excluded from the calculation of net loss.</w:t>
      </w:r>
    </w:p>
    <w:p>
      <w:pPr>
        <w:spacing w:after="0" w:line="115" w:lineRule="exact"/>
        <w:rPr>
          <w:sz w:val="20"/>
          <w:szCs w:val="20"/>
          <w:color w:val="auto"/>
        </w:rPr>
      </w:pPr>
    </w:p>
    <w:p>
      <w:pPr>
        <w:ind w:left="860" w:hanging="544"/>
        <w:spacing w:after="0"/>
        <w:tabs>
          <w:tab w:leader="none" w:pos="860" w:val="left"/>
        </w:tabs>
        <w:numPr>
          <w:ilvl w:val="0"/>
          <w:numId w:val="5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Net Loss Per Share Attributable to Common Stockholders</w:t>
      </w:r>
    </w:p>
    <w:p>
      <w:pPr>
        <w:spacing w:after="0" w:line="150" w:lineRule="exact"/>
        <w:rPr>
          <w:sz w:val="20"/>
          <w:szCs w:val="20"/>
          <w:color w:val="auto"/>
        </w:rPr>
      </w:pPr>
    </w:p>
    <w:p>
      <w:pPr>
        <w:ind w:right="100" w:firstLine="324"/>
        <w:spacing w:after="0" w:line="276" w:lineRule="auto"/>
        <w:rPr>
          <w:sz w:val="20"/>
          <w:szCs w:val="20"/>
          <w:color w:val="auto"/>
        </w:rPr>
      </w:pPr>
      <w:r>
        <w:rPr>
          <w:rFonts w:ascii="Arial" w:cs="Arial" w:eastAsia="Arial" w:hAnsi="Arial"/>
          <w:sz w:val="12"/>
          <w:szCs w:val="12"/>
          <w:color w:val="auto"/>
        </w:rPr>
        <w:t>The Company calculates its basic and diluted net loss per share attributable to common stockholders in conformity with the two-class method required for companies with participating securities. The Company has 100,000,000 shares of preferred stock that was authorized but never issued or outstanding.</w:t>
      </w:r>
    </w:p>
    <w:p>
      <w:pPr>
        <w:spacing w:after="0" w:line="115"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Class A and Class B common stock are the only outstanding equity of the Company. The rights of the holders of Class A and Class B common stock are identical, except with respect to voting and conversion. Each share of Class A common stock is entitled to one vote per share and each share of Class B common stock is entitled to 10 votes per share. Shares of Class B common stock may be converted into Class A common stock at any time at the option of the stockholder on a one-for-one basis, and are automatically converted into Class A common stock upon sale or transfer, subject to certain limited exceptions. Shares of Class A common stock are not convertible.</w:t>
      </w:r>
    </w:p>
    <w:p>
      <w:pPr>
        <w:spacing w:after="0" w:line="105"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color w:val="auto"/>
        </w:rPr>
        <w:t>The Company also has dilutive securities, such as potential or restricted common shares or common stock equivalents, that were excluded from the calculation of diluted net loss per share attributable to common stockholders as their effect is antidilutive. These securities are presented in Note 16 to these consolidated financial statements.</w:t>
      </w:r>
    </w:p>
    <w:p>
      <w:pPr>
        <w:spacing w:after="0" w:line="115" w:lineRule="exact"/>
        <w:rPr>
          <w:sz w:val="20"/>
          <w:szCs w:val="20"/>
          <w:color w:val="auto"/>
        </w:rPr>
      </w:pPr>
    </w:p>
    <w:p>
      <w:pPr>
        <w:ind w:left="860" w:hanging="544"/>
        <w:spacing w:after="0"/>
        <w:tabs>
          <w:tab w:leader="none" w:pos="860" w:val="left"/>
        </w:tabs>
        <w:numPr>
          <w:ilvl w:val="0"/>
          <w:numId w:val="5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ind w:right="20" w:firstLine="324"/>
        <w:spacing w:after="0" w:line="263" w:lineRule="auto"/>
        <w:rPr>
          <w:sz w:val="20"/>
          <w:szCs w:val="20"/>
          <w:color w:val="auto"/>
        </w:rPr>
      </w:pPr>
      <w:r>
        <w:rPr>
          <w:rFonts w:ascii="Arial" w:cs="Arial" w:eastAsia="Arial" w:hAnsi="Arial"/>
          <w:sz w:val="12"/>
          <w:szCs w:val="12"/>
          <w:color w:val="auto"/>
        </w:rPr>
        <w:t>The Company considers all highly liquid investments with an original maturity of three months or less when purchased to be cash equivalents. Cash equivalents consist of cash deposited into money market funds and commercial paper. All credit and debit card transactions that process as of the last day of each month and settle within the first few days of the subsequent month are also classified as cash and cash equivalents as of the end of the month in which they were processed.</w:t>
      </w:r>
    </w:p>
    <w:p>
      <w:pPr>
        <w:spacing w:after="0" w:line="122" w:lineRule="exact"/>
        <w:rPr>
          <w:sz w:val="20"/>
          <w:szCs w:val="20"/>
          <w:color w:val="auto"/>
        </w:rPr>
      </w:pPr>
    </w:p>
    <w:p>
      <w:pPr>
        <w:ind w:left="860" w:hanging="544"/>
        <w:spacing w:after="0"/>
        <w:tabs>
          <w:tab w:leader="none" w:pos="860" w:val="left"/>
        </w:tabs>
        <w:numPr>
          <w:ilvl w:val="0"/>
          <w:numId w:val="6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Accounts Receivable and Allowance for Doubtful Accounts</w:t>
      </w:r>
    </w:p>
    <w:p>
      <w:pPr>
        <w:spacing w:after="0" w:line="150" w:lineRule="exact"/>
        <w:rPr>
          <w:sz w:val="20"/>
          <w:szCs w:val="20"/>
          <w:color w:val="auto"/>
        </w:rPr>
      </w:pPr>
    </w:p>
    <w:p>
      <w:pPr>
        <w:ind w:right="120" w:firstLine="324"/>
        <w:spacing w:after="0" w:line="285" w:lineRule="auto"/>
        <w:rPr>
          <w:sz w:val="20"/>
          <w:szCs w:val="20"/>
          <w:color w:val="auto"/>
        </w:rPr>
      </w:pPr>
      <w:r>
        <w:rPr>
          <w:rFonts w:ascii="Arial" w:cs="Arial" w:eastAsia="Arial" w:hAnsi="Arial"/>
          <w:sz w:val="11"/>
          <w:szCs w:val="11"/>
          <w:color w:val="auto"/>
        </w:rPr>
        <w:t>Accounts receivable are recorded net of the allowance for doubtful accounts. The allowance for doubtful accounts is estimated based on the Company's assessment of its ability to collect on customer accounts receivable. The Company regularly reviews the allowance by considering certain factors such as historical experience, credit quality, age of accounts receivable balances and other known conditions that may affect a customer's ability to pay. In cases where the Company is aware of circumstances that may impair a specific customer's ability to meet their financial obligations, a specific allowance is recorded against amounts due from the customer which reduces the net recognized receivable to the amount the Company reasonably believe will be collected. The Company writes-off accounts receivable against the allowance when a determination is made that the balance is uncollectible and collection of the receivable is no longer being actively pursued. As of December 31, 2021 and 2020, the allowance for doubtful accounts was not significant to the accompanying consolidated balance sheets.</w:t>
      </w:r>
    </w:p>
    <w:p>
      <w:pPr>
        <w:spacing w:after="0" w:line="113" w:lineRule="exact"/>
        <w:rPr>
          <w:sz w:val="20"/>
          <w:szCs w:val="20"/>
          <w:color w:val="auto"/>
        </w:rPr>
      </w:pPr>
    </w:p>
    <w:p>
      <w:pPr>
        <w:ind w:left="840" w:hanging="524"/>
        <w:spacing w:after="0"/>
        <w:tabs>
          <w:tab w:leader="none" w:pos="840" w:val="left"/>
        </w:tabs>
        <w:numPr>
          <w:ilvl w:val="0"/>
          <w:numId w:val="6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Costs Related to Public Offerings</w:t>
      </w:r>
    </w:p>
    <w:p>
      <w:pPr>
        <w:spacing w:after="0" w:line="150" w:lineRule="exact"/>
        <w:rPr>
          <w:sz w:val="20"/>
          <w:szCs w:val="20"/>
          <w:color w:val="auto"/>
        </w:rPr>
      </w:pPr>
    </w:p>
    <w:p>
      <w:pPr>
        <w:ind w:right="280" w:firstLine="324"/>
        <w:spacing w:after="0" w:line="276" w:lineRule="auto"/>
        <w:rPr>
          <w:sz w:val="20"/>
          <w:szCs w:val="20"/>
          <w:color w:val="auto"/>
        </w:rPr>
      </w:pPr>
      <w:r>
        <w:rPr>
          <w:rFonts w:ascii="Arial" w:cs="Arial" w:eastAsia="Arial" w:hAnsi="Arial"/>
          <w:sz w:val="12"/>
          <w:szCs w:val="12"/>
          <w:color w:val="auto"/>
        </w:rPr>
        <w:t>Costs related to public offerings, which consist of direct incremental legal, printing and accounting fees are deferred until the offering is completed. Upon completion of the offering, these costs are offset against the offering proceeds within the consolidated statements of stockholders' equity.</w:t>
      </w:r>
    </w:p>
    <w:p>
      <w:pPr>
        <w:spacing w:after="0" w:line="115" w:lineRule="exact"/>
        <w:rPr>
          <w:sz w:val="20"/>
          <w:szCs w:val="20"/>
          <w:color w:val="auto"/>
        </w:rPr>
      </w:pPr>
    </w:p>
    <w:p>
      <w:pPr>
        <w:ind w:left="840" w:hanging="524"/>
        <w:spacing w:after="0"/>
        <w:tabs>
          <w:tab w:leader="none" w:pos="840" w:val="left"/>
        </w:tabs>
        <w:numPr>
          <w:ilvl w:val="0"/>
          <w:numId w:val="6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Property and Equipment</w:t>
      </w:r>
    </w:p>
    <w:p>
      <w:pPr>
        <w:spacing w:after="0" w:line="150" w:lineRule="exact"/>
        <w:rPr>
          <w:sz w:val="20"/>
          <w:szCs w:val="20"/>
          <w:color w:val="auto"/>
        </w:rPr>
      </w:pPr>
    </w:p>
    <w:p>
      <w:pPr>
        <w:ind w:right="40" w:firstLine="324"/>
        <w:spacing w:after="0" w:line="276" w:lineRule="auto"/>
        <w:rPr>
          <w:sz w:val="20"/>
          <w:szCs w:val="20"/>
          <w:color w:val="auto"/>
        </w:rPr>
      </w:pPr>
      <w:r>
        <w:rPr>
          <w:rFonts w:ascii="Arial" w:cs="Arial" w:eastAsia="Arial" w:hAnsi="Arial"/>
          <w:sz w:val="12"/>
          <w:szCs w:val="12"/>
          <w:color w:val="auto"/>
        </w:rPr>
        <w:t>Property and equipment, both owned and under finance leases, is stated at cost less accumulated depreciation and amortization. Depreciation is computed using the straight-line method over the estimated useful life of the related asset. Maintenance and repairs are charged to expenses as incurred.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9" w:name="page90"/>
    <w:bookmarkEnd w:id="8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useful lives of property and equipment are as follows:</w:t>
      </w:r>
    </w:p>
    <w:p>
      <w:pPr>
        <w:spacing w:after="0" w:line="177" w:lineRule="exact"/>
        <w:rPr>
          <w:sz w:val="20"/>
          <w:szCs w:val="20"/>
          <w:color w:val="auto"/>
        </w:rPr>
      </w:pPr>
    </w:p>
    <w:tbl>
      <w:tblPr>
        <w:tblLayout w:type="fixed"/>
        <w:tblInd w:w="2180" w:type="dxa"/>
        <w:tblCellMar>
          <w:top w:w="0" w:type="dxa"/>
          <w:left w:w="0" w:type="dxa"/>
          <w:bottom w:w="0" w:type="dxa"/>
          <w:right w:w="0" w:type="dxa"/>
        </w:tblCellMar>
      </w:tblPr>
      <w:tr>
        <w:trPr>
          <w:trHeight w:val="144"/>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Capitalized internal-use software development costs</w:t>
            </w:r>
          </w:p>
        </w:tc>
        <w:tc>
          <w:tcPr>
            <w:tcW w:w="3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 years</w:t>
            </w:r>
          </w:p>
        </w:tc>
      </w:tr>
      <w:tr>
        <w:trPr>
          <w:trHeight w:val="142"/>
        </w:trPr>
        <w:tc>
          <w:tcPr>
            <w:tcW w:w="3920" w:type="dxa"/>
            <w:vAlign w:val="bottom"/>
          </w:tcPr>
          <w:p>
            <w:pPr>
              <w:ind w:left="20"/>
              <w:spacing w:after="0"/>
              <w:rPr>
                <w:sz w:val="20"/>
                <w:szCs w:val="20"/>
                <w:color w:val="auto"/>
              </w:rPr>
            </w:pPr>
            <w:r>
              <w:rPr>
                <w:rFonts w:ascii="Arial" w:cs="Arial" w:eastAsia="Arial" w:hAnsi="Arial"/>
                <w:sz w:val="11"/>
                <w:szCs w:val="11"/>
                <w:color w:val="auto"/>
              </w:rPr>
              <w:t>Data center equipment</w:t>
            </w:r>
          </w:p>
        </w:tc>
        <w:tc>
          <w:tcPr>
            <w:tcW w:w="3000" w:type="dxa"/>
            <w:vAlign w:val="bottom"/>
          </w:tcPr>
          <w:p>
            <w:pPr>
              <w:jc w:val="right"/>
              <w:spacing w:after="0"/>
              <w:rPr>
                <w:sz w:val="20"/>
                <w:szCs w:val="20"/>
                <w:color w:val="auto"/>
              </w:rPr>
            </w:pPr>
            <w:r>
              <w:rPr>
                <w:rFonts w:ascii="Arial" w:cs="Arial" w:eastAsia="Arial" w:hAnsi="Arial"/>
                <w:sz w:val="11"/>
                <w:szCs w:val="11"/>
                <w:color w:val="auto"/>
              </w:rPr>
              <w:t>2 - 4 years</w:t>
            </w:r>
          </w:p>
        </w:tc>
      </w:tr>
      <w:tr>
        <w:trPr>
          <w:trHeight w:val="146"/>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Office equipment</w:t>
            </w:r>
          </w:p>
        </w:tc>
        <w:tc>
          <w:tcPr>
            <w:tcW w:w="3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 years</w:t>
            </w:r>
          </w:p>
        </w:tc>
      </w:tr>
      <w:tr>
        <w:trPr>
          <w:trHeight w:val="142"/>
        </w:trPr>
        <w:tc>
          <w:tcPr>
            <w:tcW w:w="3920" w:type="dxa"/>
            <w:vAlign w:val="bottom"/>
          </w:tcPr>
          <w:p>
            <w:pPr>
              <w:ind w:left="20"/>
              <w:spacing w:after="0"/>
              <w:rPr>
                <w:sz w:val="20"/>
                <w:szCs w:val="20"/>
                <w:color w:val="auto"/>
              </w:rPr>
            </w:pPr>
            <w:r>
              <w:rPr>
                <w:rFonts w:ascii="Arial" w:cs="Arial" w:eastAsia="Arial" w:hAnsi="Arial"/>
                <w:sz w:val="11"/>
                <w:szCs w:val="11"/>
                <w:color w:val="auto"/>
              </w:rPr>
              <w:t>Furniture and fixtures</w:t>
            </w:r>
          </w:p>
        </w:tc>
        <w:tc>
          <w:tcPr>
            <w:tcW w:w="3000" w:type="dxa"/>
            <w:vAlign w:val="bottom"/>
          </w:tcPr>
          <w:p>
            <w:pPr>
              <w:jc w:val="right"/>
              <w:spacing w:after="0"/>
              <w:rPr>
                <w:sz w:val="20"/>
                <w:szCs w:val="20"/>
                <w:color w:val="auto"/>
              </w:rPr>
            </w:pPr>
            <w:r>
              <w:rPr>
                <w:rFonts w:ascii="Arial" w:cs="Arial" w:eastAsia="Arial" w:hAnsi="Arial"/>
                <w:sz w:val="11"/>
                <w:szCs w:val="11"/>
                <w:color w:val="auto"/>
              </w:rPr>
              <w:t>5 years</w:t>
            </w:r>
          </w:p>
        </w:tc>
      </w:tr>
      <w:tr>
        <w:trPr>
          <w:trHeight w:val="146"/>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Software</w:t>
            </w:r>
          </w:p>
        </w:tc>
        <w:tc>
          <w:tcPr>
            <w:tcW w:w="3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 years</w:t>
            </w:r>
          </w:p>
        </w:tc>
      </w:tr>
      <w:tr>
        <w:trPr>
          <w:trHeight w:val="142"/>
        </w:trPr>
        <w:tc>
          <w:tcPr>
            <w:tcW w:w="3920" w:type="dxa"/>
            <w:vAlign w:val="bottom"/>
          </w:tcPr>
          <w:p>
            <w:pPr>
              <w:ind w:left="20"/>
              <w:spacing w:after="0"/>
              <w:rPr>
                <w:sz w:val="20"/>
                <w:szCs w:val="20"/>
                <w:color w:val="auto"/>
              </w:rPr>
            </w:pPr>
            <w:r>
              <w:rPr>
                <w:rFonts w:ascii="Arial" w:cs="Arial" w:eastAsia="Arial" w:hAnsi="Arial"/>
                <w:sz w:val="11"/>
                <w:szCs w:val="11"/>
                <w:color w:val="auto"/>
              </w:rPr>
              <w:t>Assets under financing lease</w:t>
            </w:r>
          </w:p>
        </w:tc>
        <w:tc>
          <w:tcPr>
            <w:tcW w:w="3000" w:type="dxa"/>
            <w:vAlign w:val="bottom"/>
          </w:tcPr>
          <w:p>
            <w:pPr>
              <w:jc w:val="right"/>
              <w:spacing w:after="0"/>
              <w:rPr>
                <w:sz w:val="20"/>
                <w:szCs w:val="20"/>
                <w:color w:val="auto"/>
              </w:rPr>
            </w:pPr>
            <w:r>
              <w:rPr>
                <w:rFonts w:ascii="Arial" w:cs="Arial" w:eastAsia="Arial" w:hAnsi="Arial"/>
                <w:sz w:val="11"/>
                <w:szCs w:val="11"/>
                <w:color w:val="auto"/>
              </w:rPr>
              <w:t>5 years or remaining lease term</w:t>
            </w:r>
          </w:p>
        </w:tc>
      </w:tr>
      <w:tr>
        <w:trPr>
          <w:trHeight w:val="146"/>
        </w:trPr>
        <w:tc>
          <w:tcPr>
            <w:tcW w:w="3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Leasehold improvements</w:t>
            </w:r>
          </w:p>
        </w:tc>
        <w:tc>
          <w:tcPr>
            <w:tcW w:w="3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 years or remaining lease term</w:t>
            </w:r>
          </w:p>
        </w:tc>
      </w:tr>
    </w:tbl>
    <w:p>
      <w:pPr>
        <w:spacing w:after="0" w:line="198" w:lineRule="exact"/>
        <w:rPr>
          <w:sz w:val="20"/>
          <w:szCs w:val="20"/>
          <w:color w:val="auto"/>
        </w:rPr>
      </w:pPr>
    </w:p>
    <w:p>
      <w:pPr>
        <w:ind w:left="860" w:hanging="544"/>
        <w:spacing w:after="0"/>
        <w:tabs>
          <w:tab w:leader="none" w:pos="860" w:val="left"/>
        </w:tabs>
        <w:numPr>
          <w:ilvl w:val="0"/>
          <w:numId w:val="6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ind w:right="140" w:firstLine="324"/>
        <w:spacing w:after="0" w:line="276" w:lineRule="auto"/>
        <w:rPr>
          <w:sz w:val="20"/>
          <w:szCs w:val="20"/>
          <w:color w:val="auto"/>
        </w:rPr>
      </w:pPr>
      <w:r>
        <w:rPr>
          <w:rFonts w:ascii="Arial" w:cs="Arial" w:eastAsia="Arial" w:hAnsi="Arial"/>
          <w:sz w:val="12"/>
          <w:szCs w:val="12"/>
          <w:color w:val="auto"/>
        </w:rPr>
        <w:t>The Company determines if an arrangement is or contains a lease at contract inception. The Company presents the operating leases in long-term assets and current and long-term liabilities. Finance lease assets are included in property and equipment, net, and finance lease liabilities are presented in current and long-term liabilities in the accompanying consolidated balance sheets.</w:t>
      </w:r>
    </w:p>
    <w:p>
      <w:pPr>
        <w:spacing w:after="0" w:line="115" w:lineRule="exact"/>
        <w:rPr>
          <w:sz w:val="20"/>
          <w:szCs w:val="20"/>
          <w:color w:val="auto"/>
        </w:rPr>
      </w:pPr>
    </w:p>
    <w:p>
      <w:pPr>
        <w:ind w:right="40" w:firstLine="324"/>
        <w:spacing w:after="0" w:line="283" w:lineRule="auto"/>
        <w:rPr>
          <w:sz w:val="20"/>
          <w:szCs w:val="20"/>
          <w:color w:val="auto"/>
        </w:rPr>
      </w:pPr>
      <w:r>
        <w:rPr>
          <w:rFonts w:ascii="Arial" w:cs="Arial" w:eastAsia="Arial" w:hAnsi="Arial"/>
          <w:sz w:val="11"/>
          <w:szCs w:val="11"/>
          <w:color w:val="auto"/>
        </w:rPr>
        <w:t>Right-of-use (“ROU”) assets represent the Company’s right to use an underlying asset for the lease term and lease liabilities represent the Company’s obligation to make lease payments arising from the lease. Operating lease ROU assets and lease liabilities are measured and recognized at the lease commencement date based on the present value of the remaining lease payments over the lease term. As the Company’s leases do not generally provide an implicit rate, the Company uses its incremental borrowing rate based on the information available at commencement date in determining the present value of lease payments. The Company’s lease agreements may have lease and non-lease components, which the Company accounts for as a single lease component. When estimating the lease term, the Company includes options to extend or terminate the lease when it is reasonably certain such options will be exercised. Operating lease costs are recognized in operating expenses in the accompanying consolidated statements of operations on a straight-line basis over the lease term and variable payments are recognized in the period they are incurred. The Company’s lease agreements do not contain any residual value guarantees. Leases with an initial term of 12 months or less are not recorded on the balance sheet.</w:t>
      </w:r>
    </w:p>
    <w:p>
      <w:pPr>
        <w:spacing w:after="0" w:line="113" w:lineRule="exact"/>
        <w:rPr>
          <w:sz w:val="20"/>
          <w:szCs w:val="20"/>
          <w:color w:val="auto"/>
        </w:rPr>
      </w:pPr>
    </w:p>
    <w:p>
      <w:pPr>
        <w:ind w:right="180" w:firstLine="324"/>
        <w:spacing w:after="0" w:line="276" w:lineRule="auto"/>
        <w:rPr>
          <w:sz w:val="20"/>
          <w:szCs w:val="20"/>
          <w:color w:val="auto"/>
        </w:rPr>
      </w:pPr>
      <w:r>
        <w:rPr>
          <w:rFonts w:ascii="Arial" w:cs="Arial" w:eastAsia="Arial" w:hAnsi="Arial"/>
          <w:sz w:val="12"/>
          <w:szCs w:val="12"/>
          <w:color w:val="auto"/>
        </w:rPr>
        <w:t>Within the consolidated statements of cash flows, the Company presents the lease payments made on the operating leases as cash flows from operations and principal payments made on the finance leases as part of financing activities.</w:t>
      </w:r>
    </w:p>
    <w:p>
      <w:pPr>
        <w:spacing w:after="0" w:line="115" w:lineRule="exact"/>
        <w:rPr>
          <w:sz w:val="20"/>
          <w:szCs w:val="20"/>
          <w:color w:val="auto"/>
        </w:rPr>
      </w:pPr>
    </w:p>
    <w:p>
      <w:pPr>
        <w:ind w:left="840" w:hanging="524"/>
        <w:spacing w:after="0"/>
        <w:tabs>
          <w:tab w:leader="none" w:pos="840" w:val="left"/>
        </w:tabs>
        <w:numPr>
          <w:ilvl w:val="0"/>
          <w:numId w:val="6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Intangible Assets</w:t>
      </w:r>
    </w:p>
    <w:p>
      <w:pPr>
        <w:spacing w:after="0" w:line="150" w:lineRule="exact"/>
        <w:rPr>
          <w:sz w:val="20"/>
          <w:szCs w:val="20"/>
          <w:color w:val="auto"/>
        </w:rPr>
      </w:pPr>
    </w:p>
    <w:p>
      <w:pPr>
        <w:ind w:right="40" w:firstLine="324"/>
        <w:spacing w:after="0" w:line="276" w:lineRule="auto"/>
        <w:rPr>
          <w:sz w:val="20"/>
          <w:szCs w:val="20"/>
          <w:color w:val="auto"/>
        </w:rPr>
      </w:pPr>
      <w:r>
        <w:rPr>
          <w:rFonts w:ascii="Arial" w:cs="Arial" w:eastAsia="Arial" w:hAnsi="Arial"/>
          <w:sz w:val="12"/>
          <w:szCs w:val="12"/>
          <w:color w:val="auto"/>
        </w:rPr>
        <w:t>Intangible assets recorded by the Company are costs directly associated with securing legal registration of patents and trademarks, acquiring domain names and the fair value of identifiable intangible assets acquired in business combinations.</w:t>
      </w:r>
    </w:p>
    <w:p>
      <w:pPr>
        <w:spacing w:after="0" w:line="115" w:lineRule="exact"/>
        <w:rPr>
          <w:sz w:val="20"/>
          <w:szCs w:val="20"/>
          <w:color w:val="auto"/>
        </w:rPr>
      </w:pPr>
    </w:p>
    <w:p>
      <w:pPr>
        <w:ind w:firstLine="324"/>
        <w:spacing w:after="0" w:line="289" w:lineRule="auto"/>
        <w:rPr>
          <w:sz w:val="20"/>
          <w:szCs w:val="20"/>
          <w:color w:val="auto"/>
        </w:rPr>
      </w:pPr>
      <w:r>
        <w:rPr>
          <w:rFonts w:ascii="Arial" w:cs="Arial" w:eastAsia="Arial" w:hAnsi="Arial"/>
          <w:sz w:val="11"/>
          <w:szCs w:val="11"/>
          <w:color w:val="auto"/>
        </w:rPr>
        <w:t>Intangible assets with determinable economic lives are carried at cost, less accumulated amortization. Amortization is computed over the estimated useful life of each asset on a straight-line basis. The Company determines the useful lives of identifiable intangible assets after considering the specific facts and circumstances related to each intangible asset. Factors the Company considers when determining useful lives include the contractual term of any agreement related to the asset, the historical performance of the asset, the Company's long-term strategy for using the asset, any laws or other local regulations which could impact the useful life of the asset and other economic factors, including competition and specific market conditions. Intangible assets without determinable economic lives are carried at cost, not amortized and reviewed for impairment at least annually.</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31" w:right="399" w:bottom="1440" w:gutter="0" w:footer="0" w:header="0"/>
        </w:sectPr>
      </w:pPr>
    </w:p>
    <w:bookmarkStart w:id="90" w:name="page91"/>
    <w:bookmarkEnd w:id="9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useful lives of the intangible assets are as follows:</w:t>
      </w:r>
    </w:p>
    <w:p>
      <w:pPr>
        <w:spacing w:after="0" w:line="177"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3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Developed technology</w:t>
            </w:r>
          </w:p>
        </w:tc>
        <w:tc>
          <w:tcPr>
            <w:tcW w:w="3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3 - 7 years</w:t>
            </w:r>
          </w:p>
        </w:tc>
      </w:tr>
      <w:tr>
        <w:trPr>
          <w:trHeight w:val="142"/>
        </w:trPr>
        <w:tc>
          <w:tcPr>
            <w:tcW w:w="3780" w:type="dxa"/>
            <w:vAlign w:val="bottom"/>
          </w:tcPr>
          <w:p>
            <w:pPr>
              <w:ind w:left="20"/>
              <w:spacing w:after="0"/>
              <w:rPr>
                <w:sz w:val="20"/>
                <w:szCs w:val="20"/>
                <w:color w:val="auto"/>
              </w:rPr>
            </w:pPr>
            <w:r>
              <w:rPr>
                <w:rFonts w:ascii="Arial" w:cs="Arial" w:eastAsia="Arial" w:hAnsi="Arial"/>
                <w:sz w:val="11"/>
                <w:szCs w:val="11"/>
                <w:color w:val="auto"/>
              </w:rPr>
              <w:t>Customer relationships</w:t>
            </w:r>
          </w:p>
        </w:tc>
        <w:tc>
          <w:tcPr>
            <w:tcW w:w="3060" w:type="dxa"/>
            <w:vAlign w:val="bottom"/>
          </w:tcPr>
          <w:p>
            <w:pPr>
              <w:jc w:val="right"/>
              <w:spacing w:after="0"/>
              <w:rPr>
                <w:sz w:val="20"/>
                <w:szCs w:val="20"/>
                <w:color w:val="auto"/>
              </w:rPr>
            </w:pPr>
            <w:r>
              <w:rPr>
                <w:rFonts w:ascii="Arial" w:cs="Arial" w:eastAsia="Arial" w:hAnsi="Arial"/>
                <w:sz w:val="11"/>
                <w:szCs w:val="11"/>
                <w:color w:val="auto"/>
              </w:rPr>
              <w:t>2 - 10 years</w:t>
            </w:r>
          </w:p>
        </w:tc>
      </w:tr>
      <w:tr>
        <w:trPr>
          <w:trHeight w:val="146"/>
        </w:trPr>
        <w:tc>
          <w:tcPr>
            <w:tcW w:w="3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Supplier relationships</w:t>
            </w:r>
          </w:p>
        </w:tc>
        <w:tc>
          <w:tcPr>
            <w:tcW w:w="3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2 - 5 years</w:t>
            </w:r>
          </w:p>
        </w:tc>
      </w:tr>
      <w:tr>
        <w:trPr>
          <w:trHeight w:val="142"/>
        </w:trPr>
        <w:tc>
          <w:tcPr>
            <w:tcW w:w="3780" w:type="dxa"/>
            <w:vAlign w:val="bottom"/>
          </w:tcPr>
          <w:p>
            <w:pPr>
              <w:ind w:left="20"/>
              <w:spacing w:after="0"/>
              <w:rPr>
                <w:sz w:val="20"/>
                <w:szCs w:val="20"/>
                <w:color w:val="auto"/>
              </w:rPr>
            </w:pPr>
            <w:r>
              <w:rPr>
                <w:rFonts w:ascii="Arial" w:cs="Arial" w:eastAsia="Arial" w:hAnsi="Arial"/>
                <w:sz w:val="11"/>
                <w:szCs w:val="11"/>
                <w:color w:val="auto"/>
              </w:rPr>
              <w:t>Trade names</w:t>
            </w:r>
          </w:p>
        </w:tc>
        <w:tc>
          <w:tcPr>
            <w:tcW w:w="3060" w:type="dxa"/>
            <w:vAlign w:val="bottom"/>
          </w:tcPr>
          <w:p>
            <w:pPr>
              <w:jc w:val="right"/>
              <w:spacing w:after="0"/>
              <w:rPr>
                <w:sz w:val="20"/>
                <w:szCs w:val="20"/>
                <w:color w:val="auto"/>
              </w:rPr>
            </w:pPr>
            <w:r>
              <w:rPr>
                <w:rFonts w:ascii="Arial" w:cs="Arial" w:eastAsia="Arial" w:hAnsi="Arial"/>
                <w:sz w:val="11"/>
                <w:szCs w:val="11"/>
                <w:color w:val="auto"/>
              </w:rPr>
              <w:t>5 years</w:t>
            </w:r>
          </w:p>
        </w:tc>
      </w:tr>
      <w:tr>
        <w:trPr>
          <w:trHeight w:val="146"/>
        </w:trPr>
        <w:tc>
          <w:tcPr>
            <w:tcW w:w="3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Order backlog</w:t>
            </w:r>
          </w:p>
        </w:tc>
        <w:tc>
          <w:tcPr>
            <w:tcW w:w="3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 year</w:t>
            </w:r>
          </w:p>
        </w:tc>
      </w:tr>
      <w:tr>
        <w:trPr>
          <w:trHeight w:val="142"/>
        </w:trPr>
        <w:tc>
          <w:tcPr>
            <w:tcW w:w="3780" w:type="dxa"/>
            <w:vAlign w:val="bottom"/>
          </w:tcPr>
          <w:p>
            <w:pPr>
              <w:ind w:left="20"/>
              <w:spacing w:after="0"/>
              <w:rPr>
                <w:sz w:val="20"/>
                <w:szCs w:val="20"/>
                <w:color w:val="auto"/>
              </w:rPr>
            </w:pPr>
            <w:r>
              <w:rPr>
                <w:rFonts w:ascii="Arial" w:cs="Arial" w:eastAsia="Arial" w:hAnsi="Arial"/>
                <w:sz w:val="11"/>
                <w:szCs w:val="11"/>
                <w:color w:val="auto"/>
              </w:rPr>
              <w:t>Patents</w:t>
            </w:r>
          </w:p>
        </w:tc>
        <w:tc>
          <w:tcPr>
            <w:tcW w:w="3060" w:type="dxa"/>
            <w:vAlign w:val="bottom"/>
          </w:tcPr>
          <w:p>
            <w:pPr>
              <w:jc w:val="right"/>
              <w:spacing w:after="0"/>
              <w:rPr>
                <w:sz w:val="20"/>
                <w:szCs w:val="20"/>
                <w:color w:val="auto"/>
              </w:rPr>
            </w:pPr>
            <w:r>
              <w:rPr>
                <w:rFonts w:ascii="Arial" w:cs="Arial" w:eastAsia="Arial" w:hAnsi="Arial"/>
                <w:sz w:val="11"/>
                <w:szCs w:val="11"/>
                <w:color w:val="auto"/>
              </w:rPr>
              <w:t>20 years</w:t>
            </w:r>
          </w:p>
        </w:tc>
      </w:tr>
      <w:tr>
        <w:trPr>
          <w:trHeight w:val="146"/>
        </w:trPr>
        <w:tc>
          <w:tcPr>
            <w:tcW w:w="3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Telecommunication licenses</w:t>
            </w:r>
          </w:p>
        </w:tc>
        <w:tc>
          <w:tcPr>
            <w:tcW w:w="3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Indefinite</w:t>
            </w:r>
          </w:p>
        </w:tc>
      </w:tr>
      <w:tr>
        <w:trPr>
          <w:trHeight w:val="142"/>
        </w:trPr>
        <w:tc>
          <w:tcPr>
            <w:tcW w:w="3780" w:type="dxa"/>
            <w:vAlign w:val="bottom"/>
          </w:tcPr>
          <w:p>
            <w:pPr>
              <w:ind w:left="20"/>
              <w:spacing w:after="0"/>
              <w:rPr>
                <w:sz w:val="20"/>
                <w:szCs w:val="20"/>
                <w:color w:val="auto"/>
              </w:rPr>
            </w:pPr>
            <w:r>
              <w:rPr>
                <w:rFonts w:ascii="Arial" w:cs="Arial" w:eastAsia="Arial" w:hAnsi="Arial"/>
                <w:sz w:val="11"/>
                <w:szCs w:val="11"/>
                <w:color w:val="auto"/>
              </w:rPr>
              <w:t>Trademarks</w:t>
            </w:r>
          </w:p>
        </w:tc>
        <w:tc>
          <w:tcPr>
            <w:tcW w:w="3060" w:type="dxa"/>
            <w:vAlign w:val="bottom"/>
          </w:tcPr>
          <w:p>
            <w:pPr>
              <w:jc w:val="right"/>
              <w:spacing w:after="0"/>
              <w:rPr>
                <w:sz w:val="20"/>
                <w:szCs w:val="20"/>
                <w:color w:val="auto"/>
              </w:rPr>
            </w:pPr>
            <w:r>
              <w:rPr>
                <w:rFonts w:ascii="Arial" w:cs="Arial" w:eastAsia="Arial" w:hAnsi="Arial"/>
                <w:sz w:val="11"/>
                <w:szCs w:val="11"/>
                <w:color w:val="auto"/>
              </w:rPr>
              <w:t>Indefinite</w:t>
            </w:r>
          </w:p>
        </w:tc>
      </w:tr>
      <w:tr>
        <w:trPr>
          <w:trHeight w:val="146"/>
        </w:trPr>
        <w:tc>
          <w:tcPr>
            <w:tcW w:w="3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Domain names</w:t>
            </w:r>
          </w:p>
        </w:tc>
        <w:tc>
          <w:tcPr>
            <w:tcW w:w="3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Indefinite</w:t>
            </w:r>
          </w:p>
        </w:tc>
      </w:tr>
    </w:tbl>
    <w:p>
      <w:pPr>
        <w:spacing w:after="0" w:line="198" w:lineRule="exact"/>
        <w:rPr>
          <w:sz w:val="20"/>
          <w:szCs w:val="20"/>
          <w:color w:val="auto"/>
        </w:rPr>
      </w:pPr>
    </w:p>
    <w:p>
      <w:pPr>
        <w:ind w:left="860" w:hanging="544"/>
        <w:spacing w:after="0"/>
        <w:tabs>
          <w:tab w:leader="none" w:pos="860" w:val="left"/>
        </w:tabs>
        <w:numPr>
          <w:ilvl w:val="0"/>
          <w:numId w:val="6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Goodwill</w:t>
      </w:r>
    </w:p>
    <w:p>
      <w:pPr>
        <w:spacing w:after="0" w:line="15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The Company has determined that it operates as one reporting unit and has selected November 30 as the date to perform its annual impairment test. In the valuation of goodwill, management must make assumptions regarding estimated future cash flows to be derived from the Company's business. If these estimates or their related assumptions change in the future, the Company may be required to record impairment for these assets.</w:t>
      </w:r>
    </w:p>
    <w:p>
      <w:pPr>
        <w:spacing w:after="0" w:line="124" w:lineRule="exact"/>
        <w:rPr>
          <w:sz w:val="20"/>
          <w:szCs w:val="20"/>
          <w:color w:val="auto"/>
        </w:rPr>
      </w:pPr>
    </w:p>
    <w:p>
      <w:pPr>
        <w:ind w:right="60" w:firstLine="324"/>
        <w:spacing w:after="0" w:line="263" w:lineRule="auto"/>
        <w:rPr>
          <w:sz w:val="20"/>
          <w:szCs w:val="20"/>
          <w:color w:val="auto"/>
        </w:rPr>
      </w:pPr>
      <w:r>
        <w:rPr>
          <w:rFonts w:ascii="Arial" w:cs="Arial" w:eastAsia="Arial" w:hAnsi="Arial"/>
          <w:sz w:val="12"/>
          <w:szCs w:val="12"/>
          <w:color w:val="auto"/>
        </w:rPr>
        <w:t>The Company has the option to first perform a qualitative assessment to determine if it is more likely than not that the fair value of a reporting unit is less than its carrying amount. However, the Company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 goodwill impairment charges have been recorded for any period presented.</w:t>
      </w:r>
    </w:p>
    <w:p>
      <w:pPr>
        <w:spacing w:after="0" w:line="141" w:lineRule="exact"/>
        <w:rPr>
          <w:sz w:val="20"/>
          <w:szCs w:val="20"/>
          <w:color w:val="auto"/>
        </w:rPr>
      </w:pPr>
    </w:p>
    <w:p>
      <w:pPr>
        <w:ind w:left="860" w:hanging="544"/>
        <w:spacing w:after="0"/>
        <w:tabs>
          <w:tab w:leader="none" w:pos="860" w:val="left"/>
        </w:tabs>
        <w:numPr>
          <w:ilvl w:val="0"/>
          <w:numId w:val="6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Derivatives and Hedging</w:t>
      </w:r>
    </w:p>
    <w:p>
      <w:pPr>
        <w:spacing w:after="0" w:line="150" w:lineRule="exact"/>
        <w:rPr>
          <w:sz w:val="20"/>
          <w:szCs w:val="20"/>
          <w:color w:val="auto"/>
        </w:rPr>
      </w:pPr>
    </w:p>
    <w:p>
      <w:pPr>
        <w:ind w:right="40" w:firstLine="324"/>
        <w:spacing w:after="0" w:line="298" w:lineRule="auto"/>
        <w:rPr>
          <w:sz w:val="20"/>
          <w:szCs w:val="20"/>
          <w:color w:val="auto"/>
        </w:rPr>
      </w:pPr>
      <w:r>
        <w:rPr>
          <w:rFonts w:ascii="Arial" w:cs="Arial" w:eastAsia="Arial" w:hAnsi="Arial"/>
          <w:sz w:val="11"/>
          <w:szCs w:val="11"/>
          <w:color w:val="auto"/>
        </w:rPr>
        <w:t>The Company is exposed to a wide variety of risks arising from its business operations and overall economic conditions. These risks include exposure to fluctuations in various foreign currencies against its functional currency and can impact the value of cash receipts and payments. The Company minimizes its exposure to these risks through management of its core business activities, specifically, the amounts, sources and duration of its assets and liabilities, and the use of derivative financial instruments. During 2021, the Company started using foreign currency derivative forward contracts and in the future may also use foreign currency option contacts.</w:t>
      </w:r>
    </w:p>
    <w:p>
      <w:pPr>
        <w:spacing w:after="0" w:line="10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2"/>
          <w:szCs w:val="12"/>
          <w:color w:val="auto"/>
        </w:rPr>
        <w:t>Foreign currency derivative forward contracts involve fixing the exchange rate for delivery of a specified amount of foreign currency on a specified date. These agreements are typically cash settled in U.S. dollars for their fair value at or close to their settlement date. Foreign currency option contracts will require the Company to pay a premium for the right to sell a specified amount of foreign currency prior to the maturity date of the option. The Company does not enter into derivative financial instruments trading for speculative purposes.</w:t>
      </w:r>
    </w:p>
    <w:p>
      <w:pPr>
        <w:spacing w:after="0" w:line="122" w:lineRule="exact"/>
        <w:rPr>
          <w:sz w:val="20"/>
          <w:szCs w:val="20"/>
          <w:color w:val="auto"/>
        </w:rPr>
      </w:pPr>
    </w:p>
    <w:p>
      <w:pPr>
        <w:ind w:right="140" w:firstLine="324"/>
        <w:spacing w:after="0" w:line="340" w:lineRule="auto"/>
        <w:rPr>
          <w:sz w:val="20"/>
          <w:szCs w:val="20"/>
          <w:color w:val="auto"/>
        </w:rPr>
      </w:pPr>
      <w:r>
        <w:rPr>
          <w:rFonts w:ascii="Arial" w:cs="Arial" w:eastAsia="Arial" w:hAnsi="Arial"/>
          <w:sz w:val="10"/>
          <w:szCs w:val="10"/>
          <w:color w:val="auto"/>
        </w:rPr>
        <w:t>Derivative instruments are carried at fair value and recorded as either an asset or a liability until they mature. Gains and losses resulting from changes in fair value of these instruments are accounted for depending on the use of the derivative and whether it is designated and qualifies for hedge accounting. For derivative instruments designated as cash flow hedges, gains or losses are initially recorded in other comprehensive income (“OCI”) in the balance sheet, then reclassified into the statement of operations in the period in which the derivative instruments mature. These realized gains and losses are recorded within the same financial statement line item as the hedged transaction.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91" w:name="page92"/>
    <w:bookmarkEnd w:id="9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160" w:firstLine="324"/>
        <w:spacing w:after="0" w:line="276" w:lineRule="auto"/>
        <w:rPr>
          <w:sz w:val="20"/>
          <w:szCs w:val="20"/>
          <w:color w:val="auto"/>
        </w:rPr>
      </w:pPr>
      <w:r>
        <w:rPr>
          <w:rFonts w:ascii="Arial" w:cs="Arial" w:eastAsia="Arial" w:hAnsi="Arial"/>
          <w:sz w:val="12"/>
          <w:szCs w:val="12"/>
          <w:color w:val="auto"/>
        </w:rPr>
        <w:t>The Company’s foreign currency derivative contracts are classified within Level 2 of the fair value hierarchy because the valuation inputs are based on quoted prices and market observable data of similar instruments in active markets, such as currency spot and forward rates.</w:t>
      </w:r>
    </w:p>
    <w:p>
      <w:pPr>
        <w:spacing w:after="0" w:line="115" w:lineRule="exact"/>
        <w:rPr>
          <w:sz w:val="20"/>
          <w:szCs w:val="20"/>
          <w:color w:val="auto"/>
        </w:rPr>
      </w:pPr>
    </w:p>
    <w:p>
      <w:pPr>
        <w:ind w:left="860" w:hanging="544"/>
        <w:spacing w:after="0"/>
        <w:tabs>
          <w:tab w:leader="none" w:pos="860" w:val="left"/>
        </w:tabs>
        <w:numPr>
          <w:ilvl w:val="0"/>
          <w:numId w:val="6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Impairment of Long-Lived Assets</w:t>
      </w:r>
    </w:p>
    <w:p>
      <w:pPr>
        <w:spacing w:after="0" w:line="1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2"/>
          <w:szCs w:val="12"/>
          <w:color w:val="auto"/>
        </w:rPr>
        <w:t>The Company evaluates its long-lived assets, including property, equipment and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 There were no impairments during the years ended December 31, 2021, 2020 and 2019.</w:t>
      </w:r>
    </w:p>
    <w:p>
      <w:pPr>
        <w:spacing w:after="0" w:line="124" w:lineRule="exact"/>
        <w:rPr>
          <w:sz w:val="20"/>
          <w:szCs w:val="20"/>
          <w:color w:val="auto"/>
        </w:rPr>
      </w:pPr>
    </w:p>
    <w:p>
      <w:pPr>
        <w:ind w:left="860" w:hanging="544"/>
        <w:spacing w:after="0"/>
        <w:tabs>
          <w:tab w:leader="none" w:pos="860" w:val="left"/>
        </w:tabs>
        <w:numPr>
          <w:ilvl w:val="0"/>
          <w:numId w:val="6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Business Combinations</w:t>
      </w:r>
    </w:p>
    <w:p>
      <w:pPr>
        <w:spacing w:after="0" w:line="1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2"/>
          <w:szCs w:val="12"/>
          <w:color w:val="auto"/>
        </w:rPr>
        <w:t>The Company recognizes identifiable assets acquired and liabilities assumed at their acquisition date fair values. Goodwill is measured as the excess of the consideration transferred over the fair value of assets acquired and liabilities assumed on the acquisition date. While the Company uses its best estimates and assumptions as part of the purchase price allocation process to accurately value assets acquired and liabilities assumed, these estimates are inherently uncertain and subject to refinement. The authoritative guidance allows a measurement period of up to one year from the date of acquisition to make adjustments to the preliminary allocation of the purchase price. As a result, during the measurement period the Company may record adjustments to the fair values of assets acquired and liabilities assumed, with the corresponding offset to goodwill to the extent that it identifies adjustments to the preliminary purchase price allocation. Upon conclusion of the measurement period or final determination of the values of the assets acquired and liabilities assumed, whichever comes first, any subsequent adjustments will be recorded to the consolidated statement of operations.</w:t>
      </w:r>
    </w:p>
    <w:p>
      <w:pPr>
        <w:spacing w:after="0" w:line="128" w:lineRule="exact"/>
        <w:rPr>
          <w:sz w:val="20"/>
          <w:szCs w:val="20"/>
          <w:color w:val="auto"/>
        </w:rPr>
      </w:pPr>
    </w:p>
    <w:p>
      <w:pPr>
        <w:ind w:left="840" w:hanging="524"/>
        <w:spacing w:after="0"/>
        <w:tabs>
          <w:tab w:leader="none" w:pos="840" w:val="left"/>
        </w:tabs>
        <w:numPr>
          <w:ilvl w:val="0"/>
          <w:numId w:val="6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Segment Information</w:t>
      </w:r>
    </w:p>
    <w:p>
      <w:pPr>
        <w:spacing w:after="0" w:line="150" w:lineRule="exact"/>
        <w:rPr>
          <w:sz w:val="20"/>
          <w:szCs w:val="20"/>
          <w:color w:val="auto"/>
        </w:rPr>
      </w:pPr>
    </w:p>
    <w:p>
      <w:pPr>
        <w:ind w:right="480" w:firstLine="324"/>
        <w:spacing w:after="0" w:line="276" w:lineRule="auto"/>
        <w:rPr>
          <w:sz w:val="20"/>
          <w:szCs w:val="20"/>
          <w:color w:val="auto"/>
        </w:rPr>
      </w:pPr>
      <w:r>
        <w:rPr>
          <w:rFonts w:ascii="Arial" w:cs="Arial" w:eastAsia="Arial" w:hAnsi="Arial"/>
          <w:sz w:val="12"/>
          <w:szCs w:val="12"/>
          <w:color w:val="auto"/>
        </w:rPr>
        <w:t>The Company's Chief Executive Officer is the chief operating decision maker, who reviews the Company's financial information presented on a consolidated basis for purposes of allocating resources and evaluating the Company's financial performance. Accordingly, the Company has determined that it operates in a single reporting segment.</w:t>
      </w:r>
    </w:p>
    <w:p>
      <w:pPr>
        <w:spacing w:after="0" w:line="115" w:lineRule="exact"/>
        <w:rPr>
          <w:sz w:val="20"/>
          <w:szCs w:val="20"/>
          <w:color w:val="auto"/>
        </w:rPr>
      </w:pPr>
    </w:p>
    <w:p>
      <w:pPr>
        <w:ind w:left="840" w:hanging="524"/>
        <w:spacing w:after="0"/>
        <w:tabs>
          <w:tab w:leader="none" w:pos="840" w:val="left"/>
        </w:tabs>
        <w:numPr>
          <w:ilvl w:val="0"/>
          <w:numId w:val="7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Fair Value of Financial Instruments</w:t>
      </w:r>
    </w:p>
    <w:p>
      <w:pPr>
        <w:spacing w:after="0" w:line="15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22" w:lineRule="exact"/>
        <w:rPr>
          <w:sz w:val="20"/>
          <w:szCs w:val="20"/>
          <w:color w:val="auto"/>
        </w:rPr>
      </w:pPr>
    </w:p>
    <w:p>
      <w:pPr>
        <w:ind w:left="640" w:hanging="216"/>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Level 1 Inputs: Unadjusted quoted prices in active markets for identical assets or liabilities accessible to the reporting entity at the measurement date.</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Level 2 Inputs: Other than quoted prices included in Level 1 inputs that are observable for the asset or liability, either directly or indirectly, for substantially the full term of the asset or liability.</w:t>
      </w:r>
    </w:p>
    <w:p>
      <w:pPr>
        <w:spacing w:after="0" w:line="150" w:lineRule="exact"/>
        <w:rPr>
          <w:rFonts w:ascii="Arial" w:cs="Arial" w:eastAsia="Arial" w:hAnsi="Arial"/>
          <w:sz w:val="12"/>
          <w:szCs w:val="12"/>
          <w:color w:val="auto"/>
        </w:rPr>
      </w:pPr>
    </w:p>
    <w:p>
      <w:pPr>
        <w:ind w:left="640" w:right="40" w:hanging="216"/>
        <w:spacing w:after="0" w:line="276" w:lineRule="auto"/>
        <w:tabs>
          <w:tab w:leader="none" w:pos="637" w:val="left"/>
        </w:tabs>
        <w:numPr>
          <w:ilvl w:val="0"/>
          <w:numId w:val="71"/>
        </w:numPr>
        <w:rPr>
          <w:rFonts w:ascii="Arial" w:cs="Arial" w:eastAsia="Arial" w:hAnsi="Arial"/>
          <w:sz w:val="12"/>
          <w:szCs w:val="12"/>
          <w:color w:val="auto"/>
        </w:rPr>
      </w:pPr>
      <w:r>
        <w:rPr>
          <w:rFonts w:ascii="Arial" w:cs="Arial" w:eastAsia="Arial" w:hAnsi="Arial"/>
          <w:sz w:val="12"/>
          <w:szCs w:val="12"/>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 financial instrument's categorization within the valuation hierarchy is based upon the lowest level of input that is significant to the fair value measurement.</w:t>
      </w:r>
    </w:p>
    <w:p>
      <w:pPr>
        <w:spacing w:after="0" w:line="150"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The Company applies fair value accounting for all financial instruments on a recurring basis. The Company's financial instruments, which include cash, restricted cash, cash equivalents, accounts receivable and accounts payable are recorded at their carrying amounts, which approximate their fair values due to their short-term nature. Marketable securities consist of U.S. treasury securities, non-U.S government securities, high credit quality corporate debt securities and commercial paper. All marketable securities are considered to be available-for-sale and recorded at their estimated fair values. Unrealized gains and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92" w:name="page93"/>
    <w:bookmarkEnd w:id="92"/>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8" w:right="280"/>
        <w:spacing w:after="0" w:line="276" w:lineRule="auto"/>
        <w:rPr>
          <w:sz w:val="20"/>
          <w:szCs w:val="20"/>
          <w:color w:val="auto"/>
        </w:rPr>
      </w:pPr>
      <w:r>
        <w:rPr>
          <w:rFonts w:ascii="Arial" w:cs="Arial" w:eastAsia="Arial" w:hAnsi="Arial"/>
          <w:sz w:val="12"/>
          <w:szCs w:val="12"/>
          <w:color w:val="auto"/>
        </w:rPr>
        <w:t>losses for available-for-sale securities are recorded in other comprehensive loss. In valuing these items, the Company uses inputs and assumptions that market participants would use to determine their fair value, utilizing valuation techniques that maximize the use of observable inputs and minimize the use of unobservable inputs.</w:t>
      </w:r>
    </w:p>
    <w:p>
      <w:pPr>
        <w:spacing w:after="0" w:line="115" w:lineRule="exact"/>
        <w:rPr>
          <w:sz w:val="20"/>
          <w:szCs w:val="20"/>
          <w:color w:val="auto"/>
        </w:rPr>
      </w:pPr>
    </w:p>
    <w:p>
      <w:pPr>
        <w:ind w:left="8" w:right="140" w:firstLine="324"/>
        <w:spacing w:after="0" w:line="276" w:lineRule="auto"/>
        <w:rPr>
          <w:sz w:val="20"/>
          <w:szCs w:val="20"/>
          <w:color w:val="auto"/>
        </w:rPr>
      </w:pPr>
      <w:r>
        <w:rPr>
          <w:rFonts w:ascii="Arial" w:cs="Arial" w:eastAsia="Arial" w:hAnsi="Arial"/>
          <w:sz w:val="12"/>
          <w:szCs w:val="12"/>
          <w:color w:val="auto"/>
        </w:rPr>
        <w:t>The fair value of the senior notes due 2031 and 2029 (“2029 Notes” and “2031 Notes,” respectively) and the fair value of the convertible senior notes due 2023 (the “Convertible Notes” fully redeemed in 2021) are determined based on their respective closing prices on the last trading day of the reporting period and are classified as Level 2 in the fair value hierarchy.</w:t>
      </w:r>
    </w:p>
    <w:p>
      <w:pPr>
        <w:spacing w:after="0" w:line="115" w:lineRule="exact"/>
        <w:rPr>
          <w:sz w:val="20"/>
          <w:szCs w:val="20"/>
          <w:color w:val="auto"/>
        </w:rPr>
      </w:pPr>
    </w:p>
    <w:p>
      <w:pPr>
        <w:ind w:left="8" w:right="200" w:firstLine="324"/>
        <w:spacing w:after="0" w:line="323" w:lineRule="auto"/>
        <w:rPr>
          <w:sz w:val="20"/>
          <w:szCs w:val="20"/>
          <w:color w:val="auto"/>
        </w:rPr>
      </w:pPr>
      <w:r>
        <w:rPr>
          <w:rFonts w:ascii="Arial" w:cs="Arial" w:eastAsia="Arial" w:hAnsi="Arial"/>
          <w:sz w:val="11"/>
          <w:szCs w:val="11"/>
          <w:color w:val="auto"/>
        </w:rPr>
        <w:t>The carrying value of the strategic investments, which consist of restricted equity securities of a publicly held company and equity securities of privately held companies, is determined under the measurement alternative on a non-recurring basis adjusting for observable changes in fair value. The Company does not have a controlling interest nor can it exercise significant influence over any of these entities.</w:t>
      </w:r>
    </w:p>
    <w:p>
      <w:pPr>
        <w:spacing w:after="0" w:line="92" w:lineRule="exact"/>
        <w:rPr>
          <w:sz w:val="20"/>
          <w:szCs w:val="20"/>
          <w:color w:val="auto"/>
        </w:rPr>
      </w:pPr>
    </w:p>
    <w:p>
      <w:pPr>
        <w:ind w:left="8" w:right="120" w:firstLine="324"/>
        <w:spacing w:after="0" w:line="276" w:lineRule="auto"/>
        <w:rPr>
          <w:sz w:val="20"/>
          <w:szCs w:val="20"/>
          <w:color w:val="auto"/>
        </w:rPr>
      </w:pPr>
      <w:r>
        <w:rPr>
          <w:rFonts w:ascii="Arial" w:cs="Arial" w:eastAsia="Arial" w:hAnsi="Arial"/>
          <w:sz w:val="12"/>
          <w:szCs w:val="12"/>
          <w:color w:val="auto"/>
        </w:rPr>
        <w:t>The Company regularly reviews changes to the rating of its debt securities by rating agencies and monitors the surrounding economic conditions to assess the risk of expected credit losses. As of December 31, 2021, the risk of expected credit losses was not significant.</w:t>
      </w:r>
    </w:p>
    <w:p>
      <w:pPr>
        <w:spacing w:after="0" w:line="115" w:lineRule="exact"/>
        <w:rPr>
          <w:sz w:val="20"/>
          <w:szCs w:val="20"/>
          <w:color w:val="auto"/>
        </w:rPr>
      </w:pPr>
    </w:p>
    <w:p>
      <w:pPr>
        <w:ind w:left="8" w:right="140" w:firstLine="324"/>
        <w:spacing w:after="0" w:line="276" w:lineRule="auto"/>
        <w:rPr>
          <w:sz w:val="20"/>
          <w:szCs w:val="20"/>
          <w:color w:val="auto"/>
        </w:rPr>
      </w:pPr>
      <w:r>
        <w:rPr>
          <w:rFonts w:ascii="Arial" w:cs="Arial" w:eastAsia="Arial" w:hAnsi="Arial"/>
          <w:sz w:val="12"/>
          <w:szCs w:val="12"/>
          <w:color w:val="auto"/>
        </w:rPr>
        <w:t>Impairments are considered to be other than temporary if they are related to deterioration in credit risk or if it is likely that the security will be sold before the recovery of its cost basis. Realized gains and losses and declines in value deemed to be other than temporary are determined based on the specific identification method and are reported in other (expenses) income, net.</w:t>
      </w:r>
    </w:p>
    <w:p>
      <w:pPr>
        <w:spacing w:after="0" w:line="115" w:lineRule="exact"/>
        <w:rPr>
          <w:sz w:val="20"/>
          <w:szCs w:val="20"/>
          <w:color w:val="auto"/>
        </w:rPr>
      </w:pPr>
    </w:p>
    <w:p>
      <w:pPr>
        <w:ind w:left="328"/>
        <w:spacing w:after="0"/>
        <w:tabs>
          <w:tab w:leader="none" w:pos="828" w:val="left"/>
        </w:tabs>
        <w:rPr>
          <w:sz w:val="20"/>
          <w:szCs w:val="20"/>
          <w:color w:val="auto"/>
        </w:rPr>
      </w:pPr>
      <w:r>
        <w:rPr>
          <w:rFonts w:ascii="Arial" w:cs="Arial" w:eastAsia="Arial" w:hAnsi="Arial"/>
          <w:sz w:val="12"/>
          <w:szCs w:val="12"/>
          <w:b w:val="1"/>
          <w:bCs w:val="1"/>
          <w:i w:val="1"/>
          <w:iCs w:val="1"/>
          <w:color w:val="auto"/>
        </w:rPr>
        <w:t>(ab)</w:t>
      </w:r>
      <w:r>
        <w:rPr>
          <w:sz w:val="20"/>
          <w:szCs w:val="20"/>
          <w:color w:val="auto"/>
        </w:rPr>
        <w:tab/>
      </w:r>
      <w:r>
        <w:rPr>
          <w:rFonts w:ascii="Arial" w:cs="Arial" w:eastAsia="Arial" w:hAnsi="Arial"/>
          <w:sz w:val="12"/>
          <w:szCs w:val="12"/>
          <w:b w:val="1"/>
          <w:bCs w:val="1"/>
          <w:i w:val="1"/>
          <w:iCs w:val="1"/>
          <w:color w:val="auto"/>
        </w:rPr>
        <w:t>Recently Issued Accounting Guidance, Not yet Adopted</w:t>
      </w:r>
    </w:p>
    <w:p>
      <w:pPr>
        <w:spacing w:after="0" w:line="150" w:lineRule="exact"/>
        <w:rPr>
          <w:sz w:val="20"/>
          <w:szCs w:val="20"/>
          <w:color w:val="auto"/>
        </w:rPr>
      </w:pPr>
    </w:p>
    <w:p>
      <w:pPr>
        <w:ind w:left="8" w:firstLine="324"/>
        <w:spacing w:after="0" w:line="320" w:lineRule="auto"/>
        <w:rPr>
          <w:sz w:val="20"/>
          <w:szCs w:val="20"/>
          <w:color w:val="auto"/>
        </w:rPr>
      </w:pPr>
      <w:r>
        <w:rPr>
          <w:rFonts w:ascii="Arial" w:cs="Arial" w:eastAsia="Arial" w:hAnsi="Arial"/>
          <w:sz w:val="10"/>
          <w:szCs w:val="10"/>
          <w:color w:val="auto"/>
        </w:rPr>
        <w:t>In October 2021, the Financial Accounting Standards Board (“FASB”) issued Accounting Standards Update (“ASU”) 2021-08, “Business Combinations (Topic 805): Accounting for Contract Assets and Contract Liabilities from Contracts with Customers,” which requires that an entity recognize and measure contract assets and contract liabilities acquired in a business combination in accordance with ASC 606, "Revenue from Contracts with Customers". At the acquisition date, an acquirer should account for the related revenue contracts as if it had originated the contracts. Generally, this should result in an acquirer recognizing and measuring the acquired contact assets and contract liabilities consistent with how they were recognized and measured in the acquiree's financial statements, assuming the acquirer is able to assess and rely on how the acquiree applied ASC 606. ASU 2021-08 is effective for interim and annual periods beginning after December 15, 2022, with early adoption permitted. The Company expects to adopt ASU 2021-08 in the first quarter of 2022 with no material impact on the Company's consolidated financial statements.</w:t>
      </w:r>
    </w:p>
    <w:p>
      <w:pPr>
        <w:spacing w:after="0" w:line="255" w:lineRule="exact"/>
        <w:rPr>
          <w:sz w:val="20"/>
          <w:szCs w:val="20"/>
          <w:color w:val="auto"/>
        </w:rPr>
      </w:pPr>
    </w:p>
    <w:p>
      <w:pPr>
        <w:ind w:left="328" w:right="9820" w:hanging="328"/>
        <w:spacing w:after="0" w:line="605" w:lineRule="auto"/>
        <w:tabs>
          <w:tab w:leader="none" w:pos="124" w:val="left"/>
        </w:tabs>
        <w:numPr>
          <w:ilvl w:val="0"/>
          <w:numId w:val="72"/>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Fair Value Measurements </w:t>
      </w:r>
      <w:r>
        <w:rPr>
          <w:rFonts w:ascii="Arial" w:cs="Arial" w:eastAsia="Arial" w:hAnsi="Arial"/>
          <w:sz w:val="10"/>
          <w:szCs w:val="10"/>
          <w:i w:val="1"/>
          <w:iCs w:val="1"/>
          <w:color w:val="auto"/>
        </w:rPr>
        <w:t>Financial Assets</w:t>
      </w:r>
    </w:p>
    <w:p>
      <w:pPr>
        <w:ind w:left="328"/>
        <w:spacing w:after="0"/>
        <w:rPr>
          <w:rFonts w:ascii="Arial" w:cs="Arial" w:eastAsia="Arial" w:hAnsi="Arial"/>
          <w:sz w:val="10"/>
          <w:szCs w:val="10"/>
          <w:b w:val="1"/>
          <w:bCs w:val="1"/>
          <w:color w:val="auto"/>
        </w:rPr>
      </w:pPr>
      <w:r>
        <w:rPr>
          <w:rFonts w:ascii="Arial" w:cs="Arial" w:eastAsia="Arial" w:hAnsi="Arial"/>
          <w:sz w:val="12"/>
          <w:szCs w:val="12"/>
          <w:color w:val="auto"/>
        </w:rPr>
        <w:t>The following tables provide the financial assets measured at fair value on a recurring basis:</w:t>
      </w:r>
    </w:p>
    <w:p>
      <w:pPr>
        <w:spacing w:after="0" w:line="184" w:lineRule="exact"/>
        <w:rPr>
          <w:sz w:val="20"/>
          <w:szCs w:val="20"/>
          <w:color w:val="auto"/>
        </w:rPr>
      </w:pPr>
    </w:p>
    <w:tbl>
      <w:tblPr>
        <w:tblLayout w:type="fixed"/>
        <w:tblInd w:w="528" w:type="dxa"/>
        <w:tblCellMar>
          <w:top w:w="0" w:type="dxa"/>
          <w:left w:w="0" w:type="dxa"/>
          <w:bottom w:w="0" w:type="dxa"/>
          <w:right w:w="0" w:type="dxa"/>
        </w:tblCellMar>
      </w:tblPr>
      <w:tr>
        <w:trPr>
          <w:trHeight w:val="92"/>
        </w:trPr>
        <w:tc>
          <w:tcPr>
            <w:tcW w:w="2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Amortized</w:t>
            </w: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Fair Value Hierarchy as of</w:t>
            </w: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restart"/>
          </w:tcPr>
          <w:p>
            <w:pPr>
              <w:jc w:val="center"/>
              <w:ind w:right="260"/>
              <w:spacing w:after="0" w:line="81" w:lineRule="exact"/>
              <w:rPr>
                <w:sz w:val="20"/>
                <w:szCs w:val="20"/>
                <w:color w:val="auto"/>
              </w:rPr>
            </w:pPr>
            <w:r>
              <w:rPr>
                <w:rFonts w:ascii="Arial" w:cs="Arial" w:eastAsia="Arial" w:hAnsi="Arial"/>
                <w:sz w:val="8"/>
                <w:szCs w:val="8"/>
                <w:b w:val="1"/>
                <w:bCs w:val="1"/>
                <w:color w:val="auto"/>
                <w:w w:val="99"/>
              </w:rPr>
              <w:t>Cost or</w:t>
            </w:r>
          </w:p>
        </w:tc>
        <w:tc>
          <w:tcPr>
            <w:tcW w:w="180" w:type="dxa"/>
            <w:vAlign w:val="bottom"/>
          </w:tcPr>
          <w:p>
            <w:pPr>
              <w:spacing w:after="0"/>
              <w:rPr>
                <w:sz w:val="2"/>
                <w:szCs w:val="2"/>
                <w:color w:val="auto"/>
              </w:rPr>
            </w:pPr>
          </w:p>
        </w:tc>
        <w:tc>
          <w:tcPr>
            <w:tcW w:w="900" w:type="dxa"/>
            <w:vAlign w:val="bottom"/>
            <w:gridSpan w:val="2"/>
            <w:vMerge w:val="restart"/>
          </w:tcPr>
          <w:p>
            <w:pPr>
              <w:jc w:val="center"/>
              <w:ind w:right="260"/>
              <w:spacing w:after="0" w:line="81" w:lineRule="exact"/>
              <w:rPr>
                <w:sz w:val="20"/>
                <w:szCs w:val="20"/>
                <w:color w:val="auto"/>
              </w:rPr>
            </w:pPr>
            <w:r>
              <w:rPr>
                <w:rFonts w:ascii="Arial" w:cs="Arial" w:eastAsia="Arial" w:hAnsi="Arial"/>
                <w:sz w:val="8"/>
                <w:szCs w:val="8"/>
                <w:b w:val="1"/>
                <w:bCs w:val="1"/>
                <w:color w:val="auto"/>
                <w:w w:val="86"/>
              </w:rPr>
              <w:t>Gross</w:t>
            </w:r>
          </w:p>
        </w:tc>
        <w:tc>
          <w:tcPr>
            <w:tcW w:w="180" w:type="dxa"/>
            <w:vAlign w:val="bottom"/>
          </w:tcPr>
          <w:p>
            <w:pPr>
              <w:spacing w:after="0"/>
              <w:rPr>
                <w:sz w:val="2"/>
                <w:szCs w:val="2"/>
                <w:color w:val="auto"/>
              </w:rPr>
            </w:pPr>
          </w:p>
        </w:tc>
        <w:tc>
          <w:tcPr>
            <w:tcW w:w="900" w:type="dxa"/>
            <w:vAlign w:val="bottom"/>
            <w:gridSpan w:val="2"/>
            <w:vMerge w:val="restart"/>
          </w:tcPr>
          <w:p>
            <w:pPr>
              <w:jc w:val="center"/>
              <w:ind w:right="260"/>
              <w:spacing w:after="0" w:line="81" w:lineRule="exact"/>
              <w:rPr>
                <w:sz w:val="20"/>
                <w:szCs w:val="20"/>
                <w:color w:val="auto"/>
              </w:rPr>
            </w:pPr>
            <w:r>
              <w:rPr>
                <w:rFonts w:ascii="Arial" w:cs="Arial" w:eastAsia="Arial" w:hAnsi="Arial"/>
                <w:sz w:val="8"/>
                <w:szCs w:val="8"/>
                <w:b w:val="1"/>
                <w:bCs w:val="1"/>
                <w:color w:val="auto"/>
                <w:w w:val="86"/>
              </w:rPr>
              <w:t>Gross</w:t>
            </w: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2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8"/>
                <w:szCs w:val="8"/>
                <w:b w:val="1"/>
                <w:bCs w:val="1"/>
                <w:color w:val="auto"/>
                <w:w w:val="94"/>
              </w:rPr>
              <w:t>December 31, 2021</w:t>
            </w: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tcPr>
          <w:p>
            <w:pPr>
              <w:jc w:val="center"/>
              <w:ind w:right="260"/>
              <w:spacing w:after="0" w:line="58" w:lineRule="exact"/>
              <w:rPr>
                <w:sz w:val="20"/>
                <w:szCs w:val="20"/>
                <w:color w:val="auto"/>
              </w:rPr>
            </w:pPr>
            <w:r>
              <w:rPr>
                <w:rFonts w:ascii="Arial" w:cs="Arial" w:eastAsia="Arial" w:hAnsi="Arial"/>
                <w:sz w:val="6"/>
                <w:szCs w:val="6"/>
                <w:b w:val="1"/>
                <w:bCs w:val="1"/>
                <w:color w:val="auto"/>
              </w:rPr>
              <w:t>Carrying</w:t>
            </w:r>
          </w:p>
        </w:tc>
        <w:tc>
          <w:tcPr>
            <w:tcW w:w="180" w:type="dxa"/>
            <w:vAlign w:val="bottom"/>
          </w:tcPr>
          <w:p>
            <w:pPr>
              <w:spacing w:after="0"/>
              <w:rPr>
                <w:sz w:val="5"/>
                <w:szCs w:val="5"/>
                <w:color w:val="auto"/>
              </w:rPr>
            </w:pPr>
          </w:p>
        </w:tc>
        <w:tc>
          <w:tcPr>
            <w:tcW w:w="900" w:type="dxa"/>
            <w:vAlign w:val="bottom"/>
            <w:gridSpan w:val="2"/>
          </w:tcPr>
          <w:p>
            <w:pPr>
              <w:jc w:val="center"/>
              <w:ind w:right="260"/>
              <w:spacing w:after="0" w:line="58" w:lineRule="exact"/>
              <w:rPr>
                <w:sz w:val="20"/>
                <w:szCs w:val="20"/>
                <w:color w:val="auto"/>
              </w:rPr>
            </w:pPr>
            <w:r>
              <w:rPr>
                <w:rFonts w:ascii="Arial" w:cs="Arial" w:eastAsia="Arial" w:hAnsi="Arial"/>
                <w:sz w:val="6"/>
                <w:szCs w:val="6"/>
                <w:b w:val="1"/>
                <w:bCs w:val="1"/>
                <w:color w:val="auto"/>
              </w:rPr>
              <w:t>Unrealized</w:t>
            </w:r>
          </w:p>
        </w:tc>
        <w:tc>
          <w:tcPr>
            <w:tcW w:w="180" w:type="dxa"/>
            <w:vAlign w:val="bottom"/>
          </w:tcPr>
          <w:p>
            <w:pPr>
              <w:spacing w:after="0"/>
              <w:rPr>
                <w:sz w:val="5"/>
                <w:szCs w:val="5"/>
                <w:color w:val="auto"/>
              </w:rPr>
            </w:pPr>
          </w:p>
        </w:tc>
        <w:tc>
          <w:tcPr>
            <w:tcW w:w="900" w:type="dxa"/>
            <w:vAlign w:val="bottom"/>
            <w:gridSpan w:val="2"/>
          </w:tcPr>
          <w:p>
            <w:pPr>
              <w:jc w:val="center"/>
              <w:ind w:right="260"/>
              <w:spacing w:after="0" w:line="58" w:lineRule="exact"/>
              <w:rPr>
                <w:sz w:val="20"/>
                <w:szCs w:val="20"/>
                <w:color w:val="auto"/>
              </w:rPr>
            </w:pPr>
            <w:r>
              <w:rPr>
                <w:rFonts w:ascii="Arial" w:cs="Arial" w:eastAsia="Arial" w:hAnsi="Arial"/>
                <w:sz w:val="6"/>
                <w:szCs w:val="6"/>
                <w:b w:val="1"/>
                <w:bCs w:val="1"/>
                <w:color w:val="auto"/>
              </w:rPr>
              <w:t>Unrealized</w:t>
            </w: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jc w:val="right"/>
              <w:ind w:right="274"/>
              <w:spacing w:after="0" w:line="58" w:lineRule="exact"/>
              <w:rPr>
                <w:sz w:val="20"/>
                <w:szCs w:val="20"/>
                <w:color w:val="auto"/>
              </w:rPr>
            </w:pPr>
            <w:r>
              <w:rPr>
                <w:rFonts w:ascii="Arial" w:cs="Arial" w:eastAsia="Arial" w:hAnsi="Arial"/>
                <w:sz w:val="6"/>
                <w:szCs w:val="6"/>
                <w:b w:val="1"/>
                <w:bCs w:val="1"/>
                <w:color w:val="auto"/>
              </w:rPr>
              <w:t>Aggregate</w:t>
            </w:r>
          </w:p>
        </w:tc>
        <w:tc>
          <w:tcPr>
            <w:tcW w:w="0" w:type="dxa"/>
            <w:vAlign w:val="bottom"/>
          </w:tcPr>
          <w:p>
            <w:pPr>
              <w:spacing w:after="0"/>
              <w:rPr>
                <w:sz w:val="1"/>
                <w:szCs w:val="1"/>
                <w:color w:val="auto"/>
              </w:rPr>
            </w:pPr>
          </w:p>
        </w:tc>
      </w:tr>
      <w:tr>
        <w:trPr>
          <w:trHeight w:val="115"/>
        </w:trPr>
        <w:tc>
          <w:tcPr>
            <w:tcW w:w="27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8"/>
                <w:szCs w:val="8"/>
                <w:b w:val="1"/>
                <w:bCs w:val="1"/>
                <w:color w:val="auto"/>
                <w:w w:val="93"/>
              </w:rPr>
              <w:t>Value</w:t>
            </w: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8"/>
                <w:szCs w:val="8"/>
                <w:b w:val="1"/>
                <w:bCs w:val="1"/>
                <w:color w:val="auto"/>
                <w:w w:val="89"/>
              </w:rPr>
              <w:t>Gains</w:t>
            </w: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8"/>
                <w:szCs w:val="8"/>
                <w:b w:val="1"/>
                <w:bCs w:val="1"/>
                <w:color w:val="auto"/>
                <w:w w:val="86"/>
              </w:rPr>
              <w:t>Losses</w:t>
            </w: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8"/>
                <w:szCs w:val="8"/>
                <w:b w:val="1"/>
                <w:bCs w:val="1"/>
                <w:color w:val="auto"/>
                <w:w w:val="95"/>
              </w:rPr>
              <w:t>Level 1</w:t>
            </w: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8"/>
                <w:szCs w:val="8"/>
                <w:b w:val="1"/>
                <w:bCs w:val="1"/>
                <w:color w:val="auto"/>
                <w:w w:val="95"/>
              </w:rPr>
              <w:t>Level 2</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8"/>
                <w:szCs w:val="8"/>
                <w:b w:val="1"/>
                <w:bCs w:val="1"/>
                <w:color w:val="auto"/>
              </w:rPr>
              <w:t>Level 3</w:t>
            </w: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8"/>
                <w:szCs w:val="8"/>
                <w:b w:val="1"/>
                <w:bCs w:val="1"/>
                <w:color w:val="auto"/>
              </w:rPr>
              <w:t>Fair Value</w:t>
            </w:r>
          </w:p>
        </w:tc>
        <w:tc>
          <w:tcPr>
            <w:tcW w:w="0" w:type="dxa"/>
            <w:vAlign w:val="bottom"/>
          </w:tcPr>
          <w:p>
            <w:pPr>
              <w:spacing w:after="0"/>
              <w:rPr>
                <w:sz w:val="1"/>
                <w:szCs w:val="1"/>
                <w:color w:val="auto"/>
              </w:rPr>
            </w:pPr>
          </w:p>
        </w:tc>
      </w:tr>
      <w:tr>
        <w:trPr>
          <w:trHeight w:val="120"/>
        </w:trPr>
        <w:tc>
          <w:tcPr>
            <w:tcW w:w="2780" w:type="dxa"/>
            <w:vAlign w:val="bottom"/>
            <w:shd w:val="clear" w:color="auto" w:fill="CCEEFF"/>
          </w:tcPr>
          <w:p>
            <w:pPr>
              <w:spacing w:after="0" w:line="112" w:lineRule="exact"/>
              <w:rPr>
                <w:sz w:val="20"/>
                <w:szCs w:val="20"/>
                <w:color w:val="auto"/>
              </w:rPr>
            </w:pPr>
            <w:r>
              <w:rPr>
                <w:rFonts w:ascii="Arial" w:cs="Arial" w:eastAsia="Arial" w:hAnsi="Arial"/>
                <w:sz w:val="10"/>
                <w:szCs w:val="10"/>
                <w:b w:val="1"/>
                <w:bCs w:val="1"/>
                <w:color w:val="auto"/>
              </w:rPr>
              <w:t>Financial Assets:</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0"/>
                <w:szCs w:val="10"/>
                <w:color w:val="auto"/>
                <w:w w:val="87"/>
              </w:rPr>
              <w:t>(In thousands)</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20"/>
                <w:szCs w:val="20"/>
                <w:color w:val="auto"/>
              </w:rPr>
            </w:pPr>
            <w:r>
              <w:rPr>
                <w:rFonts w:ascii="Arial" w:cs="Arial" w:eastAsia="Arial" w:hAnsi="Arial"/>
                <w:sz w:val="10"/>
                <w:szCs w:val="10"/>
                <w:color w:val="auto"/>
              </w:rPr>
              <w:t>Cash and cash equivalents:</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Money market funds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786,548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786,548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786,548</w:t>
            </w:r>
          </w:p>
        </w:tc>
        <w:tc>
          <w:tcPr>
            <w:tcW w:w="0" w:type="dxa"/>
            <w:vAlign w:val="bottom"/>
          </w:tcPr>
          <w:p>
            <w:pPr>
              <w:spacing w:after="0"/>
              <w:rPr>
                <w:sz w:val="1"/>
                <w:szCs w:val="1"/>
                <w:color w:val="auto"/>
              </w:rPr>
            </w:pPr>
          </w:p>
        </w:tc>
      </w:tr>
      <w:tr>
        <w:trPr>
          <w:trHeight w:val="124"/>
        </w:trPr>
        <w:tc>
          <w:tcPr>
            <w:tcW w:w="2780" w:type="dxa"/>
            <w:vAlign w:val="bottom"/>
          </w:tcPr>
          <w:p>
            <w:pPr>
              <w:ind w:left="140"/>
              <w:spacing w:after="0"/>
              <w:rPr>
                <w:sz w:val="20"/>
                <w:szCs w:val="20"/>
                <w:color w:val="auto"/>
              </w:rPr>
            </w:pPr>
            <w:r>
              <w:rPr>
                <w:rFonts w:ascii="Arial" w:cs="Arial" w:eastAsia="Arial" w:hAnsi="Arial"/>
                <w:sz w:val="10"/>
                <w:szCs w:val="10"/>
                <w:color w:val="auto"/>
              </w:rPr>
              <w:t>Commercial paper</w:t>
            </w: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46,076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46,076</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46,076</w:t>
            </w:r>
          </w:p>
        </w:tc>
        <w:tc>
          <w:tcPr>
            <w:tcW w:w="0" w:type="dxa"/>
            <w:vAlign w:val="bottom"/>
          </w:tcPr>
          <w:p>
            <w:pPr>
              <w:spacing w:after="0"/>
              <w:rPr>
                <w:sz w:val="1"/>
                <w:szCs w:val="1"/>
                <w:color w:val="auto"/>
              </w:rPr>
            </w:pPr>
          </w:p>
        </w:tc>
      </w:tr>
      <w:tr>
        <w:trPr>
          <w:trHeight w:val="117"/>
        </w:trPr>
        <w:tc>
          <w:tcPr>
            <w:tcW w:w="2780" w:type="dxa"/>
            <w:vAlign w:val="bottom"/>
            <w:tcBorders>
              <w:top w:val="single" w:sz="8" w:color="CCEEFF"/>
            </w:tcBorders>
            <w:shd w:val="clear" w:color="auto" w:fill="CCEEFF"/>
          </w:tcPr>
          <w:p>
            <w:pPr>
              <w:ind w:left="300"/>
              <w:spacing w:after="0" w:line="104" w:lineRule="exact"/>
              <w:rPr>
                <w:sz w:val="20"/>
                <w:szCs w:val="20"/>
                <w:color w:val="auto"/>
              </w:rPr>
            </w:pPr>
            <w:r>
              <w:rPr>
                <w:rFonts w:ascii="Arial" w:cs="Arial" w:eastAsia="Arial" w:hAnsi="Arial"/>
                <w:sz w:val="10"/>
                <w:szCs w:val="10"/>
                <w:color w:val="auto"/>
              </w:rPr>
              <w:t>Total included in cash and cash equivalents</w:t>
            </w: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832,624</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786,548</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46,076</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832,624</w:t>
            </w:r>
          </w:p>
        </w:tc>
        <w:tc>
          <w:tcPr>
            <w:tcW w:w="0" w:type="dxa"/>
            <w:vAlign w:val="bottom"/>
          </w:tcPr>
          <w:p>
            <w:pPr>
              <w:spacing w:after="0"/>
              <w:rPr>
                <w:sz w:val="1"/>
                <w:szCs w:val="1"/>
                <w:color w:val="auto"/>
              </w:rPr>
            </w:pPr>
          </w:p>
        </w:tc>
      </w:tr>
      <w:tr>
        <w:trPr>
          <w:trHeight w:val="104"/>
        </w:trPr>
        <w:tc>
          <w:tcPr>
            <w:tcW w:w="2780" w:type="dxa"/>
            <w:vAlign w:val="bottom"/>
          </w:tcPr>
          <w:p>
            <w:pPr>
              <w:spacing w:after="0" w:line="102" w:lineRule="exact"/>
              <w:rPr>
                <w:sz w:val="20"/>
                <w:szCs w:val="20"/>
                <w:color w:val="auto"/>
              </w:rPr>
            </w:pPr>
            <w:r>
              <w:rPr>
                <w:rFonts w:ascii="Arial" w:cs="Arial" w:eastAsia="Arial" w:hAnsi="Arial"/>
                <w:sz w:val="10"/>
                <w:szCs w:val="10"/>
                <w:color w:val="auto"/>
              </w:rPr>
              <w:t>Marketable securities:</w:t>
            </w: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U.S. Treasury securities</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375,305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(2,561)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372,750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372,750</w:t>
            </w:r>
          </w:p>
        </w:tc>
        <w:tc>
          <w:tcPr>
            <w:tcW w:w="0" w:type="dxa"/>
            <w:vAlign w:val="bottom"/>
          </w:tcPr>
          <w:p>
            <w:pPr>
              <w:spacing w:after="0"/>
              <w:rPr>
                <w:sz w:val="1"/>
                <w:szCs w:val="1"/>
                <w:color w:val="auto"/>
              </w:rPr>
            </w:pPr>
          </w:p>
        </w:tc>
      </w:tr>
      <w:tr>
        <w:trPr>
          <w:trHeight w:val="124"/>
        </w:trPr>
        <w:tc>
          <w:tcPr>
            <w:tcW w:w="2780" w:type="dxa"/>
            <w:vAlign w:val="bottom"/>
          </w:tcPr>
          <w:p>
            <w:pPr>
              <w:ind w:left="140"/>
              <w:spacing w:after="0"/>
              <w:rPr>
                <w:sz w:val="20"/>
                <w:szCs w:val="20"/>
                <w:color w:val="auto"/>
              </w:rPr>
            </w:pPr>
            <w:r>
              <w:rPr>
                <w:rFonts w:ascii="Arial" w:cs="Arial" w:eastAsia="Arial" w:hAnsi="Arial"/>
                <w:sz w:val="10"/>
                <w:szCs w:val="10"/>
                <w:color w:val="auto"/>
              </w:rPr>
              <w:t>Non-U.S. government securities</w:t>
            </w: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221,641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(1,355)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220,286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86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220,286</w:t>
            </w: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Corporate debt securities and commercial paper</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3,300,326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(15,892)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31,000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3,254,394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3,285,394</w:t>
            </w:r>
          </w:p>
        </w:tc>
        <w:tc>
          <w:tcPr>
            <w:tcW w:w="0" w:type="dxa"/>
            <w:vAlign w:val="bottom"/>
          </w:tcPr>
          <w:p>
            <w:pPr>
              <w:spacing w:after="0"/>
              <w:rPr>
                <w:sz w:val="1"/>
                <w:szCs w:val="1"/>
                <w:color w:val="auto"/>
              </w:rPr>
            </w:pPr>
          </w:p>
        </w:tc>
      </w:tr>
      <w:tr>
        <w:trPr>
          <w:trHeight w:val="113"/>
        </w:trPr>
        <w:tc>
          <w:tcPr>
            <w:tcW w:w="2780" w:type="dxa"/>
            <w:vAlign w:val="bottom"/>
            <w:tcBorders>
              <w:bottom w:val="single" w:sz="8" w:color="CCEEFF"/>
            </w:tcBorders>
          </w:tcPr>
          <w:p>
            <w:pPr>
              <w:ind w:left="300"/>
              <w:spacing w:after="0" w:line="102" w:lineRule="exact"/>
              <w:rPr>
                <w:sz w:val="20"/>
                <w:szCs w:val="20"/>
                <w:color w:val="auto"/>
              </w:rPr>
            </w:pPr>
            <w:r>
              <w:rPr>
                <w:rFonts w:ascii="Arial" w:cs="Arial" w:eastAsia="Arial" w:hAnsi="Arial"/>
                <w:sz w:val="10"/>
                <w:szCs w:val="10"/>
                <w:color w:val="auto"/>
              </w:rPr>
              <w:t>Total marketable securities</w:t>
            </w:r>
          </w:p>
        </w:tc>
        <w:tc>
          <w:tcPr>
            <w:tcW w:w="18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3,897,272</w:t>
            </w:r>
          </w:p>
        </w:tc>
        <w:tc>
          <w:tcPr>
            <w:tcW w:w="8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966</w:t>
            </w:r>
          </w:p>
        </w:tc>
        <w:tc>
          <w:tcPr>
            <w:tcW w:w="8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(19,808)</w:t>
            </w:r>
          </w:p>
        </w:tc>
        <w:tc>
          <w:tcPr>
            <w:tcW w:w="80" w:type="dxa"/>
            <w:vAlign w:val="bottom"/>
            <w:tcBorders>
              <w:bottom w:val="single" w:sz="8" w:color="CCEEFF"/>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624,036</w:t>
            </w:r>
          </w:p>
        </w:tc>
        <w:tc>
          <w:tcPr>
            <w:tcW w:w="8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8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3,254,394</w:t>
            </w:r>
          </w:p>
        </w:tc>
        <w:tc>
          <w:tcPr>
            <w:tcW w:w="80" w:type="dxa"/>
            <w:vAlign w:val="bottom"/>
            <w:tcBorders>
              <w:bottom w:val="single" w:sz="8" w:color="CCEEFF"/>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ind w:left="640"/>
              <w:spacing w:after="0" w:line="113" w:lineRule="exact"/>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3,878,430</w:t>
            </w:r>
          </w:p>
        </w:tc>
        <w:tc>
          <w:tcPr>
            <w:tcW w:w="0" w:type="dxa"/>
            <w:vAlign w:val="bottom"/>
          </w:tcPr>
          <w:p>
            <w:pPr>
              <w:spacing w:after="0"/>
              <w:rPr>
                <w:sz w:val="1"/>
                <w:szCs w:val="1"/>
                <w:color w:val="auto"/>
              </w:rPr>
            </w:pPr>
          </w:p>
        </w:tc>
      </w:tr>
      <w:tr>
        <w:trPr>
          <w:trHeight w:val="133"/>
        </w:trPr>
        <w:tc>
          <w:tcPr>
            <w:tcW w:w="2780" w:type="dxa"/>
            <w:vAlign w:val="bottom"/>
            <w:tcBorders>
              <w:bottom w:val="single" w:sz="8" w:color="CCEEFF"/>
            </w:tcBorders>
            <w:shd w:val="clear" w:color="auto" w:fill="CCEEFF"/>
          </w:tcPr>
          <w:p>
            <w:pPr>
              <w:ind w:left="440"/>
              <w:spacing w:after="0" w:line="110" w:lineRule="exact"/>
              <w:rPr>
                <w:sz w:val="20"/>
                <w:szCs w:val="20"/>
                <w:color w:val="auto"/>
              </w:rPr>
            </w:pPr>
            <w:r>
              <w:rPr>
                <w:rFonts w:ascii="Arial" w:cs="Arial" w:eastAsia="Arial" w:hAnsi="Arial"/>
                <w:sz w:val="10"/>
                <w:szCs w:val="10"/>
                <w:color w:val="auto"/>
              </w:rPr>
              <w:t>Total financial assets</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4,729,896</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966</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(19,808)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1,410,584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3,300,470</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4,711,054</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31" w:right="339" w:bottom="1440" w:gutter="0" w:footer="0" w:header="0"/>
        </w:sectPr>
      </w:pPr>
    </w:p>
    <w:bookmarkStart w:id="93" w:name="page94"/>
    <w:bookmarkEnd w:id="9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Amortized</w:t>
            </w: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Fair Value Hierarchy as of</w:t>
            </w: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restart"/>
          </w:tcPr>
          <w:p>
            <w:pPr>
              <w:jc w:val="center"/>
              <w:ind w:right="260"/>
              <w:spacing w:after="0" w:line="81" w:lineRule="exact"/>
              <w:rPr>
                <w:sz w:val="20"/>
                <w:szCs w:val="20"/>
                <w:color w:val="auto"/>
              </w:rPr>
            </w:pPr>
            <w:r>
              <w:rPr>
                <w:rFonts w:ascii="Arial" w:cs="Arial" w:eastAsia="Arial" w:hAnsi="Arial"/>
                <w:sz w:val="8"/>
                <w:szCs w:val="8"/>
                <w:b w:val="1"/>
                <w:bCs w:val="1"/>
                <w:color w:val="auto"/>
                <w:w w:val="99"/>
              </w:rPr>
              <w:t>Cost or</w:t>
            </w:r>
          </w:p>
        </w:tc>
        <w:tc>
          <w:tcPr>
            <w:tcW w:w="180" w:type="dxa"/>
            <w:vAlign w:val="bottom"/>
          </w:tcPr>
          <w:p>
            <w:pPr>
              <w:spacing w:after="0"/>
              <w:rPr>
                <w:sz w:val="2"/>
                <w:szCs w:val="2"/>
                <w:color w:val="auto"/>
              </w:rPr>
            </w:pPr>
          </w:p>
        </w:tc>
        <w:tc>
          <w:tcPr>
            <w:tcW w:w="900" w:type="dxa"/>
            <w:vAlign w:val="bottom"/>
            <w:gridSpan w:val="2"/>
            <w:vMerge w:val="restart"/>
          </w:tcPr>
          <w:p>
            <w:pPr>
              <w:jc w:val="center"/>
              <w:ind w:right="260"/>
              <w:spacing w:after="0" w:line="81" w:lineRule="exact"/>
              <w:rPr>
                <w:sz w:val="20"/>
                <w:szCs w:val="20"/>
                <w:color w:val="auto"/>
              </w:rPr>
            </w:pPr>
            <w:r>
              <w:rPr>
                <w:rFonts w:ascii="Arial" w:cs="Arial" w:eastAsia="Arial" w:hAnsi="Arial"/>
                <w:sz w:val="8"/>
                <w:szCs w:val="8"/>
                <w:b w:val="1"/>
                <w:bCs w:val="1"/>
                <w:color w:val="auto"/>
                <w:w w:val="86"/>
              </w:rPr>
              <w:t>Gross</w:t>
            </w:r>
          </w:p>
        </w:tc>
        <w:tc>
          <w:tcPr>
            <w:tcW w:w="180" w:type="dxa"/>
            <w:vAlign w:val="bottom"/>
          </w:tcPr>
          <w:p>
            <w:pPr>
              <w:spacing w:after="0"/>
              <w:rPr>
                <w:sz w:val="2"/>
                <w:szCs w:val="2"/>
                <w:color w:val="auto"/>
              </w:rPr>
            </w:pPr>
          </w:p>
        </w:tc>
        <w:tc>
          <w:tcPr>
            <w:tcW w:w="900" w:type="dxa"/>
            <w:vAlign w:val="bottom"/>
            <w:gridSpan w:val="2"/>
            <w:vMerge w:val="restart"/>
          </w:tcPr>
          <w:p>
            <w:pPr>
              <w:jc w:val="center"/>
              <w:ind w:right="260"/>
              <w:spacing w:after="0" w:line="81" w:lineRule="exact"/>
              <w:rPr>
                <w:sz w:val="20"/>
                <w:szCs w:val="20"/>
                <w:color w:val="auto"/>
              </w:rPr>
            </w:pPr>
            <w:r>
              <w:rPr>
                <w:rFonts w:ascii="Arial" w:cs="Arial" w:eastAsia="Arial" w:hAnsi="Arial"/>
                <w:sz w:val="8"/>
                <w:szCs w:val="8"/>
                <w:b w:val="1"/>
                <w:bCs w:val="1"/>
                <w:color w:val="auto"/>
                <w:w w:val="86"/>
              </w:rPr>
              <w:t>Gross</w:t>
            </w: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3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8"/>
                <w:szCs w:val="8"/>
                <w:b w:val="1"/>
                <w:bCs w:val="1"/>
                <w:color w:val="auto"/>
                <w:w w:val="94"/>
              </w:rPr>
              <w:t>December 31, 2020</w:t>
            </w: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3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tcPr>
          <w:p>
            <w:pPr>
              <w:jc w:val="center"/>
              <w:ind w:right="260"/>
              <w:spacing w:after="0" w:line="58" w:lineRule="exact"/>
              <w:rPr>
                <w:sz w:val="20"/>
                <w:szCs w:val="20"/>
                <w:color w:val="auto"/>
              </w:rPr>
            </w:pPr>
            <w:r>
              <w:rPr>
                <w:rFonts w:ascii="Arial" w:cs="Arial" w:eastAsia="Arial" w:hAnsi="Arial"/>
                <w:sz w:val="6"/>
                <w:szCs w:val="6"/>
                <w:b w:val="1"/>
                <w:bCs w:val="1"/>
                <w:color w:val="auto"/>
              </w:rPr>
              <w:t>Carrying</w:t>
            </w:r>
          </w:p>
        </w:tc>
        <w:tc>
          <w:tcPr>
            <w:tcW w:w="180" w:type="dxa"/>
            <w:vAlign w:val="bottom"/>
          </w:tcPr>
          <w:p>
            <w:pPr>
              <w:spacing w:after="0"/>
              <w:rPr>
                <w:sz w:val="5"/>
                <w:szCs w:val="5"/>
                <w:color w:val="auto"/>
              </w:rPr>
            </w:pPr>
          </w:p>
        </w:tc>
        <w:tc>
          <w:tcPr>
            <w:tcW w:w="900" w:type="dxa"/>
            <w:vAlign w:val="bottom"/>
            <w:gridSpan w:val="2"/>
          </w:tcPr>
          <w:p>
            <w:pPr>
              <w:jc w:val="center"/>
              <w:ind w:right="260"/>
              <w:spacing w:after="0" w:line="58" w:lineRule="exact"/>
              <w:rPr>
                <w:sz w:val="20"/>
                <w:szCs w:val="20"/>
                <w:color w:val="auto"/>
              </w:rPr>
            </w:pPr>
            <w:r>
              <w:rPr>
                <w:rFonts w:ascii="Arial" w:cs="Arial" w:eastAsia="Arial" w:hAnsi="Arial"/>
                <w:sz w:val="6"/>
                <w:szCs w:val="6"/>
                <w:b w:val="1"/>
                <w:bCs w:val="1"/>
                <w:color w:val="auto"/>
              </w:rPr>
              <w:t>Unrealized</w:t>
            </w:r>
          </w:p>
        </w:tc>
        <w:tc>
          <w:tcPr>
            <w:tcW w:w="180" w:type="dxa"/>
            <w:vAlign w:val="bottom"/>
          </w:tcPr>
          <w:p>
            <w:pPr>
              <w:spacing w:after="0"/>
              <w:rPr>
                <w:sz w:val="5"/>
                <w:szCs w:val="5"/>
                <w:color w:val="auto"/>
              </w:rPr>
            </w:pPr>
          </w:p>
        </w:tc>
        <w:tc>
          <w:tcPr>
            <w:tcW w:w="900" w:type="dxa"/>
            <w:vAlign w:val="bottom"/>
            <w:gridSpan w:val="2"/>
          </w:tcPr>
          <w:p>
            <w:pPr>
              <w:jc w:val="center"/>
              <w:ind w:right="260"/>
              <w:spacing w:after="0" w:line="58" w:lineRule="exact"/>
              <w:rPr>
                <w:sz w:val="20"/>
                <w:szCs w:val="20"/>
                <w:color w:val="auto"/>
              </w:rPr>
            </w:pPr>
            <w:r>
              <w:rPr>
                <w:rFonts w:ascii="Arial" w:cs="Arial" w:eastAsia="Arial" w:hAnsi="Arial"/>
                <w:sz w:val="6"/>
                <w:szCs w:val="6"/>
                <w:b w:val="1"/>
                <w:bCs w:val="1"/>
                <w:color w:val="auto"/>
              </w:rPr>
              <w:t>Unrealized</w:t>
            </w: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jc w:val="right"/>
              <w:ind w:right="275"/>
              <w:spacing w:after="0" w:line="58" w:lineRule="exact"/>
              <w:rPr>
                <w:sz w:val="20"/>
                <w:szCs w:val="20"/>
                <w:color w:val="auto"/>
              </w:rPr>
            </w:pPr>
            <w:r>
              <w:rPr>
                <w:rFonts w:ascii="Arial" w:cs="Arial" w:eastAsia="Arial" w:hAnsi="Arial"/>
                <w:sz w:val="6"/>
                <w:szCs w:val="6"/>
                <w:b w:val="1"/>
                <w:bCs w:val="1"/>
                <w:color w:val="auto"/>
              </w:rPr>
              <w:t>Aggregate</w:t>
            </w:r>
          </w:p>
        </w:tc>
        <w:tc>
          <w:tcPr>
            <w:tcW w:w="0" w:type="dxa"/>
            <w:vAlign w:val="bottom"/>
          </w:tcPr>
          <w:p>
            <w:pPr>
              <w:spacing w:after="0"/>
              <w:rPr>
                <w:sz w:val="1"/>
                <w:szCs w:val="1"/>
                <w:color w:val="auto"/>
              </w:rPr>
            </w:pPr>
          </w:p>
        </w:tc>
      </w:tr>
      <w:tr>
        <w:trPr>
          <w:trHeight w:val="115"/>
        </w:trPr>
        <w:tc>
          <w:tcPr>
            <w:tcW w:w="38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8"/>
                <w:szCs w:val="8"/>
                <w:b w:val="1"/>
                <w:bCs w:val="1"/>
                <w:color w:val="auto"/>
                <w:w w:val="93"/>
              </w:rPr>
              <w:t>Value</w:t>
            </w: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8"/>
                <w:szCs w:val="8"/>
                <w:b w:val="1"/>
                <w:bCs w:val="1"/>
                <w:color w:val="auto"/>
                <w:w w:val="89"/>
              </w:rPr>
              <w:t>Gains</w:t>
            </w: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8"/>
                <w:szCs w:val="8"/>
                <w:b w:val="1"/>
                <w:bCs w:val="1"/>
                <w:color w:val="auto"/>
                <w:w w:val="86"/>
              </w:rPr>
              <w:t>Losses</w:t>
            </w: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8"/>
                <w:szCs w:val="8"/>
                <w:b w:val="1"/>
                <w:bCs w:val="1"/>
                <w:color w:val="auto"/>
                <w:w w:val="95"/>
              </w:rPr>
              <w:t>Level 1</w:t>
            </w: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8"/>
                <w:szCs w:val="8"/>
                <w:b w:val="1"/>
                <w:bCs w:val="1"/>
                <w:color w:val="auto"/>
                <w:w w:val="95"/>
              </w:rPr>
              <w:t>Level 2</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8"/>
                <w:szCs w:val="8"/>
                <w:b w:val="1"/>
                <w:bCs w:val="1"/>
                <w:color w:val="auto"/>
              </w:rPr>
              <w:t>Level 3</w:t>
            </w: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8"/>
                <w:szCs w:val="8"/>
                <w:b w:val="1"/>
                <w:bCs w:val="1"/>
                <w:color w:val="auto"/>
              </w:rPr>
              <w:t>Fair Value</w:t>
            </w:r>
          </w:p>
        </w:tc>
        <w:tc>
          <w:tcPr>
            <w:tcW w:w="0" w:type="dxa"/>
            <w:vAlign w:val="bottom"/>
          </w:tcPr>
          <w:p>
            <w:pPr>
              <w:spacing w:after="0"/>
              <w:rPr>
                <w:sz w:val="1"/>
                <w:szCs w:val="1"/>
                <w:color w:val="auto"/>
              </w:rPr>
            </w:pPr>
          </w:p>
        </w:tc>
      </w:tr>
      <w:tr>
        <w:trPr>
          <w:trHeight w:val="120"/>
        </w:trPr>
        <w:tc>
          <w:tcPr>
            <w:tcW w:w="3820" w:type="dxa"/>
            <w:vAlign w:val="bottom"/>
            <w:shd w:val="clear" w:color="auto" w:fill="CCEEFF"/>
          </w:tcPr>
          <w:p>
            <w:pPr>
              <w:spacing w:after="0" w:line="109" w:lineRule="exact"/>
              <w:rPr>
                <w:sz w:val="20"/>
                <w:szCs w:val="20"/>
                <w:color w:val="auto"/>
              </w:rPr>
            </w:pPr>
            <w:r>
              <w:rPr>
                <w:rFonts w:ascii="Arial" w:cs="Arial" w:eastAsia="Arial" w:hAnsi="Arial"/>
                <w:sz w:val="10"/>
                <w:szCs w:val="10"/>
                <w:b w:val="1"/>
                <w:bCs w:val="1"/>
                <w:color w:val="auto"/>
              </w:rPr>
              <w:t>Financial Assets:</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0"/>
                <w:szCs w:val="10"/>
                <w:color w:val="auto"/>
                <w:w w:val="87"/>
              </w:rPr>
              <w:t>(In thousands)</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20" w:type="dxa"/>
            <w:vAlign w:val="bottom"/>
          </w:tcPr>
          <w:p>
            <w:pPr>
              <w:spacing w:after="0"/>
              <w:rPr>
                <w:sz w:val="20"/>
                <w:szCs w:val="20"/>
                <w:color w:val="auto"/>
              </w:rPr>
            </w:pPr>
            <w:r>
              <w:rPr>
                <w:rFonts w:ascii="Arial" w:cs="Arial" w:eastAsia="Arial" w:hAnsi="Arial"/>
                <w:sz w:val="10"/>
                <w:szCs w:val="10"/>
                <w:color w:val="auto"/>
              </w:rPr>
              <w:t>Cash and cash equivalents:</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8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Money market funds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656,749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656,749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656,749</w:t>
            </w:r>
          </w:p>
        </w:tc>
        <w:tc>
          <w:tcPr>
            <w:tcW w:w="0" w:type="dxa"/>
            <w:vAlign w:val="bottom"/>
          </w:tcPr>
          <w:p>
            <w:pPr>
              <w:spacing w:after="0"/>
              <w:rPr>
                <w:sz w:val="1"/>
                <w:szCs w:val="1"/>
                <w:color w:val="auto"/>
              </w:rPr>
            </w:pPr>
          </w:p>
        </w:tc>
      </w:tr>
      <w:tr>
        <w:trPr>
          <w:trHeight w:val="124"/>
        </w:trPr>
        <w:tc>
          <w:tcPr>
            <w:tcW w:w="3820" w:type="dxa"/>
            <w:vAlign w:val="bottom"/>
          </w:tcPr>
          <w:p>
            <w:pPr>
              <w:ind w:left="140"/>
              <w:spacing w:after="0"/>
              <w:rPr>
                <w:sz w:val="20"/>
                <w:szCs w:val="20"/>
                <w:color w:val="auto"/>
              </w:rPr>
            </w:pPr>
            <w:r>
              <w:rPr>
                <w:rFonts w:ascii="Arial" w:cs="Arial" w:eastAsia="Arial" w:hAnsi="Arial"/>
                <w:sz w:val="10"/>
                <w:szCs w:val="10"/>
                <w:color w:val="auto"/>
              </w:rPr>
              <w:t>Commercial paper</w:t>
            </w: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2,000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2,000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2,000</w:t>
            </w:r>
          </w:p>
        </w:tc>
        <w:tc>
          <w:tcPr>
            <w:tcW w:w="0" w:type="dxa"/>
            <w:vAlign w:val="bottom"/>
          </w:tcPr>
          <w:p>
            <w:pPr>
              <w:spacing w:after="0"/>
              <w:rPr>
                <w:sz w:val="1"/>
                <w:szCs w:val="1"/>
                <w:color w:val="auto"/>
              </w:rPr>
            </w:pPr>
          </w:p>
        </w:tc>
      </w:tr>
      <w:tr>
        <w:trPr>
          <w:trHeight w:val="117"/>
        </w:trPr>
        <w:tc>
          <w:tcPr>
            <w:tcW w:w="3820" w:type="dxa"/>
            <w:vAlign w:val="bottom"/>
            <w:tcBorders>
              <w:top w:val="single" w:sz="8" w:color="CCEEFF"/>
            </w:tcBorders>
            <w:shd w:val="clear" w:color="auto" w:fill="CCEEFF"/>
          </w:tcPr>
          <w:p>
            <w:pPr>
              <w:ind w:left="300"/>
              <w:spacing w:after="0" w:line="104" w:lineRule="exact"/>
              <w:rPr>
                <w:sz w:val="20"/>
                <w:szCs w:val="20"/>
                <w:color w:val="auto"/>
              </w:rPr>
            </w:pPr>
            <w:r>
              <w:rPr>
                <w:rFonts w:ascii="Arial" w:cs="Arial" w:eastAsia="Arial" w:hAnsi="Arial"/>
                <w:sz w:val="10"/>
                <w:szCs w:val="10"/>
                <w:color w:val="auto"/>
              </w:rPr>
              <w:t>Total included in cash and cash equivalents</w:t>
            </w:r>
          </w:p>
        </w:tc>
        <w:tc>
          <w:tcPr>
            <w:tcW w:w="1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658,749</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656,749</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2,000</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658,749</w:t>
            </w:r>
          </w:p>
        </w:tc>
        <w:tc>
          <w:tcPr>
            <w:tcW w:w="0" w:type="dxa"/>
            <w:vAlign w:val="bottom"/>
          </w:tcPr>
          <w:p>
            <w:pPr>
              <w:spacing w:after="0"/>
              <w:rPr>
                <w:sz w:val="1"/>
                <w:szCs w:val="1"/>
                <w:color w:val="auto"/>
              </w:rPr>
            </w:pPr>
          </w:p>
        </w:tc>
      </w:tr>
      <w:tr>
        <w:trPr>
          <w:trHeight w:val="124"/>
        </w:trPr>
        <w:tc>
          <w:tcPr>
            <w:tcW w:w="3820" w:type="dxa"/>
            <w:vAlign w:val="bottom"/>
          </w:tcPr>
          <w:p>
            <w:pPr>
              <w:spacing w:after="0"/>
              <w:rPr>
                <w:sz w:val="20"/>
                <w:szCs w:val="20"/>
                <w:color w:val="auto"/>
              </w:rPr>
            </w:pPr>
            <w:r>
              <w:rPr>
                <w:rFonts w:ascii="Arial" w:cs="Arial" w:eastAsia="Arial" w:hAnsi="Arial"/>
                <w:sz w:val="10"/>
                <w:szCs w:val="10"/>
                <w:color w:val="auto"/>
              </w:rPr>
              <w:t>Marketable securities:</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8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U.S. Treasury securities</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223,247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223,635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223,635</w:t>
            </w:r>
          </w:p>
        </w:tc>
        <w:tc>
          <w:tcPr>
            <w:tcW w:w="0" w:type="dxa"/>
            <w:vAlign w:val="bottom"/>
          </w:tcPr>
          <w:p>
            <w:pPr>
              <w:spacing w:after="0"/>
              <w:rPr>
                <w:sz w:val="1"/>
                <w:szCs w:val="1"/>
                <w:color w:val="auto"/>
              </w:rPr>
            </w:pPr>
          </w:p>
        </w:tc>
      </w:tr>
      <w:tr>
        <w:trPr>
          <w:trHeight w:val="124"/>
        </w:trPr>
        <w:tc>
          <w:tcPr>
            <w:tcW w:w="3820" w:type="dxa"/>
            <w:vAlign w:val="bottom"/>
          </w:tcPr>
          <w:p>
            <w:pPr>
              <w:ind w:left="140"/>
              <w:spacing w:after="0"/>
              <w:rPr>
                <w:sz w:val="20"/>
                <w:szCs w:val="20"/>
                <w:color w:val="auto"/>
              </w:rPr>
            </w:pPr>
            <w:r>
              <w:rPr>
                <w:rFonts w:ascii="Arial" w:cs="Arial" w:eastAsia="Arial" w:hAnsi="Arial"/>
                <w:sz w:val="10"/>
                <w:szCs w:val="10"/>
                <w:color w:val="auto"/>
              </w:rPr>
              <w:t>Corporate debt securities and commercial paper</w:t>
            </w: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1,874,257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8,149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(135)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50,000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1,832,271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tcPr>
          <w:p>
            <w:pPr>
              <w:ind w:left="6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1,882,271</w:t>
            </w:r>
          </w:p>
        </w:tc>
        <w:tc>
          <w:tcPr>
            <w:tcW w:w="0" w:type="dxa"/>
            <w:vAlign w:val="bottom"/>
          </w:tcPr>
          <w:p>
            <w:pPr>
              <w:spacing w:after="0"/>
              <w:rPr>
                <w:sz w:val="1"/>
                <w:szCs w:val="1"/>
                <w:color w:val="auto"/>
              </w:rPr>
            </w:pPr>
          </w:p>
        </w:tc>
      </w:tr>
      <w:tr>
        <w:trPr>
          <w:trHeight w:val="117"/>
        </w:trPr>
        <w:tc>
          <w:tcPr>
            <w:tcW w:w="3820" w:type="dxa"/>
            <w:vAlign w:val="bottom"/>
            <w:tcBorders>
              <w:top w:val="single" w:sz="8" w:color="CCEEFF"/>
            </w:tcBorders>
            <w:shd w:val="clear" w:color="auto" w:fill="CCEEFF"/>
          </w:tcPr>
          <w:p>
            <w:pPr>
              <w:ind w:left="300"/>
              <w:spacing w:after="0" w:line="104" w:lineRule="exact"/>
              <w:rPr>
                <w:sz w:val="20"/>
                <w:szCs w:val="20"/>
                <w:color w:val="auto"/>
              </w:rPr>
            </w:pPr>
            <w:r>
              <w:rPr>
                <w:rFonts w:ascii="Arial" w:cs="Arial" w:eastAsia="Arial" w:hAnsi="Arial"/>
                <w:sz w:val="10"/>
                <w:szCs w:val="10"/>
                <w:color w:val="auto"/>
              </w:rPr>
              <w:t>Total marketable securities</w:t>
            </w: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2,097,504</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8,538</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(136)</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273,635</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1,832,271</w:t>
            </w: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2,105,906</w:t>
            </w:r>
          </w:p>
        </w:tc>
        <w:tc>
          <w:tcPr>
            <w:tcW w:w="0" w:type="dxa"/>
            <w:vAlign w:val="bottom"/>
          </w:tcPr>
          <w:p>
            <w:pPr>
              <w:spacing w:after="0"/>
              <w:rPr>
                <w:sz w:val="1"/>
                <w:szCs w:val="1"/>
                <w:color w:val="auto"/>
              </w:rPr>
            </w:pPr>
          </w:p>
        </w:tc>
      </w:tr>
      <w:tr>
        <w:trPr>
          <w:trHeight w:val="113"/>
        </w:trPr>
        <w:tc>
          <w:tcPr>
            <w:tcW w:w="3820" w:type="dxa"/>
            <w:vAlign w:val="bottom"/>
          </w:tcPr>
          <w:p>
            <w:pPr>
              <w:ind w:left="440"/>
              <w:spacing w:after="0" w:line="107" w:lineRule="exact"/>
              <w:rPr>
                <w:sz w:val="20"/>
                <w:szCs w:val="20"/>
                <w:color w:val="auto"/>
              </w:rPr>
            </w:pPr>
            <w:r>
              <w:rPr>
                <w:rFonts w:ascii="Arial" w:cs="Arial" w:eastAsia="Arial" w:hAnsi="Arial"/>
                <w:sz w:val="10"/>
                <w:szCs w:val="10"/>
                <w:color w:val="auto"/>
              </w:rPr>
              <w:t>Total financial assets</w:t>
            </w:r>
          </w:p>
        </w:tc>
        <w:tc>
          <w:tcPr>
            <w:tcW w:w="180" w:type="dxa"/>
            <w:vAlign w:val="bottom"/>
            <w:tcBorders>
              <w:bottom w:val="single" w:sz="8" w:color="auto"/>
            </w:tcBorders>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2,756,253</w:t>
            </w:r>
          </w:p>
        </w:tc>
        <w:tc>
          <w:tcPr>
            <w:tcW w:w="80" w:type="dxa"/>
            <w:vAlign w:val="bottom"/>
          </w:tcPr>
          <w:p>
            <w:pPr>
              <w:spacing w:after="0"/>
              <w:rPr>
                <w:sz w:val="9"/>
                <w:szCs w:val="9"/>
                <w:color w:val="auto"/>
              </w:rPr>
            </w:pPr>
          </w:p>
        </w:tc>
        <w:tc>
          <w:tcPr>
            <w:tcW w:w="180" w:type="dxa"/>
            <w:vAlign w:val="bottom"/>
            <w:tcBorders>
              <w:bottom w:val="single" w:sz="8" w:color="auto"/>
            </w:tcBorders>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8,538</w:t>
            </w:r>
          </w:p>
        </w:tc>
        <w:tc>
          <w:tcPr>
            <w:tcW w:w="80" w:type="dxa"/>
            <w:vAlign w:val="bottom"/>
          </w:tcPr>
          <w:p>
            <w:pPr>
              <w:spacing w:after="0"/>
              <w:rPr>
                <w:sz w:val="9"/>
                <w:szCs w:val="9"/>
                <w:color w:val="auto"/>
              </w:rPr>
            </w:pPr>
          </w:p>
        </w:tc>
        <w:tc>
          <w:tcPr>
            <w:tcW w:w="180" w:type="dxa"/>
            <w:vAlign w:val="bottom"/>
            <w:tcBorders>
              <w:bottom w:val="single" w:sz="8" w:color="auto"/>
            </w:tcBorders>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(136)</w:t>
            </w:r>
          </w:p>
        </w:tc>
        <w:tc>
          <w:tcPr>
            <w:tcW w:w="80" w:type="dxa"/>
            <w:vAlign w:val="bottom"/>
          </w:tcPr>
          <w:p>
            <w:pPr>
              <w:spacing w:after="0"/>
              <w:rPr>
                <w:sz w:val="9"/>
                <w:szCs w:val="9"/>
                <w:color w:val="auto"/>
              </w:rPr>
            </w:pPr>
          </w:p>
        </w:tc>
        <w:tc>
          <w:tcPr>
            <w:tcW w:w="140" w:type="dxa"/>
            <w:vAlign w:val="bottom"/>
            <w:tcBorders>
              <w:bottom w:val="single" w:sz="8" w:color="auto"/>
            </w:tcBorders>
          </w:tcPr>
          <w:p>
            <w:pPr>
              <w:jc w:val="right"/>
              <w:ind w:right="32"/>
              <w:spacing w:after="0" w:line="113" w:lineRule="exact"/>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930,384</w:t>
            </w:r>
          </w:p>
        </w:tc>
        <w:tc>
          <w:tcPr>
            <w:tcW w:w="80" w:type="dxa"/>
            <w:vAlign w:val="bottom"/>
          </w:tcPr>
          <w:p>
            <w:pPr>
              <w:spacing w:after="0"/>
              <w:rPr>
                <w:sz w:val="9"/>
                <w:szCs w:val="9"/>
                <w:color w:val="auto"/>
              </w:rPr>
            </w:pPr>
          </w:p>
        </w:tc>
        <w:tc>
          <w:tcPr>
            <w:tcW w:w="120" w:type="dxa"/>
            <w:vAlign w:val="bottom"/>
            <w:tcBorders>
              <w:bottom w:val="single" w:sz="8" w:color="auto"/>
            </w:tcBorders>
          </w:tcPr>
          <w:p>
            <w:pPr>
              <w:ind w:left="20"/>
              <w:spacing w:after="0" w:line="113" w:lineRule="exact"/>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1,834,271</w:t>
            </w:r>
          </w:p>
        </w:tc>
        <w:tc>
          <w:tcPr>
            <w:tcW w:w="80" w:type="dxa"/>
            <w:vAlign w:val="bottom"/>
          </w:tcPr>
          <w:p>
            <w:pPr>
              <w:spacing w:after="0"/>
              <w:rPr>
                <w:sz w:val="9"/>
                <w:szCs w:val="9"/>
                <w:color w:val="auto"/>
              </w:rPr>
            </w:pPr>
          </w:p>
        </w:tc>
        <w:tc>
          <w:tcPr>
            <w:tcW w:w="220" w:type="dxa"/>
            <w:vAlign w:val="bottom"/>
            <w:tcBorders>
              <w:bottom w:val="single" w:sz="8" w:color="auto"/>
            </w:tcBorders>
          </w:tcPr>
          <w:p>
            <w:pPr>
              <w:jc w:val="right"/>
              <w:ind w:right="112"/>
              <w:spacing w:after="0" w:line="113" w:lineRule="exact"/>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ind w:left="640"/>
              <w:spacing w:after="0" w:line="113"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200" w:type="dxa"/>
            <w:vAlign w:val="bottom"/>
            <w:tcBorders>
              <w:bottom w:val="single" w:sz="8" w:color="auto"/>
            </w:tcBorders>
          </w:tcPr>
          <w:p>
            <w:pPr>
              <w:jc w:val="right"/>
              <w:ind w:right="92"/>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2,764,655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6" w:lineRule="auto"/>
        <w:rPr>
          <w:sz w:val="20"/>
          <w:szCs w:val="20"/>
          <w:color w:val="auto"/>
        </w:rPr>
      </w:pPr>
      <w:r>
        <w:rPr>
          <w:rFonts w:ascii="Arial" w:cs="Arial" w:eastAsia="Arial" w:hAnsi="Arial"/>
          <w:sz w:val="12"/>
          <w:szCs w:val="12"/>
          <w:color w:val="auto"/>
        </w:rPr>
        <w:t>The Company's primary objective when investing excess cash is preservation of capital, hence the Company's marketable securities primarily consist of U.S. Treasury Securities, non-U.S government securities, high credit quality corporate debt securities and commercial paper. As the Company views its marketable securities as available to support current operations, it has classified all available for sale securities as short-term. As of December 31, 2021 and 2020, for fixed income securities that were in unrealized loss positions, the Company has determined that (i) it does not have the intent to sell any of these investments, and (ii) it is not more likely than not that it will be required to sell any of these investments before recovery of the entire amortized cost basis. In addition, as of December 31, 2021 and 2020, the Company anticipates that it will recover the entire amortized cost basis of such fixed income securities before maturity.</w:t>
      </w:r>
    </w:p>
    <w:p>
      <w:pPr>
        <w:spacing w:after="0" w:line="128" w:lineRule="exact"/>
        <w:rPr>
          <w:sz w:val="20"/>
          <w:szCs w:val="20"/>
          <w:color w:val="auto"/>
        </w:rPr>
      </w:pPr>
    </w:p>
    <w:p>
      <w:pPr>
        <w:ind w:right="260" w:firstLine="324"/>
        <w:spacing w:after="0" w:line="276" w:lineRule="auto"/>
        <w:rPr>
          <w:sz w:val="20"/>
          <w:szCs w:val="20"/>
          <w:color w:val="auto"/>
        </w:rPr>
      </w:pPr>
      <w:r>
        <w:rPr>
          <w:rFonts w:ascii="Arial" w:cs="Arial" w:eastAsia="Arial" w:hAnsi="Arial"/>
          <w:sz w:val="12"/>
          <w:szCs w:val="12"/>
          <w:color w:val="auto"/>
        </w:rPr>
        <w:t>Interest earned on marketable securities was $55.7 million, $32.4 million and $20.8 million in the years ended December 31, 2021, 2020 and 2019, respectively. The interest is recorded as other (expenses) income, net, in the accompanying consolidated statements of operations.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summarizes the contractual maturities of marketable securities:</w:t>
      </w:r>
    </w:p>
    <w:p>
      <w:pPr>
        <w:spacing w:after="0" w:line="171" w:lineRule="exact"/>
        <w:rPr>
          <w:sz w:val="20"/>
          <w:szCs w:val="20"/>
          <w:color w:val="auto"/>
        </w:rPr>
      </w:pPr>
    </w:p>
    <w:tbl>
      <w:tblPr>
        <w:tblLayout w:type="fixed"/>
        <w:tblInd w:w="900" w:type="dxa"/>
        <w:tblCellMar>
          <w:top w:w="0" w:type="dxa"/>
          <w:left w:w="0" w:type="dxa"/>
          <w:bottom w:w="0" w:type="dxa"/>
          <w:right w:w="0" w:type="dxa"/>
        </w:tblCellMar>
      </w:tblPr>
      <w:tr>
        <w:trPr>
          <w:trHeight w:val="127"/>
        </w:trPr>
        <w:tc>
          <w:tcPr>
            <w:tcW w:w="4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gridSpan w:val="5"/>
          </w:tcPr>
          <w:p>
            <w:pPr>
              <w:ind w:left="520"/>
              <w:spacing w:after="0"/>
              <w:rPr>
                <w:sz w:val="20"/>
                <w:szCs w:val="20"/>
                <w:color w:val="auto"/>
              </w:rPr>
            </w:pPr>
            <w:r>
              <w:rPr>
                <w:rFonts w:ascii="Arial" w:cs="Arial" w:eastAsia="Arial" w:hAnsi="Arial"/>
                <w:sz w:val="10"/>
                <w:szCs w:val="10"/>
                <w:b w:val="1"/>
                <w:bCs w:val="1"/>
                <w:color w:val="auto"/>
              </w:rPr>
              <w:t>As of December 31, 2021</w:t>
            </w:r>
          </w:p>
        </w:tc>
        <w:tc>
          <w:tcPr>
            <w:tcW w:w="320" w:type="dxa"/>
            <w:vAlign w:val="bottom"/>
          </w:tcPr>
          <w:p>
            <w:pPr>
              <w:spacing w:after="0"/>
              <w:rPr>
                <w:sz w:val="11"/>
                <w:szCs w:val="11"/>
                <w:color w:val="auto"/>
              </w:rPr>
            </w:pPr>
          </w:p>
        </w:tc>
        <w:tc>
          <w:tcPr>
            <w:tcW w:w="2200" w:type="dxa"/>
            <w:vAlign w:val="bottom"/>
            <w:gridSpan w:val="4"/>
          </w:tcPr>
          <w:p>
            <w:pPr>
              <w:jc w:val="right"/>
              <w:ind w:right="710"/>
              <w:spacing w:after="0"/>
              <w:rPr>
                <w:sz w:val="20"/>
                <w:szCs w:val="20"/>
                <w:color w:val="auto"/>
              </w:rPr>
            </w:pPr>
            <w:r>
              <w:rPr>
                <w:rFonts w:ascii="Arial" w:cs="Arial" w:eastAsia="Arial" w:hAnsi="Arial"/>
                <w:sz w:val="10"/>
                <w:szCs w:val="10"/>
                <w:b w:val="1"/>
                <w:bCs w:val="1"/>
                <w:color w:val="auto"/>
              </w:rPr>
              <w:t>As of December 31, 2020</w:t>
            </w:r>
          </w:p>
        </w:tc>
      </w:tr>
      <w:tr>
        <w:trPr>
          <w:trHeight w:val="83"/>
        </w:trPr>
        <w:tc>
          <w:tcPr>
            <w:tcW w:w="43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center"/>
              <w:ind w:right="320"/>
              <w:spacing w:after="0" w:line="83" w:lineRule="exact"/>
              <w:rPr>
                <w:sz w:val="20"/>
                <w:szCs w:val="20"/>
                <w:color w:val="auto"/>
              </w:rPr>
            </w:pPr>
            <w:r>
              <w:rPr>
                <w:rFonts w:ascii="Arial" w:cs="Arial" w:eastAsia="Arial" w:hAnsi="Arial"/>
                <w:sz w:val="8"/>
                <w:szCs w:val="8"/>
                <w:b w:val="1"/>
                <w:bCs w:val="1"/>
                <w:color w:val="auto"/>
              </w:rPr>
              <w:t>Amortized</w:t>
            </w:r>
          </w:p>
        </w:tc>
        <w:tc>
          <w:tcPr>
            <w:tcW w:w="2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jc w:val="right"/>
              <w:ind w:right="350"/>
              <w:spacing w:after="0" w:line="83" w:lineRule="exact"/>
              <w:rPr>
                <w:sz w:val="20"/>
                <w:szCs w:val="20"/>
                <w:color w:val="auto"/>
              </w:rPr>
            </w:pPr>
            <w:r>
              <w:rPr>
                <w:rFonts w:ascii="Arial" w:cs="Arial" w:eastAsia="Arial" w:hAnsi="Arial"/>
                <w:sz w:val="8"/>
                <w:szCs w:val="8"/>
                <w:b w:val="1"/>
                <w:bCs w:val="1"/>
                <w:color w:val="auto"/>
              </w:rPr>
              <w:t>Aggregate</w:t>
            </w:r>
          </w:p>
        </w:tc>
        <w:tc>
          <w:tcPr>
            <w:tcW w:w="8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jc w:val="center"/>
              <w:ind w:right="420"/>
              <w:spacing w:after="0" w:line="83" w:lineRule="exact"/>
              <w:rPr>
                <w:sz w:val="20"/>
                <w:szCs w:val="20"/>
                <w:color w:val="auto"/>
              </w:rPr>
            </w:pPr>
            <w:r>
              <w:rPr>
                <w:rFonts w:ascii="Arial" w:cs="Arial" w:eastAsia="Arial" w:hAnsi="Arial"/>
                <w:sz w:val="8"/>
                <w:szCs w:val="8"/>
                <w:b w:val="1"/>
                <w:bCs w:val="1"/>
                <w:color w:val="auto"/>
              </w:rPr>
              <w:t>Amortized</w:t>
            </w:r>
          </w:p>
        </w:tc>
        <w:tc>
          <w:tcPr>
            <w:tcW w:w="2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jc w:val="right"/>
              <w:ind w:right="350"/>
              <w:spacing w:after="0" w:line="83" w:lineRule="exact"/>
              <w:rPr>
                <w:sz w:val="20"/>
                <w:szCs w:val="20"/>
                <w:color w:val="auto"/>
              </w:rPr>
            </w:pPr>
            <w:r>
              <w:rPr>
                <w:rFonts w:ascii="Arial" w:cs="Arial" w:eastAsia="Arial" w:hAnsi="Arial"/>
                <w:sz w:val="8"/>
                <w:szCs w:val="8"/>
                <w:b w:val="1"/>
                <w:bCs w:val="1"/>
                <w:color w:val="auto"/>
              </w:rPr>
              <w:t>Aggregate</w:t>
            </w:r>
          </w:p>
        </w:tc>
      </w:tr>
      <w:tr>
        <w:trPr>
          <w:trHeight w:val="125"/>
        </w:trPr>
        <w:tc>
          <w:tcPr>
            <w:tcW w:w="43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9"/>
              </w:rPr>
              <w:t>Cost</w:t>
            </w: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0"/>
                <w:szCs w:val="10"/>
                <w:b w:val="1"/>
                <w:bCs w:val="1"/>
                <w:color w:val="auto"/>
              </w:rPr>
              <w:t>Fair Value</w:t>
            </w: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80"/>
              </w:rPr>
              <w:t>Cost</w:t>
            </w: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rPr>
              <w:t>Fair Value</w:t>
            </w:r>
          </w:p>
        </w:tc>
      </w:tr>
      <w:tr>
        <w:trPr>
          <w:trHeight w:val="125"/>
        </w:trPr>
        <w:tc>
          <w:tcPr>
            <w:tcW w:w="43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Financial Assets:</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0" w:type="dxa"/>
            <w:vAlign w:val="bottom"/>
            <w:gridSpan w:val="3"/>
            <w:shd w:val="clear" w:color="auto" w:fill="CCEEFF"/>
          </w:tcPr>
          <w:p>
            <w:pPr>
              <w:jc w:val="right"/>
              <w:ind w:right="31"/>
              <w:spacing w:after="0"/>
              <w:rPr>
                <w:sz w:val="20"/>
                <w:szCs w:val="20"/>
                <w:color w:val="auto"/>
              </w:rPr>
            </w:pPr>
            <w:r>
              <w:rPr>
                <w:rFonts w:ascii="Arial" w:cs="Arial" w:eastAsia="Arial" w:hAnsi="Arial"/>
                <w:sz w:val="10"/>
                <w:szCs w:val="10"/>
                <w:color w:val="auto"/>
              </w:rPr>
              <w:t>(In thousands)</w:t>
            </w: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2"/>
        </w:trPr>
        <w:tc>
          <w:tcPr>
            <w:tcW w:w="4380" w:type="dxa"/>
            <w:vAlign w:val="bottom"/>
          </w:tcPr>
          <w:p>
            <w:pPr>
              <w:spacing w:after="0"/>
              <w:rPr>
                <w:sz w:val="20"/>
                <w:szCs w:val="20"/>
                <w:color w:val="auto"/>
              </w:rPr>
            </w:pPr>
            <w:r>
              <w:rPr>
                <w:rFonts w:ascii="Arial" w:cs="Arial" w:eastAsia="Arial" w:hAnsi="Arial"/>
                <w:sz w:val="11"/>
                <w:szCs w:val="11"/>
                <w:color w:val="auto"/>
              </w:rPr>
              <w:t>Less than one year</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1,084,751</w:t>
            </w:r>
          </w:p>
        </w:tc>
        <w:tc>
          <w:tcPr>
            <w:tcW w:w="10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1"/>
                <w:szCs w:val="11"/>
                <w:color w:val="auto"/>
              </w:rPr>
              <w:t>1,085,006</w:t>
            </w:r>
          </w:p>
        </w:tc>
        <w:tc>
          <w:tcPr>
            <w:tcW w:w="8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1,126,091</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1,128,927</w:t>
            </w:r>
          </w:p>
        </w:tc>
      </w:tr>
      <w:tr>
        <w:trPr>
          <w:trHeight w:val="146"/>
        </w:trPr>
        <w:tc>
          <w:tcPr>
            <w:tcW w:w="4380" w:type="dxa"/>
            <w:vAlign w:val="bottom"/>
            <w:shd w:val="clear" w:color="auto" w:fill="CCEEFF"/>
          </w:tcPr>
          <w:p>
            <w:pPr>
              <w:spacing w:after="0"/>
              <w:rPr>
                <w:sz w:val="20"/>
                <w:szCs w:val="20"/>
                <w:color w:val="auto"/>
              </w:rPr>
            </w:pPr>
            <w:r>
              <w:rPr>
                <w:rFonts w:ascii="Arial" w:cs="Arial" w:eastAsia="Arial" w:hAnsi="Arial"/>
                <w:sz w:val="11"/>
                <w:szCs w:val="11"/>
                <w:color w:val="auto"/>
              </w:rPr>
              <w:t>One to three years</w:t>
            </w:r>
          </w:p>
        </w:tc>
        <w:tc>
          <w:tcPr>
            <w:tcW w:w="2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2,812,521</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1"/>
                <w:szCs w:val="11"/>
                <w:color w:val="auto"/>
              </w:rPr>
              <w:t>2,793,424</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971,413</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976,979</w:t>
            </w:r>
          </w:p>
        </w:tc>
      </w:tr>
      <w:tr>
        <w:trPr>
          <w:trHeight w:val="131"/>
        </w:trPr>
        <w:tc>
          <w:tcPr>
            <w:tcW w:w="4380" w:type="dxa"/>
            <w:vAlign w:val="bottom"/>
          </w:tcPr>
          <w:p>
            <w:pPr>
              <w:ind w:left="140"/>
              <w:spacing w:after="0" w:line="120" w:lineRule="exact"/>
              <w:rPr>
                <w:sz w:val="20"/>
                <w:szCs w:val="20"/>
                <w:color w:val="auto"/>
              </w:rPr>
            </w:pPr>
            <w:r>
              <w:rPr>
                <w:rFonts w:ascii="Arial" w:cs="Arial" w:eastAsia="Arial" w:hAnsi="Arial"/>
                <w:sz w:val="11"/>
                <w:szCs w:val="11"/>
                <w:color w:val="auto"/>
              </w:rPr>
              <w:t>Total</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3,897,272</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1"/>
                <w:szCs w:val="11"/>
                <w:color w:val="auto"/>
              </w:rPr>
              <w:t>3,878,430</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2,097,504</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2,105,906</w:t>
            </w: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Strategic Investments</w:t>
      </w:r>
    </w:p>
    <w:p>
      <w:pPr>
        <w:spacing w:after="0" w:line="150" w:lineRule="exact"/>
        <w:rPr>
          <w:sz w:val="20"/>
          <w:szCs w:val="20"/>
          <w:color w:val="auto"/>
        </w:rPr>
      </w:pPr>
    </w:p>
    <w:p>
      <w:pPr>
        <w:ind w:right="280" w:firstLine="324"/>
        <w:spacing w:after="0" w:line="276" w:lineRule="auto"/>
        <w:rPr>
          <w:sz w:val="20"/>
          <w:szCs w:val="20"/>
          <w:color w:val="auto"/>
        </w:rPr>
      </w:pPr>
      <w:r>
        <w:rPr>
          <w:rFonts w:ascii="Arial" w:cs="Arial" w:eastAsia="Arial" w:hAnsi="Arial"/>
          <w:sz w:val="12"/>
          <w:szCs w:val="12"/>
          <w:color w:val="auto"/>
        </w:rPr>
        <w:t>As of December 31, 2021 and 2020, the Company held strategic investments with a carrying value of $68.3 million and $9.3 million, respectively. These securities are recorded as other long-term assets in the accompanying consolidated balance sheets. There were no impairments or other adjustments recorded in the years ended December 31, 2021 and 2020 related to these securities.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Financial Liabilities</w:t>
      </w:r>
    </w:p>
    <w:p>
      <w:pPr>
        <w:spacing w:after="0" w:line="150"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The Company’s financial liabilities that are measured at fair value on a recurring basis consist of foreign currency derivative liabilities and are classified as Level 2 financial instruments in the fair value hierarchy. As of December 31, 2021, the aggregate fair value of these instruments and the associated gross unrealized losses were not significant.</w:t>
      </w:r>
    </w:p>
    <w:p>
      <w:pPr>
        <w:spacing w:after="0" w:line="115" w:lineRule="exact"/>
        <w:rPr>
          <w:sz w:val="20"/>
          <w:szCs w:val="20"/>
          <w:color w:val="auto"/>
        </w:rPr>
      </w:pPr>
    </w:p>
    <w:p>
      <w:pPr>
        <w:ind w:right="20" w:firstLine="324"/>
        <w:spacing w:after="0" w:line="276" w:lineRule="auto"/>
        <w:rPr>
          <w:sz w:val="20"/>
          <w:szCs w:val="20"/>
          <w:color w:val="auto"/>
        </w:rPr>
      </w:pPr>
      <w:r>
        <w:rPr>
          <w:rFonts w:ascii="Arial" w:cs="Arial" w:eastAsia="Arial" w:hAnsi="Arial"/>
          <w:sz w:val="12"/>
          <w:szCs w:val="12"/>
          <w:color w:val="auto"/>
        </w:rPr>
        <w:t>The Company’s financial liabilities that are not measured at fair value on a recurring basis consist of its 2029 Notes and 2031 Notes, respectively. The Company’s Convertible Notes were fully redeemed in June 2021 and were no longer outstanding as of December 31, 2021. Refer to Note 10 for further details on these financial liabilities.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As of December 31, 2021 the fair values of the 2029 Notes and 2031 Notes were $510.2 million and $512.8 million, respectively. As of December 31, 2020, the fair value of the Convertible Notes was $1.7 billion.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4" w:name="page95"/>
    <w:bookmarkEnd w:id="9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Property and Equipment</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Property and equipment consisted of the following:</w:t>
      </w:r>
    </w:p>
    <w:p>
      <w:pPr>
        <w:spacing w:after="0" w:line="171" w:lineRule="exact"/>
        <w:rPr>
          <w:sz w:val="20"/>
          <w:szCs w:val="20"/>
          <w:color w:val="auto"/>
        </w:rPr>
      </w:pPr>
    </w:p>
    <w:tbl>
      <w:tblPr>
        <w:tblLayout w:type="fixed"/>
        <w:tblInd w:w="600" w:type="dxa"/>
        <w:tblCellMar>
          <w:top w:w="0" w:type="dxa"/>
          <w:left w:w="0" w:type="dxa"/>
          <w:bottom w:w="0" w:type="dxa"/>
          <w:right w:w="0" w:type="dxa"/>
        </w:tblCellMar>
      </w:tblPr>
      <w:tr>
        <w:trPr>
          <w:trHeight w:val="127"/>
        </w:trPr>
        <w:tc>
          <w:tcPr>
            <w:tcW w:w="5780" w:type="dxa"/>
            <w:vAlign w:val="bottom"/>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0"/>
                <w:szCs w:val="10"/>
                <w:b w:val="1"/>
                <w:bCs w:val="1"/>
                <w:color w:val="auto"/>
              </w:rPr>
              <w:t>As of December 31,</w:t>
            </w:r>
          </w:p>
        </w:tc>
        <w:tc>
          <w:tcPr>
            <w:tcW w:w="1460" w:type="dxa"/>
            <w:vAlign w:val="bottom"/>
            <w:tcBorders>
              <w:bottom w:val="single" w:sz="8" w:color="auto"/>
            </w:tcBorders>
          </w:tcPr>
          <w:p>
            <w:pPr>
              <w:spacing w:after="0"/>
              <w:rPr>
                <w:sz w:val="11"/>
                <w:szCs w:val="11"/>
                <w:color w:val="auto"/>
              </w:rPr>
            </w:pPr>
          </w:p>
        </w:tc>
      </w:tr>
      <w:tr>
        <w:trPr>
          <w:trHeight w:val="118"/>
        </w:trPr>
        <w:tc>
          <w:tcPr>
            <w:tcW w:w="5780" w:type="dxa"/>
            <w:vAlign w:val="bottom"/>
          </w:tcPr>
          <w:p>
            <w:pPr>
              <w:spacing w:after="0"/>
              <w:rPr>
                <w:sz w:val="10"/>
                <w:szCs w:val="10"/>
                <w:color w:val="auto"/>
              </w:rPr>
            </w:pPr>
          </w:p>
        </w:tc>
        <w:tc>
          <w:tcPr>
            <w:tcW w:w="14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2021</w:t>
            </w: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927"/>
              <w:spacing w:after="0"/>
              <w:rPr>
                <w:sz w:val="20"/>
                <w:szCs w:val="20"/>
                <w:color w:val="auto"/>
              </w:rPr>
            </w:pPr>
            <w:r>
              <w:rPr>
                <w:rFonts w:ascii="Arial" w:cs="Arial" w:eastAsia="Arial" w:hAnsi="Arial"/>
                <w:sz w:val="10"/>
                <w:szCs w:val="10"/>
                <w:b w:val="1"/>
                <w:bCs w:val="1"/>
                <w:color w:val="auto"/>
              </w:rPr>
              <w:t>2020</w:t>
            </w:r>
          </w:p>
        </w:tc>
      </w:tr>
      <w:tr>
        <w:trPr>
          <w:trHeight w:val="114"/>
        </w:trPr>
        <w:tc>
          <w:tcPr>
            <w:tcW w:w="57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60" w:type="dxa"/>
            <w:vAlign w:val="bottom"/>
            <w:gridSpan w:val="3"/>
          </w:tcPr>
          <w:p>
            <w:pPr>
              <w:jc w:val="right"/>
              <w:ind w:right="391"/>
              <w:spacing w:after="0"/>
              <w:rPr>
                <w:sz w:val="20"/>
                <w:szCs w:val="20"/>
                <w:color w:val="auto"/>
              </w:rPr>
            </w:pPr>
            <w:r>
              <w:rPr>
                <w:rFonts w:ascii="Arial" w:cs="Arial" w:eastAsia="Arial" w:hAnsi="Arial"/>
                <w:sz w:val="10"/>
                <w:szCs w:val="10"/>
                <w:color w:val="auto"/>
              </w:rPr>
              <w:t>(In thousands)</w:t>
            </w:r>
          </w:p>
        </w:tc>
        <w:tc>
          <w:tcPr>
            <w:tcW w:w="1460" w:type="dxa"/>
            <w:vAlign w:val="bottom"/>
          </w:tcPr>
          <w:p>
            <w:pPr>
              <w:spacing w:after="0"/>
              <w:rPr>
                <w:sz w:val="9"/>
                <w:szCs w:val="9"/>
                <w:color w:val="auto"/>
              </w:rPr>
            </w:pPr>
          </w:p>
        </w:tc>
      </w:tr>
      <w:tr>
        <w:trPr>
          <w:trHeight w:val="146"/>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Capitalized internal-use software development costs</w:t>
            </w:r>
          </w:p>
        </w:tc>
        <w:tc>
          <w:tcPr>
            <w:tcW w:w="1400" w:type="dxa"/>
            <w:vAlign w:val="bottom"/>
            <w:shd w:val="clear" w:color="auto" w:fill="CCEEFF"/>
          </w:tcPr>
          <w:p>
            <w:pPr>
              <w:jc w:val="right"/>
              <w:ind w:right="12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198,589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51"/>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142,489</w:t>
            </w:r>
          </w:p>
        </w:tc>
      </w:tr>
      <w:tr>
        <w:trPr>
          <w:trHeight w:val="144"/>
        </w:trPr>
        <w:tc>
          <w:tcPr>
            <w:tcW w:w="5780" w:type="dxa"/>
            <w:vAlign w:val="bottom"/>
          </w:tcPr>
          <w:p>
            <w:pPr>
              <w:ind w:left="20"/>
              <w:spacing w:after="0" w:line="144" w:lineRule="exact"/>
              <w:rPr>
                <w:sz w:val="20"/>
                <w:szCs w:val="20"/>
                <w:color w:val="auto"/>
              </w:rPr>
            </w:pPr>
            <w:r>
              <w:rPr>
                <w:rFonts w:ascii="Arial" w:cs="Arial" w:eastAsia="Arial" w:hAnsi="Arial"/>
                <w:sz w:val="11"/>
                <w:szCs w:val="11"/>
                <w:color w:val="auto"/>
              </w:rPr>
              <w:t xml:space="preserve">Data center equipment </w:t>
            </w:r>
            <w:r>
              <w:rPr>
                <w:rFonts w:ascii="Arial" w:cs="Arial" w:eastAsia="Arial" w:hAnsi="Arial"/>
                <w:sz w:val="14"/>
                <w:szCs w:val="14"/>
                <w:color w:val="auto"/>
                <w:vertAlign w:val="superscript"/>
              </w:rPr>
              <w:t>(1)</w:t>
            </w:r>
          </w:p>
        </w:tc>
        <w:tc>
          <w:tcPr>
            <w:tcW w:w="1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77,946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jc w:val="right"/>
              <w:ind w:right="7"/>
              <w:spacing w:after="0"/>
              <w:rPr>
                <w:sz w:val="20"/>
                <w:szCs w:val="20"/>
                <w:color w:val="auto"/>
              </w:rPr>
            </w:pPr>
            <w:r>
              <w:rPr>
                <w:rFonts w:ascii="Arial" w:cs="Arial" w:eastAsia="Arial" w:hAnsi="Arial"/>
                <w:sz w:val="11"/>
                <w:szCs w:val="11"/>
                <w:color w:val="auto"/>
              </w:rPr>
              <w:t>43,477</w:t>
            </w:r>
          </w:p>
        </w:tc>
      </w:tr>
      <w:tr>
        <w:trPr>
          <w:trHeight w:val="144"/>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Leasehold improvements</w:t>
            </w:r>
          </w:p>
        </w:tc>
        <w:tc>
          <w:tcPr>
            <w:tcW w:w="1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85,297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69,756</w:t>
            </w:r>
          </w:p>
        </w:tc>
      </w:tr>
      <w:tr>
        <w:trPr>
          <w:trHeight w:val="142"/>
        </w:trPr>
        <w:tc>
          <w:tcPr>
            <w:tcW w:w="5780" w:type="dxa"/>
            <w:vAlign w:val="bottom"/>
          </w:tcPr>
          <w:p>
            <w:pPr>
              <w:ind w:left="20"/>
              <w:spacing w:after="0"/>
              <w:rPr>
                <w:sz w:val="20"/>
                <w:szCs w:val="20"/>
                <w:color w:val="auto"/>
              </w:rPr>
            </w:pPr>
            <w:r>
              <w:rPr>
                <w:rFonts w:ascii="Arial" w:cs="Arial" w:eastAsia="Arial" w:hAnsi="Arial"/>
                <w:sz w:val="11"/>
                <w:szCs w:val="11"/>
                <w:color w:val="auto"/>
              </w:rPr>
              <w:t>Office equipment</w:t>
            </w:r>
          </w:p>
        </w:tc>
        <w:tc>
          <w:tcPr>
            <w:tcW w:w="1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58,636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jc w:val="right"/>
              <w:ind w:right="7"/>
              <w:spacing w:after="0"/>
              <w:rPr>
                <w:sz w:val="20"/>
                <w:szCs w:val="20"/>
                <w:color w:val="auto"/>
              </w:rPr>
            </w:pPr>
            <w:r>
              <w:rPr>
                <w:rFonts w:ascii="Arial" w:cs="Arial" w:eastAsia="Arial" w:hAnsi="Arial"/>
                <w:sz w:val="11"/>
                <w:szCs w:val="11"/>
                <w:color w:val="auto"/>
              </w:rPr>
              <w:t>35,346</w:t>
            </w:r>
          </w:p>
        </w:tc>
      </w:tr>
      <w:tr>
        <w:trPr>
          <w:trHeight w:val="146"/>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Furniture and fixtures</w:t>
            </w:r>
          </w:p>
        </w:tc>
        <w:tc>
          <w:tcPr>
            <w:tcW w:w="1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15,360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12,312</w:t>
            </w:r>
          </w:p>
        </w:tc>
      </w:tr>
      <w:tr>
        <w:trPr>
          <w:trHeight w:val="142"/>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Software</w:t>
            </w:r>
          </w:p>
        </w:tc>
        <w:tc>
          <w:tcPr>
            <w:tcW w:w="1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10,506</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9,943</w:t>
            </w:r>
          </w:p>
        </w:tc>
      </w:tr>
      <w:tr>
        <w:trPr>
          <w:trHeight w:val="135"/>
        </w:trPr>
        <w:tc>
          <w:tcPr>
            <w:tcW w:w="57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Total property and equipment</w:t>
            </w:r>
          </w:p>
        </w:tc>
        <w:tc>
          <w:tcPr>
            <w:tcW w:w="14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446,334</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313,323</w:t>
            </w:r>
          </w:p>
        </w:tc>
      </w:tr>
      <w:tr>
        <w:trPr>
          <w:trHeight w:val="144"/>
        </w:trPr>
        <w:tc>
          <w:tcPr>
            <w:tcW w:w="5780" w:type="dxa"/>
            <w:vAlign w:val="bottom"/>
            <w:tcBorders>
              <w:bottom w:val="single" w:sz="8" w:color="CCEEFF"/>
            </w:tcBorders>
          </w:tcPr>
          <w:p>
            <w:pPr>
              <w:ind w:left="20"/>
              <w:spacing w:after="0" w:line="144" w:lineRule="exact"/>
              <w:rPr>
                <w:sz w:val="20"/>
                <w:szCs w:val="20"/>
                <w:color w:val="auto"/>
              </w:rPr>
            </w:pPr>
            <w:r>
              <w:rPr>
                <w:rFonts w:ascii="Arial" w:cs="Arial" w:eastAsia="Arial" w:hAnsi="Arial"/>
                <w:sz w:val="11"/>
                <w:szCs w:val="11"/>
                <w:color w:val="auto"/>
              </w:rPr>
              <w:t xml:space="preserve">Less: accumulated depreciation and amortization </w:t>
            </w:r>
            <w:r>
              <w:rPr>
                <w:rFonts w:ascii="Arial" w:cs="Arial" w:eastAsia="Arial" w:hAnsi="Arial"/>
                <w:sz w:val="14"/>
                <w:szCs w:val="14"/>
                <w:color w:val="auto"/>
                <w:vertAlign w:val="superscript"/>
              </w:rPr>
              <w:t>(1)</w:t>
            </w:r>
          </w:p>
        </w:tc>
        <w:tc>
          <w:tcPr>
            <w:tcW w:w="1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(191,018)</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(130,084)</w:t>
            </w:r>
          </w:p>
        </w:tc>
      </w:tr>
      <w:tr>
        <w:trPr>
          <w:trHeight w:val="149"/>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property and equipment, net</w:t>
            </w:r>
          </w:p>
        </w:tc>
        <w:tc>
          <w:tcPr>
            <w:tcW w:w="1400" w:type="dxa"/>
            <w:vAlign w:val="bottom"/>
            <w:tcBorders>
              <w:bottom w:val="single" w:sz="8" w:color="auto"/>
            </w:tcBorders>
            <w:shd w:val="clear" w:color="auto" w:fill="CCEEFF"/>
          </w:tcPr>
          <w:p>
            <w:pPr>
              <w:jc w:val="right"/>
              <w:ind w:right="12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255,316</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183,239</w:t>
            </w:r>
          </w:p>
        </w:tc>
      </w:tr>
    </w:tbl>
    <w:p>
      <w:pPr>
        <w:spacing w:after="0" w:line="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____________________________________</w:t>
      </w:r>
    </w:p>
    <w:p>
      <w:pPr>
        <w:spacing w:after="0" w:line="15" w:lineRule="exact"/>
        <w:rPr>
          <w:sz w:val="20"/>
          <w:szCs w:val="20"/>
          <w:color w:val="auto"/>
        </w:rPr>
      </w:pPr>
    </w:p>
    <w:p>
      <w:pPr>
        <w:ind w:left="320" w:right="620"/>
        <w:spacing w:after="0"/>
        <w:rPr>
          <w:sz w:val="20"/>
          <w:szCs w:val="20"/>
          <w:color w:val="auto"/>
        </w:rPr>
      </w:pPr>
      <w:r>
        <w:rPr>
          <w:rFonts w:ascii="Arial" w:cs="Arial" w:eastAsia="Arial" w:hAnsi="Arial"/>
          <w:sz w:val="6"/>
          <w:szCs w:val="6"/>
          <w:color w:val="auto"/>
        </w:rPr>
        <w:t>(</w:t>
      </w:r>
      <w:r>
        <w:rPr>
          <w:rFonts w:ascii="Arial" w:cs="Arial" w:eastAsia="Arial" w:hAnsi="Arial"/>
          <w:sz w:val="14"/>
          <w:szCs w:val="14"/>
          <w:color w:val="auto"/>
          <w:vertAlign w:val="superscript"/>
        </w:rPr>
        <w:t>1</w:t>
      </w:r>
      <w:r>
        <w:rPr>
          <w:rFonts w:ascii="Arial" w:cs="Arial" w:eastAsia="Arial" w:hAnsi="Arial"/>
          <w:sz w:val="6"/>
          <w:szCs w:val="6"/>
          <w:color w:val="auto"/>
        </w:rPr>
        <w:t xml:space="preserve">) </w:t>
      </w:r>
      <w:r>
        <w:rPr>
          <w:rFonts w:ascii="Arial" w:cs="Arial" w:eastAsia="Arial" w:hAnsi="Arial"/>
          <w:sz w:val="10"/>
          <w:szCs w:val="10"/>
          <w:color w:val="auto"/>
        </w:rPr>
        <w:t>Data center equipment contains $63.0 million and $40.8 million in assets held under finance leases as of</w:t>
      </w:r>
      <w:r>
        <w:rPr>
          <w:rFonts w:ascii="Arial" w:cs="Arial" w:eastAsia="Arial" w:hAnsi="Arial"/>
          <w:sz w:val="6"/>
          <w:szCs w:val="6"/>
          <w:color w:val="auto"/>
        </w:rPr>
        <w:t xml:space="preserve"> </w:t>
      </w:r>
      <w:r>
        <w:rPr>
          <w:rFonts w:ascii="Arial" w:cs="Arial" w:eastAsia="Arial" w:hAnsi="Arial"/>
          <w:sz w:val="11"/>
          <w:szCs w:val="11"/>
          <w:color w:val="auto"/>
        </w:rPr>
        <w:t>December 31, 2021</w:t>
      </w:r>
      <w:r>
        <w:rPr>
          <w:rFonts w:ascii="Arial" w:cs="Arial" w:eastAsia="Arial" w:hAnsi="Arial"/>
          <w:sz w:val="6"/>
          <w:szCs w:val="6"/>
          <w:color w:val="auto"/>
        </w:rPr>
        <w:t xml:space="preserve"> </w:t>
      </w:r>
      <w:r>
        <w:rPr>
          <w:rFonts w:ascii="Arial" w:cs="Arial" w:eastAsia="Arial" w:hAnsi="Arial"/>
          <w:sz w:val="10"/>
          <w:szCs w:val="10"/>
          <w:color w:val="auto"/>
        </w:rPr>
        <w:t>and</w:t>
      </w:r>
      <w:r>
        <w:rPr>
          <w:rFonts w:ascii="Arial" w:cs="Arial" w:eastAsia="Arial" w:hAnsi="Arial"/>
          <w:sz w:val="6"/>
          <w:szCs w:val="6"/>
          <w:color w:val="auto"/>
        </w:rPr>
        <w:t xml:space="preserve"> </w:t>
      </w:r>
      <w:r>
        <w:rPr>
          <w:rFonts w:ascii="Arial" w:cs="Arial" w:eastAsia="Arial" w:hAnsi="Arial"/>
          <w:sz w:val="11"/>
          <w:szCs w:val="11"/>
          <w:color w:val="auto"/>
        </w:rPr>
        <w:t>2020</w:t>
      </w:r>
      <w:r>
        <w:rPr>
          <w:rFonts w:ascii="Arial" w:cs="Arial" w:eastAsia="Arial" w:hAnsi="Arial"/>
          <w:sz w:val="10"/>
          <w:szCs w:val="10"/>
          <w:color w:val="auto"/>
        </w:rPr>
        <w:t>, respectively. Accumulated depreciation and amortization contains $26.8 million and $15.0 million in</w:t>
      </w:r>
      <w:r>
        <w:rPr>
          <w:rFonts w:ascii="Arial" w:cs="Arial" w:eastAsia="Arial" w:hAnsi="Arial"/>
          <w:sz w:val="6"/>
          <w:szCs w:val="6"/>
          <w:color w:val="auto"/>
        </w:rPr>
        <w:t xml:space="preserve"> </w:t>
      </w:r>
      <w:r>
        <w:rPr>
          <w:rFonts w:ascii="Arial" w:cs="Arial" w:eastAsia="Arial" w:hAnsi="Arial"/>
          <w:sz w:val="10"/>
          <w:szCs w:val="10"/>
          <w:color w:val="auto"/>
        </w:rPr>
        <w:t xml:space="preserve">accumulated amortizations for assets held under finance leases as of </w:t>
      </w:r>
      <w:r>
        <w:rPr>
          <w:rFonts w:ascii="Arial" w:cs="Arial" w:eastAsia="Arial" w:hAnsi="Arial"/>
          <w:sz w:val="11"/>
          <w:szCs w:val="11"/>
          <w:color w:val="auto"/>
        </w:rPr>
        <w:t>December 31, 2021</w:t>
      </w:r>
      <w:r>
        <w:rPr>
          <w:rFonts w:ascii="Arial" w:cs="Arial" w:eastAsia="Arial" w:hAnsi="Arial"/>
          <w:sz w:val="10"/>
          <w:szCs w:val="10"/>
          <w:color w:val="auto"/>
        </w:rPr>
        <w:t xml:space="preserve"> and </w:t>
      </w:r>
      <w:r>
        <w:rPr>
          <w:rFonts w:ascii="Arial" w:cs="Arial" w:eastAsia="Arial" w:hAnsi="Arial"/>
          <w:sz w:val="11"/>
          <w:szCs w:val="11"/>
          <w:color w:val="auto"/>
        </w:rPr>
        <w:t>2020</w:t>
      </w:r>
      <w:r>
        <w:rPr>
          <w:rFonts w:ascii="Arial" w:cs="Arial" w:eastAsia="Arial" w:hAnsi="Arial"/>
          <w:sz w:val="10"/>
          <w:szCs w:val="10"/>
          <w:color w:val="auto"/>
        </w:rPr>
        <w:t>, respectively.</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Depreciation and amortization expense was $59.6 million, $51.1 million and $37.5 million for the years ended December 31, 2021, 2020 and 2019, respectively.</w:t>
      </w:r>
    </w:p>
    <w:p>
      <w:pPr>
        <w:spacing w:after="0" w:line="150" w:lineRule="exact"/>
        <w:rPr>
          <w:sz w:val="20"/>
          <w:szCs w:val="20"/>
          <w:color w:val="auto"/>
        </w:rPr>
      </w:pPr>
    </w:p>
    <w:p>
      <w:pPr>
        <w:ind w:left="320"/>
        <w:spacing w:after="0" w:line="138" w:lineRule="exact"/>
        <w:rPr>
          <w:sz w:val="20"/>
          <w:szCs w:val="20"/>
          <w:color w:val="auto"/>
        </w:rPr>
      </w:pPr>
      <w:r>
        <w:rPr>
          <w:rFonts w:ascii="Arial" w:cs="Arial" w:eastAsia="Arial" w:hAnsi="Arial"/>
          <w:sz w:val="12"/>
          <w:szCs w:val="12"/>
          <w:color w:val="auto"/>
        </w:rPr>
        <w:t>The Company capitalized $63.1 million, $47.1 million and $29.7 million in internal</w:t>
      </w:r>
      <w:r>
        <w:rPr>
          <w:rFonts w:ascii="MS PGothic" w:cs="MS PGothic" w:eastAsia="MS PGothic" w:hAnsi="MS PGothic"/>
          <w:sz w:val="12"/>
          <w:szCs w:val="12"/>
          <w:color w:val="auto"/>
        </w:rPr>
        <w:t>‑</w:t>
      </w:r>
      <w:r>
        <w:rPr>
          <w:rFonts w:ascii="Arial" w:cs="Arial" w:eastAsia="Arial" w:hAnsi="Arial"/>
          <w:sz w:val="12"/>
          <w:szCs w:val="12"/>
          <w:color w:val="auto"/>
        </w:rPr>
        <w:t>use software development costs in the years ended December 31, 2021, 2020 and 2019,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Derivatives and Hedging</w:t>
      </w:r>
    </w:p>
    <w:p>
      <w:pPr>
        <w:spacing w:after="0" w:line="154" w:lineRule="exact"/>
        <w:rPr>
          <w:sz w:val="20"/>
          <w:szCs w:val="20"/>
          <w:color w:val="auto"/>
        </w:rPr>
      </w:pPr>
    </w:p>
    <w:p>
      <w:pPr>
        <w:ind w:right="120" w:firstLine="324"/>
        <w:spacing w:after="0" w:line="276" w:lineRule="auto"/>
        <w:rPr>
          <w:sz w:val="20"/>
          <w:szCs w:val="20"/>
          <w:color w:val="auto"/>
        </w:rPr>
      </w:pPr>
      <w:r>
        <w:rPr>
          <w:rFonts w:ascii="Arial" w:cs="Arial" w:eastAsia="Arial" w:hAnsi="Arial"/>
          <w:sz w:val="12"/>
          <w:szCs w:val="12"/>
          <w:color w:val="auto"/>
        </w:rPr>
        <w:t>As of December 31, 2021, the Company had outstanding foreign currency forward contracts designated as cash flow hedges with total sell and buy notional values of $276.2 million and $243.1 million, respectively. The notional value represents the amount that will be purchased or sold upon maturity of the forward contract. As of December 31, 2021, these contracts had maturities of less than 12 months.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Gains and losses associated with these foreign currency forward contracts were as follows:</w:t>
      </w:r>
    </w:p>
    <w:p>
      <w:pPr>
        <w:spacing w:after="0" w:line="291" w:lineRule="exact"/>
        <w:rPr>
          <w:sz w:val="20"/>
          <w:szCs w:val="20"/>
          <w:color w:val="auto"/>
        </w:rPr>
      </w:pPr>
    </w:p>
    <w:tbl>
      <w:tblPr>
        <w:tblLayout w:type="fixed"/>
        <w:tblInd w:w="320" w:type="dxa"/>
        <w:tblCellMar>
          <w:top w:w="0" w:type="dxa"/>
          <w:left w:w="0" w:type="dxa"/>
          <w:bottom w:w="0" w:type="dxa"/>
          <w:right w:w="0" w:type="dxa"/>
        </w:tblCellMar>
      </w:tblPr>
      <w:tr>
        <w:trPr>
          <w:trHeight w:val="133"/>
        </w:trPr>
        <w:tc>
          <w:tcPr>
            <w:tcW w:w="5760" w:type="dxa"/>
            <w:vAlign w:val="bottom"/>
          </w:tcPr>
          <w:p>
            <w:pPr>
              <w:spacing w:after="0"/>
              <w:rPr>
                <w:sz w:val="11"/>
                <w:szCs w:val="11"/>
                <w:color w:val="auto"/>
              </w:rPr>
            </w:pPr>
          </w:p>
        </w:tc>
        <w:tc>
          <w:tcPr>
            <w:tcW w:w="3200" w:type="dxa"/>
            <w:vAlign w:val="bottom"/>
            <w:gridSpan w:val="2"/>
          </w:tcPr>
          <w:p>
            <w:pPr>
              <w:ind w:left="440"/>
              <w:spacing w:after="0"/>
              <w:rPr>
                <w:sz w:val="20"/>
                <w:szCs w:val="20"/>
                <w:color w:val="auto"/>
              </w:rPr>
            </w:pPr>
            <w:r>
              <w:rPr>
                <w:rFonts w:ascii="Arial" w:cs="Arial" w:eastAsia="Arial" w:hAnsi="Arial"/>
                <w:sz w:val="11"/>
                <w:szCs w:val="11"/>
                <w:b w:val="1"/>
                <w:bCs w:val="1"/>
                <w:color w:val="auto"/>
                <w:w w:val="93"/>
              </w:rPr>
              <w:t>Consolidated Statement of Operations and Statement of</w:t>
            </w:r>
          </w:p>
        </w:tc>
        <w:tc>
          <w:tcPr>
            <w:tcW w:w="2080" w:type="dxa"/>
            <w:vAlign w:val="bottom"/>
            <w:tcBorders>
              <w:bottom w:val="single" w:sz="8" w:color="auto"/>
            </w:tcBorders>
          </w:tcPr>
          <w:p>
            <w:pPr>
              <w:jc w:val="center"/>
              <w:ind w:left="530"/>
              <w:spacing w:after="0"/>
              <w:rPr>
                <w:sz w:val="20"/>
                <w:szCs w:val="20"/>
                <w:color w:val="auto"/>
              </w:rPr>
            </w:pPr>
            <w:r>
              <w:rPr>
                <w:rFonts w:ascii="Arial" w:cs="Arial" w:eastAsia="Arial" w:hAnsi="Arial"/>
                <w:sz w:val="10"/>
                <w:szCs w:val="10"/>
                <w:b w:val="1"/>
                <w:bCs w:val="1"/>
                <w:color w:val="auto"/>
                <w:w w:val="86"/>
              </w:rPr>
              <w:t>Year Ended December 31,</w:t>
            </w:r>
          </w:p>
        </w:tc>
      </w:tr>
      <w:tr>
        <w:trPr>
          <w:trHeight w:val="135"/>
        </w:trPr>
        <w:tc>
          <w:tcPr>
            <w:tcW w:w="5760" w:type="dxa"/>
            <w:vAlign w:val="bottom"/>
          </w:tcPr>
          <w:p>
            <w:pPr>
              <w:spacing w:after="0"/>
              <w:rPr>
                <w:sz w:val="11"/>
                <w:szCs w:val="11"/>
                <w:color w:val="auto"/>
              </w:rPr>
            </w:pPr>
          </w:p>
        </w:tc>
        <w:tc>
          <w:tcPr>
            <w:tcW w:w="3200" w:type="dxa"/>
            <w:vAlign w:val="bottom"/>
            <w:gridSpan w:val="2"/>
          </w:tcPr>
          <w:p>
            <w:pPr>
              <w:ind w:left="1080"/>
              <w:spacing w:after="0"/>
              <w:rPr>
                <w:sz w:val="20"/>
                <w:szCs w:val="20"/>
                <w:color w:val="auto"/>
              </w:rPr>
            </w:pPr>
            <w:r>
              <w:rPr>
                <w:rFonts w:ascii="Arial" w:cs="Arial" w:eastAsia="Arial" w:hAnsi="Arial"/>
                <w:sz w:val="11"/>
                <w:szCs w:val="11"/>
                <w:b w:val="1"/>
                <w:bCs w:val="1"/>
                <w:color w:val="auto"/>
              </w:rPr>
              <w:t>Comprehensive Loss</w:t>
            </w:r>
          </w:p>
        </w:tc>
        <w:tc>
          <w:tcPr>
            <w:tcW w:w="2080" w:type="dxa"/>
            <w:vAlign w:val="bottom"/>
          </w:tcPr>
          <w:p>
            <w:pPr>
              <w:jc w:val="center"/>
              <w:ind w:left="530"/>
              <w:spacing w:after="0"/>
              <w:rPr>
                <w:sz w:val="20"/>
                <w:szCs w:val="20"/>
                <w:color w:val="auto"/>
              </w:rPr>
            </w:pPr>
            <w:r>
              <w:rPr>
                <w:rFonts w:ascii="Arial" w:cs="Arial" w:eastAsia="Arial" w:hAnsi="Arial"/>
                <w:sz w:val="11"/>
                <w:szCs w:val="11"/>
                <w:b w:val="1"/>
                <w:bCs w:val="1"/>
                <w:color w:val="auto"/>
                <w:w w:val="89"/>
              </w:rPr>
              <w:t>2021</w:t>
            </w:r>
          </w:p>
        </w:tc>
      </w:tr>
      <w:tr>
        <w:trPr>
          <w:trHeight w:val="133"/>
        </w:trPr>
        <w:tc>
          <w:tcPr>
            <w:tcW w:w="5760" w:type="dxa"/>
            <w:vAlign w:val="bottom"/>
          </w:tcPr>
          <w:p>
            <w:pPr>
              <w:spacing w:after="0"/>
              <w:rPr>
                <w:sz w:val="11"/>
                <w:szCs w:val="11"/>
                <w:color w:val="auto"/>
              </w:rPr>
            </w:pPr>
          </w:p>
        </w:tc>
        <w:tc>
          <w:tcPr>
            <w:tcW w:w="3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Borders>
              <w:top w:val="single" w:sz="8" w:color="auto"/>
            </w:tcBorders>
          </w:tcPr>
          <w:p>
            <w:pPr>
              <w:jc w:val="center"/>
              <w:ind w:left="530"/>
              <w:spacing w:after="0"/>
              <w:rPr>
                <w:sz w:val="20"/>
                <w:szCs w:val="20"/>
                <w:color w:val="auto"/>
              </w:rPr>
            </w:pPr>
            <w:r>
              <w:rPr>
                <w:rFonts w:ascii="Arial" w:cs="Arial" w:eastAsia="Arial" w:hAnsi="Arial"/>
                <w:sz w:val="11"/>
                <w:szCs w:val="11"/>
                <w:color w:val="auto"/>
                <w:w w:val="88"/>
              </w:rPr>
              <w:t>(In thousands)</w:t>
            </w:r>
          </w:p>
        </w:tc>
      </w:tr>
      <w:tr>
        <w:trPr>
          <w:trHeight w:val="114"/>
        </w:trPr>
        <w:tc>
          <w:tcPr>
            <w:tcW w:w="5760" w:type="dxa"/>
            <w:vAlign w:val="bottom"/>
            <w:shd w:val="clear" w:color="auto" w:fill="CCEEFF"/>
          </w:tcPr>
          <w:p>
            <w:pPr>
              <w:ind w:left="340"/>
              <w:spacing w:after="0" w:line="114" w:lineRule="exact"/>
              <w:rPr>
                <w:sz w:val="20"/>
                <w:szCs w:val="20"/>
                <w:color w:val="auto"/>
              </w:rPr>
            </w:pPr>
            <w:r>
              <w:rPr>
                <w:rFonts w:ascii="Arial" w:cs="Arial" w:eastAsia="Arial" w:hAnsi="Arial"/>
                <w:sz w:val="11"/>
                <w:szCs w:val="11"/>
                <w:color w:val="auto"/>
              </w:rPr>
              <w:t>Gains recognized in OCI</w:t>
            </w:r>
          </w:p>
        </w:tc>
        <w:tc>
          <w:tcPr>
            <w:tcW w:w="3200" w:type="dxa"/>
            <w:vAlign w:val="bottom"/>
            <w:gridSpan w:val="2"/>
            <w:shd w:val="clear" w:color="auto" w:fill="CCEEFF"/>
          </w:tcPr>
          <w:p>
            <w:pPr>
              <w:ind w:left="340"/>
              <w:spacing w:after="0" w:line="114" w:lineRule="exact"/>
              <w:rPr>
                <w:sz w:val="20"/>
                <w:szCs w:val="20"/>
                <w:color w:val="auto"/>
              </w:rPr>
            </w:pPr>
            <w:r>
              <w:rPr>
                <w:rFonts w:ascii="Arial" w:cs="Arial" w:eastAsia="Arial" w:hAnsi="Arial"/>
                <w:sz w:val="11"/>
                <w:szCs w:val="11"/>
                <w:color w:val="auto"/>
              </w:rPr>
              <w:t>Net change in market value of effective foreign currency</w:t>
            </w:r>
          </w:p>
        </w:tc>
        <w:tc>
          <w:tcPr>
            <w:tcW w:w="2080" w:type="dxa"/>
            <w:vAlign w:val="bottom"/>
            <w:shd w:val="clear" w:color="auto" w:fill="CCEEFF"/>
          </w:tcPr>
          <w:p>
            <w:pPr>
              <w:jc w:val="right"/>
              <w:ind w:right="1630"/>
              <w:spacing w:after="0" w:line="114" w:lineRule="exact"/>
              <w:rPr>
                <w:sz w:val="20"/>
                <w:szCs w:val="20"/>
                <w:color w:val="auto"/>
              </w:rPr>
            </w:pPr>
            <w:r>
              <w:rPr>
                <w:rFonts w:ascii="Arial" w:cs="Arial" w:eastAsia="Arial" w:hAnsi="Arial"/>
                <w:sz w:val="10"/>
                <w:szCs w:val="10"/>
                <w:color w:val="auto"/>
              </w:rPr>
              <w:t>$</w:t>
            </w:r>
          </w:p>
        </w:tc>
      </w:tr>
      <w:tr>
        <w:trPr>
          <w:trHeight w:val="140"/>
        </w:trPr>
        <w:tc>
          <w:tcPr>
            <w:tcW w:w="5760" w:type="dxa"/>
            <w:vAlign w:val="bottom"/>
            <w:shd w:val="clear" w:color="auto" w:fill="CCEEFF"/>
          </w:tcPr>
          <w:p>
            <w:pPr>
              <w:spacing w:after="0"/>
              <w:rPr>
                <w:sz w:val="12"/>
                <w:szCs w:val="12"/>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forward exchange contracts</w:t>
            </w:r>
          </w:p>
        </w:tc>
        <w:tc>
          <w:tcPr>
            <w:tcW w:w="2080" w:type="dxa"/>
            <w:vAlign w:val="bottom"/>
            <w:shd w:val="clear" w:color="auto" w:fill="CCEEFF"/>
          </w:tcPr>
          <w:p>
            <w:pPr>
              <w:spacing w:after="0"/>
              <w:rPr>
                <w:sz w:val="12"/>
                <w:szCs w:val="12"/>
                <w:color w:val="auto"/>
              </w:rPr>
            </w:pPr>
          </w:p>
        </w:tc>
      </w:tr>
      <w:tr>
        <w:trPr>
          <w:trHeight w:val="140"/>
        </w:trPr>
        <w:tc>
          <w:tcPr>
            <w:tcW w:w="5760" w:type="dxa"/>
            <w:vAlign w:val="bottom"/>
          </w:tcPr>
          <w:p>
            <w:pPr>
              <w:ind w:left="340"/>
              <w:spacing w:after="0"/>
              <w:rPr>
                <w:sz w:val="20"/>
                <w:szCs w:val="20"/>
                <w:color w:val="auto"/>
              </w:rPr>
            </w:pPr>
            <w:r>
              <w:rPr>
                <w:rFonts w:ascii="Arial" w:cs="Arial" w:eastAsia="Arial" w:hAnsi="Arial"/>
                <w:sz w:val="11"/>
                <w:szCs w:val="11"/>
                <w:color w:val="auto"/>
              </w:rPr>
              <w:t>Losses recognized in income due to instruments maturing</w:t>
            </w:r>
          </w:p>
        </w:tc>
        <w:tc>
          <w:tcPr>
            <w:tcW w:w="3200" w:type="dxa"/>
            <w:vAlign w:val="bottom"/>
            <w:gridSpan w:val="2"/>
          </w:tcPr>
          <w:p>
            <w:pPr>
              <w:ind w:left="340"/>
              <w:spacing w:after="0"/>
              <w:rPr>
                <w:sz w:val="20"/>
                <w:szCs w:val="20"/>
                <w:color w:val="auto"/>
              </w:rPr>
            </w:pPr>
            <w:r>
              <w:rPr>
                <w:rFonts w:ascii="Arial" w:cs="Arial" w:eastAsia="Arial" w:hAnsi="Arial"/>
                <w:sz w:val="11"/>
                <w:szCs w:val="11"/>
                <w:color w:val="auto"/>
              </w:rPr>
              <w:t>Cost of revenue</w:t>
            </w:r>
          </w:p>
        </w:tc>
        <w:tc>
          <w:tcPr>
            <w:tcW w:w="2080" w:type="dxa"/>
            <w:vAlign w:val="bottom"/>
          </w:tcPr>
          <w:p>
            <w:pPr>
              <w:jc w:val="right"/>
              <w:ind w:right="1630"/>
              <w:spacing w:after="0"/>
              <w:rPr>
                <w:sz w:val="20"/>
                <w:szCs w:val="20"/>
                <w:color w:val="auto"/>
              </w:rPr>
            </w:pPr>
            <w:r>
              <w:rPr>
                <w:rFonts w:ascii="Arial" w:cs="Arial" w:eastAsia="Arial" w:hAnsi="Arial"/>
                <w:sz w:val="10"/>
                <w:szCs w:val="10"/>
                <w:color w:val="auto"/>
              </w:rPr>
              <w:t>$</w:t>
            </w:r>
          </w:p>
        </w:tc>
      </w:tr>
    </w:tbl>
    <w:p>
      <w:pPr>
        <w:spacing w:after="0" w:line="193" w:lineRule="exact"/>
        <w:rPr>
          <w:sz w:val="20"/>
          <w:szCs w:val="20"/>
          <w:color w:val="auto"/>
        </w:rPr>
      </w:pPr>
    </w:p>
    <w:p>
      <w:pPr>
        <w:ind w:right="60" w:firstLine="324"/>
        <w:spacing w:after="0" w:line="259" w:lineRule="auto"/>
        <w:rPr>
          <w:sz w:val="20"/>
          <w:szCs w:val="20"/>
          <w:color w:val="auto"/>
        </w:rPr>
      </w:pPr>
      <w:r>
        <w:rPr>
          <w:rFonts w:ascii="Arial" w:cs="Arial" w:eastAsia="Arial" w:hAnsi="Arial"/>
          <w:sz w:val="12"/>
          <w:szCs w:val="12"/>
          <w:color w:val="auto"/>
        </w:rPr>
        <w:t>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consolidated balance sheet.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December 31, 2021, the Company did not have any offsetting arrangements.</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131" w:right="239" w:bottom="1440" w:gutter="0" w:footer="0" w:header="0"/>
        </w:sectPr>
      </w:pPr>
    </w:p>
    <w:bookmarkStart w:id="95" w:name="page96"/>
    <w:bookmarkEnd w:id="9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Right-of-Use Assets and Lease Liabilities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has entered into various operating lease agreements for office space and data centers and finance lease agreements for data center and office equipment and furniture.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December 31, 2021, the Company had 31 leased properties with remaining lease terms of 0.1 years to 7.8 years, some of which include options to extend the leases for up to 5.0 years.</w:t>
      </w:r>
    </w:p>
    <w:p>
      <w:pPr>
        <w:spacing w:after="0" w:line="150"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color w:val="auto"/>
        </w:rPr>
        <w:t>Operating lease costs recorded in the accompanying consolidated statements of operations were $61.0 million and $49.3 million for the year ended December 31, 2021 and 2020, respectively. Short-term lease, variable lease and finance lease costs were not significant.</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Supplemental cash flow and other information related to operating leases was as follows:</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27"/>
        </w:trPr>
        <w:tc>
          <w:tcPr>
            <w:tcW w:w="80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Year Ended December 31,</w:t>
            </w:r>
          </w:p>
        </w:tc>
        <w:tc>
          <w:tcPr>
            <w:tcW w:w="700" w:type="dxa"/>
            <w:vAlign w:val="bottom"/>
            <w:tcBorders>
              <w:bottom w:val="single" w:sz="8" w:color="auto"/>
            </w:tcBorders>
          </w:tcPr>
          <w:p>
            <w:pPr>
              <w:spacing w:after="0"/>
              <w:rPr>
                <w:sz w:val="11"/>
                <w:szCs w:val="11"/>
                <w:color w:val="auto"/>
              </w:rPr>
            </w:pPr>
          </w:p>
        </w:tc>
      </w:tr>
      <w:tr>
        <w:trPr>
          <w:trHeight w:val="118"/>
        </w:trPr>
        <w:tc>
          <w:tcPr>
            <w:tcW w:w="804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448"/>
              <w:spacing w:after="0"/>
              <w:rPr>
                <w:sz w:val="20"/>
                <w:szCs w:val="20"/>
                <w:color w:val="auto"/>
              </w:rPr>
            </w:pPr>
            <w:r>
              <w:rPr>
                <w:rFonts w:ascii="Arial" w:cs="Arial" w:eastAsia="Arial" w:hAnsi="Arial"/>
                <w:sz w:val="10"/>
                <w:szCs w:val="10"/>
                <w:b w:val="1"/>
                <w:bCs w:val="1"/>
                <w:color w:val="auto"/>
                <w:w w:val="80"/>
              </w:rPr>
              <w:t>2020</w:t>
            </w:r>
          </w:p>
        </w:tc>
      </w:tr>
      <w:tr>
        <w:trPr>
          <w:trHeight w:val="134"/>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cash flows paid for amounts included in operating lease liabilities (in thousands)</w:t>
            </w:r>
          </w:p>
        </w:tc>
        <w:tc>
          <w:tcPr>
            <w:tcW w:w="700" w:type="dxa"/>
            <w:vAlign w:val="bottom"/>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60,085</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9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1"/>
                <w:szCs w:val="11"/>
                <w:color w:val="auto"/>
              </w:rPr>
              <w:t>46,895</w:t>
            </w:r>
          </w:p>
        </w:tc>
      </w:tr>
      <w:tr>
        <w:trPr>
          <w:trHeight w:val="142"/>
        </w:trPr>
        <w:tc>
          <w:tcPr>
            <w:tcW w:w="8040" w:type="dxa"/>
            <w:vAlign w:val="bottom"/>
          </w:tcPr>
          <w:p>
            <w:pPr>
              <w:ind w:left="20"/>
              <w:spacing w:after="0"/>
              <w:rPr>
                <w:sz w:val="20"/>
                <w:szCs w:val="20"/>
                <w:color w:val="auto"/>
              </w:rPr>
            </w:pPr>
            <w:r>
              <w:rPr>
                <w:rFonts w:ascii="Arial" w:cs="Arial" w:eastAsia="Arial" w:hAnsi="Arial"/>
                <w:sz w:val="11"/>
                <w:szCs w:val="11"/>
                <w:color w:val="auto"/>
              </w:rPr>
              <w:t>Weighted average remaining lease term (in years)</w:t>
            </w:r>
          </w:p>
        </w:tc>
        <w:tc>
          <w:tcPr>
            <w:tcW w:w="700" w:type="dxa"/>
            <w:vAlign w:val="bottom"/>
          </w:tcPr>
          <w:p>
            <w:pPr>
              <w:spacing w:after="0"/>
              <w:rPr>
                <w:sz w:val="12"/>
                <w:szCs w:val="12"/>
                <w:color w:val="auto"/>
              </w:rPr>
            </w:pPr>
          </w:p>
        </w:tc>
        <w:tc>
          <w:tcPr>
            <w:tcW w:w="520" w:type="dxa"/>
            <w:vAlign w:val="bottom"/>
          </w:tcPr>
          <w:p>
            <w:pPr>
              <w:jc w:val="right"/>
              <w:ind w:right="48"/>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right"/>
              <w:ind w:right="28"/>
              <w:spacing w:after="0"/>
              <w:rPr>
                <w:sz w:val="20"/>
                <w:szCs w:val="20"/>
                <w:color w:val="auto"/>
              </w:rPr>
            </w:pPr>
            <w:r>
              <w:rPr>
                <w:rFonts w:ascii="Arial" w:cs="Arial" w:eastAsia="Arial" w:hAnsi="Arial"/>
                <w:sz w:val="11"/>
                <w:szCs w:val="11"/>
                <w:color w:val="auto"/>
              </w:rPr>
              <w:t>6.0</w:t>
            </w:r>
          </w:p>
        </w:tc>
      </w:tr>
      <w:tr>
        <w:trPr>
          <w:trHeight w:val="146"/>
        </w:trPr>
        <w:tc>
          <w:tcPr>
            <w:tcW w:w="8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 average discount rate</w:t>
            </w: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4.5 %</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4.8 %</w:t>
            </w: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Maturities of operating lease liabilities were as follows:</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142"/>
        </w:trPr>
        <w:tc>
          <w:tcPr>
            <w:tcW w:w="114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As of December 31, 2021</w:t>
            </w:r>
          </w:p>
        </w:tc>
      </w:tr>
      <w:tr>
        <w:trPr>
          <w:trHeight w:val="148"/>
        </w:trPr>
        <w:tc>
          <w:tcPr>
            <w:tcW w:w="4720" w:type="dxa"/>
            <w:vAlign w:val="bottom"/>
            <w:gridSpan w:val="2"/>
            <w:shd w:val="clear" w:color="auto" w:fill="CCEEFF"/>
          </w:tcPr>
          <w:p>
            <w:pPr>
              <w:spacing w:after="0" w:line="108" w:lineRule="exact"/>
              <w:rPr>
                <w:sz w:val="20"/>
                <w:szCs w:val="20"/>
                <w:color w:val="auto"/>
              </w:rPr>
            </w:pPr>
            <w:r>
              <w:rPr>
                <w:rFonts w:ascii="Arial" w:cs="Arial" w:eastAsia="Arial" w:hAnsi="Arial"/>
                <w:sz w:val="11"/>
                <w:szCs w:val="11"/>
                <w:color w:val="auto"/>
              </w:rPr>
              <w:t>Year Ended December 31,</w:t>
            </w:r>
          </w:p>
        </w:tc>
        <w:tc>
          <w:tcPr>
            <w:tcW w:w="28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706"/>
              <w:spacing w:after="0" w:line="108" w:lineRule="exact"/>
              <w:rPr>
                <w:sz w:val="20"/>
                <w:szCs w:val="20"/>
                <w:color w:val="auto"/>
              </w:rPr>
            </w:pPr>
            <w:r>
              <w:rPr>
                <w:rFonts w:ascii="Arial" w:cs="Arial" w:eastAsia="Arial" w:hAnsi="Arial"/>
                <w:sz w:val="11"/>
                <w:szCs w:val="11"/>
                <w:color w:val="auto"/>
              </w:rPr>
              <w:t>(In thousands)</w:t>
            </w:r>
          </w:p>
        </w:tc>
      </w:tr>
      <w:tr>
        <w:trPr>
          <w:trHeight w:val="118"/>
        </w:trPr>
        <w:tc>
          <w:tcPr>
            <w:tcW w:w="1140" w:type="dxa"/>
            <w:vAlign w:val="bottom"/>
            <w:tcBorders>
              <w:top w:val="single" w:sz="8" w:color="auto"/>
            </w:tcBorders>
          </w:tcPr>
          <w:p>
            <w:pPr>
              <w:spacing w:after="0" w:line="116" w:lineRule="exact"/>
              <w:rPr>
                <w:sz w:val="20"/>
                <w:szCs w:val="20"/>
                <w:color w:val="auto"/>
              </w:rPr>
            </w:pPr>
            <w:r>
              <w:rPr>
                <w:rFonts w:ascii="Arial" w:cs="Arial" w:eastAsia="Arial" w:hAnsi="Arial"/>
                <w:sz w:val="11"/>
                <w:szCs w:val="11"/>
                <w:color w:val="auto"/>
              </w:rPr>
              <w:t>2022</w:t>
            </w:r>
          </w:p>
        </w:tc>
        <w:tc>
          <w:tcPr>
            <w:tcW w:w="358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1"/>
                <w:szCs w:val="11"/>
                <w:color w:val="auto"/>
              </w:rPr>
              <w:t>63,086</w:t>
            </w:r>
          </w:p>
        </w:tc>
      </w:tr>
      <w:tr>
        <w:trPr>
          <w:trHeight w:val="146"/>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2023</w:t>
            </w:r>
          </w:p>
        </w:tc>
        <w:tc>
          <w:tcPr>
            <w:tcW w:w="3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57,173</w:t>
            </w:r>
          </w:p>
        </w:tc>
      </w:tr>
      <w:tr>
        <w:trPr>
          <w:trHeight w:val="142"/>
        </w:trPr>
        <w:tc>
          <w:tcPr>
            <w:tcW w:w="1140" w:type="dxa"/>
            <w:vAlign w:val="bottom"/>
          </w:tcPr>
          <w:p>
            <w:pPr>
              <w:spacing w:after="0"/>
              <w:rPr>
                <w:sz w:val="20"/>
                <w:szCs w:val="20"/>
                <w:color w:val="auto"/>
              </w:rPr>
            </w:pPr>
            <w:r>
              <w:rPr>
                <w:rFonts w:ascii="Arial" w:cs="Arial" w:eastAsia="Arial" w:hAnsi="Arial"/>
                <w:sz w:val="11"/>
                <w:szCs w:val="11"/>
                <w:color w:val="auto"/>
              </w:rPr>
              <w:t>2024</w:t>
            </w:r>
          </w:p>
        </w:tc>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auto"/>
              </w:rPr>
              <w:t>50,742</w:t>
            </w:r>
          </w:p>
        </w:tc>
      </w:tr>
      <w:tr>
        <w:trPr>
          <w:trHeight w:val="146"/>
        </w:trPr>
        <w:tc>
          <w:tcPr>
            <w:tcW w:w="1140" w:type="dxa"/>
            <w:vAlign w:val="bottom"/>
            <w:shd w:val="clear" w:color="auto" w:fill="CCEEFF"/>
          </w:tcPr>
          <w:p>
            <w:pPr>
              <w:spacing w:after="0"/>
              <w:rPr>
                <w:sz w:val="20"/>
                <w:szCs w:val="20"/>
                <w:color w:val="auto"/>
              </w:rPr>
            </w:pPr>
            <w:r>
              <w:rPr>
                <w:rFonts w:ascii="Arial" w:cs="Arial" w:eastAsia="Arial" w:hAnsi="Arial"/>
                <w:sz w:val="11"/>
                <w:szCs w:val="11"/>
                <w:color w:val="auto"/>
              </w:rPr>
              <w:t>2025</w:t>
            </w:r>
          </w:p>
        </w:tc>
        <w:tc>
          <w:tcPr>
            <w:tcW w:w="3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37,621</w:t>
            </w:r>
          </w:p>
        </w:tc>
      </w:tr>
      <w:tr>
        <w:trPr>
          <w:trHeight w:val="142"/>
        </w:trPr>
        <w:tc>
          <w:tcPr>
            <w:tcW w:w="1140" w:type="dxa"/>
            <w:vAlign w:val="bottom"/>
          </w:tcPr>
          <w:p>
            <w:pPr>
              <w:spacing w:after="0"/>
              <w:rPr>
                <w:sz w:val="20"/>
                <w:szCs w:val="20"/>
                <w:color w:val="auto"/>
              </w:rPr>
            </w:pPr>
            <w:r>
              <w:rPr>
                <w:rFonts w:ascii="Arial" w:cs="Arial" w:eastAsia="Arial" w:hAnsi="Arial"/>
                <w:sz w:val="11"/>
                <w:szCs w:val="11"/>
                <w:color w:val="auto"/>
              </w:rPr>
              <w:t>2026</w:t>
            </w:r>
          </w:p>
        </w:tc>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auto"/>
              </w:rPr>
              <w:t>34,827</w:t>
            </w:r>
          </w:p>
        </w:tc>
      </w:tr>
      <w:tr>
        <w:trPr>
          <w:trHeight w:val="146"/>
        </w:trPr>
        <w:tc>
          <w:tcPr>
            <w:tcW w:w="4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Thereafter</w:t>
            </w:r>
          </w:p>
        </w:tc>
        <w:tc>
          <w:tcPr>
            <w:tcW w:w="280" w:type="dxa"/>
            <w:vAlign w:val="bottom"/>
            <w:tcBorders>
              <w:bottom w:val="single" w:sz="8" w:color="auto"/>
            </w:tcBorders>
            <w:shd w:val="clear" w:color="auto" w:fill="CCEEFF"/>
          </w:tcPr>
          <w:p>
            <w:pPr>
              <w:spacing w:after="0"/>
              <w:rPr>
                <w:sz w:val="12"/>
                <w:szCs w:val="1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54,760</w:t>
            </w:r>
          </w:p>
        </w:tc>
      </w:tr>
      <w:tr>
        <w:trPr>
          <w:trHeight w:val="131"/>
        </w:trPr>
        <w:tc>
          <w:tcPr>
            <w:tcW w:w="4720" w:type="dxa"/>
            <w:vAlign w:val="bottom"/>
            <w:gridSpan w:val="2"/>
          </w:tcPr>
          <w:p>
            <w:pPr>
              <w:ind w:left="140"/>
              <w:spacing w:after="0"/>
              <w:rPr>
                <w:sz w:val="20"/>
                <w:szCs w:val="20"/>
                <w:color w:val="auto"/>
              </w:rPr>
            </w:pPr>
            <w:r>
              <w:rPr>
                <w:rFonts w:ascii="Arial" w:cs="Arial" w:eastAsia="Arial" w:hAnsi="Arial"/>
                <w:sz w:val="11"/>
                <w:szCs w:val="11"/>
                <w:color w:val="auto"/>
              </w:rPr>
              <w:t>Total lease payments</w:t>
            </w:r>
          </w:p>
        </w:tc>
        <w:tc>
          <w:tcPr>
            <w:tcW w:w="280" w:type="dxa"/>
            <w:vAlign w:val="bottom"/>
          </w:tcPr>
          <w:p>
            <w:pPr>
              <w:spacing w:after="0"/>
              <w:rPr>
                <w:sz w:val="11"/>
                <w:szCs w:val="11"/>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auto"/>
              </w:rPr>
              <w:t>298,209</w:t>
            </w:r>
          </w:p>
        </w:tc>
      </w:tr>
      <w:tr>
        <w:trPr>
          <w:trHeight w:val="146"/>
        </w:trPr>
        <w:tc>
          <w:tcPr>
            <w:tcW w:w="4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Less: imputed interest</w:t>
            </w:r>
          </w:p>
        </w:tc>
        <w:tc>
          <w:tcPr>
            <w:tcW w:w="280" w:type="dxa"/>
            <w:vAlign w:val="bottom"/>
            <w:tcBorders>
              <w:bottom w:val="single" w:sz="8" w:color="auto"/>
            </w:tcBorders>
            <w:shd w:val="clear" w:color="auto" w:fill="CCEEFF"/>
          </w:tcPr>
          <w:p>
            <w:pPr>
              <w:spacing w:after="0"/>
              <w:rPr>
                <w:sz w:val="12"/>
                <w:szCs w:val="1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(34,631)</w:t>
            </w:r>
          </w:p>
        </w:tc>
      </w:tr>
      <w:tr>
        <w:trPr>
          <w:trHeight w:val="131"/>
        </w:trPr>
        <w:tc>
          <w:tcPr>
            <w:tcW w:w="4720" w:type="dxa"/>
            <w:vAlign w:val="bottom"/>
            <w:gridSpan w:val="2"/>
          </w:tcPr>
          <w:p>
            <w:pPr>
              <w:ind w:left="140"/>
              <w:spacing w:after="0"/>
              <w:rPr>
                <w:sz w:val="20"/>
                <w:szCs w:val="20"/>
                <w:color w:val="auto"/>
              </w:rPr>
            </w:pPr>
            <w:r>
              <w:rPr>
                <w:rFonts w:ascii="Arial" w:cs="Arial" w:eastAsia="Arial" w:hAnsi="Arial"/>
                <w:sz w:val="11"/>
                <w:szCs w:val="11"/>
                <w:color w:val="auto"/>
              </w:rPr>
              <w:t>Total operating lease obligations</w:t>
            </w:r>
          </w:p>
        </w:tc>
        <w:tc>
          <w:tcPr>
            <w:tcW w:w="280" w:type="dxa"/>
            <w:vAlign w:val="bottom"/>
          </w:tcPr>
          <w:p>
            <w:pPr>
              <w:spacing w:after="0"/>
              <w:rPr>
                <w:sz w:val="11"/>
                <w:szCs w:val="11"/>
                <w:color w:val="auto"/>
              </w:rPr>
            </w:pPr>
          </w:p>
        </w:tc>
        <w:tc>
          <w:tcPr>
            <w:tcW w:w="1840" w:type="dxa"/>
            <w:vAlign w:val="bottom"/>
          </w:tcPr>
          <w:p>
            <w:pPr>
              <w:jc w:val="right"/>
              <w:spacing w:after="0"/>
              <w:rPr>
                <w:sz w:val="20"/>
                <w:szCs w:val="20"/>
                <w:color w:val="auto"/>
              </w:rPr>
            </w:pPr>
            <w:r>
              <w:rPr>
                <w:rFonts w:ascii="Arial" w:cs="Arial" w:eastAsia="Arial" w:hAnsi="Arial"/>
                <w:sz w:val="11"/>
                <w:szCs w:val="11"/>
                <w:color w:val="auto"/>
              </w:rPr>
              <w:t>263,578</w:t>
            </w:r>
          </w:p>
        </w:tc>
      </w:tr>
      <w:tr>
        <w:trPr>
          <w:trHeight w:val="144"/>
        </w:trPr>
        <w:tc>
          <w:tcPr>
            <w:tcW w:w="4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Less: current obligations</w:t>
            </w:r>
          </w:p>
        </w:tc>
        <w:tc>
          <w:tcPr>
            <w:tcW w:w="280" w:type="dxa"/>
            <w:vAlign w:val="bottom"/>
            <w:tcBorders>
              <w:bottom w:val="single" w:sz="8" w:color="auto"/>
            </w:tcBorders>
            <w:shd w:val="clear" w:color="auto" w:fill="CCEEFF"/>
          </w:tcPr>
          <w:p>
            <w:pPr>
              <w:spacing w:after="0"/>
              <w:rPr>
                <w:sz w:val="12"/>
                <w:szCs w:val="1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(52,325)</w:t>
            </w:r>
          </w:p>
        </w:tc>
      </w:tr>
      <w:tr>
        <w:trPr>
          <w:trHeight w:val="135"/>
        </w:trPr>
        <w:tc>
          <w:tcPr>
            <w:tcW w:w="4720" w:type="dxa"/>
            <w:vAlign w:val="bottom"/>
            <w:gridSpan w:val="2"/>
          </w:tcPr>
          <w:p>
            <w:pPr>
              <w:spacing w:after="0"/>
              <w:rPr>
                <w:sz w:val="20"/>
                <w:szCs w:val="20"/>
                <w:color w:val="auto"/>
              </w:rPr>
            </w:pPr>
            <w:r>
              <w:rPr>
                <w:rFonts w:ascii="Arial" w:cs="Arial" w:eastAsia="Arial" w:hAnsi="Arial"/>
                <w:sz w:val="11"/>
                <w:szCs w:val="11"/>
                <w:color w:val="auto"/>
              </w:rPr>
              <w:t>Long-term operating lease obligations</w:t>
            </w: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211,253</w:t>
            </w: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Business Combinations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Zipwhip, Inc.</w:t>
      </w:r>
    </w:p>
    <w:p>
      <w:pPr>
        <w:spacing w:after="0" w:line="150"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In July 2021, the Company acquired all outstanding shares of Zipwhip, Inc. (“Zipwhip”), a leading provider of toll-free messaging in the United States, for a purchase price, as adjusted, of $838.8 million. The purchase price included $418.1 million of cash, $419.2 million fair value of 1.1 million shares of the Company's Class A common stock and $1.5 million fair value of the pre-combination services of Zipwhip employees reflected in the unvested equity awards assumed by the Company at closing. Additionally, at closing, the Company issued 59,533 shares of its Class A common stock which are subject to vesting over a period of 3 years. Vesting of these shares will be recorded in the stock-based compensation expense as the services are provided..</w:t>
      </w:r>
    </w:p>
    <w:p>
      <w:pPr>
        <w:spacing w:after="0" w:line="124" w:lineRule="exact"/>
        <w:rPr>
          <w:sz w:val="20"/>
          <w:szCs w:val="20"/>
          <w:color w:val="auto"/>
        </w:rPr>
      </w:pPr>
    </w:p>
    <w:p>
      <w:pPr>
        <w:ind w:right="80" w:firstLine="324"/>
        <w:spacing w:after="0" w:line="298" w:lineRule="auto"/>
        <w:rPr>
          <w:sz w:val="20"/>
          <w:szCs w:val="20"/>
          <w:color w:val="auto"/>
        </w:rPr>
      </w:pPr>
      <w:r>
        <w:rPr>
          <w:rFonts w:ascii="Arial" w:cs="Arial" w:eastAsia="Arial" w:hAnsi="Arial"/>
          <w:sz w:val="11"/>
          <w:szCs w:val="11"/>
          <w:color w:val="auto"/>
        </w:rPr>
        <w:t>Part of the cash consideration paid at closing was to settle the vested equity awards of Zipwhip employees. The Company assumed all unvested and outstanding equity awards of Zipwhip continuing employees, as converted into its own equity awards, at the conversion ratio provided in the Agreement and Plan of Merger and Reorganization (the “Zipwhip Merger Agreement”). This transaction also included a $19.1 million of additional cash consideration for certain employees, which will vest as these employees provide services in the post-acquisition period. This amount will be recorded in the operating expenses over a period of 3 years as the services are provided.</w:t>
      </w:r>
    </w:p>
    <w:p>
      <w:pPr>
        <w:spacing w:after="0" w:line="105" w:lineRule="exact"/>
        <w:rPr>
          <w:sz w:val="20"/>
          <w:szCs w:val="20"/>
          <w:color w:val="auto"/>
        </w:rPr>
      </w:pPr>
    </w:p>
    <w:p>
      <w:pPr>
        <w:ind w:right="220" w:firstLine="324"/>
        <w:spacing w:after="0" w:line="260" w:lineRule="auto"/>
        <w:rPr>
          <w:sz w:val="20"/>
          <w:szCs w:val="20"/>
          <w:color w:val="auto"/>
        </w:rPr>
      </w:pPr>
      <w:r>
        <w:rPr>
          <w:rFonts w:ascii="Arial" w:cs="Arial" w:eastAsia="Arial" w:hAnsi="Arial"/>
          <w:sz w:val="12"/>
          <w:szCs w:val="12"/>
          <w:color w:val="auto"/>
        </w:rPr>
        <w:t>The acquisition was accounted for as a business combination and the total purchase price of $838.8 million was allocated to the net tangible and intangible assets and liabilities based on their fair values on the acquisition date with the excess recorded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6" w:name="page97"/>
    <w:bookmarkEnd w:id="9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260"/>
        <w:spacing w:after="0" w:line="260" w:lineRule="auto"/>
        <w:rPr>
          <w:sz w:val="20"/>
          <w:szCs w:val="20"/>
          <w:color w:val="auto"/>
        </w:rPr>
      </w:pPr>
      <w:r>
        <w:rPr>
          <w:rFonts w:ascii="Arial" w:cs="Arial" w:eastAsia="Arial" w:hAnsi="Arial"/>
          <w:sz w:val="12"/>
          <w:szCs w:val="12"/>
          <w:color w:val="auto"/>
        </w:rPr>
        <w:t>as goodwill. These estimates were derived from information currently available. The determination of the fair values and estimated lives of depreciable tangible and identifiable intangible assets requires significant judgment. As of December 31, 2021, the areas that are not yet finalized include contingencies and income and other taxes.</w:t>
      </w:r>
    </w:p>
    <w:p>
      <w:pPr>
        <w:spacing w:after="0" w:line="115" w:lineRule="exact"/>
        <w:rPr>
          <w:sz w:val="20"/>
          <w:szCs w:val="20"/>
          <w:color w:val="auto"/>
        </w:rPr>
      </w:pPr>
    </w:p>
    <w:p>
      <w:pPr>
        <w:ind w:firstLine="324"/>
        <w:spacing w:after="0" w:line="272" w:lineRule="auto"/>
        <w:rPr>
          <w:sz w:val="20"/>
          <w:szCs w:val="20"/>
          <w:color w:val="auto"/>
        </w:rPr>
      </w:pPr>
      <w:r>
        <w:rPr>
          <w:rFonts w:ascii="Arial" w:cs="Arial" w:eastAsia="Arial" w:hAnsi="Arial"/>
          <w:sz w:val="11"/>
          <w:szCs w:val="11"/>
          <w:color w:val="auto"/>
        </w:rPr>
        <w:t>The fair value of the 1.2 million aggregate number of shares of the Company's Class A common stock issued at closing was determined based on the closing market price of the Company's Class A common stock on the acquisition date. The fair value of the $30.7 million unvested equity awards assumed on the acquisition closing date was determined (a) for options, by using the Black-Scholes option pricing model with the applicable assumptions as of the acquisition date; (b) for restricted stock units, by using the closing market price of the Company's Class A common stock on the acquisition date. These awards will continue to vest as Zipwhip employees continue to provide services in the post-acquisition period. The fair value of these awards will be recorded into the stock-based compensation expense over the respective vesting period of each award.</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purchase price components, as adjusted, are summarized in the following table:</w:t>
      </w:r>
    </w:p>
    <w:p>
      <w:pPr>
        <w:spacing w:after="0" w:line="177" w:lineRule="exact"/>
        <w:rPr>
          <w:sz w:val="20"/>
          <w:szCs w:val="20"/>
          <w:color w:val="auto"/>
        </w:rPr>
      </w:pPr>
    </w:p>
    <w:tbl>
      <w:tblPr>
        <w:tblLayout w:type="fixed"/>
        <w:tblInd w:w="32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386"/>
              <w:spacing w:after="0"/>
              <w:rPr>
                <w:sz w:val="20"/>
                <w:szCs w:val="20"/>
                <w:color w:val="auto"/>
              </w:rPr>
            </w:pPr>
            <w:r>
              <w:rPr>
                <w:rFonts w:ascii="Arial" w:cs="Arial" w:eastAsia="Arial" w:hAnsi="Arial"/>
                <w:sz w:val="11"/>
                <w:szCs w:val="11"/>
                <w:color w:val="auto"/>
              </w:rPr>
              <w:t>(In thousands)</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Fair value of Class A common stock transferred</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419,197</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7660" w:type="dxa"/>
            <w:vAlign w:val="bottom"/>
          </w:tcPr>
          <w:p>
            <w:pPr>
              <w:ind w:left="20"/>
              <w:spacing w:after="0"/>
              <w:rPr>
                <w:sz w:val="20"/>
                <w:szCs w:val="20"/>
                <w:color w:val="auto"/>
              </w:rPr>
            </w:pPr>
            <w:r>
              <w:rPr>
                <w:rFonts w:ascii="Arial" w:cs="Arial" w:eastAsia="Arial" w:hAnsi="Arial"/>
                <w:sz w:val="11"/>
                <w:szCs w:val="11"/>
                <w:color w:val="auto"/>
              </w:rPr>
              <w:t>Cash consideration</w:t>
            </w: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418,073</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Fair value of the pre-combination service through equity awards</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1,511</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7660" w:type="dxa"/>
            <w:vAlign w:val="bottom"/>
          </w:tcPr>
          <w:p>
            <w:pPr>
              <w:ind w:left="160"/>
              <w:spacing w:after="0"/>
              <w:rPr>
                <w:sz w:val="20"/>
                <w:szCs w:val="20"/>
                <w:color w:val="auto"/>
              </w:rPr>
            </w:pPr>
            <w:r>
              <w:rPr>
                <w:rFonts w:ascii="Arial" w:cs="Arial" w:eastAsia="Arial" w:hAnsi="Arial"/>
                <w:sz w:val="11"/>
                <w:szCs w:val="11"/>
                <w:color w:val="auto"/>
              </w:rPr>
              <w:t>Total purchase price</w:t>
            </w: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838,781</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2"/>
                <w:szCs w:val="12"/>
                <w:color w:val="auto"/>
                <w:w w:val="95"/>
              </w:rPr>
              <w:t>The following table presents the purchase price allocation, as adjusted, recorded in the Company's consolidated balance sheet as of December 31, 2021:</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77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tbl>
      <w:tblPr>
        <w:tblLayout w:type="fixed"/>
        <w:tblInd w:w="900" w:type="dxa"/>
        <w:tblCellMar>
          <w:top w:w="0" w:type="dxa"/>
          <w:left w:w="0" w:type="dxa"/>
          <w:bottom w:w="0" w:type="dxa"/>
          <w:right w:w="0" w:type="dxa"/>
        </w:tblCellMar>
      </w:tblPr>
      <w:tr>
        <w:trPr>
          <w:trHeight w:val="142"/>
        </w:trPr>
        <w:tc>
          <w:tcPr>
            <w:tcW w:w="79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86"/>
              <w:spacing w:after="0"/>
              <w:rPr>
                <w:sz w:val="20"/>
                <w:szCs w:val="20"/>
                <w:color w:val="auto"/>
              </w:rPr>
            </w:pPr>
            <w:r>
              <w:rPr>
                <w:rFonts w:ascii="Arial" w:cs="Arial" w:eastAsia="Arial" w:hAnsi="Arial"/>
                <w:sz w:val="11"/>
                <w:szCs w:val="11"/>
                <w:b w:val="1"/>
                <w:bCs w:val="1"/>
                <w:color w:val="auto"/>
              </w:rPr>
              <w:t>Total</w:t>
            </w:r>
          </w:p>
        </w:tc>
      </w:tr>
      <w:tr>
        <w:trPr>
          <w:trHeight w:val="133"/>
        </w:trPr>
        <w:tc>
          <w:tcPr>
            <w:tcW w:w="7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right"/>
              <w:ind w:right="386"/>
              <w:spacing w:after="0"/>
              <w:rPr>
                <w:sz w:val="20"/>
                <w:szCs w:val="20"/>
                <w:color w:val="auto"/>
              </w:rPr>
            </w:pPr>
            <w:r>
              <w:rPr>
                <w:rFonts w:ascii="Arial" w:cs="Arial" w:eastAsia="Arial" w:hAnsi="Arial"/>
                <w:sz w:val="11"/>
                <w:szCs w:val="11"/>
                <w:color w:val="auto"/>
              </w:rPr>
              <w:t>(In thousands)</w:t>
            </w:r>
          </w:p>
        </w:tc>
      </w:tr>
      <w:tr>
        <w:trPr>
          <w:trHeight w:val="146"/>
        </w:trPr>
        <w:tc>
          <w:tcPr>
            <w:tcW w:w="7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and cash equivalents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21,610</w:t>
            </w:r>
          </w:p>
        </w:tc>
      </w:tr>
      <w:tr>
        <w:trPr>
          <w:trHeight w:val="142"/>
        </w:trPr>
        <w:tc>
          <w:tcPr>
            <w:tcW w:w="7960" w:type="dxa"/>
            <w:vAlign w:val="bottom"/>
          </w:tcPr>
          <w:p>
            <w:pPr>
              <w:ind w:left="20"/>
              <w:spacing w:after="0"/>
              <w:rPr>
                <w:sz w:val="20"/>
                <w:szCs w:val="20"/>
                <w:color w:val="auto"/>
              </w:rPr>
            </w:pPr>
            <w:r>
              <w:rPr>
                <w:rFonts w:ascii="Arial" w:cs="Arial" w:eastAsia="Arial" w:hAnsi="Arial"/>
                <w:sz w:val="11"/>
                <w:szCs w:val="11"/>
                <w:color w:val="auto"/>
              </w:rPr>
              <w:t>Accounts receivable and other current assets</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11,481</w:t>
            </w:r>
          </w:p>
        </w:tc>
      </w:tr>
      <w:tr>
        <w:trPr>
          <w:trHeight w:val="146"/>
        </w:trPr>
        <w:tc>
          <w:tcPr>
            <w:tcW w:w="7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Property and equipment, net</w:t>
            </w: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2,950</w:t>
            </w:r>
          </w:p>
        </w:tc>
      </w:tr>
      <w:tr>
        <w:trPr>
          <w:trHeight w:val="142"/>
        </w:trPr>
        <w:tc>
          <w:tcPr>
            <w:tcW w:w="7960" w:type="dxa"/>
            <w:vAlign w:val="bottom"/>
          </w:tcPr>
          <w:p>
            <w:pPr>
              <w:ind w:left="20"/>
              <w:spacing w:after="0"/>
              <w:rPr>
                <w:sz w:val="20"/>
                <w:szCs w:val="20"/>
                <w:color w:val="auto"/>
              </w:rPr>
            </w:pPr>
            <w:r>
              <w:rPr>
                <w:rFonts w:ascii="Arial" w:cs="Arial" w:eastAsia="Arial" w:hAnsi="Arial"/>
                <w:sz w:val="11"/>
                <w:szCs w:val="11"/>
                <w:color w:val="auto"/>
              </w:rPr>
              <w:t>Operating right-of-use asset</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23,545</w:t>
            </w:r>
          </w:p>
        </w:tc>
      </w:tr>
      <w:tr>
        <w:trPr>
          <w:trHeight w:val="146"/>
        </w:trPr>
        <w:tc>
          <w:tcPr>
            <w:tcW w:w="7960" w:type="dxa"/>
            <w:vAlign w:val="bottom"/>
            <w:shd w:val="clear" w:color="auto" w:fill="CCEEFF"/>
          </w:tcPr>
          <w:p>
            <w:pPr>
              <w:ind w:left="20"/>
              <w:spacing w:after="0" w:line="146" w:lineRule="exact"/>
              <w:rPr>
                <w:sz w:val="20"/>
                <w:szCs w:val="20"/>
                <w:color w:val="auto"/>
              </w:rPr>
            </w:pPr>
            <w:r>
              <w:rPr>
                <w:rFonts w:ascii="Arial" w:cs="Arial" w:eastAsia="Arial" w:hAnsi="Arial"/>
                <w:sz w:val="11"/>
                <w:szCs w:val="11"/>
                <w:color w:val="auto"/>
              </w:rPr>
              <w:t xml:space="preserve">Intangible assets </w:t>
            </w:r>
            <w:r>
              <w:rPr>
                <w:rFonts w:ascii="Arial" w:cs="Arial" w:eastAsia="Arial" w:hAnsi="Arial"/>
                <w:sz w:val="14"/>
                <w:szCs w:val="14"/>
                <w:color w:val="auto"/>
                <w:vertAlign w:val="superscript"/>
              </w:rPr>
              <w:t>(1)</w:t>
            </w: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244,500</w:t>
            </w:r>
          </w:p>
        </w:tc>
      </w:tr>
      <w:tr>
        <w:trPr>
          <w:trHeight w:val="142"/>
        </w:trPr>
        <w:tc>
          <w:tcPr>
            <w:tcW w:w="7960" w:type="dxa"/>
            <w:vAlign w:val="bottom"/>
          </w:tcPr>
          <w:p>
            <w:pPr>
              <w:ind w:left="20"/>
              <w:spacing w:after="0"/>
              <w:rPr>
                <w:sz w:val="20"/>
                <w:szCs w:val="20"/>
                <w:color w:val="auto"/>
              </w:rPr>
            </w:pPr>
            <w:r>
              <w:rPr>
                <w:rFonts w:ascii="Arial" w:cs="Arial" w:eastAsia="Arial" w:hAnsi="Arial"/>
                <w:sz w:val="11"/>
                <w:szCs w:val="11"/>
                <w:color w:val="auto"/>
              </w:rPr>
              <w:t>Other assets</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370</w:t>
            </w:r>
          </w:p>
        </w:tc>
      </w:tr>
      <w:tr>
        <w:trPr>
          <w:trHeight w:val="146"/>
        </w:trPr>
        <w:tc>
          <w:tcPr>
            <w:tcW w:w="7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600,403</w:t>
            </w:r>
          </w:p>
        </w:tc>
      </w:tr>
      <w:tr>
        <w:trPr>
          <w:trHeight w:val="142"/>
        </w:trPr>
        <w:tc>
          <w:tcPr>
            <w:tcW w:w="7960" w:type="dxa"/>
            <w:vAlign w:val="bottom"/>
          </w:tcPr>
          <w:p>
            <w:pPr>
              <w:ind w:left="20"/>
              <w:spacing w:after="0"/>
              <w:rPr>
                <w:sz w:val="20"/>
                <w:szCs w:val="20"/>
                <w:color w:val="auto"/>
              </w:rPr>
            </w:pPr>
            <w:r>
              <w:rPr>
                <w:rFonts w:ascii="Arial" w:cs="Arial" w:eastAsia="Arial" w:hAnsi="Arial"/>
                <w:sz w:val="11"/>
                <w:szCs w:val="11"/>
                <w:color w:val="auto"/>
              </w:rPr>
              <w:t>Accounts payable and other liabilities</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(20,239)</w:t>
            </w:r>
          </w:p>
        </w:tc>
      </w:tr>
      <w:tr>
        <w:trPr>
          <w:trHeight w:val="146"/>
        </w:trPr>
        <w:tc>
          <w:tcPr>
            <w:tcW w:w="7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revenue</w:t>
            </w: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(4,526)</w:t>
            </w:r>
          </w:p>
        </w:tc>
      </w:tr>
      <w:tr>
        <w:trPr>
          <w:trHeight w:val="142"/>
        </w:trPr>
        <w:tc>
          <w:tcPr>
            <w:tcW w:w="7960" w:type="dxa"/>
            <w:vAlign w:val="bottom"/>
          </w:tcPr>
          <w:p>
            <w:pPr>
              <w:ind w:left="20"/>
              <w:spacing w:after="0"/>
              <w:rPr>
                <w:sz w:val="20"/>
                <w:szCs w:val="20"/>
                <w:color w:val="auto"/>
              </w:rPr>
            </w:pPr>
            <w:r>
              <w:rPr>
                <w:rFonts w:ascii="Arial" w:cs="Arial" w:eastAsia="Arial" w:hAnsi="Arial"/>
                <w:sz w:val="11"/>
                <w:szCs w:val="11"/>
                <w:color w:val="auto"/>
              </w:rPr>
              <w:t>Operating lease liability, noncurrent</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(23,169)</w:t>
            </w:r>
          </w:p>
        </w:tc>
      </w:tr>
      <w:tr>
        <w:trPr>
          <w:trHeight w:val="144"/>
        </w:trPr>
        <w:tc>
          <w:tcPr>
            <w:tcW w:w="79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tax liability</w:t>
            </w:r>
          </w:p>
        </w:tc>
        <w:tc>
          <w:tcPr>
            <w:tcW w:w="2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(18,144)</w:t>
            </w:r>
          </w:p>
        </w:tc>
      </w:tr>
      <w:tr>
        <w:trPr>
          <w:trHeight w:val="135"/>
        </w:trPr>
        <w:tc>
          <w:tcPr>
            <w:tcW w:w="7960" w:type="dxa"/>
            <w:vAlign w:val="bottom"/>
          </w:tcPr>
          <w:p>
            <w:pPr>
              <w:ind w:left="160"/>
              <w:spacing w:after="0"/>
              <w:rPr>
                <w:sz w:val="20"/>
                <w:szCs w:val="20"/>
                <w:color w:val="auto"/>
              </w:rPr>
            </w:pPr>
            <w:r>
              <w:rPr>
                <w:rFonts w:ascii="Arial" w:cs="Arial" w:eastAsia="Arial" w:hAnsi="Arial"/>
                <w:sz w:val="11"/>
                <w:szCs w:val="11"/>
                <w:color w:val="auto"/>
              </w:rPr>
              <w:t>Total purchase price</w:t>
            </w: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838,781</w:t>
            </w:r>
          </w:p>
        </w:tc>
      </w:tr>
      <w:tr>
        <w:trPr>
          <w:trHeight w:val="20"/>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____________________________________</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5"/>
          <w:szCs w:val="15"/>
          <w:color w:val="auto"/>
          <w:vertAlign w:val="superscript"/>
        </w:rPr>
        <w:t>(</w:t>
      </w:r>
      <w:r>
        <w:rPr>
          <w:rFonts w:ascii="Arial" w:cs="Arial" w:eastAsia="Arial" w:hAnsi="Arial"/>
          <w:sz w:val="14"/>
          <w:szCs w:val="14"/>
          <w:color w:val="auto"/>
          <w:vertAlign w:val="superscript"/>
        </w:rPr>
        <w:t>1</w:t>
      </w:r>
      <w:r>
        <w:rPr>
          <w:rFonts w:ascii="Arial" w:cs="Arial" w:eastAsia="Arial" w:hAnsi="Arial"/>
          <w:sz w:val="15"/>
          <w:szCs w:val="15"/>
          <w:color w:val="auto"/>
          <w:vertAlign w:val="superscript"/>
        </w:rPr>
        <w:t>)</w:t>
      </w:r>
      <w:r>
        <w:rPr>
          <w:rFonts w:ascii="Arial" w:cs="Arial" w:eastAsia="Arial" w:hAnsi="Arial"/>
          <w:sz w:val="11"/>
          <w:szCs w:val="11"/>
          <w:color w:val="auto"/>
        </w:rPr>
        <w:t xml:space="preserve"> Identifiable intangible assets are comprised of the following:</w:t>
      </w:r>
    </w:p>
    <w:p>
      <w:pPr>
        <w:spacing w:after="0" w:line="115" w:lineRule="exact"/>
        <w:rPr>
          <w:sz w:val="20"/>
          <w:szCs w:val="20"/>
          <w:color w:val="auto"/>
        </w:rPr>
      </w:pPr>
    </w:p>
    <w:tbl>
      <w:tblPr>
        <w:tblLayout w:type="fixed"/>
        <w:tblInd w:w="860" w:type="dxa"/>
        <w:tblCellMar>
          <w:top w:w="0" w:type="dxa"/>
          <w:left w:w="0" w:type="dxa"/>
          <w:bottom w:w="0" w:type="dxa"/>
          <w:right w:w="0" w:type="dxa"/>
        </w:tblCellMar>
      </w:tblPr>
      <w:tr>
        <w:trPr>
          <w:trHeight w:val="126"/>
        </w:trPr>
        <w:tc>
          <w:tcPr>
            <w:tcW w:w="4440" w:type="dxa"/>
            <w:vAlign w:val="bottom"/>
          </w:tcPr>
          <w:p>
            <w:pPr>
              <w:spacing w:after="0"/>
              <w:rPr>
                <w:sz w:val="10"/>
                <w:szCs w:val="10"/>
                <w:color w:val="auto"/>
              </w:rPr>
            </w:pPr>
          </w:p>
        </w:tc>
        <w:tc>
          <w:tcPr>
            <w:tcW w:w="1020" w:type="dxa"/>
            <w:vAlign w:val="bottom"/>
            <w:vMerge w:val="restart"/>
          </w:tcPr>
          <w:p>
            <w:pPr>
              <w:jc w:val="right"/>
              <w:ind w:right="129"/>
              <w:spacing w:after="0"/>
              <w:rPr>
                <w:sz w:val="20"/>
                <w:szCs w:val="20"/>
                <w:color w:val="auto"/>
              </w:rPr>
            </w:pPr>
            <w:r>
              <w:rPr>
                <w:rFonts w:ascii="Arial" w:cs="Arial" w:eastAsia="Arial" w:hAnsi="Arial"/>
                <w:sz w:val="11"/>
                <w:szCs w:val="11"/>
                <w:b w:val="1"/>
                <w:bCs w:val="1"/>
                <w:color w:val="auto"/>
              </w:rPr>
              <w:t>Total</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ind w:left="460"/>
              <w:spacing w:after="0"/>
              <w:rPr>
                <w:sz w:val="20"/>
                <w:szCs w:val="20"/>
                <w:color w:val="auto"/>
              </w:rPr>
            </w:pPr>
            <w:r>
              <w:rPr>
                <w:rFonts w:ascii="Arial" w:cs="Arial" w:eastAsia="Arial" w:hAnsi="Arial"/>
                <w:sz w:val="11"/>
                <w:szCs w:val="11"/>
                <w:b w:val="1"/>
                <w:bCs w:val="1"/>
                <w:color w:val="auto"/>
              </w:rPr>
              <w:t>Estimated</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life</w:t>
            </w: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Arial" w:cs="Arial" w:eastAsia="Arial" w:hAnsi="Arial"/>
                <w:sz w:val="11"/>
                <w:szCs w:val="11"/>
                <w:color w:val="auto"/>
                <w:w w:val="90"/>
              </w:rPr>
              <w:t>(In years)</w:t>
            </w:r>
          </w:p>
        </w:tc>
        <w:tc>
          <w:tcPr>
            <w:tcW w:w="0" w:type="dxa"/>
            <w:vAlign w:val="bottom"/>
          </w:tcPr>
          <w:p>
            <w:pPr>
              <w:spacing w:after="0"/>
              <w:rPr>
                <w:sz w:val="1"/>
                <w:szCs w:val="1"/>
                <w:color w:val="auto"/>
              </w:rPr>
            </w:pPr>
          </w:p>
        </w:tc>
      </w:tr>
      <w:tr>
        <w:trPr>
          <w:trHeight w:val="146"/>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auto"/>
              </w:rPr>
              <w:t>Developed technology</w:t>
            </w:r>
          </w:p>
        </w:tc>
        <w:tc>
          <w:tcPr>
            <w:tcW w:w="1020" w:type="dxa"/>
            <w:vAlign w:val="bottom"/>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56,800</w:t>
            </w:r>
          </w:p>
        </w:tc>
        <w:tc>
          <w:tcPr>
            <w:tcW w:w="1520" w:type="dxa"/>
            <w:vAlign w:val="bottom"/>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97"/>
              </w:rPr>
              <w:t>7</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1"/>
                <w:szCs w:val="11"/>
                <w:color w:val="auto"/>
              </w:rPr>
              <w:t>Customer relationships</w:t>
            </w:r>
          </w:p>
        </w:tc>
        <w:tc>
          <w:tcPr>
            <w:tcW w:w="10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85"/>
              </w:rPr>
              <w:t>147,700</w:t>
            </w:r>
          </w:p>
        </w:tc>
        <w:tc>
          <w:tcPr>
            <w:tcW w:w="1520" w:type="dxa"/>
            <w:vAlign w:val="bottom"/>
            <w:gridSpan w:val="2"/>
          </w:tcPr>
          <w:p>
            <w:pPr>
              <w:jc w:val="center"/>
              <w:ind w:left="46"/>
              <w:spacing w:after="0"/>
              <w:rPr>
                <w:sz w:val="20"/>
                <w:szCs w:val="20"/>
                <w:color w:val="auto"/>
              </w:rPr>
            </w:pPr>
            <w:r>
              <w:rPr>
                <w:rFonts w:ascii="Arial" w:cs="Arial" w:eastAsia="Arial" w:hAnsi="Arial"/>
                <w:sz w:val="11"/>
                <w:szCs w:val="11"/>
                <w:color w:val="auto"/>
                <w:w w:val="81"/>
              </w:rPr>
              <w:t>10</w:t>
            </w:r>
          </w:p>
        </w:tc>
        <w:tc>
          <w:tcPr>
            <w:tcW w:w="0" w:type="dxa"/>
            <w:vAlign w:val="bottom"/>
          </w:tcPr>
          <w:p>
            <w:pPr>
              <w:spacing w:after="0"/>
              <w:rPr>
                <w:sz w:val="1"/>
                <w:szCs w:val="1"/>
                <w:color w:val="auto"/>
              </w:rPr>
            </w:pPr>
          </w:p>
        </w:tc>
      </w:tr>
      <w:tr>
        <w:trPr>
          <w:trHeight w:val="146"/>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auto"/>
              </w:rPr>
              <w:t>Supplier relationships</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39,600</w:t>
            </w:r>
          </w:p>
        </w:tc>
        <w:tc>
          <w:tcPr>
            <w:tcW w:w="1520" w:type="dxa"/>
            <w:vAlign w:val="bottom"/>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97"/>
              </w:rPr>
              <w:t>5</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Trade names</w:t>
            </w:r>
          </w:p>
        </w:tc>
        <w:tc>
          <w:tcPr>
            <w:tcW w:w="10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400</w:t>
            </w:r>
          </w:p>
        </w:tc>
        <w:tc>
          <w:tcPr>
            <w:tcW w:w="1520" w:type="dxa"/>
            <w:vAlign w:val="bottom"/>
            <w:tcBorders>
              <w:bottom w:val="single" w:sz="8" w:color="CCEEFF"/>
            </w:tcBorders>
            <w:gridSpan w:val="2"/>
          </w:tcPr>
          <w:p>
            <w:pPr>
              <w:jc w:val="center"/>
              <w:ind w:left="46"/>
              <w:spacing w:after="0"/>
              <w:rPr>
                <w:sz w:val="20"/>
                <w:szCs w:val="20"/>
                <w:color w:val="auto"/>
              </w:rPr>
            </w:pPr>
            <w:r>
              <w:rPr>
                <w:rFonts w:ascii="Arial" w:cs="Arial" w:eastAsia="Arial" w:hAnsi="Arial"/>
                <w:sz w:val="11"/>
                <w:szCs w:val="11"/>
                <w:color w:val="auto"/>
                <w:w w:val="97"/>
              </w:rPr>
              <w:t>5</w:t>
            </w:r>
          </w:p>
        </w:tc>
        <w:tc>
          <w:tcPr>
            <w:tcW w:w="0" w:type="dxa"/>
            <w:vAlign w:val="bottom"/>
          </w:tcPr>
          <w:p>
            <w:pPr>
              <w:spacing w:after="0"/>
              <w:rPr>
                <w:sz w:val="1"/>
                <w:szCs w:val="1"/>
                <w:color w:val="auto"/>
              </w:rPr>
            </w:pPr>
          </w:p>
        </w:tc>
      </w:tr>
      <w:tr>
        <w:trPr>
          <w:trHeight w:val="151"/>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intangible assets acquired</w:t>
            </w:r>
          </w:p>
        </w:tc>
        <w:tc>
          <w:tcPr>
            <w:tcW w:w="102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5"/>
              </w:rPr>
              <w:t>244,500</w:t>
            </w:r>
          </w:p>
        </w:tc>
        <w:tc>
          <w:tcPr>
            <w:tcW w:w="10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Goodwill generated from this acquisition primarily represents the value that is expected from the increased scale and synergies as a result of the integration of both businesses. Goodwill is not deductible for tax purposes.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97" w:name="page98"/>
    <w:bookmarkEnd w:id="9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80" w:firstLine="324"/>
        <w:spacing w:after="0" w:line="147" w:lineRule="exact"/>
        <w:rPr>
          <w:sz w:val="20"/>
          <w:szCs w:val="20"/>
          <w:color w:val="auto"/>
        </w:rPr>
      </w:pPr>
      <w:r>
        <w:rPr>
          <w:rFonts w:ascii="Arial" w:cs="Arial" w:eastAsia="Arial" w:hAnsi="Arial"/>
          <w:sz w:val="12"/>
          <w:szCs w:val="12"/>
          <w:color w:val="auto"/>
        </w:rPr>
        <w:t>The estimated fair value of the intangible assets acquired was determined by the Company. The Company engaged a third</w:t>
      </w:r>
      <w:r>
        <w:rPr>
          <w:rFonts w:ascii="MS PGothic" w:cs="MS PGothic" w:eastAsia="MS PGothic" w:hAnsi="MS PGothic"/>
          <w:sz w:val="12"/>
          <w:szCs w:val="12"/>
          <w:color w:val="auto"/>
        </w:rPr>
        <w:t>‑</w:t>
      </w:r>
      <w:r>
        <w:rPr>
          <w:rFonts w:ascii="Arial" w:cs="Arial" w:eastAsia="Arial" w:hAnsi="Arial"/>
          <w:sz w:val="12"/>
          <w:szCs w:val="12"/>
          <w:color w:val="auto"/>
        </w:rPr>
        <w:t>party expert to assist with the valuation analysis. The Company used a relief-from-royalty method to estimate the fair values of the developed technology and trade names, a multi-period excess earnings method to estimate the fair values of customer relationships and a with-and-without method to estimate the fair value of the supplier relationships.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0"/>
          <w:szCs w:val="10"/>
          <w:color w:val="auto"/>
        </w:rPr>
        <w:t>Most of the net tangible assets were valued at their respective carrying amounts as of the acquisition date as the Company believes that these amounts approximate their current fair values, except for operating right-of-use assets.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value of the acquired operating right-of-use assets was reduced to its respective fair value on the acquisition date.</w:t>
      </w:r>
    </w:p>
    <w:p>
      <w:pPr>
        <w:spacing w:after="0" w:line="141" w:lineRule="exact"/>
        <w:rPr>
          <w:sz w:val="20"/>
          <w:szCs w:val="20"/>
          <w:color w:val="auto"/>
        </w:rPr>
      </w:pPr>
    </w:p>
    <w:p>
      <w:pPr>
        <w:ind w:right="80" w:firstLine="324"/>
        <w:spacing w:after="0" w:line="298" w:lineRule="auto"/>
        <w:rPr>
          <w:sz w:val="20"/>
          <w:szCs w:val="20"/>
          <w:color w:val="auto"/>
        </w:rPr>
      </w:pPr>
      <w:r>
        <w:rPr>
          <w:rFonts w:ascii="Arial" w:cs="Arial" w:eastAsia="Arial" w:hAnsi="Arial"/>
          <w:sz w:val="11"/>
          <w:szCs w:val="11"/>
          <w:color w:val="auto"/>
        </w:rPr>
        <w:t>The acquired entity's results of operations were included in the Company's consolidated financial statements from the date of acquisition, July 14, 2021. For the year ended December 31, 2021, Zipwhip contributed net operating revenue of $55.4 million, which is reflected in the accompanying consolidated statement of operations. Due to the integrated nature of the Company's operations, the Company believes that it is not practicable to separately identify earnings of Zipwhip on a stand-alone basis. Pro forma results of operations for this acquisition are not presented as the financial impact to the Company's consolidated financial statements is not significant.</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Costs incurred related to the acquisition were not significant.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Other Fiscal 2021 Acquisitions</w:t>
      </w:r>
    </w:p>
    <w:p>
      <w:pPr>
        <w:spacing w:after="0" w:line="150"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During 2021, the Company completed other business combinations for an aggregate purchase price of $105.0 million, of which $13.4 million was allocated to developed technology, $23.6 million was allocated to other intangible assets and $63.2 million was allocated to goodwill.</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Fiscal 2020 Acquisitions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Segment.io, Inc.</w:t>
      </w:r>
    </w:p>
    <w:p>
      <w:pPr>
        <w:spacing w:after="0" w:line="150" w:lineRule="exact"/>
        <w:rPr>
          <w:sz w:val="20"/>
          <w:szCs w:val="20"/>
          <w:color w:val="auto"/>
        </w:rPr>
      </w:pPr>
    </w:p>
    <w:p>
      <w:pPr>
        <w:ind w:right="40" w:firstLine="324"/>
        <w:spacing w:after="0" w:line="326" w:lineRule="auto"/>
        <w:rPr>
          <w:sz w:val="20"/>
          <w:szCs w:val="20"/>
          <w:color w:val="auto"/>
        </w:rPr>
      </w:pPr>
      <w:r>
        <w:rPr>
          <w:rFonts w:ascii="Arial" w:cs="Arial" w:eastAsia="Arial" w:hAnsi="Arial"/>
          <w:sz w:val="10"/>
          <w:szCs w:val="10"/>
          <w:color w:val="auto"/>
        </w:rPr>
        <w:t>In November 2020, the Company acquired all outstanding shares of Segment, the market-leading customer data platform, by issuing 9.5 million shares of its Class A common stock with a fair value of $2.6 billion and $415.9 million in cash, as adjusted. Of the total shares of Class A common stock issued at closing, 258,554 shares with the fair value of $70.7 million were subject to future vesting and are recorded in the stock-based compensation expense as the services are provided. The total amortization period was over 2.41 years from the date of acquisition. Part of the cash consideration was paid to settle the vested equity awards of Segment employees. The Company assumed all unvested and outstanding equity awards of Segment continuing employees as converted into its own equity awards at the conversion ratio provided in the Agreement and Plan of Reorganization (the "Merger Agreement").</w:t>
      </w:r>
    </w:p>
    <w:p>
      <w:pPr>
        <w:spacing w:after="0" w:line="9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2"/>
          <w:szCs w:val="12"/>
          <w:color w:val="auto"/>
        </w:rPr>
        <w:t>The acquisition added additional products and services to the Company's offerings for its customers. With these additional products, the Company can now offer a customer engagement platform. The acquisition has also added new customers, new employees, technology and intellectual property assets.</w:t>
      </w:r>
    </w:p>
    <w:p>
      <w:pPr>
        <w:spacing w:after="0" w:line="115" w:lineRule="exact"/>
        <w:rPr>
          <w:sz w:val="20"/>
          <w:szCs w:val="20"/>
          <w:color w:val="auto"/>
        </w:rPr>
      </w:pPr>
    </w:p>
    <w:p>
      <w:pPr>
        <w:ind w:right="520" w:firstLine="324"/>
        <w:spacing w:after="0" w:line="260" w:lineRule="auto"/>
        <w:rPr>
          <w:sz w:val="20"/>
          <w:szCs w:val="20"/>
          <w:color w:val="auto"/>
        </w:rPr>
      </w:pPr>
      <w:r>
        <w:rPr>
          <w:rFonts w:ascii="Arial" w:cs="Arial" w:eastAsia="Arial" w:hAnsi="Arial"/>
          <w:sz w:val="12"/>
          <w:szCs w:val="12"/>
          <w:color w:val="auto"/>
        </w:rPr>
        <w:t>The acquisition was accounted for as a business combination and the total purchase price of $3.0 billion, as adjusted, was allocated to the net tangible and intangible assets and liabilities based on their fair values on the acquisition date with the excess recorded as goodwill.</w:t>
      </w:r>
    </w:p>
    <w:p>
      <w:pPr>
        <w:spacing w:after="0" w:line="115" w:lineRule="exact"/>
        <w:rPr>
          <w:sz w:val="20"/>
          <w:szCs w:val="20"/>
          <w:color w:val="auto"/>
        </w:rPr>
      </w:pPr>
    </w:p>
    <w:p>
      <w:pPr>
        <w:ind w:right="220" w:firstLine="324"/>
        <w:spacing w:after="0" w:line="247" w:lineRule="auto"/>
        <w:rPr>
          <w:sz w:val="20"/>
          <w:szCs w:val="20"/>
          <w:color w:val="auto"/>
        </w:rPr>
      </w:pPr>
      <w:r>
        <w:rPr>
          <w:rFonts w:ascii="Arial" w:cs="Arial" w:eastAsia="Arial" w:hAnsi="Arial"/>
          <w:sz w:val="12"/>
          <w:szCs w:val="12"/>
          <w:color w:val="auto"/>
        </w:rPr>
        <w:t>The purchase price, as adjusted, reflected the $2.5 billion fair value of 9.3 million shares of the Company's Class A common stock transferred as consideration for accredited outstanding shares of Segment, the $415.9 million cash consideration for unaccredited shares and vested equity awards and the $39.0 million fair value of the pre-combination services of Segment employees reflected in the unvested equity awards assumed by the Company on the acquisition date. As of December 31, 2021, 150,824 shares of Class A common stock issued at closing with future vesting was held in escrow.</w:t>
      </w:r>
    </w:p>
    <w:p>
      <w:pPr>
        <w:spacing w:after="0" w:line="123" w:lineRule="exact"/>
        <w:rPr>
          <w:sz w:val="20"/>
          <w:szCs w:val="20"/>
          <w:color w:val="auto"/>
        </w:rPr>
      </w:pPr>
    </w:p>
    <w:p>
      <w:pPr>
        <w:ind w:right="260" w:firstLine="324"/>
        <w:spacing w:after="0" w:line="247" w:lineRule="auto"/>
        <w:rPr>
          <w:sz w:val="20"/>
          <w:szCs w:val="20"/>
          <w:color w:val="auto"/>
        </w:rPr>
      </w:pPr>
      <w:r>
        <w:rPr>
          <w:rFonts w:ascii="Arial" w:cs="Arial" w:eastAsia="Arial" w:hAnsi="Arial"/>
          <w:sz w:val="12"/>
          <w:szCs w:val="12"/>
          <w:color w:val="auto"/>
        </w:rPr>
        <w:t>The fair value of the 9.5 million shares of the Company's Class A common stock issued at closing was determined based on its closing price on the acquisition date. The fair value of the assumed unvested equity awards was determined (a) for options, by using a Black-Scholes option pricing model with the applicable assumptions as of the acquisition date, and (b) for restricted stock units, by using the closing market price of the Company's Class A common stock on the acquisition date.</w:t>
      </w:r>
    </w:p>
    <w:p>
      <w:pPr>
        <w:spacing w:after="0" w:line="123"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color w:val="auto"/>
        </w:rPr>
        <w:t>The fair value of unvested employee equity awards assumed on the acquisition date was $245.3 million. These awards continue to vest as the Segment employees provide services in the post-acquisition period. The fair value of these awards 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98" w:name="page99"/>
    <w:bookmarkEnd w:id="9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color w:val="auto"/>
        </w:rPr>
        <w:t>recorded in the stock-based compensation expense over the respective vesting period of each award.</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purchase price components, as adjusted, are summarized in the following table:</w:t>
      </w:r>
    </w:p>
    <w:p>
      <w:pPr>
        <w:spacing w:after="0" w:line="177" w:lineRule="exact"/>
        <w:rPr>
          <w:sz w:val="20"/>
          <w:szCs w:val="20"/>
          <w:color w:val="auto"/>
        </w:rPr>
      </w:pPr>
    </w:p>
    <w:tbl>
      <w:tblPr>
        <w:tblLayout w:type="fixed"/>
        <w:tblInd w:w="420" w:type="dxa"/>
        <w:tblCellMar>
          <w:top w:w="0" w:type="dxa"/>
          <w:left w:w="0" w:type="dxa"/>
          <w:bottom w:w="0" w:type="dxa"/>
          <w:right w:w="0" w:type="dxa"/>
        </w:tblCellMar>
      </w:tblPr>
      <w:tr>
        <w:trPr>
          <w:trHeight w:val="142"/>
        </w:trPr>
        <w:tc>
          <w:tcPr>
            <w:tcW w:w="7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Total</w:t>
            </w:r>
          </w:p>
        </w:tc>
      </w:tr>
      <w:tr>
        <w:trPr>
          <w:trHeight w:val="133"/>
        </w:trPr>
        <w:tc>
          <w:tcPr>
            <w:tcW w:w="7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346"/>
              <w:spacing w:after="0"/>
              <w:rPr>
                <w:sz w:val="20"/>
                <w:szCs w:val="20"/>
                <w:color w:val="auto"/>
              </w:rPr>
            </w:pPr>
            <w:r>
              <w:rPr>
                <w:rFonts w:ascii="Arial" w:cs="Arial" w:eastAsia="Arial" w:hAnsi="Arial"/>
                <w:sz w:val="11"/>
                <w:szCs w:val="11"/>
                <w:color w:val="auto"/>
              </w:rPr>
              <w:t>(In thousands)</w:t>
            </w:r>
          </w:p>
        </w:tc>
      </w:tr>
      <w:tr>
        <w:trPr>
          <w:trHeight w:val="146"/>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Fair value of Class A common stock transferred</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2,532,329</w:t>
            </w:r>
          </w:p>
        </w:tc>
      </w:tr>
      <w:tr>
        <w:trPr>
          <w:trHeight w:val="142"/>
        </w:trPr>
        <w:tc>
          <w:tcPr>
            <w:tcW w:w="7660" w:type="dxa"/>
            <w:vAlign w:val="bottom"/>
          </w:tcPr>
          <w:p>
            <w:pPr>
              <w:ind w:left="20"/>
              <w:spacing w:after="0"/>
              <w:rPr>
                <w:sz w:val="20"/>
                <w:szCs w:val="20"/>
                <w:color w:val="auto"/>
              </w:rPr>
            </w:pPr>
            <w:r>
              <w:rPr>
                <w:rFonts w:ascii="Arial" w:cs="Arial" w:eastAsia="Arial" w:hAnsi="Arial"/>
                <w:sz w:val="11"/>
                <w:szCs w:val="11"/>
                <w:color w:val="auto"/>
              </w:rPr>
              <w:t>Cash consideration</w:t>
            </w: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415,899</w:t>
            </w:r>
          </w:p>
        </w:tc>
      </w:tr>
      <w:tr>
        <w:trPr>
          <w:trHeight w:val="144"/>
        </w:trPr>
        <w:tc>
          <w:tcPr>
            <w:tcW w:w="76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Fair value of the pre-combination service through equity awards</w:t>
            </w: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38,972</w:t>
            </w:r>
          </w:p>
        </w:tc>
      </w:tr>
      <w:tr>
        <w:trPr>
          <w:trHeight w:val="135"/>
        </w:trPr>
        <w:tc>
          <w:tcPr>
            <w:tcW w:w="7660" w:type="dxa"/>
            <w:vAlign w:val="bottom"/>
          </w:tcPr>
          <w:p>
            <w:pPr>
              <w:ind w:left="160"/>
              <w:spacing w:after="0"/>
              <w:rPr>
                <w:sz w:val="20"/>
                <w:szCs w:val="20"/>
                <w:color w:val="auto"/>
              </w:rPr>
            </w:pPr>
            <w:r>
              <w:rPr>
                <w:rFonts w:ascii="Arial" w:cs="Arial" w:eastAsia="Arial" w:hAnsi="Arial"/>
                <w:sz w:val="11"/>
                <w:szCs w:val="11"/>
                <w:color w:val="auto"/>
              </w:rPr>
              <w:t>Total purchase price</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2,987,200</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presents the purchase price allocation, as adjusted:</w:t>
      </w:r>
    </w:p>
    <w:p>
      <w:pPr>
        <w:spacing w:after="0" w:line="33"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79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Total</w:t>
            </w:r>
          </w:p>
        </w:tc>
      </w:tr>
      <w:tr>
        <w:trPr>
          <w:trHeight w:val="133"/>
        </w:trPr>
        <w:tc>
          <w:tcPr>
            <w:tcW w:w="7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ind w:right="326"/>
              <w:spacing w:after="0"/>
              <w:rPr>
                <w:sz w:val="20"/>
                <w:szCs w:val="20"/>
                <w:color w:val="auto"/>
              </w:rPr>
            </w:pPr>
            <w:r>
              <w:rPr>
                <w:rFonts w:ascii="Arial" w:cs="Arial" w:eastAsia="Arial" w:hAnsi="Arial"/>
                <w:sz w:val="11"/>
                <w:szCs w:val="11"/>
                <w:color w:val="auto"/>
              </w:rPr>
              <w:t>(In thousands)</w:t>
            </w:r>
          </w:p>
        </w:tc>
      </w:tr>
      <w:tr>
        <w:trPr>
          <w:trHeight w:val="146"/>
        </w:trPr>
        <w:tc>
          <w:tcPr>
            <w:tcW w:w="796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93,170</w:t>
            </w:r>
          </w:p>
        </w:tc>
      </w:tr>
      <w:tr>
        <w:trPr>
          <w:trHeight w:val="142"/>
        </w:trPr>
        <w:tc>
          <w:tcPr>
            <w:tcW w:w="7960" w:type="dxa"/>
            <w:vAlign w:val="bottom"/>
          </w:tcPr>
          <w:p>
            <w:pPr>
              <w:spacing w:after="0"/>
              <w:rPr>
                <w:sz w:val="20"/>
                <w:szCs w:val="20"/>
                <w:color w:val="auto"/>
              </w:rPr>
            </w:pPr>
            <w:r>
              <w:rPr>
                <w:rFonts w:ascii="Arial" w:cs="Arial" w:eastAsia="Arial" w:hAnsi="Arial"/>
                <w:sz w:val="11"/>
                <w:szCs w:val="11"/>
                <w:color w:val="auto"/>
              </w:rPr>
              <w:t>Accounts receivable and other current assets</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90,635</w:t>
            </w:r>
          </w:p>
        </w:tc>
      </w:tr>
      <w:tr>
        <w:trPr>
          <w:trHeight w:val="146"/>
        </w:trPr>
        <w:tc>
          <w:tcPr>
            <w:tcW w:w="7960" w:type="dxa"/>
            <w:vAlign w:val="bottom"/>
            <w:shd w:val="clear" w:color="auto" w:fill="CCEEFF"/>
          </w:tcPr>
          <w:p>
            <w:pPr>
              <w:spacing w:after="0"/>
              <w:rPr>
                <w:sz w:val="20"/>
                <w:szCs w:val="20"/>
                <w:color w:val="auto"/>
              </w:rPr>
            </w:pPr>
            <w:r>
              <w:rPr>
                <w:rFonts w:ascii="Arial" w:cs="Arial" w:eastAsia="Arial" w:hAnsi="Arial"/>
                <w:sz w:val="11"/>
                <w:szCs w:val="11"/>
                <w:color w:val="auto"/>
              </w:rPr>
              <w:t>Property and equipment, net</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5,081</w:t>
            </w:r>
          </w:p>
        </w:tc>
      </w:tr>
      <w:tr>
        <w:trPr>
          <w:trHeight w:val="142"/>
        </w:trPr>
        <w:tc>
          <w:tcPr>
            <w:tcW w:w="7960" w:type="dxa"/>
            <w:vAlign w:val="bottom"/>
          </w:tcPr>
          <w:p>
            <w:pPr>
              <w:spacing w:after="0"/>
              <w:rPr>
                <w:sz w:val="20"/>
                <w:szCs w:val="20"/>
                <w:color w:val="auto"/>
              </w:rPr>
            </w:pPr>
            <w:r>
              <w:rPr>
                <w:rFonts w:ascii="Arial" w:cs="Arial" w:eastAsia="Arial" w:hAnsi="Arial"/>
                <w:sz w:val="11"/>
                <w:szCs w:val="11"/>
                <w:color w:val="auto"/>
              </w:rPr>
              <w:t>Operating right-of-use asset</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53,630</w:t>
            </w:r>
          </w:p>
        </w:tc>
      </w:tr>
      <w:tr>
        <w:trPr>
          <w:trHeight w:val="146"/>
        </w:trPr>
        <w:tc>
          <w:tcPr>
            <w:tcW w:w="7960" w:type="dxa"/>
            <w:vAlign w:val="bottom"/>
            <w:shd w:val="clear" w:color="auto" w:fill="CCEEFF"/>
          </w:tcPr>
          <w:p>
            <w:pPr>
              <w:spacing w:after="0" w:line="146" w:lineRule="exact"/>
              <w:rPr>
                <w:sz w:val="20"/>
                <w:szCs w:val="20"/>
                <w:color w:val="auto"/>
              </w:rPr>
            </w:pPr>
            <w:r>
              <w:rPr>
                <w:rFonts w:ascii="Arial" w:cs="Arial" w:eastAsia="Arial" w:hAnsi="Arial"/>
                <w:sz w:val="11"/>
                <w:szCs w:val="11"/>
                <w:color w:val="auto"/>
              </w:rPr>
              <w:t xml:space="preserve">Intangible assets </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595,000</w:t>
            </w:r>
          </w:p>
        </w:tc>
      </w:tr>
      <w:tr>
        <w:trPr>
          <w:trHeight w:val="142"/>
        </w:trPr>
        <w:tc>
          <w:tcPr>
            <w:tcW w:w="7960" w:type="dxa"/>
            <w:vAlign w:val="bottom"/>
          </w:tcPr>
          <w:p>
            <w:pPr>
              <w:spacing w:after="0"/>
              <w:rPr>
                <w:sz w:val="20"/>
                <w:szCs w:val="20"/>
                <w:color w:val="auto"/>
              </w:rPr>
            </w:pPr>
            <w:r>
              <w:rPr>
                <w:rFonts w:ascii="Arial" w:cs="Arial" w:eastAsia="Arial" w:hAnsi="Arial"/>
                <w:sz w:val="11"/>
                <w:szCs w:val="11"/>
                <w:color w:val="auto"/>
              </w:rPr>
              <w:t>Other assets</w:t>
            </w:r>
          </w:p>
        </w:tc>
        <w:tc>
          <w:tcPr>
            <w:tcW w:w="220" w:type="dxa"/>
            <w:vAlign w:val="bottom"/>
          </w:tcPr>
          <w:p>
            <w:pPr>
              <w:spacing w:after="0"/>
              <w:rPr>
                <w:sz w:val="12"/>
                <w:szCs w:val="12"/>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4,869</w:t>
            </w:r>
          </w:p>
        </w:tc>
      </w:tr>
      <w:tr>
        <w:trPr>
          <w:trHeight w:val="146"/>
        </w:trPr>
        <w:tc>
          <w:tcPr>
            <w:tcW w:w="7960" w:type="dxa"/>
            <w:vAlign w:val="bottom"/>
            <w:shd w:val="clear" w:color="auto" w:fill="CCEEFF"/>
          </w:tcPr>
          <w:p>
            <w:pPr>
              <w:spacing w:after="0"/>
              <w:rPr>
                <w:sz w:val="20"/>
                <w:szCs w:val="20"/>
                <w:color w:val="auto"/>
              </w:rPr>
            </w:pPr>
            <w:r>
              <w:rPr>
                <w:rFonts w:ascii="Arial" w:cs="Arial" w:eastAsia="Arial" w:hAnsi="Arial"/>
                <w:sz w:val="11"/>
                <w:szCs w:val="11"/>
                <w:color w:val="auto"/>
              </w:rPr>
              <w:t>Goodwill</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2,299,016</w:t>
            </w:r>
          </w:p>
        </w:tc>
      </w:tr>
      <w:tr>
        <w:trPr>
          <w:trHeight w:val="142"/>
        </w:trPr>
        <w:tc>
          <w:tcPr>
            <w:tcW w:w="7960" w:type="dxa"/>
            <w:vAlign w:val="bottom"/>
          </w:tcPr>
          <w:p>
            <w:pPr>
              <w:spacing w:after="0"/>
              <w:rPr>
                <w:sz w:val="20"/>
                <w:szCs w:val="20"/>
                <w:color w:val="auto"/>
              </w:rPr>
            </w:pPr>
            <w:r>
              <w:rPr>
                <w:rFonts w:ascii="Arial" w:cs="Arial" w:eastAsia="Arial" w:hAnsi="Arial"/>
                <w:sz w:val="11"/>
                <w:szCs w:val="11"/>
                <w:color w:val="auto"/>
              </w:rPr>
              <w:t>Accounts payable and other liabilities</w:t>
            </w: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(24,263)</w:t>
            </w:r>
          </w:p>
        </w:tc>
      </w:tr>
      <w:tr>
        <w:trPr>
          <w:trHeight w:val="146"/>
        </w:trPr>
        <w:tc>
          <w:tcPr>
            <w:tcW w:w="7960" w:type="dxa"/>
            <w:vAlign w:val="bottom"/>
            <w:shd w:val="clear" w:color="auto" w:fill="CCEEFF"/>
          </w:tcPr>
          <w:p>
            <w:pPr>
              <w:spacing w:after="0"/>
              <w:rPr>
                <w:sz w:val="20"/>
                <w:szCs w:val="20"/>
                <w:color w:val="auto"/>
              </w:rPr>
            </w:pPr>
            <w:r>
              <w:rPr>
                <w:rFonts w:ascii="Arial" w:cs="Arial" w:eastAsia="Arial" w:hAnsi="Arial"/>
                <w:sz w:val="11"/>
                <w:szCs w:val="11"/>
                <w:color w:val="auto"/>
              </w:rPr>
              <w:t>Deferred revenue</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(50,005)</w:t>
            </w:r>
          </w:p>
        </w:tc>
      </w:tr>
      <w:tr>
        <w:trPr>
          <w:trHeight w:val="142"/>
        </w:trPr>
        <w:tc>
          <w:tcPr>
            <w:tcW w:w="7960" w:type="dxa"/>
            <w:vAlign w:val="bottom"/>
          </w:tcPr>
          <w:p>
            <w:pPr>
              <w:spacing w:after="0"/>
              <w:rPr>
                <w:sz w:val="20"/>
                <w:szCs w:val="20"/>
                <w:color w:val="auto"/>
              </w:rPr>
            </w:pPr>
            <w:r>
              <w:rPr>
                <w:rFonts w:ascii="Arial" w:cs="Arial" w:eastAsia="Arial" w:hAnsi="Arial"/>
                <w:sz w:val="11"/>
                <w:szCs w:val="11"/>
                <w:color w:val="auto"/>
              </w:rPr>
              <w:t>Operating lease liability</w:t>
            </w: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(58,206)</w:t>
            </w:r>
          </w:p>
        </w:tc>
      </w:tr>
      <w:tr>
        <w:trPr>
          <w:trHeight w:val="144"/>
        </w:trPr>
        <w:tc>
          <w:tcPr>
            <w:tcW w:w="7960" w:type="dxa"/>
            <w:vAlign w:val="bottom"/>
            <w:shd w:val="clear" w:color="auto" w:fill="CCEEFF"/>
          </w:tcPr>
          <w:p>
            <w:pPr>
              <w:spacing w:after="0"/>
              <w:rPr>
                <w:sz w:val="20"/>
                <w:szCs w:val="20"/>
                <w:color w:val="auto"/>
              </w:rPr>
            </w:pPr>
            <w:r>
              <w:rPr>
                <w:rFonts w:ascii="Arial" w:cs="Arial" w:eastAsia="Arial" w:hAnsi="Arial"/>
                <w:sz w:val="11"/>
                <w:szCs w:val="11"/>
                <w:color w:val="auto"/>
              </w:rPr>
              <w:t>Deferred tax liability</w:t>
            </w:r>
          </w:p>
        </w:tc>
        <w:tc>
          <w:tcPr>
            <w:tcW w:w="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(21,728)</w:t>
            </w:r>
          </w:p>
        </w:tc>
      </w:tr>
      <w:tr>
        <w:trPr>
          <w:trHeight w:val="135"/>
        </w:trPr>
        <w:tc>
          <w:tcPr>
            <w:tcW w:w="7960" w:type="dxa"/>
            <w:vAlign w:val="bottom"/>
          </w:tcPr>
          <w:p>
            <w:pPr>
              <w:ind w:left="140"/>
              <w:spacing w:after="0"/>
              <w:rPr>
                <w:sz w:val="20"/>
                <w:szCs w:val="20"/>
                <w:color w:val="auto"/>
              </w:rPr>
            </w:pPr>
            <w:r>
              <w:rPr>
                <w:rFonts w:ascii="Arial" w:cs="Arial" w:eastAsia="Arial" w:hAnsi="Arial"/>
                <w:sz w:val="11"/>
                <w:szCs w:val="11"/>
                <w:color w:val="auto"/>
              </w:rPr>
              <w:t>Total purchase price</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2,987,200</w:t>
            </w: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____________________________________</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5"/>
          <w:szCs w:val="15"/>
          <w:color w:val="auto"/>
          <w:vertAlign w:val="superscript"/>
        </w:rPr>
        <w:t>(</w:t>
      </w:r>
      <w:r>
        <w:rPr>
          <w:rFonts w:ascii="Arial" w:cs="Arial" w:eastAsia="Arial" w:hAnsi="Arial"/>
          <w:sz w:val="14"/>
          <w:szCs w:val="14"/>
          <w:color w:val="auto"/>
          <w:vertAlign w:val="superscript"/>
        </w:rPr>
        <w:t>1</w:t>
      </w:r>
      <w:r>
        <w:rPr>
          <w:rFonts w:ascii="Arial" w:cs="Arial" w:eastAsia="Arial" w:hAnsi="Arial"/>
          <w:sz w:val="15"/>
          <w:szCs w:val="15"/>
          <w:color w:val="auto"/>
          <w:vertAlign w:val="superscript"/>
        </w:rPr>
        <w:t>)</w:t>
      </w:r>
      <w:r>
        <w:rPr>
          <w:rFonts w:ascii="Arial" w:cs="Arial" w:eastAsia="Arial" w:hAnsi="Arial"/>
          <w:sz w:val="11"/>
          <w:szCs w:val="11"/>
          <w:color w:val="auto"/>
        </w:rPr>
        <w:t xml:space="preserve"> Identifiable intangible assets are comprised of the following:</w:t>
      </w:r>
    </w:p>
    <w:p>
      <w:pPr>
        <w:spacing w:after="0" w:line="115" w:lineRule="exact"/>
        <w:rPr>
          <w:sz w:val="20"/>
          <w:szCs w:val="20"/>
          <w:color w:val="auto"/>
        </w:rPr>
      </w:pPr>
    </w:p>
    <w:tbl>
      <w:tblPr>
        <w:tblLayout w:type="fixed"/>
        <w:tblInd w:w="860" w:type="dxa"/>
        <w:tblCellMar>
          <w:top w:w="0" w:type="dxa"/>
          <w:left w:w="0" w:type="dxa"/>
          <w:bottom w:w="0" w:type="dxa"/>
          <w:right w:w="0" w:type="dxa"/>
        </w:tblCellMar>
      </w:tblPr>
      <w:tr>
        <w:trPr>
          <w:trHeight w:val="126"/>
        </w:trPr>
        <w:tc>
          <w:tcPr>
            <w:tcW w:w="4440" w:type="dxa"/>
            <w:vAlign w:val="bottom"/>
          </w:tcPr>
          <w:p>
            <w:pPr>
              <w:spacing w:after="0"/>
              <w:rPr>
                <w:sz w:val="10"/>
                <w:szCs w:val="10"/>
                <w:color w:val="auto"/>
              </w:rPr>
            </w:pPr>
          </w:p>
        </w:tc>
        <w:tc>
          <w:tcPr>
            <w:tcW w:w="1020" w:type="dxa"/>
            <w:vAlign w:val="bottom"/>
            <w:vMerge w:val="restart"/>
          </w:tcPr>
          <w:p>
            <w:pPr>
              <w:jc w:val="right"/>
              <w:ind w:right="149"/>
              <w:spacing w:after="0"/>
              <w:rPr>
                <w:sz w:val="20"/>
                <w:szCs w:val="20"/>
                <w:color w:val="auto"/>
              </w:rPr>
            </w:pPr>
            <w:r>
              <w:rPr>
                <w:rFonts w:ascii="Arial" w:cs="Arial" w:eastAsia="Arial" w:hAnsi="Arial"/>
                <w:sz w:val="11"/>
                <w:szCs w:val="11"/>
                <w:b w:val="1"/>
                <w:bCs w:val="1"/>
                <w:color w:val="auto"/>
              </w:rPr>
              <w:t>Total</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ind w:left="380"/>
              <w:spacing w:after="0"/>
              <w:rPr>
                <w:sz w:val="20"/>
                <w:szCs w:val="20"/>
                <w:color w:val="auto"/>
              </w:rPr>
            </w:pPr>
            <w:r>
              <w:rPr>
                <w:rFonts w:ascii="Arial" w:cs="Arial" w:eastAsia="Arial" w:hAnsi="Arial"/>
                <w:sz w:val="11"/>
                <w:szCs w:val="11"/>
                <w:b w:val="1"/>
                <w:bCs w:val="1"/>
                <w:color w:val="auto"/>
              </w:rPr>
              <w:t>Estimated</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life</w:t>
            </w: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Arial" w:cs="Arial" w:eastAsia="Arial" w:hAnsi="Arial"/>
                <w:sz w:val="11"/>
                <w:szCs w:val="11"/>
                <w:color w:val="auto"/>
                <w:w w:val="86"/>
              </w:rPr>
              <w:t>(In years)</w:t>
            </w:r>
          </w:p>
        </w:tc>
        <w:tc>
          <w:tcPr>
            <w:tcW w:w="0" w:type="dxa"/>
            <w:vAlign w:val="bottom"/>
          </w:tcPr>
          <w:p>
            <w:pPr>
              <w:spacing w:after="0"/>
              <w:rPr>
                <w:sz w:val="1"/>
                <w:szCs w:val="1"/>
                <w:color w:val="auto"/>
              </w:rPr>
            </w:pPr>
          </w:p>
        </w:tc>
      </w:tr>
      <w:tr>
        <w:trPr>
          <w:trHeight w:val="146"/>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auto"/>
              </w:rPr>
              <w:t>Developed technology</w:t>
            </w:r>
          </w:p>
        </w:tc>
        <w:tc>
          <w:tcPr>
            <w:tcW w:w="1020" w:type="dxa"/>
            <w:vAlign w:val="bottom"/>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390,000</w:t>
            </w:r>
          </w:p>
        </w:tc>
        <w:tc>
          <w:tcPr>
            <w:tcW w:w="1320" w:type="dxa"/>
            <w:vAlign w:val="bottom"/>
            <w:gridSpan w:val="2"/>
            <w:shd w:val="clear" w:color="auto" w:fill="CCEEFF"/>
          </w:tcPr>
          <w:p>
            <w:pPr>
              <w:jc w:val="center"/>
              <w:ind w:left="31"/>
              <w:spacing w:after="0"/>
              <w:rPr>
                <w:sz w:val="20"/>
                <w:szCs w:val="20"/>
                <w:color w:val="auto"/>
              </w:rPr>
            </w:pPr>
            <w:r>
              <w:rPr>
                <w:rFonts w:ascii="Arial" w:cs="Arial" w:eastAsia="Arial" w:hAnsi="Arial"/>
                <w:sz w:val="10"/>
                <w:szCs w:val="10"/>
                <w:color w:val="auto"/>
                <w:w w:val="71"/>
              </w:rPr>
              <w:t>7</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Arial" w:cs="Arial" w:eastAsia="Arial" w:hAnsi="Arial"/>
                <w:sz w:val="11"/>
                <w:szCs w:val="11"/>
                <w:color w:val="auto"/>
              </w:rPr>
              <w:t>Customer relationships</w:t>
            </w:r>
          </w:p>
        </w:tc>
        <w:tc>
          <w:tcPr>
            <w:tcW w:w="10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w w:val="85"/>
              </w:rPr>
              <w:t>190,000</w:t>
            </w:r>
          </w:p>
        </w:tc>
        <w:tc>
          <w:tcPr>
            <w:tcW w:w="1320" w:type="dxa"/>
            <w:vAlign w:val="bottom"/>
            <w:gridSpan w:val="2"/>
          </w:tcPr>
          <w:p>
            <w:pPr>
              <w:jc w:val="center"/>
              <w:ind w:left="31"/>
              <w:spacing w:after="0"/>
              <w:rPr>
                <w:sz w:val="20"/>
                <w:szCs w:val="20"/>
                <w:color w:val="auto"/>
              </w:rPr>
            </w:pPr>
            <w:r>
              <w:rPr>
                <w:rFonts w:ascii="Arial" w:cs="Arial" w:eastAsia="Arial" w:hAnsi="Arial"/>
                <w:sz w:val="10"/>
                <w:szCs w:val="10"/>
                <w:color w:val="auto"/>
                <w:w w:val="71"/>
              </w:rPr>
              <w:t>6</w:t>
            </w:r>
          </w:p>
        </w:tc>
        <w:tc>
          <w:tcPr>
            <w:tcW w:w="0" w:type="dxa"/>
            <w:vAlign w:val="bottom"/>
          </w:tcPr>
          <w:p>
            <w:pPr>
              <w:spacing w:after="0"/>
              <w:rPr>
                <w:sz w:val="1"/>
                <w:szCs w:val="1"/>
                <w:color w:val="auto"/>
              </w:rPr>
            </w:pPr>
          </w:p>
        </w:tc>
      </w:tr>
      <w:tr>
        <w:trPr>
          <w:trHeight w:val="146"/>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auto"/>
              </w:rPr>
              <w:t>Order backlog</w:t>
            </w:r>
          </w:p>
        </w:tc>
        <w:tc>
          <w:tcPr>
            <w:tcW w:w="10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w:t>
            </w:r>
          </w:p>
        </w:tc>
        <w:tc>
          <w:tcPr>
            <w:tcW w:w="1320" w:type="dxa"/>
            <w:vAlign w:val="bottom"/>
            <w:gridSpan w:val="2"/>
            <w:shd w:val="clear" w:color="auto" w:fill="CCEEFF"/>
          </w:tcPr>
          <w:p>
            <w:pPr>
              <w:jc w:val="center"/>
              <w:ind w:left="31"/>
              <w:spacing w:after="0"/>
              <w:rPr>
                <w:sz w:val="20"/>
                <w:szCs w:val="20"/>
                <w:color w:val="auto"/>
              </w:rPr>
            </w:pPr>
            <w:r>
              <w:rPr>
                <w:rFonts w:ascii="Arial" w:cs="Arial" w:eastAsia="Arial" w:hAnsi="Arial"/>
                <w:sz w:val="10"/>
                <w:szCs w:val="10"/>
                <w:color w:val="auto"/>
                <w:w w:val="71"/>
              </w:rPr>
              <w:t>1</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Trade names</w:t>
            </w:r>
          </w:p>
        </w:tc>
        <w:tc>
          <w:tcPr>
            <w:tcW w:w="10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5,000</w:t>
            </w:r>
          </w:p>
        </w:tc>
        <w:tc>
          <w:tcPr>
            <w:tcW w:w="1320" w:type="dxa"/>
            <w:vAlign w:val="bottom"/>
            <w:tcBorders>
              <w:bottom w:val="single" w:sz="8" w:color="CCEEFF"/>
            </w:tcBorders>
            <w:gridSpan w:val="2"/>
          </w:tcPr>
          <w:p>
            <w:pPr>
              <w:jc w:val="center"/>
              <w:ind w:left="31"/>
              <w:spacing w:after="0"/>
              <w:rPr>
                <w:sz w:val="20"/>
                <w:szCs w:val="20"/>
                <w:color w:val="auto"/>
              </w:rPr>
            </w:pPr>
            <w:r>
              <w:rPr>
                <w:rFonts w:ascii="Arial" w:cs="Arial" w:eastAsia="Arial" w:hAnsi="Arial"/>
                <w:sz w:val="10"/>
                <w:szCs w:val="10"/>
                <w:color w:val="auto"/>
                <w:w w:val="71"/>
              </w:rPr>
              <w:t>5</w:t>
            </w:r>
          </w:p>
        </w:tc>
        <w:tc>
          <w:tcPr>
            <w:tcW w:w="0" w:type="dxa"/>
            <w:vAlign w:val="bottom"/>
          </w:tcPr>
          <w:p>
            <w:pPr>
              <w:spacing w:after="0"/>
              <w:rPr>
                <w:sz w:val="1"/>
                <w:szCs w:val="1"/>
                <w:color w:val="auto"/>
              </w:rPr>
            </w:pPr>
          </w:p>
        </w:tc>
      </w:tr>
      <w:tr>
        <w:trPr>
          <w:trHeight w:val="151"/>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intangible assets acquired</w:t>
            </w:r>
          </w:p>
        </w:tc>
        <w:tc>
          <w:tcPr>
            <w:tcW w:w="1020" w:type="dxa"/>
            <w:vAlign w:val="bottom"/>
            <w:tcBorders>
              <w:bottom w:val="single" w:sz="8" w:color="auto"/>
            </w:tcBorders>
            <w:shd w:val="clear" w:color="auto" w:fill="CCEEFF"/>
          </w:tcPr>
          <w:p>
            <w:pPr>
              <w:jc w:val="right"/>
              <w:ind w:right="90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5"/>
              </w:rPr>
              <w:t>595,000</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24"/>
        <w:spacing w:after="0" w:line="263" w:lineRule="auto"/>
        <w:rPr>
          <w:sz w:val="20"/>
          <w:szCs w:val="20"/>
          <w:color w:val="auto"/>
        </w:rPr>
      </w:pPr>
      <w:r>
        <w:rPr>
          <w:rFonts w:ascii="Arial" w:cs="Arial" w:eastAsia="Arial" w:hAnsi="Arial"/>
          <w:sz w:val="12"/>
          <w:szCs w:val="12"/>
          <w:color w:val="auto"/>
        </w:rPr>
        <w:t>Developed technology consists of software products and domain knowledge around customer data developed by Segment, which will enable Twilio to layer data across its platform to power timely and personalized communications over the right channel, further enhancing the Company's customer engagement platform. Customer relationships consists of contracts with platform users that purchase Segment’s products and services that carry distinct value.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1"/>
          <w:szCs w:val="11"/>
          <w:color w:val="auto"/>
        </w:rPr>
        <w:t>Goodwill generated from this acquisition primarily represents the value that is expected from the increased scale and synergies as a result of the integration of both businesses. Goodwill is not deductible for tax purposes.</w:t>
      </w:r>
    </w:p>
    <w:p>
      <w:pPr>
        <w:spacing w:after="0" w:line="162" w:lineRule="exact"/>
        <w:rPr>
          <w:sz w:val="20"/>
          <w:szCs w:val="20"/>
          <w:color w:val="auto"/>
        </w:rPr>
      </w:pPr>
    </w:p>
    <w:p>
      <w:pPr>
        <w:ind w:firstLine="324"/>
        <w:spacing w:after="0" w:line="149" w:lineRule="exact"/>
        <w:rPr>
          <w:sz w:val="20"/>
          <w:szCs w:val="20"/>
          <w:color w:val="auto"/>
        </w:rPr>
      </w:pPr>
      <w:r>
        <w:rPr>
          <w:rFonts w:ascii="Arial" w:cs="Arial" w:eastAsia="Arial" w:hAnsi="Arial"/>
          <w:sz w:val="12"/>
          <w:szCs w:val="12"/>
          <w:color w:val="auto"/>
        </w:rPr>
        <w:t>The estimated fair value of the intangible assets acquired was determined by the Company. The Company engaged a third</w:t>
      </w:r>
      <w:r>
        <w:rPr>
          <w:rFonts w:ascii="MS PGothic" w:cs="MS PGothic" w:eastAsia="MS PGothic" w:hAnsi="MS PGothic"/>
          <w:sz w:val="12"/>
          <w:szCs w:val="12"/>
          <w:color w:val="auto"/>
        </w:rPr>
        <w:t>‑</w:t>
      </w:r>
      <w:r>
        <w:rPr>
          <w:rFonts w:ascii="Arial" w:cs="Arial" w:eastAsia="Arial" w:hAnsi="Arial"/>
          <w:sz w:val="12"/>
          <w:szCs w:val="12"/>
          <w:color w:val="auto"/>
        </w:rPr>
        <w:t>party expert to assist with the valuation analysis. The Company used a relief from royalty method to estimate the fair values of the developed technology and a multi-period excess earnings method to estimate the fair value of the customer relationships and order backlog.</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00"/>
          </w:cols>
          <w:pgMar w:left="300" w:top="131" w:right="599" w:bottom="1440" w:gutter="0" w:footer="0" w:header="0"/>
        </w:sectPr>
      </w:pPr>
    </w:p>
    <w:bookmarkStart w:id="99" w:name="page100"/>
    <w:bookmarkEnd w:id="9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Most of the net tangible assets were valued at their respective carrying amounts as of the acquisition date, as the Company believes that these amounts approximate their current fair values, except for operating right-of-use assets, which were reduced to their respective fair values as of the acquisition date.</w:t>
      </w:r>
    </w:p>
    <w:p>
      <w:pPr>
        <w:spacing w:after="0" w:line="11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2"/>
          <w:szCs w:val="12"/>
          <w:color w:val="auto"/>
        </w:rPr>
        <w:t>The acquired entity's results of operations were included in the Company's consolidated financial statements from the date of acquisition, November 2, 2020. For the year ended December 31, 2021, Segment contributed net operating revenue of $200.9 million, which is reflected in the accompanying consolidated statement of operations. Due to the integrated nature of the Company's operations, the Company believes that it is not practicable to separately identify earnings of Segment on a stand-alone basis.</w:t>
      </w:r>
    </w:p>
    <w:p>
      <w:pPr>
        <w:spacing w:after="0" w:line="122" w:lineRule="exact"/>
        <w:rPr>
          <w:sz w:val="20"/>
          <w:szCs w:val="20"/>
          <w:color w:val="auto"/>
        </w:rPr>
      </w:pPr>
    </w:p>
    <w:p>
      <w:pPr>
        <w:ind w:right="400" w:firstLine="324"/>
        <w:spacing w:after="0" w:line="276" w:lineRule="auto"/>
        <w:rPr>
          <w:sz w:val="20"/>
          <w:szCs w:val="20"/>
          <w:color w:val="auto"/>
        </w:rPr>
      </w:pPr>
      <w:r>
        <w:rPr>
          <w:rFonts w:ascii="Arial" w:cs="Arial" w:eastAsia="Arial" w:hAnsi="Arial"/>
          <w:sz w:val="12"/>
          <w:szCs w:val="12"/>
          <w:color w:val="auto"/>
        </w:rPr>
        <w:t>During the year ended December 31, 2020, the Company incurred costs related to this acquisition of $20.8 million that were expensed as incurred and recorded in general and administrative expenses in the accompanying consolidated statement of operations.</w:t>
      </w:r>
    </w:p>
    <w:p>
      <w:pPr>
        <w:spacing w:after="0" w:line="115" w:lineRule="exact"/>
        <w:rPr>
          <w:sz w:val="20"/>
          <w:szCs w:val="20"/>
          <w:color w:val="auto"/>
        </w:rPr>
      </w:pPr>
    </w:p>
    <w:p>
      <w:pPr>
        <w:ind w:right="20" w:firstLine="324"/>
        <w:spacing w:after="0" w:line="263" w:lineRule="auto"/>
        <w:rPr>
          <w:sz w:val="20"/>
          <w:szCs w:val="20"/>
          <w:color w:val="auto"/>
        </w:rPr>
      </w:pPr>
      <w:r>
        <w:rPr>
          <w:rFonts w:ascii="Arial" w:cs="Arial" w:eastAsia="Arial" w:hAnsi="Arial"/>
          <w:sz w:val="12"/>
          <w:szCs w:val="12"/>
          <w:color w:val="auto"/>
        </w:rPr>
        <w:t>The following unaudited pro forma condensed combined financial information gives effect to the acquisition of Segment as if it was consummated on January 1, 2019 (the beginning of the comparable prior reporting period), and includes pro forma adjustments related to the amortization of acquired intangible assets, share-based compensation expense, one-time tax benefit and direct and incremental transaction costs reflected in the historical financial statements. Specifically, the following adjustments were made:</w:t>
      </w:r>
    </w:p>
    <w:p>
      <w:pPr>
        <w:spacing w:after="0" w:line="122" w:lineRule="exact"/>
        <w:rPr>
          <w:sz w:val="20"/>
          <w:szCs w:val="20"/>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For the year ended December 31, 2020, the Company's and Segment's direct and incremental transaction costs of $79.3 million are excluded from the pro forma condensed combined net loss.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For the year ended December 31, 2019, the Company's direct and incremental transaction costs of $20.8 are included in the pro forma condensed combined net loss.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In the year ended December 31, 2020, the pro forma condensed combined net loss includes a reversal of the valuation allowance release of $13.8 million.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3"/>
        </w:numPr>
        <w:rPr>
          <w:rFonts w:ascii="Arial" w:cs="Arial" w:eastAsia="Arial" w:hAnsi="Arial"/>
          <w:sz w:val="11"/>
          <w:szCs w:val="11"/>
          <w:color w:val="auto"/>
        </w:rPr>
      </w:pPr>
      <w:r>
        <w:rPr>
          <w:rFonts w:ascii="Arial" w:cs="Arial" w:eastAsia="Arial" w:hAnsi="Arial"/>
          <w:sz w:val="11"/>
          <w:szCs w:val="11"/>
          <w:color w:val="auto"/>
        </w:rPr>
        <w:t>In the year ended December 31, 2019, the pro forma condensed combined net loss includes a one-time tax benefit of $38.1 that would have resulted from the acquisition, and an ongoing tax benefit of $7.5 million.</w:t>
      </w:r>
    </w:p>
    <w:p>
      <w:pPr>
        <w:spacing w:after="0" w:line="162" w:lineRule="exact"/>
        <w:rPr>
          <w:sz w:val="20"/>
          <w:szCs w:val="20"/>
          <w:color w:val="auto"/>
        </w:rPr>
      </w:pPr>
    </w:p>
    <w:p>
      <w:pPr>
        <w:ind w:right="300" w:firstLine="324"/>
        <w:spacing w:after="0" w:line="276" w:lineRule="auto"/>
        <w:rPr>
          <w:sz w:val="20"/>
          <w:szCs w:val="20"/>
          <w:color w:val="auto"/>
        </w:rPr>
      </w:pPr>
      <w:r>
        <w:rPr>
          <w:rFonts w:ascii="Arial" w:cs="Arial" w:eastAsia="Arial" w:hAnsi="Arial"/>
          <w:sz w:val="12"/>
          <w:szCs w:val="12"/>
          <w:color w:val="auto"/>
        </w:rPr>
        <w:t>This unaudited data is presented for informational purposes only and is not intended to represent or be indicative of the results of operations that would have been reported had the acquisition occurred on January 1, 2019. It should not be taken as representative of future results of operations of the combined company.</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presents the unaudited pro forma condensed combined financial information:</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142"/>
        </w:trPr>
        <w:tc>
          <w:tcPr>
            <w:tcW w:w="4300" w:type="dxa"/>
            <w:vAlign w:val="bottom"/>
          </w:tcPr>
          <w:p>
            <w:pPr>
              <w:spacing w:after="0"/>
              <w:rPr>
                <w:sz w:val="12"/>
                <w:szCs w:val="12"/>
                <w:color w:val="auto"/>
              </w:rPr>
            </w:pPr>
          </w:p>
        </w:tc>
        <w:tc>
          <w:tcPr>
            <w:tcW w:w="216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rPr>
              <w:t>Year Ended December 31,</w:t>
            </w:r>
          </w:p>
        </w:tc>
        <w:tc>
          <w:tcPr>
            <w:tcW w:w="520" w:type="dxa"/>
            <w:vAlign w:val="bottom"/>
            <w:tcBorders>
              <w:bottom w:val="single" w:sz="8" w:color="auto"/>
            </w:tcBorders>
          </w:tcPr>
          <w:p>
            <w:pPr>
              <w:spacing w:after="0"/>
              <w:rPr>
                <w:sz w:val="12"/>
                <w:szCs w:val="12"/>
                <w:color w:val="auto"/>
              </w:rPr>
            </w:pPr>
          </w:p>
        </w:tc>
      </w:tr>
      <w:tr>
        <w:trPr>
          <w:trHeight w:val="133"/>
        </w:trPr>
        <w:tc>
          <w:tcPr>
            <w:tcW w:w="43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1"/>
                <w:szCs w:val="11"/>
                <w:color w:val="auto"/>
              </w:rPr>
            </w:pPr>
          </w:p>
        </w:tc>
      </w:tr>
      <w:tr>
        <w:trPr>
          <w:trHeight w:val="135"/>
        </w:trPr>
        <w:tc>
          <w:tcPr>
            <w:tcW w:w="4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206"/>
              <w:spacing w:after="0"/>
              <w:rPr>
                <w:sz w:val="20"/>
                <w:szCs w:val="20"/>
                <w:color w:val="auto"/>
              </w:rPr>
            </w:pPr>
            <w:r>
              <w:rPr>
                <w:rFonts w:ascii="Arial" w:cs="Arial" w:eastAsia="Arial" w:hAnsi="Arial"/>
                <w:sz w:val="11"/>
                <w:szCs w:val="11"/>
                <w:color w:val="auto"/>
                <w:w w:val="88"/>
              </w:rPr>
              <w:t>(Unaudited, in thousands)</w:t>
            </w:r>
          </w:p>
        </w:tc>
        <w:tc>
          <w:tcPr>
            <w:tcW w:w="520" w:type="dxa"/>
            <w:vAlign w:val="bottom"/>
            <w:shd w:val="clear" w:color="auto" w:fill="CCEEFF"/>
          </w:tcPr>
          <w:p>
            <w:pPr>
              <w:spacing w:after="0"/>
              <w:rPr>
                <w:sz w:val="11"/>
                <w:szCs w:val="11"/>
                <w:color w:val="auto"/>
              </w:rPr>
            </w:pPr>
          </w:p>
        </w:tc>
      </w:tr>
      <w:tr>
        <w:trPr>
          <w:trHeight w:val="142"/>
        </w:trPr>
        <w:tc>
          <w:tcPr>
            <w:tcW w:w="4300" w:type="dxa"/>
            <w:vAlign w:val="bottom"/>
          </w:tcPr>
          <w:p>
            <w:pPr>
              <w:spacing w:after="0"/>
              <w:rPr>
                <w:sz w:val="20"/>
                <w:szCs w:val="20"/>
                <w:color w:val="auto"/>
              </w:rPr>
            </w:pPr>
            <w:r>
              <w:rPr>
                <w:rFonts w:ascii="Arial" w:cs="Arial" w:eastAsia="Arial" w:hAnsi="Arial"/>
                <w:sz w:val="11"/>
                <w:szCs w:val="11"/>
                <w:color w:val="auto"/>
              </w:rPr>
              <w:t>Revenue</w:t>
            </w: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w w:val="93"/>
              </w:rPr>
              <w:t>1,874,720</w:t>
            </w:r>
          </w:p>
        </w:tc>
        <w:tc>
          <w:tcPr>
            <w:tcW w:w="820" w:type="dxa"/>
            <w:vAlign w:val="bottom"/>
          </w:tcPr>
          <w:p>
            <w:pPr>
              <w:jc w:val="right"/>
              <w:ind w:right="646"/>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w w:val="89"/>
              </w:rPr>
              <w:t>1,217,502</w:t>
            </w:r>
          </w:p>
        </w:tc>
      </w:tr>
      <w:tr>
        <w:trPr>
          <w:trHeight w:val="146"/>
        </w:trPr>
        <w:tc>
          <w:tcPr>
            <w:tcW w:w="4300" w:type="dxa"/>
            <w:vAlign w:val="bottom"/>
            <w:shd w:val="clear" w:color="auto" w:fill="CCEEFF"/>
          </w:tcPr>
          <w:p>
            <w:pPr>
              <w:spacing w:after="0"/>
              <w:rPr>
                <w:sz w:val="20"/>
                <w:szCs w:val="20"/>
                <w:color w:val="auto"/>
              </w:rPr>
            </w:pPr>
            <w:r>
              <w:rPr>
                <w:rFonts w:ascii="Arial" w:cs="Arial" w:eastAsia="Arial" w:hAnsi="Arial"/>
                <w:sz w:val="11"/>
                <w:szCs w:val="11"/>
                <w:color w:val="auto"/>
              </w:rPr>
              <w:t>Net loss attributable to common stockholders</w:t>
            </w:r>
          </w:p>
        </w:tc>
        <w:tc>
          <w:tcPr>
            <w:tcW w:w="760" w:type="dxa"/>
            <w:vAlign w:val="bottom"/>
            <w:shd w:val="clear" w:color="auto" w:fill="CCEEFF"/>
          </w:tcPr>
          <w:p>
            <w:pPr>
              <w:jc w:val="right"/>
              <w:ind w:right="62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(655,355)</w:t>
            </w:r>
          </w:p>
        </w:tc>
        <w:tc>
          <w:tcPr>
            <w:tcW w:w="820" w:type="dxa"/>
            <w:vAlign w:val="bottom"/>
            <w:shd w:val="clear" w:color="auto" w:fill="CCEEFF"/>
          </w:tcPr>
          <w:p>
            <w:pPr>
              <w:jc w:val="right"/>
              <w:ind w:right="646"/>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(576,962)</w:t>
            </w: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Other Fiscal 2020 Acquisitions</w:t>
      </w:r>
    </w:p>
    <w:p>
      <w:pPr>
        <w:spacing w:after="0" w:line="150" w:lineRule="exact"/>
        <w:rPr>
          <w:sz w:val="20"/>
          <w:szCs w:val="20"/>
          <w:color w:val="auto"/>
        </w:rPr>
      </w:pPr>
    </w:p>
    <w:p>
      <w:pPr>
        <w:ind w:right="140" w:firstLine="324"/>
        <w:spacing w:after="0" w:line="323" w:lineRule="auto"/>
        <w:rPr>
          <w:sz w:val="20"/>
          <w:szCs w:val="20"/>
          <w:color w:val="auto"/>
        </w:rPr>
      </w:pPr>
      <w:r>
        <w:rPr>
          <w:rFonts w:ascii="Arial" w:cs="Arial" w:eastAsia="Arial" w:hAnsi="Arial"/>
          <w:sz w:val="11"/>
          <w:szCs w:val="11"/>
          <w:color w:val="auto"/>
        </w:rPr>
        <w:t>During 2020, the Company completed other business combinations for an aggregate purchase price of $13.0 million. The total purchase price was allocated to the tangible and intangibles assets acquired and liabilities assumed based on their fair values at the time of the acquisition. The Company does not consider these acquisitions to be material, individually or in aggregate, to its consolidated financial statements.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0" w:name="page101"/>
    <w:bookmarkEnd w:id="10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Goodwill and Intangible Assets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Goodwill</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Goodwill balance as of December 31, 2021 and 2020, was as follows:</w:t>
      </w:r>
    </w:p>
    <w:p>
      <w:pPr>
        <w:spacing w:after="0" w:line="135" w:lineRule="exact"/>
        <w:rPr>
          <w:sz w:val="20"/>
          <w:szCs w:val="20"/>
          <w:color w:val="auto"/>
        </w:rPr>
      </w:pPr>
    </w:p>
    <w:tbl>
      <w:tblPr>
        <w:tblLayout w:type="fixed"/>
        <w:tblInd w:w="420" w:type="dxa"/>
        <w:tblCellMar>
          <w:top w:w="0" w:type="dxa"/>
          <w:left w:w="0" w:type="dxa"/>
          <w:bottom w:w="0" w:type="dxa"/>
          <w:right w:w="0" w:type="dxa"/>
        </w:tblCellMar>
      </w:tblPr>
      <w:tr>
        <w:trPr>
          <w:trHeight w:val="127"/>
        </w:trPr>
        <w:tc>
          <w:tcPr>
            <w:tcW w:w="87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b w:val="1"/>
                <w:bCs w:val="1"/>
                <w:color w:val="auto"/>
              </w:rPr>
              <w:t>Total</w:t>
            </w:r>
          </w:p>
        </w:tc>
      </w:tr>
      <w:tr>
        <w:trPr>
          <w:trHeight w:val="117"/>
        </w:trPr>
        <w:tc>
          <w:tcPr>
            <w:tcW w:w="8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Pr>
          <w:p>
            <w:pPr>
              <w:jc w:val="right"/>
              <w:ind w:right="287"/>
              <w:spacing w:after="0"/>
              <w:rPr>
                <w:sz w:val="20"/>
                <w:szCs w:val="20"/>
                <w:color w:val="auto"/>
              </w:rPr>
            </w:pPr>
            <w:r>
              <w:rPr>
                <w:rFonts w:ascii="Arial" w:cs="Arial" w:eastAsia="Arial" w:hAnsi="Arial"/>
                <w:sz w:val="10"/>
                <w:szCs w:val="10"/>
                <w:color w:val="auto"/>
              </w:rPr>
              <w:t>(In thousands)</w:t>
            </w:r>
          </w:p>
        </w:tc>
      </w:tr>
      <w:tr>
        <w:trPr>
          <w:trHeight w:val="164"/>
        </w:trPr>
        <w:tc>
          <w:tcPr>
            <w:tcW w:w="87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Balance as of December 31, 2019</w:t>
            </w:r>
          </w:p>
        </w:tc>
        <w:tc>
          <w:tcPr>
            <w:tcW w:w="6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2,296,784</w:t>
            </w:r>
          </w:p>
        </w:tc>
      </w:tr>
      <w:tr>
        <w:trPr>
          <w:trHeight w:val="140"/>
        </w:trPr>
        <w:tc>
          <w:tcPr>
            <w:tcW w:w="8760" w:type="dxa"/>
            <w:vAlign w:val="bottom"/>
          </w:tcPr>
          <w:p>
            <w:pPr>
              <w:ind w:left="580"/>
              <w:spacing w:after="0" w:line="120" w:lineRule="exact"/>
              <w:rPr>
                <w:sz w:val="20"/>
                <w:szCs w:val="20"/>
                <w:color w:val="auto"/>
              </w:rPr>
            </w:pPr>
            <w:r>
              <w:rPr>
                <w:rFonts w:ascii="Arial" w:cs="Arial" w:eastAsia="Arial" w:hAnsi="Arial"/>
                <w:sz w:val="11"/>
                <w:szCs w:val="11"/>
                <w:color w:val="auto"/>
              </w:rPr>
              <w:t>Goodwill additions related to 2020 acquisitions</w:t>
            </w:r>
          </w:p>
        </w:tc>
        <w:tc>
          <w:tcPr>
            <w:tcW w:w="6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2,303,780</w:t>
            </w:r>
          </w:p>
        </w:tc>
      </w:tr>
      <w:tr>
        <w:trPr>
          <w:trHeight w:val="146"/>
        </w:trPr>
        <w:tc>
          <w:tcPr>
            <w:tcW w:w="8760" w:type="dxa"/>
            <w:vAlign w:val="bottom"/>
            <w:shd w:val="clear" w:color="auto" w:fill="CCEEFF"/>
          </w:tcPr>
          <w:p>
            <w:pPr>
              <w:ind w:left="580"/>
              <w:spacing w:after="0"/>
              <w:rPr>
                <w:sz w:val="20"/>
                <w:szCs w:val="20"/>
                <w:color w:val="auto"/>
              </w:rPr>
            </w:pPr>
            <w:r>
              <w:rPr>
                <w:rFonts w:ascii="Arial" w:cs="Arial" w:eastAsia="Arial" w:hAnsi="Arial"/>
                <w:sz w:val="11"/>
                <w:szCs w:val="11"/>
                <w:color w:val="auto"/>
              </w:rPr>
              <w:t>Measurement period adjustments</w:t>
            </w:r>
          </w:p>
        </w:tc>
        <w:tc>
          <w:tcPr>
            <w:tcW w:w="6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(5,170)</w:t>
            </w:r>
          </w:p>
        </w:tc>
      </w:tr>
      <w:tr>
        <w:trPr>
          <w:trHeight w:val="151"/>
        </w:trPr>
        <w:tc>
          <w:tcPr>
            <w:tcW w:w="8760" w:type="dxa"/>
            <w:vAlign w:val="bottom"/>
            <w:tcBorders>
              <w:bottom w:val="single" w:sz="8" w:color="CCEEFF"/>
            </w:tcBorders>
          </w:tcPr>
          <w:p>
            <w:pPr>
              <w:ind w:left="440"/>
              <w:spacing w:after="0" w:line="120" w:lineRule="exact"/>
              <w:rPr>
                <w:sz w:val="20"/>
                <w:szCs w:val="20"/>
                <w:color w:val="auto"/>
              </w:rPr>
            </w:pPr>
            <w:r>
              <w:rPr>
                <w:rFonts w:ascii="Arial" w:cs="Arial" w:eastAsia="Arial" w:hAnsi="Arial"/>
                <w:sz w:val="11"/>
                <w:szCs w:val="11"/>
                <w:color w:val="auto"/>
              </w:rPr>
              <w:t>Balance as of December 31, 2020</w:t>
            </w:r>
          </w:p>
        </w:tc>
        <w:tc>
          <w:tcPr>
            <w:tcW w:w="6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4,595,394</w:t>
            </w:r>
          </w:p>
        </w:tc>
      </w:tr>
      <w:tr>
        <w:trPr>
          <w:trHeight w:val="142"/>
        </w:trPr>
        <w:tc>
          <w:tcPr>
            <w:tcW w:w="8760" w:type="dxa"/>
            <w:vAlign w:val="bottom"/>
            <w:shd w:val="clear" w:color="auto" w:fill="CCEEFF"/>
          </w:tcPr>
          <w:p>
            <w:pPr>
              <w:ind w:left="580"/>
              <w:spacing w:after="0" w:line="120" w:lineRule="exact"/>
              <w:rPr>
                <w:sz w:val="20"/>
                <w:szCs w:val="20"/>
                <w:color w:val="auto"/>
              </w:rPr>
            </w:pPr>
            <w:r>
              <w:rPr>
                <w:rFonts w:ascii="Arial" w:cs="Arial" w:eastAsia="Arial" w:hAnsi="Arial"/>
                <w:sz w:val="11"/>
                <w:szCs w:val="11"/>
                <w:color w:val="auto"/>
              </w:rPr>
              <w:t>Goodwill additions related to 2021 acquisitions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663,599</w:t>
            </w:r>
          </w:p>
        </w:tc>
      </w:tr>
      <w:tr>
        <w:trPr>
          <w:trHeight w:val="142"/>
        </w:trPr>
        <w:tc>
          <w:tcPr>
            <w:tcW w:w="8760" w:type="dxa"/>
            <w:vAlign w:val="bottom"/>
            <w:tcBorders>
              <w:bottom w:val="single" w:sz="8" w:color="CCEEFF"/>
            </w:tcBorders>
          </w:tcPr>
          <w:p>
            <w:pPr>
              <w:ind w:left="580"/>
              <w:spacing w:after="0"/>
              <w:rPr>
                <w:sz w:val="20"/>
                <w:szCs w:val="20"/>
                <w:color w:val="auto"/>
              </w:rPr>
            </w:pPr>
            <w:r>
              <w:rPr>
                <w:rFonts w:ascii="Arial" w:cs="Arial" w:eastAsia="Arial" w:hAnsi="Arial"/>
                <w:sz w:val="11"/>
                <w:szCs w:val="11"/>
                <w:color w:val="auto"/>
              </w:rPr>
              <w:t>Measurement period adjustments</w:t>
            </w: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4,173</w:t>
            </w:r>
          </w:p>
        </w:tc>
      </w:tr>
      <w:tr>
        <w:trPr>
          <w:trHeight w:val="151"/>
        </w:trPr>
        <w:tc>
          <w:tcPr>
            <w:tcW w:w="8760" w:type="dxa"/>
            <w:vAlign w:val="bottom"/>
            <w:tcBorders>
              <w:bottom w:val="single" w:sz="8" w:color="CCEEFF"/>
            </w:tcBorders>
            <w:shd w:val="clear" w:color="auto" w:fill="CCEEFF"/>
          </w:tcPr>
          <w:p>
            <w:pPr>
              <w:ind w:left="440"/>
              <w:spacing w:after="0" w:line="122" w:lineRule="exact"/>
              <w:rPr>
                <w:sz w:val="20"/>
                <w:szCs w:val="20"/>
                <w:color w:val="auto"/>
              </w:rPr>
            </w:pPr>
            <w:r>
              <w:rPr>
                <w:rFonts w:ascii="Arial" w:cs="Arial" w:eastAsia="Arial" w:hAnsi="Arial"/>
                <w:sz w:val="11"/>
                <w:szCs w:val="11"/>
                <w:color w:val="auto"/>
              </w:rPr>
              <w:t>Balance as of December 31, 2021</w:t>
            </w:r>
          </w:p>
        </w:tc>
        <w:tc>
          <w:tcPr>
            <w:tcW w:w="6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5,263,166</w:t>
            </w: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Intangible assets consisted of the following:</w:t>
      </w:r>
    </w:p>
    <w:p>
      <w:pPr>
        <w:spacing w:after="0" w:line="185" w:lineRule="exact"/>
        <w:rPr>
          <w:sz w:val="20"/>
          <w:szCs w:val="20"/>
          <w:color w:val="auto"/>
        </w:rPr>
      </w:pPr>
    </w:p>
    <w:tbl>
      <w:tblPr>
        <w:tblLayout w:type="fixed"/>
        <w:tblInd w:w="480" w:type="dxa"/>
        <w:tblCellMar>
          <w:top w:w="0" w:type="dxa"/>
          <w:left w:w="0" w:type="dxa"/>
          <w:bottom w:w="0" w:type="dxa"/>
          <w:right w:w="0" w:type="dxa"/>
        </w:tblCellMar>
      </w:tblPr>
      <w:tr>
        <w:trPr>
          <w:trHeight w:val="126"/>
        </w:trPr>
        <w:tc>
          <w:tcPr>
            <w:tcW w:w="5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As of</w:t>
            </w: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46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86"/>
              </w:rPr>
              <w:t>December 31, 2021</w:t>
            </w: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46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Gross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80" w:type="dxa"/>
            <w:vAlign w:val="bottom"/>
            <w:gridSpan w:val="2"/>
          </w:tcPr>
          <w:p>
            <w:pPr>
              <w:jc w:val="center"/>
              <w:ind w:right="200"/>
              <w:spacing w:after="0" w:line="104" w:lineRule="exact"/>
              <w:rPr>
                <w:sz w:val="20"/>
                <w:szCs w:val="20"/>
                <w:color w:val="auto"/>
              </w:rPr>
            </w:pPr>
            <w:r>
              <w:rPr>
                <w:rFonts w:ascii="Arial" w:cs="Arial" w:eastAsia="Arial" w:hAnsi="Arial"/>
                <w:sz w:val="11"/>
                <w:szCs w:val="11"/>
                <w:b w:val="1"/>
                <w:bCs w:val="1"/>
                <w:color w:val="auto"/>
                <w:w w:val="86"/>
              </w:rPr>
              <w:t>Accumulated</w:t>
            </w:r>
          </w:p>
        </w:tc>
        <w:tc>
          <w:tcPr>
            <w:tcW w:w="740" w:type="dxa"/>
            <w:vAlign w:val="bottom"/>
          </w:tcPr>
          <w:p>
            <w:pPr>
              <w:spacing w:after="0"/>
              <w:rPr>
                <w:sz w:val="9"/>
                <w:szCs w:val="9"/>
                <w:color w:val="auto"/>
              </w:rPr>
            </w:pPr>
          </w:p>
        </w:tc>
        <w:tc>
          <w:tcPr>
            <w:tcW w:w="960" w:type="dxa"/>
            <w:vAlign w:val="bottom"/>
            <w:vMerge w:val="restart"/>
          </w:tcPr>
          <w:p>
            <w:pPr>
              <w:jc w:val="right"/>
              <w:ind w:right="506"/>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1"/>
                <w:szCs w:val="11"/>
                <w:b w:val="1"/>
                <w:bCs w:val="1"/>
                <w:color w:val="auto"/>
                <w:w w:val="92"/>
              </w:rPr>
              <w:t>Amortization</w:t>
            </w:r>
          </w:p>
        </w:tc>
        <w:tc>
          <w:tcPr>
            <w:tcW w:w="7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Amortizable intangible assets:</w:t>
            </w:r>
          </w:p>
        </w:tc>
        <w:tc>
          <w:tcPr>
            <w:tcW w:w="1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1"/>
                <w:szCs w:val="11"/>
                <w:color w:val="auto"/>
                <w:w w:val="88"/>
              </w:rPr>
              <w:t>(In thousands)</w:t>
            </w:r>
          </w:p>
        </w:tc>
        <w:tc>
          <w:tcPr>
            <w:tcW w:w="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460" w:type="dxa"/>
            <w:vAlign w:val="bottom"/>
          </w:tcPr>
          <w:p>
            <w:pPr>
              <w:ind w:left="580"/>
              <w:spacing w:after="0"/>
              <w:rPr>
                <w:sz w:val="20"/>
                <w:szCs w:val="20"/>
                <w:color w:val="auto"/>
              </w:rPr>
            </w:pPr>
            <w:r>
              <w:rPr>
                <w:rFonts w:ascii="Arial" w:cs="Arial" w:eastAsia="Arial" w:hAnsi="Arial"/>
                <w:sz w:val="11"/>
                <w:szCs w:val="11"/>
                <w:color w:val="auto"/>
              </w:rPr>
              <w:t>Developed technology</w:t>
            </w:r>
          </w:p>
        </w:tc>
        <w:tc>
          <w:tcPr>
            <w:tcW w:w="1220" w:type="dxa"/>
            <w:vAlign w:val="bottom"/>
          </w:tcPr>
          <w:p>
            <w:pPr>
              <w:jc w:val="right"/>
              <w:ind w:right="66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794,831</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(222,765)</w:t>
            </w:r>
          </w:p>
        </w:tc>
        <w:tc>
          <w:tcPr>
            <w:tcW w:w="100" w:type="dxa"/>
            <w:vAlign w:val="bottom"/>
          </w:tcPr>
          <w:p>
            <w:pPr>
              <w:spacing w:after="0"/>
              <w:rPr>
                <w:sz w:val="12"/>
                <w:szCs w:val="12"/>
                <w:color w:val="auto"/>
              </w:rPr>
            </w:pPr>
          </w:p>
        </w:tc>
        <w:tc>
          <w:tcPr>
            <w:tcW w:w="74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572,066</w:t>
            </w:r>
          </w:p>
        </w:tc>
        <w:tc>
          <w:tcPr>
            <w:tcW w:w="0" w:type="dxa"/>
            <w:vAlign w:val="bottom"/>
          </w:tcPr>
          <w:p>
            <w:pPr>
              <w:spacing w:after="0"/>
              <w:rPr>
                <w:sz w:val="1"/>
                <w:szCs w:val="1"/>
                <w:color w:val="auto"/>
              </w:rPr>
            </w:pPr>
          </w:p>
        </w:tc>
      </w:tr>
      <w:tr>
        <w:trPr>
          <w:trHeight w:val="146"/>
        </w:trPr>
        <w:tc>
          <w:tcPr>
            <w:tcW w:w="5460" w:type="dxa"/>
            <w:vAlign w:val="bottom"/>
            <w:shd w:val="clear" w:color="auto" w:fill="CCEEFF"/>
          </w:tcPr>
          <w:p>
            <w:pPr>
              <w:ind w:left="580"/>
              <w:spacing w:after="0"/>
              <w:rPr>
                <w:sz w:val="20"/>
                <w:szCs w:val="20"/>
                <w:color w:val="auto"/>
              </w:rPr>
            </w:pPr>
            <w:r>
              <w:rPr>
                <w:rFonts w:ascii="Arial" w:cs="Arial" w:eastAsia="Arial" w:hAnsi="Arial"/>
                <w:sz w:val="11"/>
                <w:szCs w:val="11"/>
                <w:color w:val="auto"/>
              </w:rPr>
              <w:t>Customer relationships</w:t>
            </w: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538,264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(128,035)</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410,229</w:t>
            </w:r>
          </w:p>
        </w:tc>
        <w:tc>
          <w:tcPr>
            <w:tcW w:w="0" w:type="dxa"/>
            <w:vAlign w:val="bottom"/>
          </w:tcPr>
          <w:p>
            <w:pPr>
              <w:spacing w:after="0"/>
              <w:rPr>
                <w:sz w:val="1"/>
                <w:szCs w:val="1"/>
                <w:color w:val="auto"/>
              </w:rPr>
            </w:pPr>
          </w:p>
        </w:tc>
      </w:tr>
      <w:tr>
        <w:trPr>
          <w:trHeight w:val="142"/>
        </w:trPr>
        <w:tc>
          <w:tcPr>
            <w:tcW w:w="5460" w:type="dxa"/>
            <w:vAlign w:val="bottom"/>
          </w:tcPr>
          <w:p>
            <w:pPr>
              <w:ind w:left="580"/>
              <w:spacing w:after="0"/>
              <w:rPr>
                <w:sz w:val="20"/>
                <w:szCs w:val="20"/>
                <w:color w:val="auto"/>
              </w:rPr>
            </w:pPr>
            <w:r>
              <w:rPr>
                <w:rFonts w:ascii="Arial" w:cs="Arial" w:eastAsia="Arial" w:hAnsi="Arial"/>
                <w:sz w:val="11"/>
                <w:szCs w:val="11"/>
                <w:color w:val="auto"/>
              </w:rPr>
              <w:t>Supplier relationships</w:t>
            </w:r>
          </w:p>
        </w:tc>
        <w:tc>
          <w:tcPr>
            <w:tcW w:w="12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51,671</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(9,491)</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42,180</w:t>
            </w:r>
          </w:p>
        </w:tc>
        <w:tc>
          <w:tcPr>
            <w:tcW w:w="0" w:type="dxa"/>
            <w:vAlign w:val="bottom"/>
          </w:tcPr>
          <w:p>
            <w:pPr>
              <w:spacing w:after="0"/>
              <w:rPr>
                <w:sz w:val="1"/>
                <w:szCs w:val="1"/>
                <w:color w:val="auto"/>
              </w:rPr>
            </w:pPr>
          </w:p>
        </w:tc>
      </w:tr>
      <w:tr>
        <w:trPr>
          <w:trHeight w:val="146"/>
        </w:trPr>
        <w:tc>
          <w:tcPr>
            <w:tcW w:w="5460" w:type="dxa"/>
            <w:vAlign w:val="bottom"/>
            <w:shd w:val="clear" w:color="auto" w:fill="CCEEFF"/>
          </w:tcPr>
          <w:p>
            <w:pPr>
              <w:ind w:left="580"/>
              <w:spacing w:after="0"/>
              <w:rPr>
                <w:sz w:val="20"/>
                <w:szCs w:val="20"/>
                <w:color w:val="auto"/>
              </w:rPr>
            </w:pPr>
            <w:r>
              <w:rPr>
                <w:rFonts w:ascii="Arial" w:cs="Arial" w:eastAsia="Arial" w:hAnsi="Arial"/>
                <w:sz w:val="11"/>
                <w:szCs w:val="11"/>
                <w:color w:val="auto"/>
              </w:rPr>
              <w:t>Trade names</w:t>
            </w: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30,669</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(13,874)</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16,795</w:t>
            </w:r>
          </w:p>
        </w:tc>
        <w:tc>
          <w:tcPr>
            <w:tcW w:w="0" w:type="dxa"/>
            <w:vAlign w:val="bottom"/>
          </w:tcPr>
          <w:p>
            <w:pPr>
              <w:spacing w:after="0"/>
              <w:rPr>
                <w:sz w:val="1"/>
                <w:szCs w:val="1"/>
                <w:color w:val="auto"/>
              </w:rPr>
            </w:pPr>
          </w:p>
        </w:tc>
      </w:tr>
      <w:tr>
        <w:trPr>
          <w:trHeight w:val="142"/>
        </w:trPr>
        <w:tc>
          <w:tcPr>
            <w:tcW w:w="5460" w:type="dxa"/>
            <w:vAlign w:val="bottom"/>
          </w:tcPr>
          <w:p>
            <w:pPr>
              <w:ind w:left="580"/>
              <w:spacing w:after="0"/>
              <w:rPr>
                <w:sz w:val="20"/>
                <w:szCs w:val="20"/>
                <w:color w:val="auto"/>
              </w:rPr>
            </w:pPr>
            <w:r>
              <w:rPr>
                <w:rFonts w:ascii="Arial" w:cs="Arial" w:eastAsia="Arial" w:hAnsi="Arial"/>
                <w:sz w:val="11"/>
                <w:szCs w:val="11"/>
                <w:color w:val="auto"/>
              </w:rPr>
              <w:t>Order backlog</w:t>
            </w:r>
          </w:p>
        </w:tc>
        <w:tc>
          <w:tcPr>
            <w:tcW w:w="12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10,000</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(10,000)</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5460" w:type="dxa"/>
            <w:vAlign w:val="bottom"/>
            <w:shd w:val="clear" w:color="auto" w:fill="CCEEFF"/>
          </w:tcPr>
          <w:p>
            <w:pPr>
              <w:ind w:left="580"/>
              <w:spacing w:after="0"/>
              <w:rPr>
                <w:sz w:val="20"/>
                <w:szCs w:val="20"/>
                <w:color w:val="auto"/>
              </w:rPr>
            </w:pPr>
            <w:r>
              <w:rPr>
                <w:rFonts w:ascii="Arial" w:cs="Arial" w:eastAsia="Arial" w:hAnsi="Arial"/>
                <w:sz w:val="11"/>
                <w:szCs w:val="11"/>
                <w:color w:val="auto"/>
              </w:rPr>
              <w:t>Patent</w:t>
            </w:r>
          </w:p>
        </w:tc>
        <w:tc>
          <w:tcPr>
            <w:tcW w:w="12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4,035</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(508)</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3,527</w:t>
            </w:r>
          </w:p>
        </w:tc>
        <w:tc>
          <w:tcPr>
            <w:tcW w:w="0" w:type="dxa"/>
            <w:vAlign w:val="bottom"/>
          </w:tcPr>
          <w:p>
            <w:pPr>
              <w:spacing w:after="0"/>
              <w:rPr>
                <w:sz w:val="1"/>
                <w:szCs w:val="1"/>
                <w:color w:val="auto"/>
              </w:rPr>
            </w:pPr>
          </w:p>
        </w:tc>
      </w:tr>
      <w:tr>
        <w:trPr>
          <w:trHeight w:val="131"/>
        </w:trPr>
        <w:tc>
          <w:tcPr>
            <w:tcW w:w="5460" w:type="dxa"/>
            <w:vAlign w:val="bottom"/>
            <w:tcBorders>
              <w:bottom w:val="single" w:sz="8" w:color="CCEEFF"/>
            </w:tcBorders>
          </w:tcPr>
          <w:p>
            <w:pPr>
              <w:ind w:left="740"/>
              <w:spacing w:after="0"/>
              <w:rPr>
                <w:sz w:val="20"/>
                <w:szCs w:val="20"/>
                <w:color w:val="auto"/>
              </w:rPr>
            </w:pPr>
            <w:r>
              <w:rPr>
                <w:rFonts w:ascii="Arial" w:cs="Arial" w:eastAsia="Arial" w:hAnsi="Arial"/>
                <w:sz w:val="11"/>
                <w:szCs w:val="11"/>
                <w:color w:val="auto"/>
              </w:rPr>
              <w:t>Total amortizable intangible assets</w:t>
            </w:r>
          </w:p>
        </w:tc>
        <w:tc>
          <w:tcPr>
            <w:tcW w:w="1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85"/>
              </w:rPr>
              <w:t>1,429,470</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(384,673)</w:t>
            </w:r>
          </w:p>
        </w:tc>
        <w:tc>
          <w:tcPr>
            <w:tcW w:w="1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1,044,797</w:t>
            </w:r>
          </w:p>
        </w:tc>
        <w:tc>
          <w:tcPr>
            <w:tcW w:w="0" w:type="dxa"/>
            <w:vAlign w:val="bottom"/>
          </w:tcPr>
          <w:p>
            <w:pPr>
              <w:spacing w:after="0"/>
              <w:rPr>
                <w:sz w:val="1"/>
                <w:szCs w:val="1"/>
                <w:color w:val="auto"/>
              </w:rPr>
            </w:pPr>
          </w:p>
        </w:tc>
      </w:tr>
      <w:tr>
        <w:trPr>
          <w:trHeight w:val="126"/>
        </w:trPr>
        <w:tc>
          <w:tcPr>
            <w:tcW w:w="546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rPr>
              <w:t>Non-amortizable intangible assets:</w:t>
            </w:r>
          </w:p>
        </w:tc>
        <w:tc>
          <w:tcPr>
            <w:tcW w:w="1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460" w:type="dxa"/>
            <w:vAlign w:val="bottom"/>
          </w:tcPr>
          <w:p>
            <w:pPr>
              <w:ind w:left="580"/>
              <w:spacing w:after="0"/>
              <w:rPr>
                <w:sz w:val="20"/>
                <w:szCs w:val="20"/>
                <w:color w:val="auto"/>
              </w:rPr>
            </w:pPr>
            <w:r>
              <w:rPr>
                <w:rFonts w:ascii="Arial" w:cs="Arial" w:eastAsia="Arial" w:hAnsi="Arial"/>
                <w:sz w:val="11"/>
                <w:szCs w:val="11"/>
                <w:color w:val="auto"/>
              </w:rPr>
              <w:t>Telecommunication licenses</w:t>
            </w:r>
          </w:p>
        </w:tc>
        <w:tc>
          <w:tcPr>
            <w:tcW w:w="12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4,920</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gridSpan w:val="2"/>
          </w:tcPr>
          <w:p>
            <w:pPr>
              <w:ind w:left="102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4,920</w:t>
            </w:r>
          </w:p>
        </w:tc>
        <w:tc>
          <w:tcPr>
            <w:tcW w:w="0" w:type="dxa"/>
            <w:vAlign w:val="bottom"/>
          </w:tcPr>
          <w:p>
            <w:pPr>
              <w:spacing w:after="0"/>
              <w:rPr>
                <w:sz w:val="1"/>
                <w:szCs w:val="1"/>
                <w:color w:val="auto"/>
              </w:rPr>
            </w:pPr>
          </w:p>
        </w:tc>
      </w:tr>
      <w:tr>
        <w:trPr>
          <w:trHeight w:val="144"/>
        </w:trPr>
        <w:tc>
          <w:tcPr>
            <w:tcW w:w="5460" w:type="dxa"/>
            <w:vAlign w:val="bottom"/>
            <w:shd w:val="clear" w:color="auto" w:fill="CCEEFF"/>
          </w:tcPr>
          <w:p>
            <w:pPr>
              <w:ind w:left="580"/>
              <w:spacing w:after="0"/>
              <w:rPr>
                <w:sz w:val="20"/>
                <w:szCs w:val="20"/>
                <w:color w:val="auto"/>
              </w:rPr>
            </w:pPr>
            <w:r>
              <w:rPr>
                <w:rFonts w:ascii="Arial" w:cs="Arial" w:eastAsia="Arial" w:hAnsi="Arial"/>
                <w:sz w:val="11"/>
                <w:szCs w:val="11"/>
                <w:color w:val="auto"/>
              </w:rPr>
              <w:t>Trademarks and other</w:t>
            </w:r>
          </w:p>
        </w:tc>
        <w:tc>
          <w:tcPr>
            <w:tcW w:w="12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295</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10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0" w:type="dxa"/>
            <w:vAlign w:val="bottom"/>
          </w:tcPr>
          <w:p>
            <w:pPr>
              <w:spacing w:after="0"/>
              <w:rPr>
                <w:sz w:val="1"/>
                <w:szCs w:val="1"/>
                <w:color w:val="auto"/>
              </w:rPr>
            </w:pPr>
          </w:p>
        </w:tc>
      </w:tr>
      <w:tr>
        <w:trPr>
          <w:trHeight w:val="135"/>
        </w:trPr>
        <w:tc>
          <w:tcPr>
            <w:tcW w:w="5460" w:type="dxa"/>
            <w:vAlign w:val="bottom"/>
          </w:tcPr>
          <w:p>
            <w:pPr>
              <w:ind w:left="740"/>
              <w:spacing w:after="0"/>
              <w:rPr>
                <w:sz w:val="20"/>
                <w:szCs w:val="20"/>
                <w:color w:val="auto"/>
              </w:rPr>
            </w:pPr>
            <w:r>
              <w:rPr>
                <w:rFonts w:ascii="Arial" w:cs="Arial" w:eastAsia="Arial" w:hAnsi="Arial"/>
                <w:sz w:val="11"/>
                <w:szCs w:val="11"/>
                <w:color w:val="auto"/>
              </w:rPr>
              <w:t>Total</w:t>
            </w:r>
          </w:p>
        </w:tc>
        <w:tc>
          <w:tcPr>
            <w:tcW w:w="12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85"/>
              </w:rPr>
              <w:t>1,434,685</w:t>
            </w:r>
          </w:p>
        </w:tc>
        <w:tc>
          <w:tcPr>
            <w:tcW w:w="8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(384,673)</w:t>
            </w:r>
          </w:p>
        </w:tc>
        <w:tc>
          <w:tcPr>
            <w:tcW w:w="10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1,050,012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101" w:name="page102"/>
    <w:bookmarkEnd w:id="10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left="6440"/>
        <w:spacing w:after="0"/>
        <w:rPr>
          <w:sz w:val="20"/>
          <w:szCs w:val="20"/>
          <w:color w:val="auto"/>
        </w:rPr>
      </w:pPr>
      <w:r>
        <w:rPr>
          <w:rFonts w:ascii="Arial" w:cs="Arial" w:eastAsia="Arial" w:hAnsi="Arial"/>
          <w:sz w:val="11"/>
          <w:szCs w:val="11"/>
          <w:b w:val="1"/>
          <w:bCs w:val="1"/>
          <w:color w:val="auto"/>
        </w:rPr>
        <w:t>As of</w:t>
      </w:r>
    </w:p>
    <w:p>
      <w:pPr>
        <w:spacing w:after="0" w:line="12" w:lineRule="exact"/>
        <w:rPr>
          <w:sz w:val="20"/>
          <w:szCs w:val="20"/>
          <w:color w:val="auto"/>
        </w:rPr>
      </w:pPr>
    </w:p>
    <w:p>
      <w:pPr>
        <w:jc w:val="center"/>
        <w:ind w:left="6460"/>
        <w:spacing w:after="0"/>
        <w:rPr>
          <w:sz w:val="20"/>
          <w:szCs w:val="20"/>
          <w:color w:val="auto"/>
        </w:rPr>
      </w:pPr>
      <w:r>
        <w:rPr>
          <w:rFonts w:ascii="Arial" w:cs="Arial" w:eastAsia="Arial" w:hAnsi="Arial"/>
          <w:sz w:val="11"/>
          <w:szCs w:val="11"/>
          <w:b w:val="1"/>
          <w:bCs w:val="1"/>
          <w:color w:val="auto"/>
        </w:rPr>
        <w:t>December 31,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Gross</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5"/>
          </w:tcPr>
          <w:p>
            <w:pPr>
              <w:ind w:left="20"/>
              <w:spacing w:after="0" w:line="119" w:lineRule="exact"/>
              <w:rPr>
                <w:sz w:val="20"/>
                <w:szCs w:val="20"/>
                <w:color w:val="auto"/>
              </w:rPr>
            </w:pPr>
            <w:r>
              <w:rPr>
                <w:rFonts w:ascii="Arial" w:cs="Arial" w:eastAsia="Arial" w:hAnsi="Arial"/>
                <w:sz w:val="12"/>
                <w:szCs w:val="12"/>
                <w:b w:val="1"/>
                <w:bCs w:val="1"/>
                <w:color w:val="auto"/>
              </w:rPr>
              <w:t>Accumulated</w:t>
            </w:r>
          </w:p>
        </w:tc>
        <w:tc>
          <w:tcPr>
            <w:tcW w:w="4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543"/>
              <w:spacing w:after="0"/>
              <w:rPr>
                <w:sz w:val="20"/>
                <w:szCs w:val="20"/>
                <w:color w:val="auto"/>
              </w:rPr>
            </w:pPr>
            <w:r>
              <w:rPr>
                <w:rFonts w:ascii="Arial" w:cs="Arial" w:eastAsia="Arial" w:hAnsi="Arial"/>
                <w:sz w:val="12"/>
                <w:szCs w:val="12"/>
                <w:b w:val="1"/>
                <w:bCs w:val="1"/>
                <w:color w:val="auto"/>
              </w:rPr>
              <w:t>Net</w:t>
            </w:r>
          </w:p>
        </w:tc>
        <w:tc>
          <w:tcPr>
            <w:tcW w:w="2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20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rPr>
              <w:t>Amortization</w:t>
            </w: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4420" w:type="dxa"/>
            <w:vAlign w:val="bottom"/>
            <w:gridSpan w:val="4"/>
            <w:shd w:val="clear" w:color="auto" w:fill="CCEEFF"/>
          </w:tcPr>
          <w:p>
            <w:pPr>
              <w:spacing w:after="0" w:line="133" w:lineRule="exact"/>
              <w:rPr>
                <w:sz w:val="20"/>
                <w:szCs w:val="20"/>
                <w:color w:val="auto"/>
              </w:rPr>
            </w:pPr>
            <w:r>
              <w:rPr>
                <w:rFonts w:ascii="Arial" w:cs="Arial" w:eastAsia="Arial" w:hAnsi="Arial"/>
                <w:sz w:val="12"/>
                <w:szCs w:val="12"/>
                <w:color w:val="auto"/>
              </w:rPr>
              <w:t>Amortizable intangible assets:</w:t>
            </w:r>
          </w:p>
        </w:tc>
        <w:tc>
          <w:tcPr>
            <w:tcW w:w="20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(In thousands)</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4420" w:type="dxa"/>
            <w:vAlign w:val="bottom"/>
            <w:gridSpan w:val="4"/>
          </w:tcPr>
          <w:p>
            <w:pPr>
              <w:spacing w:after="0"/>
              <w:rPr>
                <w:sz w:val="20"/>
                <w:szCs w:val="20"/>
                <w:color w:val="auto"/>
              </w:rPr>
            </w:pPr>
            <w:r>
              <w:rPr>
                <w:rFonts w:ascii="Arial" w:cs="Arial" w:eastAsia="Arial" w:hAnsi="Arial"/>
                <w:sz w:val="12"/>
                <w:szCs w:val="12"/>
                <w:color w:val="auto"/>
              </w:rPr>
              <w:t>Developed technology</w:t>
            </w:r>
          </w:p>
        </w:tc>
        <w:tc>
          <w:tcPr>
            <w:tcW w:w="288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2"/>
                <w:szCs w:val="12"/>
                <w:color w:val="auto"/>
              </w:rPr>
              <w:t>724,599</w:t>
            </w:r>
          </w:p>
        </w:tc>
        <w:tc>
          <w:tcPr>
            <w:tcW w:w="460" w:type="dxa"/>
            <w:vAlign w:val="bottom"/>
            <w:gridSpan w:val="3"/>
          </w:tcPr>
          <w:p>
            <w:pPr>
              <w:jc w:val="right"/>
              <w:ind w:right="206"/>
              <w:spacing w:after="0"/>
              <w:rPr>
                <w:sz w:val="20"/>
                <w:szCs w:val="20"/>
                <w:color w:val="auto"/>
              </w:rPr>
            </w:pPr>
            <w:r>
              <w:rPr>
                <w:rFonts w:ascii="Arial" w:cs="Arial" w:eastAsia="Arial" w:hAnsi="Arial"/>
                <w:sz w:val="12"/>
                <w:szCs w:val="12"/>
                <w:color w:val="auto"/>
              </w:rPr>
              <w:t>$</w:t>
            </w:r>
          </w:p>
        </w:tc>
        <w:tc>
          <w:tcPr>
            <w:tcW w:w="1060" w:type="dxa"/>
            <w:vAlign w:val="bottom"/>
            <w:gridSpan w:val="4"/>
          </w:tcPr>
          <w:p>
            <w:pPr>
              <w:jc w:val="right"/>
              <w:ind w:right="20"/>
              <w:spacing w:after="0"/>
              <w:rPr>
                <w:sz w:val="20"/>
                <w:szCs w:val="20"/>
                <w:color w:val="auto"/>
              </w:rPr>
            </w:pPr>
            <w:r>
              <w:rPr>
                <w:rFonts w:ascii="Arial" w:cs="Arial" w:eastAsia="Arial" w:hAnsi="Arial"/>
                <w:sz w:val="12"/>
                <w:szCs w:val="12"/>
                <w:color w:val="auto"/>
              </w:rPr>
              <w:t>(113,282)</w:t>
            </w:r>
          </w:p>
        </w:tc>
        <w:tc>
          <w:tcPr>
            <w:tcW w:w="100" w:type="dxa"/>
            <w:vAlign w:val="bottom"/>
          </w:tcPr>
          <w:p>
            <w:pPr>
              <w:spacing w:after="0"/>
              <w:rPr>
                <w:sz w:val="13"/>
                <w:szCs w:val="13"/>
                <w:color w:val="auto"/>
              </w:rPr>
            </w:pP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611,317</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Customer relationships</w:t>
            </w:r>
          </w:p>
        </w:tc>
        <w:tc>
          <w:tcPr>
            <w:tcW w:w="20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379,344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(59,574)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319,770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4420" w:type="dxa"/>
            <w:vAlign w:val="bottom"/>
            <w:gridSpan w:val="4"/>
          </w:tcPr>
          <w:p>
            <w:pPr>
              <w:spacing w:after="0"/>
              <w:rPr>
                <w:sz w:val="20"/>
                <w:szCs w:val="20"/>
                <w:color w:val="auto"/>
              </w:rPr>
            </w:pPr>
            <w:r>
              <w:rPr>
                <w:rFonts w:ascii="Arial" w:cs="Arial" w:eastAsia="Arial" w:hAnsi="Arial"/>
                <w:sz w:val="12"/>
                <w:szCs w:val="12"/>
                <w:color w:val="auto"/>
              </w:rPr>
              <w:t>Supplier relationships</w:t>
            </w:r>
          </w:p>
        </w:tc>
        <w:tc>
          <w:tcPr>
            <w:tcW w:w="2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2"/>
                <w:szCs w:val="12"/>
                <w:color w:val="auto"/>
              </w:rPr>
              <w:t>4,356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2"/>
                <w:szCs w:val="12"/>
                <w:color w:val="auto"/>
              </w:rPr>
              <w:t>(3,044)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1,312</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Trade names</w:t>
            </w:r>
          </w:p>
        </w:tc>
        <w:tc>
          <w:tcPr>
            <w:tcW w:w="20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25,560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(7,921)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17,639</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4420" w:type="dxa"/>
            <w:vAlign w:val="bottom"/>
            <w:gridSpan w:val="4"/>
          </w:tcPr>
          <w:p>
            <w:pPr>
              <w:spacing w:after="0"/>
              <w:rPr>
                <w:sz w:val="20"/>
                <w:szCs w:val="20"/>
                <w:color w:val="auto"/>
              </w:rPr>
            </w:pPr>
            <w:r>
              <w:rPr>
                <w:rFonts w:ascii="Arial" w:cs="Arial" w:eastAsia="Arial" w:hAnsi="Arial"/>
                <w:sz w:val="12"/>
                <w:szCs w:val="12"/>
                <w:color w:val="auto"/>
              </w:rPr>
              <w:t>Order backlog</w:t>
            </w:r>
          </w:p>
        </w:tc>
        <w:tc>
          <w:tcPr>
            <w:tcW w:w="2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2"/>
                <w:szCs w:val="12"/>
                <w:color w:val="auto"/>
              </w:rPr>
              <w:t>10,000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2"/>
                <w:szCs w:val="12"/>
                <w:color w:val="auto"/>
              </w:rPr>
              <w:t>(1,667)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8,333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Patent</w:t>
            </w:r>
          </w:p>
        </w:tc>
        <w:tc>
          <w:tcPr>
            <w:tcW w:w="20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3,360</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(373)</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2,987</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4420" w:type="dxa"/>
            <w:vAlign w:val="bottom"/>
            <w:tcBorders>
              <w:bottom w:val="single" w:sz="8" w:color="CCEEFF"/>
            </w:tcBorders>
            <w:gridSpan w:val="4"/>
          </w:tcPr>
          <w:p>
            <w:pPr>
              <w:spacing w:after="0" w:line="133" w:lineRule="exact"/>
              <w:rPr>
                <w:sz w:val="20"/>
                <w:szCs w:val="20"/>
                <w:color w:val="auto"/>
              </w:rPr>
            </w:pPr>
            <w:r>
              <w:rPr>
                <w:rFonts w:ascii="Arial" w:cs="Arial" w:eastAsia="Arial" w:hAnsi="Arial"/>
                <w:sz w:val="12"/>
                <w:szCs w:val="12"/>
                <w:color w:val="auto"/>
              </w:rPr>
              <w:t>Total amortizable intangible assets</w:t>
            </w:r>
          </w:p>
        </w:tc>
        <w:tc>
          <w:tcPr>
            <w:tcW w:w="20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w w:val="86"/>
              </w:rPr>
              <w:t>1,147,219</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color w:val="auto"/>
              </w:rPr>
              <w:t>(185,861)</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961,358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4420" w:type="dxa"/>
            <w:vAlign w:val="bottom"/>
            <w:gridSpan w:val="4"/>
            <w:shd w:val="clear" w:color="auto" w:fill="CCEEFF"/>
          </w:tcPr>
          <w:p>
            <w:pPr>
              <w:spacing w:after="0" w:line="133" w:lineRule="exact"/>
              <w:rPr>
                <w:sz w:val="20"/>
                <w:szCs w:val="20"/>
                <w:color w:val="auto"/>
              </w:rPr>
            </w:pPr>
            <w:r>
              <w:rPr>
                <w:rFonts w:ascii="Arial" w:cs="Arial" w:eastAsia="Arial" w:hAnsi="Arial"/>
                <w:sz w:val="12"/>
                <w:szCs w:val="12"/>
                <w:color w:val="auto"/>
              </w:rPr>
              <w:t>Non-amortizable intangible assets:</w:t>
            </w:r>
          </w:p>
        </w:tc>
        <w:tc>
          <w:tcPr>
            <w:tcW w:w="20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4420" w:type="dxa"/>
            <w:vAlign w:val="bottom"/>
            <w:gridSpan w:val="4"/>
          </w:tcPr>
          <w:p>
            <w:pPr>
              <w:spacing w:after="0"/>
              <w:rPr>
                <w:sz w:val="20"/>
                <w:szCs w:val="20"/>
                <w:color w:val="auto"/>
              </w:rPr>
            </w:pPr>
            <w:r>
              <w:rPr>
                <w:rFonts w:ascii="Arial" w:cs="Arial" w:eastAsia="Arial" w:hAnsi="Arial"/>
                <w:sz w:val="12"/>
                <w:szCs w:val="12"/>
                <w:color w:val="auto"/>
              </w:rPr>
              <w:t>Telecommunication licenses</w:t>
            </w:r>
          </w:p>
        </w:tc>
        <w:tc>
          <w:tcPr>
            <w:tcW w:w="2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2"/>
                <w:szCs w:val="12"/>
                <w:color w:val="auto"/>
              </w:rPr>
              <w:t>4,920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3"/>
          </w:tcPr>
          <w:p>
            <w:pPr>
              <w:ind w:left="8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4,920</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Trademarks and other</w:t>
            </w:r>
          </w:p>
        </w:tc>
        <w:tc>
          <w:tcPr>
            <w:tcW w:w="20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295</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4420" w:type="dxa"/>
            <w:vAlign w:val="bottom"/>
            <w:gridSpan w:val="4"/>
          </w:tcPr>
          <w:p>
            <w:pPr>
              <w:spacing w:after="0" w:line="133" w:lineRule="exact"/>
              <w:rPr>
                <w:sz w:val="20"/>
                <w:szCs w:val="20"/>
                <w:color w:val="auto"/>
              </w:rPr>
            </w:pPr>
            <w:r>
              <w:rPr>
                <w:rFonts w:ascii="Arial" w:cs="Arial" w:eastAsia="Arial" w:hAnsi="Arial"/>
                <w:sz w:val="12"/>
                <w:szCs w:val="12"/>
                <w:color w:val="auto"/>
              </w:rPr>
              <w:t>Total</w:t>
            </w:r>
          </w:p>
        </w:tc>
        <w:tc>
          <w:tcPr>
            <w:tcW w:w="288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2"/>
                <w:szCs w:val="12"/>
                <w:color w:val="auto"/>
                <w:w w:val="86"/>
              </w:rPr>
              <w:t>1,152,434</w:t>
            </w:r>
          </w:p>
        </w:tc>
        <w:tc>
          <w:tcPr>
            <w:tcW w:w="460" w:type="dxa"/>
            <w:vAlign w:val="bottom"/>
            <w:gridSpan w:val="3"/>
          </w:tcPr>
          <w:p>
            <w:pPr>
              <w:jc w:val="right"/>
              <w:ind w:right="206"/>
              <w:spacing w:after="0"/>
              <w:rPr>
                <w:sz w:val="20"/>
                <w:szCs w:val="20"/>
                <w:color w:val="auto"/>
              </w:rPr>
            </w:pPr>
            <w:r>
              <w:rPr>
                <w:rFonts w:ascii="Arial" w:cs="Arial" w:eastAsia="Arial" w:hAnsi="Arial"/>
                <w:sz w:val="12"/>
                <w:szCs w:val="12"/>
                <w:color w:val="auto"/>
              </w:rPr>
              <w:t>$</w:t>
            </w:r>
          </w:p>
        </w:tc>
        <w:tc>
          <w:tcPr>
            <w:tcW w:w="1060" w:type="dxa"/>
            <w:vAlign w:val="bottom"/>
            <w:gridSpan w:val="4"/>
          </w:tcPr>
          <w:p>
            <w:pPr>
              <w:jc w:val="right"/>
              <w:ind w:right="20"/>
              <w:spacing w:after="0"/>
              <w:rPr>
                <w:sz w:val="20"/>
                <w:szCs w:val="20"/>
                <w:color w:val="auto"/>
              </w:rPr>
            </w:pPr>
            <w:r>
              <w:rPr>
                <w:rFonts w:ascii="Arial" w:cs="Arial" w:eastAsia="Arial" w:hAnsi="Arial"/>
                <w:sz w:val="12"/>
                <w:szCs w:val="12"/>
                <w:color w:val="auto"/>
              </w:rPr>
              <w:t>(185,861)</w:t>
            </w:r>
          </w:p>
        </w:tc>
        <w:tc>
          <w:tcPr>
            <w:tcW w:w="100" w:type="dxa"/>
            <w:vAlign w:val="bottom"/>
          </w:tcPr>
          <w:p>
            <w:pPr>
              <w:spacing w:after="0"/>
              <w:rPr>
                <w:sz w:val="12"/>
                <w:szCs w:val="12"/>
                <w:color w:val="auto"/>
              </w:rPr>
            </w:pP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966,573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60" w:type="dxa"/>
            <w:vAlign w:val="bottom"/>
          </w:tcPr>
          <w:p>
            <w:pPr>
              <w:spacing w:after="0"/>
              <w:rPr>
                <w:sz w:val="24"/>
                <w:szCs w:val="24"/>
                <w:color w:val="auto"/>
              </w:rPr>
            </w:pPr>
          </w:p>
        </w:tc>
        <w:tc>
          <w:tcPr>
            <w:tcW w:w="7300" w:type="dxa"/>
            <w:vAlign w:val="bottom"/>
            <w:gridSpan w:val="6"/>
          </w:tcPr>
          <w:p>
            <w:pPr>
              <w:ind w:left="60"/>
              <w:spacing w:after="0"/>
              <w:rPr>
                <w:sz w:val="20"/>
                <w:szCs w:val="20"/>
                <w:color w:val="auto"/>
              </w:rPr>
            </w:pPr>
            <w:r>
              <w:rPr>
                <w:rFonts w:ascii="Arial" w:cs="Arial" w:eastAsia="Arial" w:hAnsi="Arial"/>
                <w:sz w:val="12"/>
                <w:szCs w:val="12"/>
                <w:color w:val="auto"/>
                <w:w w:val="94"/>
              </w:rPr>
              <w:t>Amortization expense was $198.8 million, $98.6 million and $72.9 million for the years ended December 31, 2021, 2020 and 2019, respectively.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0" w:type="dxa"/>
            <w:vAlign w:val="bottom"/>
          </w:tcPr>
          <w:p>
            <w:pPr>
              <w:spacing w:after="0"/>
              <w:rPr>
                <w:sz w:val="24"/>
                <w:szCs w:val="24"/>
                <w:color w:val="auto"/>
              </w:rPr>
            </w:pPr>
          </w:p>
        </w:tc>
        <w:tc>
          <w:tcPr>
            <w:tcW w:w="4420" w:type="dxa"/>
            <w:vAlign w:val="bottom"/>
            <w:gridSpan w:val="4"/>
          </w:tcPr>
          <w:p>
            <w:pPr>
              <w:ind w:left="60"/>
              <w:spacing w:after="0"/>
              <w:rPr>
                <w:sz w:val="20"/>
                <w:szCs w:val="20"/>
                <w:color w:val="auto"/>
              </w:rPr>
            </w:pPr>
            <w:r>
              <w:rPr>
                <w:rFonts w:ascii="Arial" w:cs="Arial" w:eastAsia="Arial" w:hAnsi="Arial"/>
                <w:sz w:val="12"/>
                <w:szCs w:val="12"/>
                <w:color w:val="auto"/>
              </w:rPr>
              <w:t>Total estimated future amortization expense is as follows:</w:t>
            </w:r>
          </w:p>
        </w:tc>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1"/>
                <w:szCs w:val="11"/>
                <w:b w:val="1"/>
                <w:bCs w:val="1"/>
                <w:color w:val="auto"/>
                <w:w w:val="87"/>
              </w:rPr>
              <w:t>As of</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20" w:type="dxa"/>
            <w:vAlign w:val="bottom"/>
            <w:gridSpan w:val="8"/>
          </w:tcPr>
          <w:p>
            <w:pPr>
              <w:jc w:val="center"/>
              <w:ind w:right="980"/>
              <w:spacing w:after="0"/>
              <w:rPr>
                <w:sz w:val="20"/>
                <w:szCs w:val="20"/>
                <w:color w:val="auto"/>
              </w:rPr>
            </w:pPr>
            <w:r>
              <w:rPr>
                <w:rFonts w:ascii="Arial" w:cs="Arial" w:eastAsia="Arial" w:hAnsi="Arial"/>
                <w:sz w:val="11"/>
                <w:szCs w:val="11"/>
                <w:b w:val="1"/>
                <w:bCs w:val="1"/>
                <w:color w:val="auto"/>
                <w:w w:val="89"/>
              </w:rPr>
              <w:t>December 31,</w:t>
            </w: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center"/>
              <w:ind w:left="105"/>
              <w:spacing w:after="0"/>
              <w:rPr>
                <w:sz w:val="20"/>
                <w:szCs w:val="20"/>
                <w:color w:val="auto"/>
              </w:rPr>
            </w:pPr>
            <w:r>
              <w:rPr>
                <w:rFonts w:ascii="Arial" w:cs="Arial" w:eastAsia="Arial" w:hAnsi="Arial"/>
                <w:sz w:val="11"/>
                <w:szCs w:val="11"/>
                <w:b w:val="1"/>
                <w:bCs w:val="1"/>
                <w:color w:val="auto"/>
                <w:w w:val="89"/>
              </w:rPr>
              <w:t>2021</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520" w:type="dxa"/>
            <w:vAlign w:val="bottom"/>
            <w:gridSpan w:val="2"/>
          </w:tcPr>
          <w:p>
            <w:pPr>
              <w:spacing w:after="0" w:line="88" w:lineRule="exact"/>
              <w:rPr>
                <w:sz w:val="20"/>
                <w:szCs w:val="20"/>
                <w:color w:val="auto"/>
              </w:rPr>
            </w:pPr>
            <w:r>
              <w:rPr>
                <w:rFonts w:ascii="Arial" w:cs="Arial" w:eastAsia="Arial" w:hAnsi="Arial"/>
                <w:sz w:val="10"/>
                <w:szCs w:val="10"/>
                <w:color w:val="auto"/>
              </w:rPr>
              <w:t>Year Ended December 31,</w:t>
            </w:r>
          </w:p>
        </w:tc>
        <w:tc>
          <w:tcPr>
            <w:tcW w:w="2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8"/>
          </w:tcPr>
          <w:p>
            <w:pPr>
              <w:jc w:val="center"/>
              <w:ind w:right="1000"/>
              <w:spacing w:after="0" w:line="88" w:lineRule="exact"/>
              <w:rPr>
                <w:sz w:val="20"/>
                <w:szCs w:val="20"/>
                <w:color w:val="auto"/>
              </w:rPr>
            </w:pPr>
            <w:r>
              <w:rPr>
                <w:rFonts w:ascii="Arial" w:cs="Arial" w:eastAsia="Arial" w:hAnsi="Arial"/>
                <w:sz w:val="10"/>
                <w:szCs w:val="10"/>
                <w:color w:val="auto"/>
                <w:w w:val="96"/>
              </w:rPr>
              <w:t>(In thousands)</w:t>
            </w: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64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640" w:type="dxa"/>
            <w:vAlign w:val="bottom"/>
            <w:gridSpan w:val="2"/>
          </w:tcPr>
          <w:p>
            <w:pPr>
              <w:spacing w:after="0"/>
              <w:rPr>
                <w:sz w:val="13"/>
                <w:szCs w:val="13"/>
                <w:color w:val="auto"/>
              </w:rPr>
            </w:pPr>
          </w:p>
        </w:tc>
        <w:tc>
          <w:tcPr>
            <w:tcW w:w="1520" w:type="dxa"/>
            <w:vAlign w:val="bottom"/>
            <w:tcBorders>
              <w:right w:val="single" w:sz="8" w:color="CCEEFF"/>
            </w:tcBorders>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2022</w:t>
            </w:r>
          </w:p>
        </w:tc>
        <w:tc>
          <w:tcPr>
            <w:tcW w:w="14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204,837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gridSpan w:val="4"/>
          </w:tcPr>
          <w:p>
            <w:pPr>
              <w:ind w:left="2140"/>
              <w:spacing w:after="0"/>
              <w:rPr>
                <w:sz w:val="20"/>
                <w:szCs w:val="20"/>
                <w:color w:val="auto"/>
              </w:rPr>
            </w:pPr>
            <w:r>
              <w:rPr>
                <w:rFonts w:ascii="Arial" w:cs="Arial" w:eastAsia="Arial" w:hAnsi="Arial"/>
                <w:sz w:val="11"/>
                <w:szCs w:val="11"/>
                <w:color w:val="auto"/>
              </w:rPr>
              <w:t>2023</w:t>
            </w:r>
          </w:p>
        </w:tc>
        <w:tc>
          <w:tcPr>
            <w:tcW w:w="1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201,527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0" w:type="dxa"/>
            <w:vAlign w:val="bottom"/>
            <w:gridSpan w:val="2"/>
          </w:tcPr>
          <w:p>
            <w:pPr>
              <w:spacing w:after="0"/>
              <w:rPr>
                <w:sz w:val="12"/>
                <w:szCs w:val="12"/>
                <w:color w:val="auto"/>
              </w:rPr>
            </w:pPr>
          </w:p>
        </w:tc>
        <w:tc>
          <w:tcPr>
            <w:tcW w:w="1520" w:type="dxa"/>
            <w:vAlign w:val="bottom"/>
            <w:tcBorders>
              <w:right w:val="single" w:sz="8" w:color="CCEEFF"/>
            </w:tcBorders>
          </w:tcPr>
          <w:p>
            <w:pPr>
              <w:spacing w:after="0"/>
              <w:rPr>
                <w:sz w:val="12"/>
                <w:szCs w:val="12"/>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2024</w:t>
            </w:r>
          </w:p>
        </w:tc>
        <w:tc>
          <w:tcPr>
            <w:tcW w:w="14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195,953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gridSpan w:val="4"/>
          </w:tcPr>
          <w:p>
            <w:pPr>
              <w:ind w:left="2140"/>
              <w:spacing w:after="0"/>
              <w:rPr>
                <w:sz w:val="20"/>
                <w:szCs w:val="20"/>
                <w:color w:val="auto"/>
              </w:rPr>
            </w:pPr>
            <w:r>
              <w:rPr>
                <w:rFonts w:ascii="Arial" w:cs="Arial" w:eastAsia="Arial" w:hAnsi="Arial"/>
                <w:sz w:val="11"/>
                <w:szCs w:val="11"/>
                <w:color w:val="auto"/>
              </w:rPr>
              <w:t>2025</w:t>
            </w:r>
          </w:p>
        </w:tc>
        <w:tc>
          <w:tcPr>
            <w:tcW w:w="1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192,379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40" w:type="dxa"/>
            <w:vAlign w:val="bottom"/>
            <w:gridSpan w:val="2"/>
          </w:tcPr>
          <w:p>
            <w:pPr>
              <w:spacing w:after="0"/>
              <w:rPr>
                <w:sz w:val="12"/>
                <w:szCs w:val="12"/>
                <w:color w:val="auto"/>
              </w:rPr>
            </w:pPr>
          </w:p>
        </w:tc>
        <w:tc>
          <w:tcPr>
            <w:tcW w:w="1520" w:type="dxa"/>
            <w:vAlign w:val="bottom"/>
            <w:tcBorders>
              <w:right w:val="single" w:sz="8" w:color="CCEEFF"/>
            </w:tcBorders>
          </w:tcPr>
          <w:p>
            <w:pPr>
              <w:spacing w:after="0"/>
              <w:rPr>
                <w:sz w:val="12"/>
                <w:szCs w:val="12"/>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1"/>
                <w:szCs w:val="11"/>
                <w:color w:val="auto"/>
              </w:rPr>
              <w:t>2026</w:t>
            </w:r>
          </w:p>
        </w:tc>
        <w:tc>
          <w:tcPr>
            <w:tcW w:w="14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119,045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5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Thereafter</w:t>
            </w:r>
          </w:p>
        </w:tc>
        <w:tc>
          <w:tcPr>
            <w:tcW w:w="20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131,056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tcBorders>
              <w:right w:val="single" w:sz="8" w:color="CCEEFF"/>
            </w:tcBorders>
          </w:tcPr>
          <w:p>
            <w:pPr>
              <w:spacing w:after="0"/>
              <w:rPr>
                <w:sz w:val="13"/>
                <w:szCs w:val="13"/>
                <w:color w:val="auto"/>
              </w:rPr>
            </w:pPr>
          </w:p>
        </w:tc>
        <w:tc>
          <w:tcPr>
            <w:tcW w:w="2520" w:type="dxa"/>
            <w:vAlign w:val="bottom"/>
            <w:tcBorders>
              <w:bottom w:val="single" w:sz="8" w:color="CCEEFF"/>
            </w:tcBorders>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Total</w:t>
            </w:r>
          </w:p>
        </w:tc>
        <w:tc>
          <w:tcPr>
            <w:tcW w:w="20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1,044,797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4680" w:type="dxa"/>
            <w:vAlign w:val="bottom"/>
            <w:gridSpan w:val="5"/>
          </w:tcPr>
          <w:p>
            <w:pPr>
              <w:spacing w:after="0"/>
              <w:rPr>
                <w:sz w:val="20"/>
                <w:szCs w:val="20"/>
                <w:color w:val="auto"/>
              </w:rPr>
            </w:pPr>
            <w:r>
              <w:rPr>
                <w:rFonts w:ascii="Arial" w:cs="Arial" w:eastAsia="Arial" w:hAnsi="Arial"/>
                <w:sz w:val="12"/>
                <w:szCs w:val="12"/>
                <w:b w:val="1"/>
                <w:bCs w:val="1"/>
                <w:color w:val="auto"/>
              </w:rPr>
              <w:t>9. Accrued Expenses and Other Current Liabilities</w:t>
            </w:r>
          </w:p>
        </w:tc>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0" w:type="dxa"/>
            <w:vAlign w:val="bottom"/>
          </w:tcPr>
          <w:p>
            <w:pPr>
              <w:spacing w:after="0"/>
              <w:rPr>
                <w:sz w:val="24"/>
                <w:szCs w:val="24"/>
                <w:color w:val="auto"/>
              </w:rPr>
            </w:pPr>
          </w:p>
        </w:tc>
        <w:tc>
          <w:tcPr>
            <w:tcW w:w="4420" w:type="dxa"/>
            <w:vAlign w:val="bottom"/>
            <w:gridSpan w:val="4"/>
          </w:tcPr>
          <w:p>
            <w:pPr>
              <w:ind w:left="60"/>
              <w:spacing w:after="0"/>
              <w:rPr>
                <w:sz w:val="20"/>
                <w:szCs w:val="20"/>
                <w:color w:val="auto"/>
              </w:rPr>
            </w:pPr>
            <w:r>
              <w:rPr>
                <w:rFonts w:ascii="Arial" w:cs="Arial" w:eastAsia="Arial" w:hAnsi="Arial"/>
                <w:sz w:val="12"/>
                <w:szCs w:val="12"/>
                <w:color w:val="auto"/>
              </w:rPr>
              <w:t>Accrued expenses and other current liabilities consisted of the following:</w:t>
            </w:r>
          </w:p>
        </w:tc>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1"/>
                <w:szCs w:val="11"/>
                <w:b w:val="1"/>
                <w:bCs w:val="1"/>
                <w:color w:val="auto"/>
              </w:rPr>
              <w:t>As of December 31,</w:t>
            </w:r>
          </w:p>
        </w:tc>
        <w:tc>
          <w:tcPr>
            <w:tcW w:w="8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2021</w:t>
            </w: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2020</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gridSpan w:val="5"/>
          </w:tcPr>
          <w:p>
            <w:pPr>
              <w:jc w:val="right"/>
              <w:ind w:right="189"/>
              <w:spacing w:after="0"/>
              <w:rPr>
                <w:sz w:val="20"/>
                <w:szCs w:val="20"/>
                <w:color w:val="auto"/>
              </w:rPr>
            </w:pPr>
            <w:r>
              <w:rPr>
                <w:rFonts w:ascii="Arial" w:cs="Arial" w:eastAsia="Arial" w:hAnsi="Arial"/>
                <w:sz w:val="11"/>
                <w:szCs w:val="11"/>
                <w:color w:val="auto"/>
              </w:rPr>
              <w:t>(In thousands)</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40" w:type="dxa"/>
            <w:vAlign w:val="bottom"/>
            <w:gridSpan w:val="3"/>
            <w:shd w:val="clear" w:color="auto" w:fill="CCEEFF"/>
          </w:tcPr>
          <w:p>
            <w:pPr>
              <w:ind w:left="460"/>
              <w:spacing w:after="0"/>
              <w:rPr>
                <w:sz w:val="20"/>
                <w:szCs w:val="20"/>
                <w:color w:val="auto"/>
              </w:rPr>
            </w:pPr>
            <w:r>
              <w:rPr>
                <w:rFonts w:ascii="Arial" w:cs="Arial" w:eastAsia="Arial" w:hAnsi="Arial"/>
                <w:sz w:val="11"/>
                <w:szCs w:val="11"/>
                <w:color w:val="auto"/>
              </w:rPr>
              <w:t>Accrued payroll and related</w:t>
            </w:r>
          </w:p>
        </w:tc>
        <w:tc>
          <w:tcPr>
            <w:tcW w:w="20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66"/>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78,780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69"/>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54,683</w:t>
            </w:r>
          </w:p>
        </w:tc>
        <w:tc>
          <w:tcPr>
            <w:tcW w:w="26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40" w:type="dxa"/>
            <w:vAlign w:val="bottom"/>
            <w:gridSpan w:val="3"/>
          </w:tcPr>
          <w:p>
            <w:pPr>
              <w:ind w:left="460"/>
              <w:spacing w:after="0"/>
              <w:rPr>
                <w:sz w:val="20"/>
                <w:szCs w:val="20"/>
                <w:color w:val="auto"/>
              </w:rPr>
            </w:pPr>
            <w:r>
              <w:rPr>
                <w:rFonts w:ascii="Arial" w:cs="Arial" w:eastAsia="Arial" w:hAnsi="Arial"/>
                <w:sz w:val="11"/>
                <w:szCs w:val="11"/>
                <w:color w:val="auto"/>
              </w:rPr>
              <w:t>Accrued bonus and commission</w:t>
            </w: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64,665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25,341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40" w:type="dxa"/>
            <w:vAlign w:val="bottom"/>
            <w:gridSpan w:val="3"/>
            <w:shd w:val="clear" w:color="auto" w:fill="CCEEFF"/>
          </w:tcPr>
          <w:p>
            <w:pPr>
              <w:ind w:left="460"/>
              <w:spacing w:after="0"/>
              <w:rPr>
                <w:sz w:val="20"/>
                <w:szCs w:val="20"/>
                <w:color w:val="auto"/>
              </w:rPr>
            </w:pPr>
            <w:r>
              <w:rPr>
                <w:rFonts w:ascii="Arial" w:cs="Arial" w:eastAsia="Arial" w:hAnsi="Arial"/>
                <w:sz w:val="11"/>
                <w:szCs w:val="11"/>
                <w:color w:val="auto"/>
              </w:rPr>
              <w:t>Accrued cost of revenue</w:t>
            </w:r>
          </w:p>
        </w:tc>
        <w:tc>
          <w:tcPr>
            <w:tcW w:w="20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118,004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80,620</w:t>
            </w:r>
          </w:p>
        </w:tc>
        <w:tc>
          <w:tcPr>
            <w:tcW w:w="26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40" w:type="dxa"/>
            <w:vAlign w:val="bottom"/>
            <w:gridSpan w:val="3"/>
          </w:tcPr>
          <w:p>
            <w:pPr>
              <w:ind w:left="460"/>
              <w:spacing w:after="0"/>
              <w:rPr>
                <w:sz w:val="20"/>
                <w:szCs w:val="20"/>
                <w:color w:val="auto"/>
              </w:rPr>
            </w:pPr>
            <w:r>
              <w:rPr>
                <w:rFonts w:ascii="Arial" w:cs="Arial" w:eastAsia="Arial" w:hAnsi="Arial"/>
                <w:sz w:val="11"/>
                <w:szCs w:val="11"/>
                <w:color w:val="auto"/>
              </w:rPr>
              <w:t>Sales and other taxes payable</w:t>
            </w: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61,975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48,390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40" w:type="dxa"/>
            <w:vAlign w:val="bottom"/>
            <w:gridSpan w:val="3"/>
            <w:shd w:val="clear" w:color="auto" w:fill="CCEEFF"/>
          </w:tcPr>
          <w:p>
            <w:pPr>
              <w:ind w:left="460"/>
              <w:spacing w:after="0"/>
              <w:rPr>
                <w:sz w:val="20"/>
                <w:szCs w:val="20"/>
                <w:color w:val="auto"/>
              </w:rPr>
            </w:pPr>
            <w:r>
              <w:rPr>
                <w:rFonts w:ascii="Arial" w:cs="Arial" w:eastAsia="Arial" w:hAnsi="Arial"/>
                <w:sz w:val="11"/>
                <w:szCs w:val="11"/>
                <w:color w:val="auto"/>
              </w:rPr>
              <w:t>ESPP contributions</w:t>
            </w:r>
          </w:p>
        </w:tc>
        <w:tc>
          <w:tcPr>
            <w:tcW w:w="20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10,284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6,272</w:t>
            </w:r>
          </w:p>
        </w:tc>
        <w:tc>
          <w:tcPr>
            <w:tcW w:w="26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40" w:type="dxa"/>
            <w:vAlign w:val="bottom"/>
            <w:gridSpan w:val="3"/>
          </w:tcPr>
          <w:p>
            <w:pPr>
              <w:ind w:left="460"/>
              <w:spacing w:after="0"/>
              <w:rPr>
                <w:sz w:val="20"/>
                <w:szCs w:val="20"/>
                <w:color w:val="auto"/>
              </w:rPr>
            </w:pPr>
            <w:r>
              <w:rPr>
                <w:rFonts w:ascii="Arial" w:cs="Arial" w:eastAsia="Arial" w:hAnsi="Arial"/>
                <w:sz w:val="11"/>
                <w:szCs w:val="11"/>
                <w:color w:val="auto"/>
              </w:rPr>
              <w:t>Finance lease liability, current</w:t>
            </w:r>
          </w:p>
        </w:tc>
        <w:tc>
          <w:tcPr>
            <w:tcW w:w="2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12,370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9,062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40" w:type="dxa"/>
            <w:vAlign w:val="bottom"/>
            <w:gridSpan w:val="3"/>
            <w:shd w:val="clear" w:color="auto" w:fill="CCEEFF"/>
          </w:tcPr>
          <w:p>
            <w:pPr>
              <w:ind w:left="460"/>
              <w:spacing w:after="0"/>
              <w:rPr>
                <w:sz w:val="20"/>
                <w:szCs w:val="20"/>
                <w:color w:val="auto"/>
              </w:rPr>
            </w:pPr>
            <w:r>
              <w:rPr>
                <w:rFonts w:ascii="Arial" w:cs="Arial" w:eastAsia="Arial" w:hAnsi="Arial"/>
                <w:sz w:val="11"/>
                <w:szCs w:val="11"/>
                <w:color w:val="auto"/>
              </w:rPr>
              <w:t>Accrued other expense</w:t>
            </w:r>
          </w:p>
        </w:tc>
        <w:tc>
          <w:tcPr>
            <w:tcW w:w="20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71,425</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28,527</w:t>
            </w:r>
          </w:p>
        </w:tc>
        <w:tc>
          <w:tcPr>
            <w:tcW w:w="26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40" w:type="dxa"/>
            <w:vAlign w:val="bottom"/>
            <w:gridSpan w:val="3"/>
          </w:tcPr>
          <w:p>
            <w:pPr>
              <w:ind w:left="580"/>
              <w:spacing w:after="0"/>
              <w:rPr>
                <w:sz w:val="20"/>
                <w:szCs w:val="20"/>
                <w:color w:val="auto"/>
              </w:rPr>
            </w:pPr>
            <w:r>
              <w:rPr>
                <w:rFonts w:ascii="Arial" w:cs="Arial" w:eastAsia="Arial" w:hAnsi="Arial"/>
                <w:sz w:val="11"/>
                <w:szCs w:val="11"/>
                <w:color w:val="auto"/>
              </w:rPr>
              <w:t>Total accrued expenses and other current liabilities</w:t>
            </w:r>
          </w:p>
        </w:tc>
        <w:tc>
          <w:tcPr>
            <w:tcW w:w="2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417,503</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9"/>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252,895</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60" w:type="dxa"/>
            <w:vAlign w:val="bottom"/>
            <w:vMerge w:val="restart"/>
          </w:tcPr>
          <w:p>
            <w:pPr>
              <w:jc w:val="right"/>
              <w:ind w:right="940"/>
              <w:spacing w:after="0"/>
              <w:rPr>
                <w:sz w:val="20"/>
                <w:szCs w:val="20"/>
                <w:color w:val="auto"/>
              </w:rPr>
            </w:pPr>
            <w:r>
              <w:rPr>
                <w:rFonts w:ascii="Arial" w:cs="Arial" w:eastAsia="Arial" w:hAnsi="Arial"/>
                <w:sz w:val="12"/>
                <w:szCs w:val="12"/>
                <w:color w:val="auto"/>
              </w:rPr>
              <w:t>101</w:t>
            </w: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206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2" w:name="page103"/>
    <w:bookmarkEnd w:id="10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Notes Payable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Long-term debt consisted of the following:</w:t>
      </w:r>
    </w:p>
    <w:p>
      <w:pPr>
        <w:spacing w:after="0" w:line="186" w:lineRule="exact"/>
        <w:rPr>
          <w:sz w:val="20"/>
          <w:szCs w:val="20"/>
          <w:color w:val="auto"/>
        </w:rPr>
      </w:pPr>
    </w:p>
    <w:tbl>
      <w:tblPr>
        <w:tblLayout w:type="fixed"/>
        <w:tblInd w:w="1600" w:type="dxa"/>
        <w:tblCellMar>
          <w:top w:w="0" w:type="dxa"/>
          <w:left w:w="0" w:type="dxa"/>
          <w:bottom w:w="0" w:type="dxa"/>
          <w:right w:w="0" w:type="dxa"/>
        </w:tblCellMar>
      </w:tblPr>
      <w:tr>
        <w:trPr>
          <w:trHeight w:val="147"/>
        </w:trPr>
        <w:tc>
          <w:tcPr>
            <w:tcW w:w="452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As of December 31,</w:t>
            </w:r>
          </w:p>
        </w:tc>
        <w:tc>
          <w:tcPr>
            <w:tcW w:w="1120" w:type="dxa"/>
            <w:vAlign w:val="bottom"/>
            <w:tcBorders>
              <w:bottom w:val="single" w:sz="8" w:color="auto"/>
            </w:tcBorders>
          </w:tcPr>
          <w:p>
            <w:pPr>
              <w:spacing w:after="0"/>
              <w:rPr>
                <w:sz w:val="12"/>
                <w:szCs w:val="12"/>
                <w:color w:val="auto"/>
              </w:rPr>
            </w:pPr>
          </w:p>
        </w:tc>
      </w:tr>
      <w:tr>
        <w:trPr>
          <w:trHeight w:val="138"/>
        </w:trPr>
        <w:tc>
          <w:tcPr>
            <w:tcW w:w="4520" w:type="dxa"/>
            <w:vAlign w:val="bottom"/>
          </w:tcPr>
          <w:p>
            <w:pPr>
              <w:spacing w:after="0"/>
              <w:rPr>
                <w:sz w:val="11"/>
                <w:szCs w:val="11"/>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2020</w:t>
            </w:r>
          </w:p>
        </w:tc>
      </w:tr>
      <w:tr>
        <w:trPr>
          <w:trHeight w:val="133"/>
        </w:trPr>
        <w:tc>
          <w:tcPr>
            <w:tcW w:w="4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80" w:type="dxa"/>
            <w:vAlign w:val="bottom"/>
            <w:gridSpan w:val="3"/>
          </w:tcPr>
          <w:p>
            <w:pPr>
              <w:jc w:val="right"/>
              <w:ind w:right="326"/>
              <w:spacing w:after="0"/>
              <w:rPr>
                <w:sz w:val="20"/>
                <w:szCs w:val="20"/>
                <w:color w:val="auto"/>
              </w:rPr>
            </w:pPr>
            <w:r>
              <w:rPr>
                <w:rFonts w:ascii="Arial" w:cs="Arial" w:eastAsia="Arial" w:hAnsi="Arial"/>
                <w:sz w:val="11"/>
                <w:szCs w:val="11"/>
                <w:color w:val="auto"/>
              </w:rPr>
              <w:t>(In thousands)</w:t>
            </w:r>
          </w:p>
        </w:tc>
        <w:tc>
          <w:tcPr>
            <w:tcW w:w="1120" w:type="dxa"/>
            <w:vAlign w:val="bottom"/>
          </w:tcPr>
          <w:p>
            <w:pPr>
              <w:spacing w:after="0"/>
              <w:rPr>
                <w:sz w:val="11"/>
                <w:szCs w:val="11"/>
                <w:color w:val="auto"/>
              </w:rPr>
            </w:pPr>
          </w:p>
        </w:tc>
      </w:tr>
      <w:tr>
        <w:trPr>
          <w:trHeight w:val="146"/>
        </w:trPr>
        <w:tc>
          <w:tcPr>
            <w:tcW w:w="4520" w:type="dxa"/>
            <w:vAlign w:val="bottom"/>
            <w:shd w:val="clear" w:color="auto" w:fill="CCEEFF"/>
          </w:tcPr>
          <w:p>
            <w:pPr>
              <w:ind w:left="440"/>
              <w:spacing w:after="0"/>
              <w:rPr>
                <w:sz w:val="20"/>
                <w:szCs w:val="20"/>
                <w:color w:val="auto"/>
              </w:rPr>
            </w:pPr>
            <w:r>
              <w:rPr>
                <w:rFonts w:ascii="Arial" w:cs="Arial" w:eastAsia="Arial" w:hAnsi="Arial"/>
                <w:sz w:val="11"/>
                <w:szCs w:val="11"/>
                <w:b w:val="1"/>
                <w:bCs w:val="1"/>
                <w:color w:val="auto"/>
              </w:rPr>
              <w:t>2029 and 2031 Senior Notes</w:t>
            </w:r>
          </w:p>
        </w:tc>
        <w:tc>
          <w:tcPr>
            <w:tcW w:w="1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4520" w:type="dxa"/>
            <w:vAlign w:val="bottom"/>
          </w:tcPr>
          <w:p>
            <w:pPr>
              <w:ind w:left="580"/>
              <w:spacing w:after="0"/>
              <w:rPr>
                <w:sz w:val="20"/>
                <w:szCs w:val="20"/>
                <w:color w:val="auto"/>
              </w:rPr>
            </w:pPr>
            <w:r>
              <w:rPr>
                <w:rFonts w:ascii="Arial" w:cs="Arial" w:eastAsia="Arial" w:hAnsi="Arial"/>
                <w:sz w:val="11"/>
                <w:szCs w:val="11"/>
                <w:b w:val="1"/>
                <w:bCs w:val="1"/>
                <w:color w:val="auto"/>
              </w:rPr>
              <w:t>2029 Senior Notes</w:t>
            </w:r>
          </w:p>
        </w:tc>
        <w:tc>
          <w:tcPr>
            <w:tcW w:w="1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6"/>
        </w:trPr>
        <w:tc>
          <w:tcPr>
            <w:tcW w:w="4520" w:type="dxa"/>
            <w:vAlign w:val="bottom"/>
            <w:shd w:val="clear" w:color="auto" w:fill="CCEEFF"/>
          </w:tcPr>
          <w:p>
            <w:pPr>
              <w:ind w:left="640"/>
              <w:spacing w:after="0"/>
              <w:rPr>
                <w:sz w:val="20"/>
                <w:szCs w:val="20"/>
                <w:color w:val="auto"/>
              </w:rPr>
            </w:pPr>
            <w:r>
              <w:rPr>
                <w:rFonts w:ascii="Arial" w:cs="Arial" w:eastAsia="Arial" w:hAnsi="Arial"/>
                <w:sz w:val="11"/>
                <w:szCs w:val="11"/>
                <w:color w:val="auto"/>
              </w:rPr>
              <w:t>Principal</w:t>
            </w:r>
          </w:p>
        </w:tc>
        <w:tc>
          <w:tcPr>
            <w:tcW w:w="1420" w:type="dxa"/>
            <w:vAlign w:val="bottom"/>
            <w:shd w:val="clear" w:color="auto" w:fill="CCEEFF"/>
          </w:tcPr>
          <w:p>
            <w:pPr>
              <w:jc w:val="right"/>
              <w:ind w:right="886"/>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500,000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2"/>
        </w:trPr>
        <w:tc>
          <w:tcPr>
            <w:tcW w:w="4520" w:type="dxa"/>
            <w:vAlign w:val="bottom"/>
          </w:tcPr>
          <w:p>
            <w:pPr>
              <w:ind w:left="640"/>
              <w:spacing w:after="0"/>
              <w:rPr>
                <w:sz w:val="20"/>
                <w:szCs w:val="20"/>
                <w:color w:val="auto"/>
              </w:rPr>
            </w:pPr>
            <w:r>
              <w:rPr>
                <w:rFonts w:ascii="Arial" w:cs="Arial" w:eastAsia="Arial" w:hAnsi="Arial"/>
                <w:sz w:val="11"/>
                <w:szCs w:val="11"/>
                <w:color w:val="auto"/>
              </w:rPr>
              <w:t>Unamortized discount</w:t>
            </w:r>
          </w:p>
        </w:tc>
        <w:tc>
          <w:tcPr>
            <w:tcW w:w="14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(5,701)</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46"/>
        </w:trPr>
        <w:tc>
          <w:tcPr>
            <w:tcW w:w="4520" w:type="dxa"/>
            <w:vAlign w:val="bottom"/>
            <w:shd w:val="clear" w:color="auto" w:fill="CCEEFF"/>
          </w:tcPr>
          <w:p>
            <w:pPr>
              <w:ind w:left="640"/>
              <w:spacing w:after="0"/>
              <w:rPr>
                <w:sz w:val="20"/>
                <w:szCs w:val="20"/>
                <w:color w:val="auto"/>
              </w:rPr>
            </w:pPr>
            <w:r>
              <w:rPr>
                <w:rFonts w:ascii="Arial" w:cs="Arial" w:eastAsia="Arial" w:hAnsi="Arial"/>
                <w:sz w:val="11"/>
                <w:szCs w:val="11"/>
                <w:color w:val="auto"/>
              </w:rPr>
              <w:t>Unamortized issuance costs</w:t>
            </w:r>
          </w:p>
        </w:tc>
        <w:tc>
          <w:tcPr>
            <w:tcW w:w="14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(1,286)</w:t>
            </w:r>
          </w:p>
        </w:tc>
        <w:tc>
          <w:tcPr>
            <w:tcW w:w="1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31"/>
        </w:trPr>
        <w:tc>
          <w:tcPr>
            <w:tcW w:w="4520" w:type="dxa"/>
            <w:vAlign w:val="bottom"/>
            <w:tcBorders>
              <w:bottom w:val="single" w:sz="8" w:color="CCEEFF"/>
            </w:tcBorders>
          </w:tcPr>
          <w:p>
            <w:pPr>
              <w:ind w:left="640"/>
              <w:spacing w:after="0"/>
              <w:rPr>
                <w:sz w:val="20"/>
                <w:szCs w:val="20"/>
                <w:color w:val="auto"/>
              </w:rPr>
            </w:pPr>
            <w:r>
              <w:rPr>
                <w:rFonts w:ascii="Arial" w:cs="Arial" w:eastAsia="Arial" w:hAnsi="Arial"/>
                <w:sz w:val="11"/>
                <w:szCs w:val="11"/>
                <w:color w:val="auto"/>
              </w:rPr>
              <w:t>Net carrying amount</w:t>
            </w:r>
          </w:p>
        </w:tc>
        <w:tc>
          <w:tcPr>
            <w:tcW w:w="14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493,013</w:t>
            </w: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26"/>
        </w:trPr>
        <w:tc>
          <w:tcPr>
            <w:tcW w:w="4520" w:type="dxa"/>
            <w:vAlign w:val="bottom"/>
            <w:shd w:val="clear" w:color="auto" w:fill="CCEEFF"/>
          </w:tcPr>
          <w:p>
            <w:pPr>
              <w:ind w:left="580"/>
              <w:spacing w:after="0" w:line="122" w:lineRule="exact"/>
              <w:rPr>
                <w:sz w:val="20"/>
                <w:szCs w:val="20"/>
                <w:color w:val="auto"/>
              </w:rPr>
            </w:pPr>
            <w:r>
              <w:rPr>
                <w:rFonts w:ascii="Arial" w:cs="Arial" w:eastAsia="Arial" w:hAnsi="Arial"/>
                <w:sz w:val="11"/>
                <w:szCs w:val="11"/>
                <w:b w:val="1"/>
                <w:bCs w:val="1"/>
                <w:color w:val="auto"/>
              </w:rPr>
              <w:t>2031 Senior Notes</w:t>
            </w:r>
          </w:p>
        </w:tc>
        <w:tc>
          <w:tcPr>
            <w:tcW w:w="14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42"/>
        </w:trPr>
        <w:tc>
          <w:tcPr>
            <w:tcW w:w="4520" w:type="dxa"/>
            <w:vAlign w:val="bottom"/>
          </w:tcPr>
          <w:p>
            <w:pPr>
              <w:ind w:left="640"/>
              <w:spacing w:after="0"/>
              <w:rPr>
                <w:sz w:val="20"/>
                <w:szCs w:val="20"/>
                <w:color w:val="auto"/>
              </w:rPr>
            </w:pPr>
            <w:r>
              <w:rPr>
                <w:rFonts w:ascii="Arial" w:cs="Arial" w:eastAsia="Arial" w:hAnsi="Arial"/>
                <w:sz w:val="11"/>
                <w:szCs w:val="11"/>
                <w:color w:val="auto"/>
              </w:rPr>
              <w:t>Principal</w:t>
            </w:r>
          </w:p>
        </w:tc>
        <w:tc>
          <w:tcPr>
            <w:tcW w:w="142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500,000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46"/>
        </w:trPr>
        <w:tc>
          <w:tcPr>
            <w:tcW w:w="4520" w:type="dxa"/>
            <w:vAlign w:val="bottom"/>
            <w:shd w:val="clear" w:color="auto" w:fill="CCEEFF"/>
          </w:tcPr>
          <w:p>
            <w:pPr>
              <w:ind w:left="640"/>
              <w:spacing w:after="0"/>
              <w:rPr>
                <w:sz w:val="20"/>
                <w:szCs w:val="20"/>
                <w:color w:val="auto"/>
              </w:rPr>
            </w:pPr>
            <w:r>
              <w:rPr>
                <w:rFonts w:ascii="Arial" w:cs="Arial" w:eastAsia="Arial" w:hAnsi="Arial"/>
                <w:sz w:val="11"/>
                <w:szCs w:val="11"/>
                <w:color w:val="auto"/>
              </w:rPr>
              <w:t>Unamortized discount</w:t>
            </w:r>
          </w:p>
        </w:tc>
        <w:tc>
          <w:tcPr>
            <w:tcW w:w="14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(5,832)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2"/>
        </w:trPr>
        <w:tc>
          <w:tcPr>
            <w:tcW w:w="4520" w:type="dxa"/>
            <w:vAlign w:val="bottom"/>
            <w:tcBorders>
              <w:bottom w:val="single" w:sz="8" w:color="CCEEFF"/>
            </w:tcBorders>
          </w:tcPr>
          <w:p>
            <w:pPr>
              <w:ind w:left="640"/>
              <w:spacing w:after="0"/>
              <w:rPr>
                <w:sz w:val="20"/>
                <w:szCs w:val="20"/>
                <w:color w:val="auto"/>
              </w:rPr>
            </w:pPr>
            <w:r>
              <w:rPr>
                <w:rFonts w:ascii="Arial" w:cs="Arial" w:eastAsia="Arial" w:hAnsi="Arial"/>
                <w:sz w:val="11"/>
                <w:szCs w:val="11"/>
                <w:color w:val="auto"/>
              </w:rPr>
              <w:t>Unamortized issuance costs</w:t>
            </w:r>
          </w:p>
        </w:tc>
        <w:tc>
          <w:tcPr>
            <w:tcW w:w="1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(1,274)</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45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Net carrying amount</w:t>
            </w:r>
          </w:p>
        </w:tc>
        <w:tc>
          <w:tcPr>
            <w:tcW w:w="14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492,894</w:t>
            </w:r>
          </w:p>
        </w:tc>
        <w:tc>
          <w:tcPr>
            <w:tcW w:w="10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22"/>
        </w:trPr>
        <w:tc>
          <w:tcPr>
            <w:tcW w:w="4520" w:type="dxa"/>
            <w:vAlign w:val="bottom"/>
          </w:tcPr>
          <w:p>
            <w:pPr>
              <w:ind w:left="440"/>
              <w:spacing w:after="0" w:line="121" w:lineRule="exact"/>
              <w:rPr>
                <w:sz w:val="20"/>
                <w:szCs w:val="20"/>
                <w:color w:val="auto"/>
              </w:rPr>
            </w:pPr>
            <w:r>
              <w:rPr>
                <w:rFonts w:ascii="Arial" w:cs="Arial" w:eastAsia="Arial" w:hAnsi="Arial"/>
                <w:sz w:val="11"/>
                <w:szCs w:val="11"/>
                <w:b w:val="1"/>
                <w:bCs w:val="1"/>
                <w:color w:val="auto"/>
              </w:rPr>
              <w:t>Convertible Senior Notes and Capped Call Transactions</w:t>
            </w: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6"/>
        </w:trPr>
        <w:tc>
          <w:tcPr>
            <w:tcW w:w="4520" w:type="dxa"/>
            <w:vAlign w:val="bottom"/>
            <w:shd w:val="clear" w:color="auto" w:fill="CCEEFF"/>
          </w:tcPr>
          <w:p>
            <w:pPr>
              <w:ind w:left="580"/>
              <w:spacing w:after="0"/>
              <w:rPr>
                <w:sz w:val="20"/>
                <w:szCs w:val="20"/>
                <w:color w:val="auto"/>
              </w:rPr>
            </w:pPr>
            <w:r>
              <w:rPr>
                <w:rFonts w:ascii="Arial" w:cs="Arial" w:eastAsia="Arial" w:hAnsi="Arial"/>
                <w:sz w:val="11"/>
                <w:szCs w:val="11"/>
                <w:b w:val="1"/>
                <w:bCs w:val="1"/>
                <w:color w:val="auto"/>
              </w:rPr>
              <w:t>Convertible Senior Notes</w:t>
            </w:r>
          </w:p>
        </w:tc>
        <w:tc>
          <w:tcPr>
            <w:tcW w:w="1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4520" w:type="dxa"/>
            <w:vAlign w:val="bottom"/>
          </w:tcPr>
          <w:p>
            <w:pPr>
              <w:ind w:left="640"/>
              <w:spacing w:after="0"/>
              <w:rPr>
                <w:sz w:val="20"/>
                <w:szCs w:val="20"/>
                <w:color w:val="auto"/>
              </w:rPr>
            </w:pPr>
            <w:r>
              <w:rPr>
                <w:rFonts w:ascii="Arial" w:cs="Arial" w:eastAsia="Arial" w:hAnsi="Arial"/>
                <w:sz w:val="11"/>
                <w:szCs w:val="11"/>
                <w:color w:val="auto"/>
              </w:rPr>
              <w:t>Principal</w:t>
            </w:r>
          </w:p>
        </w:tc>
        <w:tc>
          <w:tcPr>
            <w:tcW w:w="14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2"/>
                <w:szCs w:val="12"/>
                <w:color w:val="auto"/>
              </w:rPr>
            </w:pPr>
          </w:p>
        </w:tc>
        <w:tc>
          <w:tcPr>
            <w:tcW w:w="1120" w:type="dxa"/>
            <w:vAlign w:val="bottom"/>
          </w:tcPr>
          <w:p>
            <w:pPr>
              <w:jc w:val="right"/>
              <w:ind w:right="6"/>
              <w:spacing w:after="0"/>
              <w:rPr>
                <w:sz w:val="20"/>
                <w:szCs w:val="20"/>
                <w:color w:val="auto"/>
              </w:rPr>
            </w:pPr>
            <w:r>
              <w:rPr>
                <w:rFonts w:ascii="Arial" w:cs="Arial" w:eastAsia="Arial" w:hAnsi="Arial"/>
                <w:sz w:val="11"/>
                <w:szCs w:val="11"/>
                <w:color w:val="auto"/>
              </w:rPr>
              <w:t>343,702</w:t>
            </w:r>
          </w:p>
        </w:tc>
      </w:tr>
      <w:tr>
        <w:trPr>
          <w:trHeight w:val="146"/>
        </w:trPr>
        <w:tc>
          <w:tcPr>
            <w:tcW w:w="4520" w:type="dxa"/>
            <w:vAlign w:val="bottom"/>
            <w:shd w:val="clear" w:color="auto" w:fill="CCEEFF"/>
          </w:tcPr>
          <w:p>
            <w:pPr>
              <w:ind w:left="640"/>
              <w:spacing w:after="0"/>
              <w:rPr>
                <w:sz w:val="20"/>
                <w:szCs w:val="20"/>
                <w:color w:val="auto"/>
              </w:rPr>
            </w:pPr>
            <w:r>
              <w:rPr>
                <w:rFonts w:ascii="Arial" w:cs="Arial" w:eastAsia="Arial" w:hAnsi="Arial"/>
                <w:sz w:val="11"/>
                <w:szCs w:val="11"/>
                <w:color w:val="auto"/>
              </w:rPr>
              <w:t>Unamortized discount</w:t>
            </w:r>
          </w:p>
        </w:tc>
        <w:tc>
          <w:tcPr>
            <w:tcW w:w="14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(38,406)</w:t>
            </w:r>
          </w:p>
        </w:tc>
      </w:tr>
      <w:tr>
        <w:trPr>
          <w:trHeight w:val="142"/>
        </w:trPr>
        <w:tc>
          <w:tcPr>
            <w:tcW w:w="4520" w:type="dxa"/>
            <w:vAlign w:val="bottom"/>
            <w:tcBorders>
              <w:bottom w:val="single" w:sz="8" w:color="CCEEFF"/>
            </w:tcBorders>
          </w:tcPr>
          <w:p>
            <w:pPr>
              <w:ind w:left="640"/>
              <w:spacing w:after="0"/>
              <w:rPr>
                <w:sz w:val="20"/>
                <w:szCs w:val="20"/>
                <w:color w:val="auto"/>
              </w:rPr>
            </w:pPr>
            <w:r>
              <w:rPr>
                <w:rFonts w:ascii="Arial" w:cs="Arial" w:eastAsia="Arial" w:hAnsi="Arial"/>
                <w:sz w:val="11"/>
                <w:szCs w:val="11"/>
                <w:color w:val="auto"/>
              </w:rPr>
              <w:t>Unamortized issuance costs</w:t>
            </w:r>
          </w:p>
        </w:tc>
        <w:tc>
          <w:tcPr>
            <w:tcW w:w="1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(3,228)</w:t>
            </w:r>
          </w:p>
        </w:tc>
      </w:tr>
      <w:tr>
        <w:trPr>
          <w:trHeight w:val="133"/>
        </w:trPr>
        <w:tc>
          <w:tcPr>
            <w:tcW w:w="4520" w:type="dxa"/>
            <w:vAlign w:val="bottom"/>
            <w:shd w:val="clear" w:color="auto" w:fill="CCEEFF"/>
          </w:tcPr>
          <w:p>
            <w:pPr>
              <w:ind w:left="720"/>
              <w:spacing w:after="0"/>
              <w:rPr>
                <w:sz w:val="20"/>
                <w:szCs w:val="20"/>
                <w:color w:val="auto"/>
              </w:rPr>
            </w:pPr>
            <w:r>
              <w:rPr>
                <w:rFonts w:ascii="Arial" w:cs="Arial" w:eastAsia="Arial" w:hAnsi="Arial"/>
                <w:sz w:val="11"/>
                <w:szCs w:val="11"/>
                <w:color w:val="auto"/>
              </w:rPr>
              <w:t>Net carrying amount</w:t>
            </w:r>
          </w:p>
        </w:tc>
        <w:tc>
          <w:tcPr>
            <w:tcW w:w="14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302,068</w:t>
            </w:r>
          </w:p>
        </w:tc>
      </w:tr>
      <w:tr>
        <w:trPr>
          <w:trHeight w:val="135"/>
        </w:trPr>
        <w:tc>
          <w:tcPr>
            <w:tcW w:w="4520" w:type="dxa"/>
            <w:vAlign w:val="bottom"/>
          </w:tcPr>
          <w:p>
            <w:pPr>
              <w:ind w:left="800"/>
              <w:spacing w:after="0"/>
              <w:rPr>
                <w:sz w:val="20"/>
                <w:szCs w:val="20"/>
                <w:color w:val="auto"/>
              </w:rPr>
            </w:pPr>
            <w:r>
              <w:rPr>
                <w:rFonts w:ascii="Arial" w:cs="Arial" w:eastAsia="Arial" w:hAnsi="Arial"/>
                <w:sz w:val="11"/>
                <w:szCs w:val="11"/>
                <w:color w:val="auto"/>
              </w:rPr>
              <w:t>Total long-term debt</w:t>
            </w:r>
          </w:p>
        </w:tc>
        <w:tc>
          <w:tcPr>
            <w:tcW w:w="142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1"/>
                <w:szCs w:val="11"/>
                <w:color w:val="auto"/>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985,907</w:t>
            </w:r>
          </w:p>
        </w:tc>
        <w:tc>
          <w:tcPr>
            <w:tcW w:w="10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1"/>
                <w:szCs w:val="11"/>
                <w:color w:val="auto"/>
              </w:rPr>
              <w:t>$</w:t>
            </w:r>
          </w:p>
        </w:tc>
        <w:tc>
          <w:tcPr>
            <w:tcW w:w="11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302,068</w:t>
            </w:r>
          </w:p>
        </w:tc>
      </w:tr>
      <w:tr>
        <w:trPr>
          <w:trHeight w:val="20"/>
        </w:trPr>
        <w:tc>
          <w:tcPr>
            <w:tcW w:w="4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2029 and 2031 Senior Notes</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2"/>
          <w:szCs w:val="12"/>
          <w:color w:val="auto"/>
        </w:rPr>
        <w:t>In March 2021, the Company issued $1.0 billion aggregate principal amount of senior notes, consisting of $500.0 million principal amount of 3.625% notes due 2029 (the “2029 Notes”) and $500.0 million principal amount of 3.875% notes due 2031 (the “2031 Notes,” and together with the 2029 Notes, the “Notes”). Initially, none of the Company’s subsidiaries guaranteed the Notes. However, under certain circumstances in the future the Notes can be guaranteed by each of the Company’s material domestic subsidiaries. The 2029 Notes and 2031 Notes will mature on March 15, 2029 and March 15, 2031, respectively. Interest payments are payable semi-annually in arrears on March 15 and September 15 of each year, commencing on September 15, 2021.</w:t>
      </w:r>
    </w:p>
    <w:p>
      <w:pPr>
        <w:spacing w:after="0" w:line="124" w:lineRule="exact"/>
        <w:rPr>
          <w:sz w:val="20"/>
          <w:szCs w:val="20"/>
          <w:color w:val="auto"/>
        </w:rPr>
      </w:pPr>
    </w:p>
    <w:p>
      <w:pPr>
        <w:ind w:right="120" w:firstLine="324"/>
        <w:spacing w:after="0" w:line="276" w:lineRule="auto"/>
        <w:rPr>
          <w:sz w:val="20"/>
          <w:szCs w:val="20"/>
          <w:color w:val="auto"/>
        </w:rPr>
      </w:pPr>
      <w:r>
        <w:rPr>
          <w:rFonts w:ascii="Arial" w:cs="Arial" w:eastAsia="Arial" w:hAnsi="Arial"/>
          <w:sz w:val="12"/>
          <w:szCs w:val="12"/>
          <w:color w:val="auto"/>
        </w:rPr>
        <w:t>The aggregate net proceeds from offering of the Notes were approximately $984.7 million after deducting underwriting discounts and issuance costs paid by the Company. The issuance costs of $2.8 million are amortized into interest expense using the effective interest method over the term of the Notes.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103" w:name="page104"/>
    <w:bookmarkEnd w:id="10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may voluntarily redeem the 2029 Notes, in whole or in part, under the following circumstances:</w:t>
      </w:r>
    </w:p>
    <w:p>
      <w:pPr>
        <w:spacing w:after="0" w:line="150" w:lineRule="exact"/>
        <w:rPr>
          <w:sz w:val="20"/>
          <w:szCs w:val="20"/>
          <w:color w:val="auto"/>
        </w:rPr>
      </w:pPr>
    </w:p>
    <w:p>
      <w:pPr>
        <w:ind w:left="860" w:hanging="328"/>
        <w:spacing w:after="0" w:line="263" w:lineRule="auto"/>
        <w:tabs>
          <w:tab w:leader="none" w:pos="856" w:val="left"/>
        </w:tabs>
        <w:numPr>
          <w:ilvl w:val="0"/>
          <w:numId w:val="74"/>
        </w:numPr>
        <w:rPr>
          <w:rFonts w:ascii="Arial" w:cs="Arial" w:eastAsia="Arial" w:hAnsi="Arial"/>
          <w:sz w:val="12"/>
          <w:szCs w:val="12"/>
          <w:color w:val="auto"/>
        </w:rPr>
      </w:pPr>
      <w:r>
        <w:rPr>
          <w:rFonts w:ascii="Arial" w:cs="Arial" w:eastAsia="Arial" w:hAnsi="Arial"/>
          <w:sz w:val="12"/>
          <w:szCs w:val="12"/>
          <w:color w:val="auto"/>
        </w:rPr>
        <w:t>at any time prior to March 15, 2024 with the net cash proceeds received by the Company from an equity offering at a redemption price equal to 103.625% of the principal amount, provided the aggregate principal amount of all such redemptions does not exceed 40% of the original aggregate principal amount of the 2029 Notes. Such redemption shall occur within 180 days after the closing of an equity offering and at least 50% of the then-outstanding aggregate principal amount of the 2029 Notes shall remain outstanding, unless all 2029 Notes are redeemed concurrently;</w:t>
      </w:r>
    </w:p>
    <w:p>
      <w:pPr>
        <w:spacing w:after="0" w:line="122" w:lineRule="exact"/>
        <w:rPr>
          <w:rFonts w:ascii="Arial" w:cs="Arial" w:eastAsia="Arial" w:hAnsi="Arial"/>
          <w:sz w:val="12"/>
          <w:szCs w:val="12"/>
          <w:color w:val="auto"/>
        </w:rPr>
      </w:pPr>
    </w:p>
    <w:p>
      <w:pPr>
        <w:ind w:left="860" w:hanging="328"/>
        <w:spacing w:after="0"/>
        <w:tabs>
          <w:tab w:leader="none" w:pos="8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at any time prior to March 15, 2024 at 100% of the principal amount, plus a “make-whole” premium;</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at any time on or after March 15, 2024 at a prepayment price equal to 101.813% of the principal amount;</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at any time on or after March 15, 2025 at a prepayment price equal to 100.906% of the principal amount; and</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at any time on or after March 15, 2026 at a prepayment price equal to 100.000% of the principal amount;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each case, the redemption will include the accrued and unpaid interest, as applicable.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may voluntarily redeem the 2031 Notes, in whole or in part, under the following circumstances:</w:t>
      </w:r>
    </w:p>
    <w:p>
      <w:pPr>
        <w:spacing w:after="0" w:line="150" w:lineRule="exact"/>
        <w:rPr>
          <w:sz w:val="20"/>
          <w:szCs w:val="20"/>
          <w:color w:val="auto"/>
        </w:rPr>
      </w:pPr>
    </w:p>
    <w:p>
      <w:pPr>
        <w:ind w:left="860" w:right="120" w:hanging="328"/>
        <w:spacing w:after="0" w:line="263" w:lineRule="auto"/>
        <w:tabs>
          <w:tab w:leader="none" w:pos="856" w:val="left"/>
        </w:tabs>
        <w:numPr>
          <w:ilvl w:val="0"/>
          <w:numId w:val="75"/>
        </w:numPr>
        <w:rPr>
          <w:rFonts w:ascii="Arial" w:cs="Arial" w:eastAsia="Arial" w:hAnsi="Arial"/>
          <w:sz w:val="12"/>
          <w:szCs w:val="12"/>
          <w:color w:val="auto"/>
        </w:rPr>
      </w:pPr>
      <w:r>
        <w:rPr>
          <w:rFonts w:ascii="Arial" w:cs="Arial" w:eastAsia="Arial" w:hAnsi="Arial"/>
          <w:sz w:val="12"/>
          <w:szCs w:val="12"/>
          <w:color w:val="auto"/>
        </w:rPr>
        <w:t>at any time prior to March 15, 2024 with the net cash proceeds received by the Company from an equity offering at a redemption price equal to 103.875% of the principal amount, provided the aggregate principal amount of all such redemptions does not to exceed 40% of the original aggregate principal amount of the 2031 Notes. Such redemption shall occur within 180 days after the closing of an equity offering and at least 50% of the then-outstanding aggregate principal amount of the 2031 Notes shall remain outstanding, unless all 2031 Notes are redeemed concurrently;</w:t>
      </w:r>
    </w:p>
    <w:p>
      <w:pPr>
        <w:spacing w:after="0" w:line="122" w:lineRule="exact"/>
        <w:rPr>
          <w:rFonts w:ascii="Arial" w:cs="Arial" w:eastAsia="Arial" w:hAnsi="Arial"/>
          <w:sz w:val="12"/>
          <w:szCs w:val="12"/>
          <w:color w:val="auto"/>
        </w:rPr>
      </w:pPr>
    </w:p>
    <w:p>
      <w:pPr>
        <w:ind w:left="860" w:hanging="328"/>
        <w:spacing w:after="0"/>
        <w:tabs>
          <w:tab w:leader="none" w:pos="8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at any time prior to March 15, 2026 at 100% of the principal amount, plus a “make-whole” premium;</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at any time on or after March 15, 2026 at a prepayment price equal to 101.938% of the principal amount;</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at any time on or after March 15, 2027 at a prepayment price equal to 101.292% of the principal amount;</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at any time on or after March 15, 2028 at a prepayment price equal to 100.646% of the principal amount; and</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at any time on or after March 15, 2029 at a prepayment price equal to 100.000% of the principal amount;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each case, the redemption will include accrued and unpaid interest, as applicable.</w:t>
      </w:r>
    </w:p>
    <w:p>
      <w:pPr>
        <w:spacing w:after="0" w:line="150" w:lineRule="exact"/>
        <w:rPr>
          <w:sz w:val="20"/>
          <w:szCs w:val="20"/>
          <w:color w:val="auto"/>
        </w:rPr>
      </w:pPr>
    </w:p>
    <w:p>
      <w:pPr>
        <w:ind w:right="120" w:firstLine="324"/>
        <w:spacing w:after="0" w:line="276" w:lineRule="auto"/>
        <w:rPr>
          <w:sz w:val="20"/>
          <w:szCs w:val="20"/>
          <w:color w:val="auto"/>
        </w:rPr>
      </w:pPr>
      <w:r>
        <w:rPr>
          <w:rFonts w:ascii="Arial" w:cs="Arial" w:eastAsia="Arial" w:hAnsi="Arial"/>
          <w:sz w:val="12"/>
          <w:szCs w:val="12"/>
          <w:color w:val="auto"/>
        </w:rPr>
        <w:t>The Notes are unsecured obligations and will rank senior in right of payment to any of the Company’s indebtedness that is expressly subordinated in right of payment to the Notes that the Company may incur in the future and equal in right of payment with the Company’s existing and future liabilities that are not subordinated.</w:t>
      </w:r>
    </w:p>
    <w:p>
      <w:pPr>
        <w:spacing w:after="0" w:line="11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2"/>
          <w:szCs w:val="12"/>
          <w:color w:val="auto"/>
        </w:rPr>
        <w:t>In certain circumstances involving a change of control event, the Company will be required to make an offer to repurchase all, or, at the holder’s option, any part, of each holder’s notes of that series at 101% of the aggregate principal amount, plus accrued and unpaid interest, as applicable.</w:t>
      </w:r>
    </w:p>
    <w:p>
      <w:pPr>
        <w:spacing w:after="0" w:line="115" w:lineRule="exact"/>
        <w:rPr>
          <w:sz w:val="20"/>
          <w:szCs w:val="20"/>
          <w:color w:val="auto"/>
        </w:rPr>
      </w:pPr>
    </w:p>
    <w:p>
      <w:pPr>
        <w:ind w:right="140" w:firstLine="324"/>
        <w:spacing w:after="0" w:line="298" w:lineRule="auto"/>
        <w:rPr>
          <w:sz w:val="20"/>
          <w:szCs w:val="20"/>
          <w:color w:val="auto"/>
        </w:rPr>
      </w:pPr>
      <w:r>
        <w:rPr>
          <w:rFonts w:ascii="Arial" w:cs="Arial" w:eastAsia="Arial" w:hAnsi="Arial"/>
          <w:sz w:val="11"/>
          <w:szCs w:val="11"/>
          <w:color w:val="auto"/>
        </w:rPr>
        <w:t>The indenture governing the Notes (the “Indenture”) contains covenants limiting the Company’s ability and the ability of its subsidiaries to: (i) create liens on certain assets to secure debt; (ii) grant a subsidiary guarantee of certain debt without also providing a guarantee of the Notes; and (iii)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either Moody’s Investors Service, Inc. or Standard &amp; Poor’s Ratings Services.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104" w:name="page105"/>
    <w:bookmarkEnd w:id="10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interest expense recognized during the year ended December 31, 2021 was not significant.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December 31, 2021, the Company was in compliance with all of its financial covenants under the Indenture.</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Convertible Senior Notes and Capped Call Transactions</w:t>
      </w:r>
    </w:p>
    <w:p>
      <w:pPr>
        <w:spacing w:after="0" w:line="154" w:lineRule="exact"/>
        <w:rPr>
          <w:sz w:val="20"/>
          <w:szCs w:val="20"/>
          <w:color w:val="auto"/>
        </w:rPr>
      </w:pPr>
    </w:p>
    <w:p>
      <w:pPr>
        <w:jc w:val="both"/>
        <w:ind w:right="20" w:firstLine="324"/>
        <w:spacing w:after="0" w:line="298" w:lineRule="auto"/>
        <w:rPr>
          <w:sz w:val="20"/>
          <w:szCs w:val="20"/>
          <w:color w:val="auto"/>
        </w:rPr>
      </w:pPr>
      <w:r>
        <w:rPr>
          <w:rFonts w:ascii="Arial" w:cs="Arial" w:eastAsia="Arial" w:hAnsi="Arial"/>
          <w:sz w:val="11"/>
          <w:szCs w:val="11"/>
          <w:color w:val="auto"/>
        </w:rPr>
        <w:t>In May 2018, the Company issued $550.0 million aggregate principal amount of 0.25% convertible senior notes due 2023 (“Convertible Notes”) in a private placement, including $75.0 million aggregate principal amount of such Convertible Notes pursuant to the exercise in full of the over-allotment options of the initial purchasers. The total net proceeds from this offering, after deducting initial purchaser discounts and debt issuance costs paid by the Company, were approximately $537.0 million. The Convertible Notes had the original maturity date of June 1, 2023, unless earlier repurchased or redeemed by the Company or converted pursuant to their terms.</w:t>
      </w:r>
    </w:p>
    <w:p>
      <w:pPr>
        <w:spacing w:after="0" w:line="105" w:lineRule="exact"/>
        <w:rPr>
          <w:sz w:val="20"/>
          <w:szCs w:val="20"/>
          <w:color w:val="auto"/>
        </w:rPr>
      </w:pPr>
    </w:p>
    <w:p>
      <w:pPr>
        <w:ind w:right="60" w:firstLine="324"/>
        <w:spacing w:after="0" w:line="285" w:lineRule="auto"/>
        <w:rPr>
          <w:sz w:val="20"/>
          <w:szCs w:val="20"/>
          <w:color w:val="auto"/>
        </w:rPr>
      </w:pPr>
      <w:r>
        <w:rPr>
          <w:rFonts w:ascii="Arial" w:cs="Arial" w:eastAsia="Arial" w:hAnsi="Arial"/>
          <w:sz w:val="11"/>
          <w:szCs w:val="11"/>
          <w:color w:val="auto"/>
        </w:rPr>
        <w:t>On May 18, 2021, the Company issued a notice of redemption for its Convertible Notes and in June 2021, redeemed all of the remaining outstanding principal amount of the Convertible Notes. During 2021 and through the date of the redemption, the Company converted $343.7 million aggregate principal amount of the Convertible Notes by issuing 4,846,965 shares of its Class A common stock. Of the $1.7 billion total value of these transactions, $1.4 billion and $335.7 million were allocated to the equity and liability components, respectively, utilizing the effective interest rate to determine the fair value of the liability component. The selected interest rate reflected the Company’s incremental borrowing rate, adjusted for the Company’s credit standing on nonconvertible debt with similar maturity. The extinguishment of these Convertible Notes resulted in a $29.0 million loss that is included in other (expenses) income, net, in the accompanying consolidated statement of operations. No sinking fund was provided for these Convertible Notes.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 the year ended December 31, 2020, the Company converted $206.3 million aggregate principal amount of the Convertible Notes by issuing 2,902,434 shares of its Class A common stock and $2.0 million of cash. Of the</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$894.6 million total value of these transactions, $701.9 million and $192.7 million were allocated to the equity and liability components, respectively. The extinguishment of these notes resulted in a $12.9 million loss and was included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in other (expenses) income, net, in the accompanying consolidated statements of operations. There were no conversions in the year ended December 31, 2019.</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Prior to their redemption, the Convertible Notes were convertible at the option of the holders only under the following circumstances:</w:t>
      </w:r>
    </w:p>
    <w:p>
      <w:pPr>
        <w:spacing w:after="0" w:line="150" w:lineRule="exact"/>
        <w:rPr>
          <w:sz w:val="20"/>
          <w:szCs w:val="20"/>
          <w:color w:val="auto"/>
        </w:rPr>
      </w:pPr>
    </w:p>
    <w:p>
      <w:pPr>
        <w:ind w:left="640" w:right="20" w:hanging="216"/>
        <w:spacing w:after="0" w:line="263" w:lineRule="auto"/>
        <w:tabs>
          <w:tab w:leader="none" w:pos="684" w:val="left"/>
        </w:tabs>
        <w:numPr>
          <w:ilvl w:val="0"/>
          <w:numId w:val="76"/>
        </w:numPr>
        <w:rPr>
          <w:rFonts w:ascii="Arial" w:cs="Arial" w:eastAsia="Arial" w:hAnsi="Arial"/>
          <w:sz w:val="12"/>
          <w:szCs w:val="12"/>
          <w:color w:val="auto"/>
        </w:rPr>
      </w:pPr>
      <w:r>
        <w:rPr>
          <w:rFonts w:ascii="Arial" w:cs="Arial" w:eastAsia="Arial" w:hAnsi="Arial"/>
          <w:sz w:val="12"/>
          <w:szCs w:val="12"/>
          <w:color w:val="auto"/>
        </w:rPr>
        <w:t>during any calendar quarter commencing after September 30, 2018, and only during such calendar quarter, if the last reported sale price of the Class A common stock for at least 20 trading days (whether or not consecutive) in a period of 30 consecutive trading days ending on, and including, the last trading day of the immediately preceding calendar quarter is more than or equal to 130% of the conversion price on each applicable trading day;</w:t>
      </w:r>
    </w:p>
    <w:p>
      <w:pPr>
        <w:spacing w:after="0" w:line="122" w:lineRule="exact"/>
        <w:rPr>
          <w:rFonts w:ascii="Arial" w:cs="Arial" w:eastAsia="Arial" w:hAnsi="Arial"/>
          <w:sz w:val="12"/>
          <w:szCs w:val="12"/>
          <w:color w:val="auto"/>
        </w:rPr>
      </w:pPr>
    </w:p>
    <w:p>
      <w:pPr>
        <w:ind w:left="640" w:right="60" w:hanging="216"/>
        <w:spacing w:after="0" w:line="276" w:lineRule="auto"/>
        <w:tabs>
          <w:tab w:leader="none" w:pos="684" w:val="left"/>
        </w:tabs>
        <w:numPr>
          <w:ilvl w:val="0"/>
          <w:numId w:val="76"/>
        </w:numPr>
        <w:rPr>
          <w:rFonts w:ascii="Arial" w:cs="Arial" w:eastAsia="Arial" w:hAnsi="Arial"/>
          <w:sz w:val="12"/>
          <w:szCs w:val="12"/>
          <w:color w:val="auto"/>
        </w:rPr>
      </w:pPr>
      <w:r>
        <w:rPr>
          <w:rFonts w:ascii="Arial" w:cs="Arial" w:eastAsia="Arial" w:hAnsi="Arial"/>
          <w:sz w:val="12"/>
          <w:szCs w:val="12"/>
          <w:color w:val="auto"/>
        </w:rPr>
        <w:t>during the five business days period after any five consecutive trading day period in which, for each trading day of that period, the trading price per $1,000 principal amount of Convertible Notes for such trading day was less than 98% of the product of the last reported sale price of the Class A common stock and the conversion rate on each such trading day;</w:t>
      </w:r>
    </w:p>
    <w:p>
      <w:pPr>
        <w:spacing w:after="0" w:line="114" w:lineRule="exact"/>
        <w:rPr>
          <w:rFonts w:ascii="Arial" w:cs="Arial" w:eastAsia="Arial" w:hAnsi="Arial"/>
          <w:sz w:val="12"/>
          <w:szCs w:val="12"/>
          <w:color w:val="auto"/>
        </w:rPr>
      </w:pPr>
    </w:p>
    <w:p>
      <w:pPr>
        <w:ind w:left="680" w:hanging="256"/>
        <w:spacing w:after="0"/>
        <w:tabs>
          <w:tab w:leader="none" w:pos="6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upon the Company’s notice that it is redeeming any or all of the Convertible Notes; or</w:t>
      </w:r>
    </w:p>
    <w:p>
      <w:pPr>
        <w:spacing w:after="0" w:line="150" w:lineRule="exact"/>
        <w:rPr>
          <w:rFonts w:ascii="Arial" w:cs="Arial" w:eastAsia="Arial" w:hAnsi="Arial"/>
          <w:sz w:val="12"/>
          <w:szCs w:val="12"/>
          <w:color w:val="auto"/>
        </w:rPr>
      </w:pPr>
    </w:p>
    <w:p>
      <w:pPr>
        <w:ind w:left="680" w:hanging="256"/>
        <w:spacing w:after="0"/>
        <w:tabs>
          <w:tab w:leader="none" w:pos="6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upon the occurrence of specified corporate events.</w:t>
      </w:r>
    </w:p>
    <w:p>
      <w:pPr>
        <w:spacing w:after="0" w:line="150" w:lineRule="exact"/>
        <w:rPr>
          <w:sz w:val="20"/>
          <w:szCs w:val="20"/>
          <w:color w:val="auto"/>
        </w:rPr>
      </w:pPr>
    </w:p>
    <w:p>
      <w:pPr>
        <w:ind w:firstLine="324"/>
        <w:spacing w:after="0" w:line="255" w:lineRule="auto"/>
        <w:rPr>
          <w:sz w:val="20"/>
          <w:szCs w:val="20"/>
          <w:color w:val="auto"/>
        </w:rPr>
      </w:pPr>
      <w:r>
        <w:rPr>
          <w:rFonts w:ascii="Arial" w:cs="Arial" w:eastAsia="Arial" w:hAnsi="Arial"/>
          <w:sz w:val="12"/>
          <w:szCs w:val="12"/>
          <w:color w:val="auto"/>
        </w:rPr>
        <w:t>Each $1,000 principal amount of the Convertible Notes was initially convertible into 14.104 shares of the Company’s Class A common stock par value $0.001, which was equivalent to an initial conversion price of approximately $70.90 per share. The conversion rate was subject to adjustment upon the occurrence of certain specified events but would not be adjusted for any accrued and unpaid special interest. In addition, upon the occurrence of a make-whole fundamental change, as defined in the indenture, the Company would, in certain circumstances, increase the conversion rate by a number of additional shares for a holder that elects to convert its Notes in connection with such make-whole fundamental change or during the relevant redemption period. Further, the Convertible Notes could bear special interest under specified circumstances relating to the Company’s failure to comply with its reporting obligations under the indenture relating to the issuance of Convertible Notes (the “indenture”) or if the Convertible Notes were not freely tradeable as required by the indenture. None of the above mentioned events occurred during the period the notes were outstanding and prior to the redemption.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5" w:name="page106"/>
    <w:bookmarkEnd w:id="10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120" w:firstLine="324"/>
        <w:spacing w:after="0" w:line="379" w:lineRule="auto"/>
        <w:rPr>
          <w:sz w:val="20"/>
          <w:szCs w:val="20"/>
          <w:color w:val="auto"/>
        </w:rPr>
      </w:pPr>
      <w:r>
        <w:rPr>
          <w:rFonts w:ascii="Arial" w:cs="Arial" w:eastAsia="Arial" w:hAnsi="Arial"/>
          <w:sz w:val="10"/>
          <w:szCs w:val="10"/>
          <w:color w:val="auto"/>
        </w:rPr>
        <w:t>Upon conversion, the Company had an ability to pay or deliver, as the case may be, cash, shares of Class A common stock, or a combination of cash and shares of Class A common stock, at the Company’s election. Throughout the period the Convertible Notes were outstanding the conditional redemption feature was triggered several times and the Company settled the notes presented for conversion primarily in shares of its Class A common stock.</w:t>
      </w:r>
    </w:p>
    <w:p>
      <w:pPr>
        <w:spacing w:after="0" w:line="69" w:lineRule="exact"/>
        <w:rPr>
          <w:sz w:val="20"/>
          <w:szCs w:val="20"/>
          <w:color w:val="auto"/>
        </w:rPr>
      </w:pPr>
    </w:p>
    <w:p>
      <w:pPr>
        <w:ind w:right="40" w:firstLine="324"/>
        <w:spacing w:after="0" w:line="276" w:lineRule="auto"/>
        <w:rPr>
          <w:sz w:val="20"/>
          <w:szCs w:val="20"/>
          <w:color w:val="auto"/>
        </w:rPr>
      </w:pPr>
      <w:r>
        <w:rPr>
          <w:rFonts w:ascii="Arial" w:cs="Arial" w:eastAsia="Arial" w:hAnsi="Arial"/>
          <w:sz w:val="12"/>
          <w:szCs w:val="12"/>
          <w:color w:val="auto"/>
        </w:rPr>
        <w:t>The foregoing description is qualified in its entirety by reference to the text of the indenture and the form of 0.25% convertible senior notes due 2023, which were filed as exhibits to the Company's Quarterly Report on Form 10-Q for the quarter ended June 30, 2018, and are incorporated herein by reference.</w:t>
      </w:r>
    </w:p>
    <w:p>
      <w:pPr>
        <w:spacing w:after="0" w:line="115" w:lineRule="exact"/>
        <w:rPr>
          <w:sz w:val="20"/>
          <w:szCs w:val="20"/>
          <w:color w:val="auto"/>
        </w:rPr>
      </w:pPr>
    </w:p>
    <w:p>
      <w:pPr>
        <w:ind w:right="140" w:firstLine="324"/>
        <w:spacing w:after="0" w:line="289" w:lineRule="auto"/>
        <w:rPr>
          <w:sz w:val="20"/>
          <w:szCs w:val="20"/>
          <w:color w:val="auto"/>
        </w:rPr>
      </w:pPr>
      <w:r>
        <w:rPr>
          <w:rFonts w:ascii="Arial" w:cs="Arial" w:eastAsia="Arial" w:hAnsi="Arial"/>
          <w:sz w:val="11"/>
          <w:szCs w:val="11"/>
          <w:color w:val="auto"/>
        </w:rPr>
        <w:t>In accounting for the issuance of the Convertible Notes, the Company separated the Convertible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$119.4 million and was determined by deducting the fair value of the liability component from the par value of the Notes. The equity component was not remeasured as long as it continued to meet the conditions for equity classification. The excess of the principal amount of the liability component over its carrying amount, or the debt discount, was amortized to interest expense at an annual effective interest rate of 5.7% over the contractual terms of the Convertible Notes.</w:t>
      </w:r>
    </w:p>
    <w:p>
      <w:pPr>
        <w:spacing w:after="0" w:line="11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2"/>
          <w:szCs w:val="12"/>
          <w:color w:val="auto"/>
        </w:rPr>
        <w:t>In accounting for the transaction costs related to the Convertible Notes, the Company allocated the total amount incurred to the liability and equity components of the Convertible Notes based on the proportion of the proceeds allocated to the debt and equity components. Issuance costs attributable to the liability component were approximately $10.2 million, were recorded as an additional debt discount and were amortized to interest expense using the effective interest method over the contractual terms of the Convertible Notes and were written off upon the redemption of the Convertible Notes. Issuance costs attributable to the equity component were netted with the equity component in stockholders’ equity.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net carrying amount of the equity component of the Convertible Notes was as follows: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132"/>
        </w:trPr>
        <w:tc>
          <w:tcPr>
            <w:tcW w:w="706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right"/>
              <w:ind w:right="126"/>
              <w:spacing w:after="0"/>
              <w:rPr>
                <w:sz w:val="20"/>
                <w:szCs w:val="20"/>
                <w:color w:val="auto"/>
              </w:rPr>
            </w:pPr>
            <w:r>
              <w:rPr>
                <w:rFonts w:ascii="Arial" w:cs="Arial" w:eastAsia="Arial" w:hAnsi="Arial"/>
                <w:sz w:val="10"/>
                <w:szCs w:val="10"/>
                <w:b w:val="1"/>
                <w:bCs w:val="1"/>
                <w:color w:val="auto"/>
              </w:rPr>
              <w:t>As of December 31,</w:t>
            </w:r>
          </w:p>
        </w:tc>
        <w:tc>
          <w:tcPr>
            <w:tcW w:w="900" w:type="dxa"/>
            <w:vAlign w:val="bottom"/>
            <w:tcBorders>
              <w:bottom w:val="single" w:sz="8" w:color="auto"/>
            </w:tcBorders>
          </w:tcPr>
          <w:p>
            <w:pPr>
              <w:spacing w:after="0"/>
              <w:rPr>
                <w:sz w:val="11"/>
                <w:szCs w:val="11"/>
                <w:color w:val="auto"/>
              </w:rPr>
            </w:pPr>
          </w:p>
        </w:tc>
      </w:tr>
      <w:tr>
        <w:trPr>
          <w:trHeight w:val="122"/>
        </w:trPr>
        <w:tc>
          <w:tcPr>
            <w:tcW w:w="7060" w:type="dxa"/>
            <w:vAlign w:val="bottom"/>
          </w:tcPr>
          <w:p>
            <w:pPr>
              <w:spacing w:after="0"/>
              <w:rPr>
                <w:sz w:val="10"/>
                <w:szCs w:val="10"/>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b w:val="1"/>
                <w:bCs w:val="1"/>
                <w:color w:val="auto"/>
              </w:rPr>
              <w:t>2020</w:t>
            </w:r>
          </w:p>
        </w:tc>
      </w:tr>
      <w:tr>
        <w:trPr>
          <w:trHeight w:val="114"/>
        </w:trPr>
        <w:tc>
          <w:tcPr>
            <w:tcW w:w="70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gridSpan w:val="3"/>
          </w:tcPr>
          <w:p>
            <w:pPr>
              <w:jc w:val="right"/>
              <w:ind w:right="246"/>
              <w:spacing w:after="0"/>
              <w:rPr>
                <w:sz w:val="20"/>
                <w:szCs w:val="20"/>
                <w:color w:val="auto"/>
              </w:rPr>
            </w:pPr>
            <w:r>
              <w:rPr>
                <w:rFonts w:ascii="Arial" w:cs="Arial" w:eastAsia="Arial" w:hAnsi="Arial"/>
                <w:sz w:val="10"/>
                <w:szCs w:val="10"/>
                <w:color w:val="auto"/>
                <w:w w:val="84"/>
              </w:rPr>
              <w:t>(In thousands)</w:t>
            </w:r>
          </w:p>
        </w:tc>
        <w:tc>
          <w:tcPr>
            <w:tcW w:w="900" w:type="dxa"/>
            <w:vAlign w:val="bottom"/>
          </w:tcPr>
          <w:p>
            <w:pPr>
              <w:spacing w:after="0"/>
              <w:rPr>
                <w:sz w:val="9"/>
                <w:szCs w:val="9"/>
                <w:color w:val="auto"/>
              </w:rPr>
            </w:pPr>
          </w:p>
        </w:tc>
      </w:tr>
      <w:tr>
        <w:trPr>
          <w:trHeight w:val="146"/>
        </w:trPr>
        <w:tc>
          <w:tcPr>
            <w:tcW w:w="7060" w:type="dxa"/>
            <w:vAlign w:val="bottom"/>
            <w:shd w:val="clear" w:color="auto" w:fill="CCEEFF"/>
          </w:tcPr>
          <w:p>
            <w:pPr>
              <w:ind w:left="460"/>
              <w:spacing w:after="0"/>
              <w:rPr>
                <w:sz w:val="20"/>
                <w:szCs w:val="20"/>
                <w:color w:val="auto"/>
              </w:rPr>
            </w:pPr>
            <w:r>
              <w:rPr>
                <w:rFonts w:ascii="Arial" w:cs="Arial" w:eastAsia="Arial" w:hAnsi="Arial"/>
                <w:sz w:val="11"/>
                <w:szCs w:val="11"/>
                <w:color w:val="auto"/>
              </w:rPr>
              <w:t>Proceeds allocated to the conversion options (debt discount)</w:t>
            </w:r>
          </w:p>
        </w:tc>
        <w:tc>
          <w:tcPr>
            <w:tcW w:w="1220" w:type="dxa"/>
            <w:vAlign w:val="bottom"/>
            <w:shd w:val="clear" w:color="auto" w:fill="CCEEFF"/>
          </w:tcPr>
          <w:p>
            <w:pPr>
              <w:jc w:val="right"/>
              <w:ind w:right="668"/>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ind w:left="540"/>
              <w:spacing w:after="0"/>
              <w:rPr>
                <w:sz w:val="20"/>
                <w:szCs w:val="20"/>
                <w:color w:val="auto"/>
              </w:rPr>
            </w:pPr>
            <w:r>
              <w:rPr>
                <w:rFonts w:ascii="Arial" w:cs="Arial" w:eastAsia="Arial" w:hAnsi="Arial"/>
                <w:sz w:val="11"/>
                <w:szCs w:val="11"/>
                <w:color w:val="auto"/>
              </w:rPr>
              <w:t>74,636</w:t>
            </w:r>
          </w:p>
        </w:tc>
      </w:tr>
      <w:tr>
        <w:trPr>
          <w:trHeight w:val="142"/>
        </w:trPr>
        <w:tc>
          <w:tcPr>
            <w:tcW w:w="7060" w:type="dxa"/>
            <w:vAlign w:val="bottom"/>
            <w:tcBorders>
              <w:bottom w:val="single" w:sz="8" w:color="CCEEFF"/>
            </w:tcBorders>
          </w:tcPr>
          <w:p>
            <w:pPr>
              <w:ind w:left="460"/>
              <w:spacing w:after="0"/>
              <w:rPr>
                <w:sz w:val="20"/>
                <w:szCs w:val="20"/>
                <w:color w:val="auto"/>
              </w:rPr>
            </w:pPr>
            <w:r>
              <w:rPr>
                <w:rFonts w:ascii="Arial" w:cs="Arial" w:eastAsia="Arial" w:hAnsi="Arial"/>
                <w:sz w:val="11"/>
                <w:szCs w:val="11"/>
                <w:color w:val="auto"/>
              </w:rPr>
              <w:t>Issuance costs</w:t>
            </w:r>
          </w:p>
        </w:tc>
        <w:tc>
          <w:tcPr>
            <w:tcW w:w="1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(2,819)</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560"/>
              <w:spacing w:after="0"/>
              <w:rPr>
                <w:sz w:val="20"/>
                <w:szCs w:val="20"/>
                <w:color w:val="auto"/>
              </w:rPr>
            </w:pPr>
            <w:r>
              <w:rPr>
                <w:rFonts w:ascii="Arial" w:cs="Arial" w:eastAsia="Arial" w:hAnsi="Arial"/>
                <w:sz w:val="11"/>
                <w:szCs w:val="11"/>
                <w:color w:val="auto"/>
                <w:w w:val="91"/>
              </w:rPr>
              <w:t>(2,819)</w:t>
            </w:r>
          </w:p>
        </w:tc>
      </w:tr>
      <w:tr>
        <w:trPr>
          <w:trHeight w:val="151"/>
        </w:trPr>
        <w:tc>
          <w:tcPr>
            <w:tcW w:w="7060" w:type="dxa"/>
            <w:vAlign w:val="bottom"/>
            <w:tcBorders>
              <w:bottom w:val="single" w:sz="8" w:color="CCEEFF"/>
            </w:tcBorders>
            <w:shd w:val="clear" w:color="auto" w:fill="CCEEFF"/>
          </w:tcPr>
          <w:p>
            <w:pPr>
              <w:ind w:left="580"/>
              <w:spacing w:after="0" w:line="122" w:lineRule="exact"/>
              <w:rPr>
                <w:sz w:val="20"/>
                <w:szCs w:val="20"/>
                <w:color w:val="auto"/>
              </w:rPr>
            </w:pPr>
            <w:r>
              <w:rPr>
                <w:rFonts w:ascii="Arial" w:cs="Arial" w:eastAsia="Arial" w:hAnsi="Arial"/>
                <w:sz w:val="11"/>
                <w:szCs w:val="11"/>
                <w:color w:val="auto"/>
              </w:rPr>
              <w:t>Net carrying amount</w:t>
            </w:r>
          </w:p>
        </w:tc>
        <w:tc>
          <w:tcPr>
            <w:tcW w:w="12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(2,819)</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color w:val="auto"/>
              </w:rPr>
              <w:t>71,817</w:t>
            </w:r>
          </w:p>
        </w:tc>
      </w:tr>
    </w:tbl>
    <w:p>
      <w:pPr>
        <w:spacing w:after="0" w:line="19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In connection with the offering of the Convertible Notes in May 2018, the Company entered into privately negotiated capped call transactions with certain counterparties (the “capped calls”). The capped calls each had an initial strike price of approximately $70.90 per share, subject to certain adjustments, which corresponded to the initial conversion price of the Notes. The capped calls had initial cap prices of $105.04 per share, subject to certain adjustments. The capped calls covered, subject to anti-dilution adjustments, approximately 7,757,200 shares of Class A common stock. The capped calls were generally intended to reduce or offset the potential dilution to the Class A common stock upon any conversion of the Notes with such reduction or offset, as the case may be, subject to a cap based on the cap price.</w:t>
      </w:r>
    </w:p>
    <w:p>
      <w:pPr>
        <w:spacing w:after="0" w:line="124"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Concurrently with the redemption of the Convertible Notes, the Company settled its capped call arrangement. The capped call arrangement was settled in June 2021 for gross cash consideration of $229.8 million received by the Company and recorded in additional paid-in-capital, net of $1.4 million in transaction costs and a $3.2 million realized gain. The gain was primarily driven by the change in the fair value of the Company’s Class A common stock on the transaction settlement date. The gain was recorded in other (expenses) income, net, in the accompanying consolidated statement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06" w:name="page107"/>
    <w:bookmarkEnd w:id="10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Supplemental Balance Sheet Information</w:t>
      </w:r>
    </w:p>
    <w:p>
      <w:pPr>
        <w:spacing w:after="0" w:line="154" w:lineRule="exact"/>
        <w:rPr>
          <w:sz w:val="20"/>
          <w:szCs w:val="20"/>
          <w:color w:val="auto"/>
        </w:rPr>
      </w:pPr>
    </w:p>
    <w:p>
      <w:pPr>
        <w:ind w:left="320"/>
        <w:spacing w:after="0" w:line="138" w:lineRule="exact"/>
        <w:rPr>
          <w:sz w:val="20"/>
          <w:szCs w:val="20"/>
          <w:color w:val="auto"/>
        </w:rPr>
      </w:pPr>
      <w:r>
        <w:rPr>
          <w:rFonts w:ascii="Arial" w:cs="Arial" w:eastAsia="Arial" w:hAnsi="Arial"/>
          <w:sz w:val="12"/>
          <w:szCs w:val="12"/>
          <w:color w:val="auto"/>
        </w:rPr>
        <w:t>A roll</w:t>
      </w:r>
      <w:r>
        <w:rPr>
          <w:rFonts w:ascii="MS PGothic" w:cs="MS PGothic" w:eastAsia="MS PGothic" w:hAnsi="MS PGothic"/>
          <w:sz w:val="12"/>
          <w:szCs w:val="12"/>
          <w:color w:val="auto"/>
        </w:rPr>
        <w:t>‑</w:t>
      </w:r>
      <w:r>
        <w:rPr>
          <w:rFonts w:ascii="Arial" w:cs="Arial" w:eastAsia="Arial" w:hAnsi="Arial"/>
          <w:sz w:val="12"/>
          <w:szCs w:val="12"/>
          <w:color w:val="auto"/>
        </w:rPr>
        <w:t>forward of the Company’s customer credit reserve is as follows:</w:t>
      </w:r>
    </w:p>
    <w:p>
      <w:pPr>
        <w:spacing w:after="0" w:line="171" w:lineRule="exact"/>
        <w:rPr>
          <w:sz w:val="20"/>
          <w:szCs w:val="20"/>
          <w:color w:val="auto"/>
        </w:rPr>
      </w:pPr>
    </w:p>
    <w:tbl>
      <w:tblPr>
        <w:tblLayout w:type="fixed"/>
        <w:tblInd w:w="1280" w:type="dxa"/>
        <w:tblCellMar>
          <w:top w:w="0" w:type="dxa"/>
          <w:left w:w="0" w:type="dxa"/>
          <w:bottom w:w="0" w:type="dxa"/>
          <w:right w:w="0" w:type="dxa"/>
        </w:tblCellMar>
      </w:tblPr>
      <w:tr>
        <w:trPr>
          <w:trHeight w:val="127"/>
        </w:trPr>
        <w:tc>
          <w:tcPr>
            <w:tcW w:w="426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0"/>
                <w:szCs w:val="10"/>
                <w:b w:val="1"/>
                <w:bCs w:val="1"/>
                <w:color w:val="auto"/>
                <w:w w:val="86"/>
              </w:rPr>
              <w:t>Year Ended December 31,</w:t>
            </w:r>
          </w:p>
        </w:tc>
        <w:tc>
          <w:tcPr>
            <w:tcW w:w="7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18"/>
        </w:trPr>
        <w:tc>
          <w:tcPr>
            <w:tcW w:w="4260" w:type="dxa"/>
            <w:vAlign w:val="bottom"/>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7"/>
              <w:spacing w:after="0"/>
              <w:rPr>
                <w:sz w:val="20"/>
                <w:szCs w:val="20"/>
                <w:color w:val="auto"/>
              </w:rPr>
            </w:pPr>
            <w:r>
              <w:rPr>
                <w:rFonts w:ascii="Arial" w:cs="Arial" w:eastAsia="Arial" w:hAnsi="Arial"/>
                <w:sz w:val="10"/>
                <w:szCs w:val="10"/>
                <w:b w:val="1"/>
                <w:bCs w:val="1"/>
                <w:color w:val="auto"/>
              </w:rPr>
              <w:t>2019</w:t>
            </w:r>
          </w:p>
        </w:tc>
      </w:tr>
      <w:tr>
        <w:trPr>
          <w:trHeight w:val="114"/>
        </w:trPr>
        <w:tc>
          <w:tcPr>
            <w:tcW w:w="4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color w:val="auto"/>
                <w:w w:val="87"/>
              </w:rPr>
              <w:t>(In thousands)</w:t>
            </w: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46"/>
        </w:trPr>
        <w:tc>
          <w:tcPr>
            <w:tcW w:w="42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Balance, beginning of period</w:t>
            </w:r>
          </w:p>
        </w:tc>
        <w:tc>
          <w:tcPr>
            <w:tcW w:w="1140" w:type="dxa"/>
            <w:vAlign w:val="bottom"/>
            <w:shd w:val="clear" w:color="auto" w:fill="CCEEFF"/>
          </w:tcPr>
          <w:p>
            <w:pPr>
              <w:jc w:val="right"/>
              <w:ind w:right="588"/>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16,783</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6,784</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3,015</w:t>
            </w:r>
          </w:p>
        </w:tc>
      </w:tr>
      <w:tr>
        <w:trPr>
          <w:trHeight w:val="142"/>
        </w:trPr>
        <w:tc>
          <w:tcPr>
            <w:tcW w:w="4260" w:type="dxa"/>
            <w:vAlign w:val="bottom"/>
          </w:tcPr>
          <w:p>
            <w:pPr>
              <w:ind w:left="440"/>
              <w:spacing w:after="0"/>
              <w:rPr>
                <w:sz w:val="20"/>
                <w:szCs w:val="20"/>
                <w:color w:val="auto"/>
              </w:rPr>
            </w:pPr>
            <w:r>
              <w:rPr>
                <w:rFonts w:ascii="Arial" w:cs="Arial" w:eastAsia="Arial" w:hAnsi="Arial"/>
                <w:sz w:val="11"/>
                <w:szCs w:val="11"/>
                <w:color w:val="auto"/>
              </w:rPr>
              <w:t>Additions</w:t>
            </w:r>
          </w:p>
        </w:tc>
        <w:tc>
          <w:tcPr>
            <w:tcW w:w="114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1"/>
                <w:szCs w:val="11"/>
                <w:color w:val="auto"/>
                <w:w w:val="89"/>
              </w:rPr>
              <w:t>55,937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right"/>
              <w:ind w:right="8"/>
              <w:spacing w:after="0"/>
              <w:rPr>
                <w:sz w:val="20"/>
                <w:szCs w:val="20"/>
                <w:color w:val="auto"/>
              </w:rPr>
            </w:pPr>
            <w:r>
              <w:rPr>
                <w:rFonts w:ascii="Arial" w:cs="Arial" w:eastAsia="Arial" w:hAnsi="Arial"/>
                <w:sz w:val="11"/>
                <w:szCs w:val="11"/>
                <w:color w:val="auto"/>
              </w:rPr>
              <w:t>50,817</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18,143</w:t>
            </w:r>
          </w:p>
        </w:tc>
      </w:tr>
      <w:tr>
        <w:trPr>
          <w:trHeight w:val="146"/>
        </w:trPr>
        <w:tc>
          <w:tcPr>
            <w:tcW w:w="42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Deductions against reserve</w:t>
            </w:r>
          </w:p>
        </w:tc>
        <w:tc>
          <w:tcPr>
            <w:tcW w:w="1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7"/>
              </w:rPr>
              <w:t>(54,143)</w:t>
            </w: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(40,818)</w:t>
            </w: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(14,374)</w:t>
            </w:r>
          </w:p>
        </w:tc>
      </w:tr>
      <w:tr>
        <w:trPr>
          <w:trHeight w:val="131"/>
        </w:trPr>
        <w:tc>
          <w:tcPr>
            <w:tcW w:w="4260" w:type="dxa"/>
            <w:vAlign w:val="bottom"/>
          </w:tcPr>
          <w:p>
            <w:pPr>
              <w:ind w:left="580"/>
              <w:spacing w:after="0" w:line="120" w:lineRule="exact"/>
              <w:rPr>
                <w:sz w:val="20"/>
                <w:szCs w:val="20"/>
                <w:color w:val="auto"/>
              </w:rPr>
            </w:pPr>
            <w:r>
              <w:rPr>
                <w:rFonts w:ascii="Arial" w:cs="Arial" w:eastAsia="Arial" w:hAnsi="Arial"/>
                <w:sz w:val="11"/>
                <w:szCs w:val="11"/>
                <w:color w:val="auto"/>
              </w:rPr>
              <w:t>Balance, end of period</w:t>
            </w:r>
          </w:p>
        </w:tc>
        <w:tc>
          <w:tcPr>
            <w:tcW w:w="1140" w:type="dxa"/>
            <w:vAlign w:val="bottom"/>
            <w:tcBorders>
              <w:bottom w:val="single" w:sz="8" w:color="auto"/>
            </w:tcBorders>
          </w:tcPr>
          <w:p>
            <w:pPr>
              <w:jc w:val="right"/>
              <w:ind w:right="588"/>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18,577</w:t>
            </w:r>
          </w:p>
        </w:tc>
        <w:tc>
          <w:tcPr>
            <w:tcW w:w="80" w:type="dxa"/>
            <w:vAlign w:val="bottom"/>
          </w:tcPr>
          <w:p>
            <w:pPr>
              <w:spacing w:after="0"/>
              <w:rPr>
                <w:sz w:val="11"/>
                <w:szCs w:val="11"/>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16,783</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6,784</w:t>
            </w:r>
          </w:p>
        </w:tc>
      </w:tr>
      <w:tr>
        <w:trPr>
          <w:trHeight w:val="20"/>
        </w:trPr>
        <w:tc>
          <w:tcPr>
            <w:tcW w:w="4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Revenue by Geographic Area</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Revenue by geographic area is based on the IP address or the mailing address at the time of registration. The following table sets forth revenue by geographic area:</w:t>
      </w:r>
    </w:p>
    <w:p>
      <w:pPr>
        <w:spacing w:after="0" w:line="171" w:lineRule="exact"/>
        <w:rPr>
          <w:sz w:val="20"/>
          <w:szCs w:val="20"/>
          <w:color w:val="auto"/>
        </w:rPr>
      </w:pPr>
    </w:p>
    <w:tbl>
      <w:tblPr>
        <w:tblLayout w:type="fixed"/>
        <w:tblInd w:w="1280" w:type="dxa"/>
        <w:tblCellMar>
          <w:top w:w="0" w:type="dxa"/>
          <w:left w:w="0" w:type="dxa"/>
          <w:bottom w:w="0" w:type="dxa"/>
          <w:right w:w="0" w:type="dxa"/>
        </w:tblCellMar>
      </w:tblPr>
      <w:tr>
        <w:trPr>
          <w:trHeight w:val="127"/>
        </w:trPr>
        <w:tc>
          <w:tcPr>
            <w:tcW w:w="418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center"/>
              <w:ind w:left="329"/>
              <w:spacing w:after="0"/>
              <w:rPr>
                <w:sz w:val="20"/>
                <w:szCs w:val="20"/>
                <w:color w:val="auto"/>
              </w:rPr>
            </w:pPr>
            <w:r>
              <w:rPr>
                <w:rFonts w:ascii="Arial" w:cs="Arial" w:eastAsia="Arial" w:hAnsi="Arial"/>
                <w:sz w:val="10"/>
                <w:szCs w:val="10"/>
                <w:b w:val="1"/>
                <w:bCs w:val="1"/>
                <w:color w:val="auto"/>
                <w:w w:val="86"/>
              </w:rPr>
              <w:t>Year Ended December 31,</w:t>
            </w:r>
          </w:p>
        </w:tc>
        <w:tc>
          <w:tcPr>
            <w:tcW w:w="7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r>
      <w:tr>
        <w:trPr>
          <w:trHeight w:val="118"/>
        </w:trPr>
        <w:tc>
          <w:tcPr>
            <w:tcW w:w="418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ind w:left="847"/>
              <w:spacing w:after="0"/>
              <w:rPr>
                <w:sz w:val="20"/>
                <w:szCs w:val="20"/>
                <w:color w:val="auto"/>
              </w:rPr>
            </w:pPr>
            <w:r>
              <w:rPr>
                <w:rFonts w:ascii="Arial" w:cs="Arial" w:eastAsia="Arial" w:hAnsi="Arial"/>
                <w:sz w:val="10"/>
                <w:szCs w:val="10"/>
                <w:b w:val="1"/>
                <w:bCs w:val="1"/>
                <w:color w:val="auto"/>
                <w:w w:val="80"/>
              </w:rPr>
              <w:t>2021</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left="869"/>
              <w:spacing w:after="0"/>
              <w:rPr>
                <w:sz w:val="20"/>
                <w:szCs w:val="20"/>
                <w:color w:val="auto"/>
              </w:rPr>
            </w:pPr>
            <w:r>
              <w:rPr>
                <w:rFonts w:ascii="Arial" w:cs="Arial" w:eastAsia="Arial" w:hAnsi="Arial"/>
                <w:sz w:val="10"/>
                <w:szCs w:val="10"/>
                <w:b w:val="1"/>
                <w:bCs w:val="1"/>
                <w:color w:val="auto"/>
                <w:w w:val="89"/>
              </w:rPr>
              <w:t>2020</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80"/>
              </w:rPr>
              <w:t>2019</w:t>
            </w:r>
          </w:p>
        </w:tc>
        <w:tc>
          <w:tcPr>
            <w:tcW w:w="480" w:type="dxa"/>
            <w:vAlign w:val="bottom"/>
            <w:tcBorders>
              <w:bottom w:val="single" w:sz="8" w:color="auto"/>
            </w:tcBorders>
          </w:tcPr>
          <w:p>
            <w:pPr>
              <w:spacing w:after="0"/>
              <w:rPr>
                <w:sz w:val="10"/>
                <w:szCs w:val="10"/>
                <w:color w:val="auto"/>
              </w:rPr>
            </w:pPr>
          </w:p>
        </w:tc>
      </w:tr>
      <w:tr>
        <w:trPr>
          <w:trHeight w:val="125"/>
        </w:trPr>
        <w:tc>
          <w:tcPr>
            <w:tcW w:w="418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rPr>
              <w:t>Revenue by geographic area:</w:t>
            </w:r>
          </w:p>
        </w:tc>
        <w:tc>
          <w:tcPr>
            <w:tcW w:w="1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80" w:type="dxa"/>
            <w:vAlign w:val="bottom"/>
            <w:gridSpan w:val="3"/>
            <w:shd w:val="clear" w:color="auto" w:fill="CCEEFF"/>
          </w:tcPr>
          <w:p>
            <w:pPr>
              <w:jc w:val="center"/>
              <w:ind w:left="309"/>
              <w:spacing w:after="0"/>
              <w:rPr>
                <w:sz w:val="20"/>
                <w:szCs w:val="20"/>
                <w:color w:val="auto"/>
              </w:rPr>
            </w:pPr>
            <w:r>
              <w:rPr>
                <w:rFonts w:ascii="Arial" w:cs="Arial" w:eastAsia="Arial" w:hAnsi="Arial"/>
                <w:sz w:val="10"/>
                <w:szCs w:val="10"/>
                <w:color w:val="auto"/>
                <w:w w:val="87"/>
              </w:rPr>
              <w:t>(In thousands)</w:t>
            </w:r>
          </w:p>
        </w:tc>
        <w:tc>
          <w:tcPr>
            <w:tcW w:w="7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4180" w:type="dxa"/>
            <w:vAlign w:val="bottom"/>
          </w:tcPr>
          <w:p>
            <w:pPr>
              <w:ind w:left="580"/>
              <w:spacing w:after="0"/>
              <w:rPr>
                <w:sz w:val="20"/>
                <w:szCs w:val="20"/>
                <w:color w:val="auto"/>
              </w:rPr>
            </w:pPr>
            <w:r>
              <w:rPr>
                <w:rFonts w:ascii="Arial" w:cs="Arial" w:eastAsia="Arial" w:hAnsi="Arial"/>
                <w:sz w:val="11"/>
                <w:szCs w:val="11"/>
                <w:color w:val="auto"/>
              </w:rPr>
              <w:t>United States</w:t>
            </w:r>
          </w:p>
        </w:tc>
        <w:tc>
          <w:tcPr>
            <w:tcW w:w="1120" w:type="dxa"/>
            <w:vAlign w:val="bottom"/>
          </w:tcPr>
          <w:p>
            <w:pPr>
              <w:jc w:val="right"/>
              <w:ind w:right="567"/>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1"/>
              </w:rPr>
              <w:t>1,881,873</w:t>
            </w:r>
          </w:p>
        </w:tc>
        <w:tc>
          <w:tcPr>
            <w:tcW w:w="80" w:type="dxa"/>
            <w:vAlign w:val="bottom"/>
          </w:tcPr>
          <w:p>
            <w:pPr>
              <w:spacing w:after="0"/>
              <w:rPr>
                <w:sz w:val="12"/>
                <w:szCs w:val="12"/>
                <w:color w:val="auto"/>
              </w:rPr>
            </w:pPr>
          </w:p>
        </w:tc>
        <w:tc>
          <w:tcPr>
            <w:tcW w:w="1120" w:type="dxa"/>
            <w:vAlign w:val="bottom"/>
          </w:tcPr>
          <w:p>
            <w:pPr>
              <w:jc w:val="right"/>
              <w:ind w:right="569"/>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85"/>
              </w:rPr>
              <w:t>1,282,213</w:t>
            </w:r>
          </w:p>
        </w:tc>
        <w:tc>
          <w:tcPr>
            <w:tcW w:w="80" w:type="dxa"/>
            <w:vAlign w:val="bottom"/>
          </w:tcPr>
          <w:p>
            <w:pPr>
              <w:spacing w:after="0"/>
              <w:rPr>
                <w:sz w:val="12"/>
                <w:szCs w:val="12"/>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808,857</w:t>
            </w:r>
          </w:p>
        </w:tc>
      </w:tr>
      <w:tr>
        <w:trPr>
          <w:trHeight w:val="146"/>
        </w:trPr>
        <w:tc>
          <w:tcPr>
            <w:tcW w:w="4180" w:type="dxa"/>
            <w:vAlign w:val="bottom"/>
            <w:shd w:val="clear" w:color="auto" w:fill="CCEEFF"/>
          </w:tcPr>
          <w:p>
            <w:pPr>
              <w:ind w:left="580"/>
              <w:spacing w:after="0"/>
              <w:rPr>
                <w:sz w:val="20"/>
                <w:szCs w:val="20"/>
                <w:color w:val="auto"/>
              </w:rPr>
            </w:pPr>
            <w:r>
              <w:rPr>
                <w:rFonts w:ascii="Arial" w:cs="Arial" w:eastAsia="Arial" w:hAnsi="Arial"/>
                <w:sz w:val="11"/>
                <w:szCs w:val="11"/>
                <w:color w:val="auto"/>
              </w:rPr>
              <w:t>International</w:t>
            </w:r>
          </w:p>
        </w:tc>
        <w:tc>
          <w:tcPr>
            <w:tcW w:w="1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959,966</w:t>
            </w:r>
          </w:p>
        </w:tc>
        <w:tc>
          <w:tcPr>
            <w:tcW w:w="8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479,563</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325,611</w:t>
            </w:r>
          </w:p>
        </w:tc>
      </w:tr>
      <w:tr>
        <w:trPr>
          <w:trHeight w:val="131"/>
        </w:trPr>
        <w:tc>
          <w:tcPr>
            <w:tcW w:w="4180" w:type="dxa"/>
            <w:vAlign w:val="bottom"/>
          </w:tcPr>
          <w:p>
            <w:pPr>
              <w:ind w:left="740"/>
              <w:spacing w:after="0" w:line="120" w:lineRule="exact"/>
              <w:rPr>
                <w:sz w:val="20"/>
                <w:szCs w:val="20"/>
                <w:color w:val="auto"/>
              </w:rPr>
            </w:pPr>
            <w:r>
              <w:rPr>
                <w:rFonts w:ascii="Arial" w:cs="Arial" w:eastAsia="Arial" w:hAnsi="Arial"/>
                <w:sz w:val="11"/>
                <w:szCs w:val="11"/>
                <w:color w:val="auto"/>
              </w:rPr>
              <w:t>Total</w:t>
            </w:r>
          </w:p>
        </w:tc>
        <w:tc>
          <w:tcPr>
            <w:tcW w:w="1120" w:type="dxa"/>
            <w:vAlign w:val="bottom"/>
            <w:tcBorders>
              <w:bottom w:val="single" w:sz="8" w:color="auto"/>
            </w:tcBorders>
          </w:tcPr>
          <w:p>
            <w:pPr>
              <w:jc w:val="right"/>
              <w:ind w:right="567"/>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81"/>
              </w:rPr>
              <w:t>2,841,839</w:t>
            </w:r>
          </w:p>
        </w:tc>
        <w:tc>
          <w:tcPr>
            <w:tcW w:w="80" w:type="dxa"/>
            <w:vAlign w:val="bottom"/>
          </w:tcPr>
          <w:p>
            <w:pPr>
              <w:spacing w:after="0"/>
              <w:rPr>
                <w:sz w:val="11"/>
                <w:szCs w:val="11"/>
                <w:color w:val="auto"/>
              </w:rPr>
            </w:pPr>
          </w:p>
        </w:tc>
        <w:tc>
          <w:tcPr>
            <w:tcW w:w="1120" w:type="dxa"/>
            <w:vAlign w:val="bottom"/>
            <w:tcBorders>
              <w:bottom w:val="single" w:sz="8" w:color="auto"/>
            </w:tcBorders>
          </w:tcPr>
          <w:p>
            <w:pPr>
              <w:jc w:val="right"/>
              <w:ind w:right="569"/>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5"/>
              </w:rPr>
              <w:t>1,761,776</w:t>
            </w:r>
          </w:p>
        </w:tc>
        <w:tc>
          <w:tcPr>
            <w:tcW w:w="80" w:type="dxa"/>
            <w:vAlign w:val="bottom"/>
          </w:tcPr>
          <w:p>
            <w:pPr>
              <w:spacing w:after="0"/>
              <w:rPr>
                <w:sz w:val="11"/>
                <w:szCs w:val="11"/>
                <w:color w:val="auto"/>
              </w:rPr>
            </w:pPr>
          </w:p>
        </w:tc>
        <w:tc>
          <w:tcPr>
            <w:tcW w:w="7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5"/>
              </w:rPr>
              <w:t>1,134,468</w:t>
            </w:r>
          </w:p>
        </w:tc>
      </w:tr>
      <w:tr>
        <w:trPr>
          <w:trHeight w:val="20"/>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50"/>
        </w:trPr>
        <w:tc>
          <w:tcPr>
            <w:tcW w:w="4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144"/>
        </w:trPr>
        <w:tc>
          <w:tcPr>
            <w:tcW w:w="41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Percentage of revenue by geographic area:</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4180" w:type="dxa"/>
            <w:vAlign w:val="bottom"/>
          </w:tcPr>
          <w:p>
            <w:pPr>
              <w:ind w:left="580"/>
              <w:spacing w:after="0"/>
              <w:rPr>
                <w:sz w:val="20"/>
                <w:szCs w:val="20"/>
                <w:color w:val="auto"/>
              </w:rPr>
            </w:pPr>
            <w:r>
              <w:rPr>
                <w:rFonts w:ascii="Arial" w:cs="Arial" w:eastAsia="Arial" w:hAnsi="Arial"/>
                <w:sz w:val="11"/>
                <w:szCs w:val="11"/>
                <w:color w:val="auto"/>
              </w:rPr>
              <w:t>United States</w:t>
            </w:r>
          </w:p>
        </w:tc>
        <w:tc>
          <w:tcPr>
            <w:tcW w:w="1120" w:type="dxa"/>
            <w:vAlign w:val="bottom"/>
          </w:tcPr>
          <w:p>
            <w:pPr>
              <w:jc w:val="center"/>
              <w:ind w:left="867"/>
              <w:spacing w:after="0"/>
              <w:rPr>
                <w:sz w:val="20"/>
                <w:szCs w:val="20"/>
                <w:color w:val="auto"/>
              </w:rPr>
            </w:pPr>
            <w:r>
              <w:rPr>
                <w:rFonts w:ascii="Arial" w:cs="Arial" w:eastAsia="Arial" w:hAnsi="Arial"/>
                <w:sz w:val="11"/>
                <w:szCs w:val="11"/>
                <w:color w:val="auto"/>
                <w:w w:val="97"/>
              </w:rPr>
              <w:t>66</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9"/>
              <w:spacing w:after="0"/>
              <w:rPr>
                <w:sz w:val="20"/>
                <w:szCs w:val="20"/>
                <w:color w:val="auto"/>
              </w:rPr>
            </w:pPr>
            <w:r>
              <w:rPr>
                <w:rFonts w:ascii="Arial" w:cs="Arial" w:eastAsia="Arial" w:hAnsi="Arial"/>
                <w:sz w:val="11"/>
                <w:szCs w:val="11"/>
                <w:color w:val="auto"/>
              </w:rPr>
              <w:t>73</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2"/>
                <w:szCs w:val="12"/>
                <w:color w:val="auto"/>
              </w:rPr>
            </w:pPr>
          </w:p>
        </w:tc>
        <w:tc>
          <w:tcPr>
            <w:tcW w:w="420" w:type="dxa"/>
            <w:vAlign w:val="bottom"/>
          </w:tcPr>
          <w:p>
            <w:pPr>
              <w:ind w:left="220"/>
              <w:spacing w:after="0"/>
              <w:rPr>
                <w:sz w:val="20"/>
                <w:szCs w:val="20"/>
                <w:color w:val="auto"/>
              </w:rPr>
            </w:pPr>
            <w:r>
              <w:rPr>
                <w:rFonts w:ascii="Arial" w:cs="Arial" w:eastAsia="Arial" w:hAnsi="Arial"/>
                <w:sz w:val="11"/>
                <w:szCs w:val="11"/>
                <w:color w:val="auto"/>
              </w:rPr>
              <w:t>71</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4180" w:type="dxa"/>
            <w:vAlign w:val="bottom"/>
            <w:shd w:val="clear" w:color="auto" w:fill="CCEEFF"/>
          </w:tcPr>
          <w:p>
            <w:pPr>
              <w:ind w:left="580"/>
              <w:spacing w:after="0"/>
              <w:rPr>
                <w:sz w:val="20"/>
                <w:szCs w:val="20"/>
                <w:color w:val="auto"/>
              </w:rPr>
            </w:pPr>
            <w:r>
              <w:rPr>
                <w:rFonts w:ascii="Arial" w:cs="Arial" w:eastAsia="Arial" w:hAnsi="Arial"/>
                <w:sz w:val="11"/>
                <w:szCs w:val="11"/>
                <w:color w:val="auto"/>
              </w:rPr>
              <w:t>International</w:t>
            </w:r>
          </w:p>
        </w:tc>
        <w:tc>
          <w:tcPr>
            <w:tcW w:w="1120" w:type="dxa"/>
            <w:vAlign w:val="bottom"/>
            <w:shd w:val="clear" w:color="auto" w:fill="CCEEFF"/>
          </w:tcPr>
          <w:p>
            <w:pPr>
              <w:jc w:val="center"/>
              <w:ind w:left="867"/>
              <w:spacing w:after="0"/>
              <w:rPr>
                <w:sz w:val="20"/>
                <w:szCs w:val="20"/>
                <w:color w:val="auto"/>
              </w:rPr>
            </w:pPr>
            <w:r>
              <w:rPr>
                <w:rFonts w:ascii="Arial" w:cs="Arial" w:eastAsia="Arial" w:hAnsi="Arial"/>
                <w:sz w:val="11"/>
                <w:szCs w:val="11"/>
                <w:color w:val="auto"/>
                <w:w w:val="97"/>
              </w:rPr>
              <w:t>34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auto"/>
              </w:rPr>
              <w:t>27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29</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bl>
    <w:p>
      <w:pPr>
        <w:spacing w:after="0" w:line="1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Long-lived assets outside of the United States were not significant.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Commitments and Contingencies</w:t>
      </w:r>
    </w:p>
    <w:p>
      <w:pPr>
        <w:spacing w:after="0" w:line="172" w:lineRule="exact"/>
        <w:rPr>
          <w:sz w:val="20"/>
          <w:szCs w:val="20"/>
          <w:color w:val="auto"/>
        </w:rPr>
      </w:pPr>
    </w:p>
    <w:p>
      <w:pPr>
        <w:ind w:left="860" w:hanging="544"/>
        <w:spacing w:after="0"/>
        <w:tabs>
          <w:tab w:leader="none" w:pos="860" w:val="left"/>
        </w:tabs>
        <w:numPr>
          <w:ilvl w:val="0"/>
          <w:numId w:val="7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Lease and Other Commitments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0"/>
          <w:szCs w:val="10"/>
          <w:color w:val="auto"/>
        </w:rPr>
        <w:t>The Company entered into various non-cancelable operating lease agreements for its facilities. See Note 6 to these consolidated financial statements for additional detail on the Company's operating lease commitments.</w:t>
      </w:r>
    </w:p>
    <w:p>
      <w:pPr>
        <w:spacing w:after="0" w:line="236"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760"/>
          </w:cols>
          <w:pgMar w:left="300" w:top="131" w:right="839" w:bottom="1440" w:gutter="0" w:footer="0" w:header="0"/>
        </w:sectPr>
      </w:pPr>
    </w:p>
    <w:bookmarkStart w:id="107" w:name="page108"/>
    <w:bookmarkEnd w:id="10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20" w:firstLine="324"/>
        <w:spacing w:after="0" w:line="323" w:lineRule="auto"/>
        <w:rPr>
          <w:sz w:val="20"/>
          <w:szCs w:val="20"/>
          <w:color w:val="auto"/>
        </w:rPr>
      </w:pPr>
      <w:r>
        <w:rPr>
          <w:rFonts w:ascii="Arial" w:cs="Arial" w:eastAsia="Arial" w:hAnsi="Arial"/>
          <w:sz w:val="11"/>
          <w:szCs w:val="11"/>
          <w:color w:val="auto"/>
        </w:rPr>
        <w:t>Additionally, the Company has contractual commitments with its cloud infrastructure provider, network service providers and other vendors that are noncancellable and expire within one to four years. Future minimum payments under these noncancellable purchase commitments were as follows. Unrecognized tax benefits are not included in these amounts because any amounts expected to be settled in cash are not material:</w:t>
      </w:r>
    </w:p>
    <w:p>
      <w:pPr>
        <w:sectPr>
          <w:pgSz w:w="11900" w:h="16838" w:orient="portrait"/>
          <w:cols w:equalWidth="0" w:num="1">
            <w:col w:w="11260"/>
          </w:cols>
          <w:pgMar w:left="300" w:top="131" w:right="339" w:bottom="1440" w:gutter="0" w:footer="0" w:header="0"/>
        </w:sectPr>
      </w:pPr>
    </w:p>
    <w:p>
      <w:pPr>
        <w:spacing w:after="0" w:line="398" w:lineRule="exact"/>
        <w:rPr>
          <w:sz w:val="20"/>
          <w:szCs w:val="20"/>
          <w:color w:val="auto"/>
        </w:rPr>
      </w:pPr>
    </w:p>
    <w:p>
      <w:pPr>
        <w:ind w:left="2100"/>
        <w:spacing w:after="0"/>
        <w:rPr>
          <w:sz w:val="20"/>
          <w:szCs w:val="20"/>
          <w:color w:val="auto"/>
        </w:rPr>
      </w:pPr>
      <w:r>
        <w:rPr>
          <w:rFonts w:ascii="Arial" w:cs="Arial" w:eastAsia="Arial" w:hAnsi="Arial"/>
          <w:sz w:val="10"/>
          <w:szCs w:val="10"/>
          <w:u w:val="single" w:color="auto"/>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24130</wp:posOffset>
            </wp:positionV>
            <wp:extent cx="5349240" cy="914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49240" cy="91440"/>
                    </a:xfrm>
                    <a:prstGeom prst="rect">
                      <a:avLst/>
                    </a:prstGeom>
                    <a:noFill/>
                  </pic:spPr>
                </pic:pic>
              </a:graphicData>
            </a:graphic>
          </wp:anchor>
        </w:drawing>
      </w:r>
    </w:p>
    <w:p>
      <w:pPr>
        <w:spacing w:after="0" w:line="22"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2022</w:t>
      </w:r>
    </w:p>
    <w:p>
      <w:pPr>
        <w:spacing w:after="0" w:line="18"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8890</wp:posOffset>
            </wp:positionV>
            <wp:extent cx="5349240" cy="914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49240" cy="91440"/>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1"/>
          <w:szCs w:val="11"/>
          <w:color w:val="auto"/>
        </w:rPr>
        <w:t>2024</w:t>
      </w:r>
    </w:p>
    <w:p>
      <w:pPr>
        <w:spacing w:after="0" w:line="18"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8890</wp:posOffset>
            </wp:positionV>
            <wp:extent cx="5349240" cy="1085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49240" cy="108585"/>
                    </a:xfrm>
                    <a:prstGeom prst="rect">
                      <a:avLst/>
                    </a:prstGeom>
                    <a:noFill/>
                  </pic:spPr>
                </pic:pic>
              </a:graphicData>
            </a:graphic>
          </wp:anchor>
        </w:drawing>
      </w:r>
    </w:p>
    <w:p>
      <w:pPr>
        <w:spacing w:after="0" w:line="25" w:lineRule="exact"/>
        <w:rPr>
          <w:sz w:val="20"/>
          <w:szCs w:val="20"/>
          <w:color w:val="auto"/>
        </w:rPr>
      </w:pPr>
    </w:p>
    <w:p>
      <w:pPr>
        <w:ind w:left="2220"/>
        <w:spacing w:after="0"/>
        <w:rPr>
          <w:sz w:val="20"/>
          <w:szCs w:val="20"/>
          <w:color w:val="auto"/>
        </w:rPr>
      </w:pPr>
      <w:r>
        <w:rPr>
          <w:rFonts w:ascii="Arial" w:cs="Arial" w:eastAsia="Arial" w:hAnsi="Arial"/>
          <w:sz w:val="11"/>
          <w:szCs w:val="11"/>
          <w:color w:val="auto"/>
        </w:rPr>
        <w:t>Total payments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509"/>
        <w:spacing w:after="0"/>
        <w:rPr>
          <w:sz w:val="20"/>
          <w:szCs w:val="20"/>
          <w:color w:val="auto"/>
        </w:rPr>
      </w:pPr>
      <w:r>
        <w:rPr>
          <w:rFonts w:ascii="Arial" w:cs="Arial" w:eastAsia="Arial" w:hAnsi="Arial"/>
          <w:sz w:val="10"/>
          <w:szCs w:val="10"/>
          <w:b w:val="1"/>
          <w:bCs w:val="1"/>
          <w:color w:val="auto"/>
        </w:rPr>
        <w:t>As of</w:t>
      </w:r>
    </w:p>
    <w:p>
      <w:pPr>
        <w:ind w:left="9"/>
        <w:spacing w:after="0" w:line="236" w:lineRule="auto"/>
        <w:rPr>
          <w:sz w:val="20"/>
          <w:szCs w:val="20"/>
          <w:color w:val="auto"/>
        </w:rPr>
      </w:pPr>
      <w:r>
        <w:rPr>
          <w:rFonts w:ascii="Arial" w:cs="Arial" w:eastAsia="Arial" w:hAnsi="Arial"/>
          <w:sz w:val="10"/>
          <w:szCs w:val="10"/>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5080</wp:posOffset>
            </wp:positionV>
            <wp:extent cx="105727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57275" cy="5715"/>
                    </a:xfrm>
                    <a:prstGeom prst="rect">
                      <a:avLst/>
                    </a:prstGeom>
                    <a:noFill/>
                  </pic:spPr>
                </pic:pic>
              </a:graphicData>
            </a:graphic>
          </wp:anchor>
        </w:drawing>
      </w:r>
    </w:p>
    <w:p>
      <w:pPr>
        <w:spacing w:after="0" w:line="12" w:lineRule="exact"/>
        <w:rPr>
          <w:sz w:val="20"/>
          <w:szCs w:val="20"/>
          <w:color w:val="auto"/>
        </w:rPr>
      </w:pPr>
    </w:p>
    <w:p>
      <w:pPr>
        <w:ind w:left="329"/>
        <w:spacing w:after="0"/>
        <w:rPr>
          <w:sz w:val="20"/>
          <w:szCs w:val="20"/>
          <w:color w:val="auto"/>
        </w:rPr>
      </w:pPr>
      <w:r>
        <w:rPr>
          <w:rFonts w:ascii="Arial" w:cs="Arial" w:eastAsia="Arial" w:hAnsi="Arial"/>
          <w:sz w:val="10"/>
          <w:szCs w:val="10"/>
          <w:color w:val="auto"/>
        </w:rPr>
        <w:t>(In thousands)</w:t>
      </w:r>
    </w:p>
    <w:p>
      <w:pPr>
        <w:spacing w:after="0" w:line="18" w:lineRule="exact"/>
        <w:rPr>
          <w:sz w:val="20"/>
          <w:szCs w:val="20"/>
          <w:color w:val="auto"/>
        </w:rPr>
      </w:pPr>
    </w:p>
    <w:p>
      <w:pPr>
        <w:ind w:left="829" w:hanging="829"/>
        <w:spacing w:after="0"/>
        <w:tabs>
          <w:tab w:leader="none" w:pos="829" w:val="left"/>
        </w:tabs>
        <w:numPr>
          <w:ilvl w:val="0"/>
          <w:numId w:val="78"/>
        </w:numPr>
        <w:rPr>
          <w:rFonts w:ascii="Arial" w:cs="Arial" w:eastAsia="Arial" w:hAnsi="Arial"/>
          <w:sz w:val="9"/>
          <w:szCs w:val="9"/>
          <w:color w:val="auto"/>
        </w:rPr>
      </w:pPr>
      <w:r>
        <w:rPr>
          <w:rFonts w:ascii="Arial" w:cs="Arial" w:eastAsia="Arial" w:hAnsi="Arial"/>
          <w:sz w:val="9"/>
          <w:szCs w:val="9"/>
          <w:color w:val="auto"/>
        </w:rPr>
        <w:t>213,106</w:t>
      </w:r>
    </w:p>
    <w:p>
      <w:pPr>
        <w:spacing w:after="0" w:line="40" w:lineRule="exact"/>
        <w:rPr>
          <w:rFonts w:ascii="Arial" w:cs="Arial" w:eastAsia="Arial" w:hAnsi="Arial"/>
          <w:sz w:val="9"/>
          <w:szCs w:val="9"/>
          <w:color w:val="auto"/>
        </w:rPr>
      </w:pPr>
    </w:p>
    <w:p>
      <w:pPr>
        <w:ind w:left="829"/>
        <w:spacing w:after="0"/>
        <w:rPr>
          <w:rFonts w:ascii="Arial" w:cs="Arial" w:eastAsia="Arial" w:hAnsi="Arial"/>
          <w:sz w:val="9"/>
          <w:szCs w:val="9"/>
          <w:color w:val="auto"/>
        </w:rPr>
      </w:pPr>
      <w:r>
        <w:rPr>
          <w:rFonts w:ascii="Arial" w:cs="Arial" w:eastAsia="Arial" w:hAnsi="Arial"/>
          <w:sz w:val="9"/>
          <w:szCs w:val="9"/>
          <w:color w:val="auto"/>
        </w:rPr>
        <w:t>222,852</w:t>
      </w:r>
    </w:p>
    <w:p>
      <w:pPr>
        <w:spacing w:after="0" w:line="40" w:lineRule="exact"/>
        <w:rPr>
          <w:rFonts w:ascii="Arial" w:cs="Arial" w:eastAsia="Arial" w:hAnsi="Arial"/>
          <w:sz w:val="9"/>
          <w:szCs w:val="9"/>
          <w:color w:val="auto"/>
        </w:rPr>
      </w:pPr>
    </w:p>
    <w:p>
      <w:pPr>
        <w:ind w:left="889"/>
        <w:spacing w:after="0"/>
        <w:rPr>
          <w:rFonts w:ascii="Arial" w:cs="Arial" w:eastAsia="Arial" w:hAnsi="Arial"/>
          <w:sz w:val="9"/>
          <w:szCs w:val="9"/>
          <w:color w:val="auto"/>
        </w:rPr>
      </w:pPr>
      <w:r>
        <w:rPr>
          <w:rFonts w:ascii="Arial" w:cs="Arial" w:eastAsia="Arial" w:hAnsi="Arial"/>
          <w:sz w:val="9"/>
          <w:szCs w:val="9"/>
          <w:color w:val="auto"/>
        </w:rPr>
        <w:t>35,066</w:t>
      </w:r>
    </w:p>
    <w:p>
      <w:pPr>
        <w:spacing w:after="0" w:line="40" w:lineRule="exact"/>
        <w:rPr>
          <w:rFonts w:ascii="Arial" w:cs="Arial" w:eastAsia="Arial" w:hAnsi="Arial"/>
          <w:sz w:val="9"/>
          <w:szCs w:val="9"/>
          <w:color w:val="auto"/>
        </w:rPr>
      </w:pPr>
    </w:p>
    <w:p>
      <w:pPr>
        <w:ind w:left="1009"/>
        <w:spacing w:after="0"/>
        <w:rPr>
          <w:rFonts w:ascii="Arial" w:cs="Arial" w:eastAsia="Arial" w:hAnsi="Arial"/>
          <w:sz w:val="9"/>
          <w:szCs w:val="9"/>
          <w:color w:val="auto"/>
        </w:rPr>
      </w:pPr>
      <w:r>
        <w:rPr>
          <w:rFonts w:ascii="Arial" w:cs="Arial" w:eastAsia="Arial" w:hAnsi="Arial"/>
          <w:sz w:val="9"/>
          <w:szCs w:val="9"/>
          <w:color w:val="auto"/>
        </w:rPr>
        <w:t>561</w:t>
      </w:r>
    </w:p>
    <w:p>
      <w:pPr>
        <w:spacing w:after="0" w:line="50" w:lineRule="exact"/>
        <w:rPr>
          <w:sz w:val="20"/>
          <w:szCs w:val="20"/>
          <w:color w:val="auto"/>
        </w:rPr>
      </w:pPr>
    </w:p>
    <w:p>
      <w:pPr>
        <w:ind w:left="829" w:hanging="829"/>
        <w:spacing w:after="0"/>
        <w:tabs>
          <w:tab w:leader="none" w:pos="829" w:val="left"/>
        </w:tabs>
        <w:numPr>
          <w:ilvl w:val="0"/>
          <w:numId w:val="79"/>
        </w:numPr>
        <w:rPr>
          <w:rFonts w:ascii="Arial" w:cs="Arial" w:eastAsia="Arial" w:hAnsi="Arial"/>
          <w:sz w:val="9"/>
          <w:szCs w:val="9"/>
          <w:color w:val="auto"/>
        </w:rPr>
      </w:pPr>
      <w:r>
        <w:rPr>
          <w:rFonts w:ascii="Arial" w:cs="Arial" w:eastAsia="Arial" w:hAnsi="Arial"/>
          <w:sz w:val="9"/>
          <w:szCs w:val="9"/>
          <w:color w:val="auto"/>
        </w:rPr>
        <w:t>471,585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40640</wp:posOffset>
            </wp:positionV>
            <wp:extent cx="105727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57275" cy="571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131" w:space="720"/>
            <w:col w:w="2409"/>
          </w:cols>
          <w:pgMar w:left="300" w:top="131" w:right="339" w:bottom="1440" w:gutter="0" w:footer="0" w:header="0"/>
          <w:type w:val="continuous"/>
        </w:sectPr>
      </w:pPr>
    </w:p>
    <w:p>
      <w:pPr>
        <w:spacing w:after="0" w:line="21"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In February 2021, the Company entered into a Framework Agreement, as subsequently amended, with Syniverse Corporation (“Syniverse”) and Carlyle Partners V Holdings, L.P. (“Carlyle”) (the “Framework Agreement”), pursuant to which Syniverse would issue to the Company shares of Syniverse common stock in consideration for an investment by the Company of up to $750.0 million. In August 2021, Syniverse entered into an Agreement and Plan of Merger (the “Merger Agreement”) with Blue Steel Merger Sub Inc. (the “Merger Sub”) and M-3 Brigade Acquisition II Corp. (“MBAC”), which would result in Syniverse being a wholly owned subsidiary of MBAC (the “Merger”). Concurrently, the Company and MBAC entered into the Twilio Subscription Agreement (the “Subscription Agreement”), pursuant to which the Company agreed, subject to the terms and conditions set forth therein, to subscribe for and purchase, and MBAC agreed to issue and sell to the Company, immediately prior to the closing of the Merger, shares of Class A common stock and, if applicable, shares of Class C common stock for an aggregate amount up to $750.0 million, depending on redemptions by MBAC’s shareholders. In connection with the closing of the investment, the Company and Syniverse (or their respective subsidiaries) would enter into a wholesale agreement.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Note 18 for details on developments on this transaction which occurred in the period subsequent to December 31, 2021.</w:t>
      </w:r>
    </w:p>
    <w:p>
      <w:pPr>
        <w:spacing w:after="0" w:line="150" w:lineRule="exact"/>
        <w:rPr>
          <w:sz w:val="20"/>
          <w:szCs w:val="20"/>
          <w:color w:val="auto"/>
        </w:rPr>
      </w:pPr>
    </w:p>
    <w:p>
      <w:pPr>
        <w:ind w:left="860" w:hanging="544"/>
        <w:spacing w:after="0"/>
        <w:tabs>
          <w:tab w:leader="none" w:pos="860" w:val="left"/>
        </w:tabs>
        <w:numPr>
          <w:ilvl w:val="0"/>
          <w:numId w:val="8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Legal Matters</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The City and County of San Francisco (“San Francisco”) has assessed the Company for additional Telephone Users Tax (“TUT”) and Access Line Tax (“ALT”) on certain of the Company’s services for the years 2009 through 2018. The assessments totaled $38.8 million, including interest and penalties. The Company paid the assessments under protest in the third quarter of 2020.</w:t>
      </w:r>
    </w:p>
    <w:p>
      <w:pPr>
        <w:spacing w:after="0" w:line="115"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On May 27, 2021, the Company filed a lawsuit against San Francisco in San Francisco Superior Court challenging the assessments. The Company raised numerous defenses to the assessments including that its services are not telecommunications services, application of the taxes to Twilio’s services violates the Internet Tax Freedom Act and San Francisco does not have jurisdiction to impose tax on services provided outside of San Francisco. The Company is seeking refunds of the taxes paid, waivers of interest and penalties, cost of suit and reasonable attorneys’ fees, and other legal and equitable relief as the court deems appropriate.</w:t>
      </w:r>
    </w:p>
    <w:p>
      <w:pPr>
        <w:spacing w:after="0" w:line="105" w:lineRule="exact"/>
        <w:rPr>
          <w:sz w:val="20"/>
          <w:szCs w:val="20"/>
          <w:color w:val="auto"/>
        </w:rPr>
      </w:pPr>
    </w:p>
    <w:p>
      <w:pPr>
        <w:jc w:val="both"/>
        <w:ind w:right="80" w:firstLine="432"/>
        <w:spacing w:after="0" w:line="298" w:lineRule="auto"/>
        <w:rPr>
          <w:sz w:val="20"/>
          <w:szCs w:val="20"/>
          <w:color w:val="auto"/>
        </w:rPr>
      </w:pPr>
      <w:r>
        <w:rPr>
          <w:rFonts w:ascii="Arial" w:cs="Arial" w:eastAsia="Arial" w:hAnsi="Arial"/>
          <w:sz w:val="11"/>
          <w:szCs w:val="11"/>
          <w:color w:val="auto"/>
        </w:rPr>
        <w:t>The Company believes it has strong arguments against the assessments, but litigation is uncertain and there is no assurance that it will prevail in court. Should the Company lose on one or more of its arguments, it could incur additional losses associated with taxes, interest, and penalties that together, in aggregate, could be material. The Company regularly assesses the likelihood of adverse outcomes resulting from tax disputes such as this and examines all open years to determine the necessity and adequacy of any tax reserves. The Company’s tax reserves are further discussed in Note 13(d) of these consolidated financial statements.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type w:val="continuous"/>
        </w:sectPr>
      </w:pPr>
    </w:p>
    <w:bookmarkStart w:id="108" w:name="page109"/>
    <w:bookmarkEnd w:id="10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432"/>
        <w:spacing w:after="0" w:line="147" w:lineRule="exact"/>
        <w:rPr>
          <w:sz w:val="20"/>
          <w:szCs w:val="20"/>
          <w:color w:val="auto"/>
        </w:rPr>
      </w:pPr>
      <w:r>
        <w:rPr>
          <w:rFonts w:ascii="Arial" w:cs="Arial" w:eastAsia="Arial" w:hAnsi="Arial"/>
          <w:sz w:val="12"/>
          <w:szCs w:val="12"/>
          <w:color w:val="auto"/>
        </w:rPr>
        <w:t>In addition to the litigation discussed above, from time to time, the Company may be subject to legal actions and claims in the ordinary course of business. 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w:t>
      </w:r>
      <w:r>
        <w:rPr>
          <w:rFonts w:ascii="MS PGothic" w:cs="MS PGothic" w:eastAsia="MS PGothic" w:hAnsi="MS PGothic"/>
          <w:sz w:val="12"/>
          <w:szCs w:val="12"/>
          <w:color w:val="auto"/>
        </w:rPr>
        <w:t>‑</w:t>
      </w:r>
      <w:r>
        <w:rPr>
          <w:rFonts w:ascii="Arial" w:cs="Arial" w:eastAsia="Arial" w:hAnsi="Arial"/>
          <w:sz w:val="12"/>
          <w:szCs w:val="12"/>
          <w:color w:val="auto"/>
        </w:rPr>
        <w:t>party proprietary rights, or to establish our proprietary rights. The results of any current or future litigation cannot be predicted with certainty, and regardless of the outcome, litigation can have an adverse impact on the Company because of defense and settlement costs, diversion of management resources, and other factors.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Legal fees and other costs related to litigation and other legal proceedings are expensed as incurred and are included in general and administrative expenses in the accompanying consolidated statements of operations.</w:t>
      </w:r>
    </w:p>
    <w:p>
      <w:pPr>
        <w:spacing w:after="0" w:line="162" w:lineRule="exact"/>
        <w:rPr>
          <w:sz w:val="20"/>
          <w:szCs w:val="20"/>
          <w:color w:val="auto"/>
        </w:rPr>
      </w:pPr>
    </w:p>
    <w:p>
      <w:pPr>
        <w:ind w:left="860" w:hanging="544"/>
        <w:spacing w:after="0"/>
        <w:tabs>
          <w:tab w:leader="none" w:pos="860" w:val="left"/>
        </w:tabs>
        <w:numPr>
          <w:ilvl w:val="0"/>
          <w:numId w:val="8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Indemnification Agreements</w:t>
      </w:r>
    </w:p>
    <w:p>
      <w:pPr>
        <w:spacing w:after="0" w:line="150"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The Company has signed indemnification agreements with all of its board members and executive officers. The agreements indemnify the board members and executive officers from claims and expenses on actions brought against the individuals separately or jointly with the Company for certain indemnifiable events. Indemnifiable events generally mean any event or occurrence related to the fact that the board member or the executive officer was or is acting in his or her capacity as a board member or an executive officer for the Company or was or is acting or representing the interests of the Company.</w:t>
      </w:r>
    </w:p>
    <w:p>
      <w:pPr>
        <w:spacing w:after="0" w:line="122"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In the ordinary course of business and in connection with our financing and business combinations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various products, or its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 The terms of such obligations may vary.</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December 31, 2021 and 2020, no amounts were accrued related to any outstanding indemnification agreements.</w:t>
      </w:r>
    </w:p>
    <w:p>
      <w:pPr>
        <w:spacing w:after="0" w:line="312" w:lineRule="exact"/>
        <w:rPr>
          <w:sz w:val="20"/>
          <w:szCs w:val="20"/>
          <w:color w:val="auto"/>
        </w:rPr>
      </w:pPr>
    </w:p>
    <w:p>
      <w:pPr>
        <w:ind w:left="860" w:hanging="544"/>
        <w:spacing w:after="0"/>
        <w:tabs>
          <w:tab w:leader="none" w:pos="860" w:val="left"/>
        </w:tabs>
        <w:numPr>
          <w:ilvl w:val="0"/>
          <w:numId w:val="8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Taxes</w:t>
      </w:r>
    </w:p>
    <w:p>
      <w:pPr>
        <w:spacing w:after="0" w:line="150" w:lineRule="exact"/>
        <w:rPr>
          <w:sz w:val="20"/>
          <w:szCs w:val="20"/>
          <w:color w:val="auto"/>
        </w:rPr>
      </w:pPr>
    </w:p>
    <w:p>
      <w:pPr>
        <w:ind w:right="80" w:firstLine="432"/>
        <w:spacing w:after="0" w:line="289" w:lineRule="auto"/>
        <w:rPr>
          <w:sz w:val="20"/>
          <w:szCs w:val="20"/>
          <w:color w:val="auto"/>
        </w:rPr>
      </w:pPr>
      <w:r>
        <w:rPr>
          <w:rFonts w:ascii="Arial" w:cs="Arial" w:eastAsia="Arial" w:hAnsi="Arial"/>
          <w:sz w:val="11"/>
          <w:szCs w:val="11"/>
          <w:color w:val="auto"/>
        </w:rPr>
        <w:t>The Company conducts operations in many tax jurisdictions within and outside the United States. In many of these jurisdictions, non-income-based taxes, such as sales, use, telecommunications, and other local taxes are assessed on the Company’s operations. In the last several years the Company has expanded to collect taxes in most jurisdictions where it operates. The Company continues to carry reserves for certain of its prior non-income-based tax exposures in certain jurisdictions when it is both probable that a liability was incurred and the amount of the exposure could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spacing w:after="0" w:line="111"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For example, San Francisco City and County has assessed the Company for $38.8 million in taxes, including interest and penalties, which exceeded the $11.5 million the Company had accrued for the period covered by this assessment. The Company paid the full amount as required by law. The payment made in excess of the accrued amount is reflected as a deposit in the accompanying consolidated balance sheets. The Company believes, however, that this assessment is incorrect and, after failing to reach a settlement, filed a lawsuit on May 27, 2021 contesting the assessment as described above. However, litigation is uncertain and a ruling against the Company, or a dismissal of our complaint, may adversely affect its financial position and results of operations.</w:t>
      </w:r>
    </w:p>
    <w:p>
      <w:pPr>
        <w:spacing w:after="0" w:line="113"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As of December 31, 2021, the liabilities recorded for these taxes were $25.4 million for domestic jurisdictions and $17.7 million for jurisdictions outside of the United States. As of December 31, 2020, these liabilities were $25.6 million and $9.6 million, respectively.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09" w:name="page110"/>
    <w:bookmarkEnd w:id="109"/>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28" w:right="10020" w:hanging="328"/>
        <w:spacing w:after="0" w:line="605" w:lineRule="auto"/>
        <w:tabs>
          <w:tab w:leader="none" w:pos="184" w:val="left"/>
        </w:tabs>
        <w:numPr>
          <w:ilvl w:val="0"/>
          <w:numId w:val="83"/>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Stockholders' Equity </w:t>
      </w:r>
      <w:r>
        <w:rPr>
          <w:rFonts w:ascii="Arial" w:cs="Arial" w:eastAsia="Arial" w:hAnsi="Arial"/>
          <w:sz w:val="10"/>
          <w:szCs w:val="10"/>
          <w:b w:val="1"/>
          <w:bCs w:val="1"/>
          <w:i w:val="1"/>
          <w:iCs w:val="1"/>
          <w:color w:val="auto"/>
        </w:rPr>
        <w:t>Preferred Stock</w:t>
      </w:r>
    </w:p>
    <w:p>
      <w:pPr>
        <w:ind w:left="328"/>
        <w:spacing w:after="0"/>
        <w:rPr>
          <w:rFonts w:ascii="Arial" w:cs="Arial" w:eastAsia="Arial" w:hAnsi="Arial"/>
          <w:sz w:val="10"/>
          <w:szCs w:val="10"/>
          <w:b w:val="1"/>
          <w:bCs w:val="1"/>
          <w:color w:val="auto"/>
        </w:rPr>
      </w:pPr>
      <w:r>
        <w:rPr>
          <w:rFonts w:ascii="Arial" w:cs="Arial" w:eastAsia="Arial" w:hAnsi="Arial"/>
          <w:sz w:val="12"/>
          <w:szCs w:val="12"/>
          <w:color w:val="auto"/>
        </w:rPr>
        <w:t>As of December 31, 2021 and 2020, the Company had authorized 100,000,000 shares of preferred stock, par value $0.001, of which no shares were issued and outstanding.</w:t>
      </w:r>
    </w:p>
    <w:p>
      <w:pPr>
        <w:spacing w:after="0" w:line="150" w:lineRule="exact"/>
        <w:rPr>
          <w:sz w:val="20"/>
          <w:szCs w:val="20"/>
          <w:color w:val="auto"/>
        </w:rPr>
      </w:pPr>
    </w:p>
    <w:p>
      <w:pPr>
        <w:ind w:left="328"/>
        <w:spacing w:after="0"/>
        <w:rPr>
          <w:sz w:val="20"/>
          <w:szCs w:val="20"/>
          <w:color w:val="auto"/>
        </w:rPr>
      </w:pPr>
      <w:r>
        <w:rPr>
          <w:rFonts w:ascii="Arial" w:cs="Arial" w:eastAsia="Arial" w:hAnsi="Arial"/>
          <w:sz w:val="12"/>
          <w:szCs w:val="12"/>
          <w:b w:val="1"/>
          <w:bCs w:val="1"/>
          <w:i w:val="1"/>
          <w:iCs w:val="1"/>
          <w:color w:val="auto"/>
        </w:rPr>
        <w:t>Common Stock</w:t>
      </w:r>
    </w:p>
    <w:p>
      <w:pPr>
        <w:spacing w:after="0" w:line="150" w:lineRule="exact"/>
        <w:rPr>
          <w:sz w:val="20"/>
          <w:szCs w:val="20"/>
          <w:color w:val="auto"/>
        </w:rPr>
      </w:pPr>
    </w:p>
    <w:p>
      <w:pPr>
        <w:jc w:val="both"/>
        <w:ind w:left="8" w:right="160" w:firstLine="324"/>
        <w:spacing w:after="0" w:line="263" w:lineRule="auto"/>
        <w:rPr>
          <w:sz w:val="20"/>
          <w:szCs w:val="20"/>
          <w:color w:val="auto"/>
        </w:rPr>
      </w:pPr>
      <w:r>
        <w:rPr>
          <w:rFonts w:ascii="Arial" w:cs="Arial" w:eastAsia="Arial" w:hAnsi="Arial"/>
          <w:sz w:val="12"/>
          <w:szCs w:val="12"/>
          <w:color w:val="auto"/>
        </w:rPr>
        <w:t>As of December 31, 2021 and 2020, the Company had authorized 1,000,000,000 shares of Class A common stock and 100,000,000 shares of Class B common stock, each par value $0.001 per share. As of December 31, 2021, 170,625,994 shares of Class A common stock and 9,842,105 shares of Class B common stock were issued and outstanding. As of December 31, 2020, 153,496,222 shares of Class A common stock and 10,551,302 shares of Class B common stock were issued and outstanding.</w:t>
      </w:r>
    </w:p>
    <w:p>
      <w:pPr>
        <w:spacing w:after="0" w:line="122"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Company had reserved shares of common stock for issuance as follows:</w:t>
      </w:r>
    </w:p>
    <w:p>
      <w:pPr>
        <w:spacing w:after="0" w:line="171" w:lineRule="exact"/>
        <w:rPr>
          <w:sz w:val="20"/>
          <w:szCs w:val="20"/>
          <w:color w:val="auto"/>
        </w:rPr>
      </w:pPr>
    </w:p>
    <w:tbl>
      <w:tblPr>
        <w:tblLayout w:type="fixed"/>
        <w:tblInd w:w="608" w:type="dxa"/>
        <w:tblCellMar>
          <w:top w:w="0" w:type="dxa"/>
          <w:left w:w="0" w:type="dxa"/>
          <w:bottom w:w="0" w:type="dxa"/>
          <w:right w:w="0" w:type="dxa"/>
        </w:tblCellMar>
      </w:tblPr>
      <w:tr>
        <w:trPr>
          <w:trHeight w:val="127"/>
        </w:trPr>
        <w:tc>
          <w:tcPr>
            <w:tcW w:w="7780" w:type="dxa"/>
            <w:vAlign w:val="bottom"/>
          </w:tcPr>
          <w:p>
            <w:pPr>
              <w:spacing w:after="0"/>
              <w:rPr>
                <w:sz w:val="11"/>
                <w:szCs w:val="11"/>
                <w:color w:val="auto"/>
              </w:rPr>
            </w:pPr>
          </w:p>
        </w:tc>
        <w:tc>
          <w:tcPr>
            <w:tcW w:w="1980" w:type="dxa"/>
            <w:vAlign w:val="bottom"/>
            <w:tcBorders>
              <w:bottom w:val="single" w:sz="8" w:color="auto"/>
            </w:tcBorders>
            <w:gridSpan w:val="3"/>
          </w:tcPr>
          <w:p>
            <w:pPr>
              <w:ind w:left="1080"/>
              <w:spacing w:after="0"/>
              <w:rPr>
                <w:sz w:val="20"/>
                <w:szCs w:val="20"/>
                <w:color w:val="auto"/>
              </w:rPr>
            </w:pPr>
            <w:r>
              <w:rPr>
                <w:rFonts w:ascii="Arial" w:cs="Arial" w:eastAsia="Arial" w:hAnsi="Arial"/>
                <w:sz w:val="10"/>
                <w:szCs w:val="10"/>
                <w:b w:val="1"/>
                <w:bCs w:val="1"/>
                <w:color w:val="auto"/>
                <w:w w:val="94"/>
              </w:rPr>
              <w:t>As of December 31,</w:t>
            </w:r>
          </w:p>
        </w:tc>
        <w:tc>
          <w:tcPr>
            <w:tcW w:w="660" w:type="dxa"/>
            <w:vAlign w:val="bottom"/>
            <w:tcBorders>
              <w:bottom w:val="single" w:sz="8" w:color="auto"/>
            </w:tcBorders>
          </w:tcPr>
          <w:p>
            <w:pPr>
              <w:spacing w:after="0"/>
              <w:rPr>
                <w:sz w:val="11"/>
                <w:szCs w:val="11"/>
                <w:color w:val="auto"/>
              </w:rPr>
            </w:pPr>
          </w:p>
        </w:tc>
      </w:tr>
      <w:tr>
        <w:trPr>
          <w:trHeight w:val="118"/>
        </w:trPr>
        <w:tc>
          <w:tcPr>
            <w:tcW w:w="7780" w:type="dxa"/>
            <w:vAlign w:val="bottom"/>
            <w:tcBorders>
              <w:bottom w:val="single" w:sz="8" w:color="CCEEFF"/>
            </w:tcBorders>
          </w:tcPr>
          <w:p>
            <w:pPr>
              <w:spacing w:after="0"/>
              <w:rPr>
                <w:sz w:val="10"/>
                <w:szCs w:val="10"/>
                <w:color w:val="auto"/>
              </w:rPr>
            </w:pPr>
          </w:p>
        </w:tc>
        <w:tc>
          <w:tcPr>
            <w:tcW w:w="1280" w:type="dxa"/>
            <w:vAlign w:val="bottom"/>
            <w:tcBorders>
              <w:bottom w:val="single" w:sz="8" w:color="auto"/>
            </w:tcBorders>
          </w:tcPr>
          <w:p>
            <w:pPr>
              <w:jc w:val="right"/>
              <w:ind w:right="327"/>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27"/>
              <w:spacing w:after="0"/>
              <w:rPr>
                <w:sz w:val="20"/>
                <w:szCs w:val="20"/>
                <w:color w:val="auto"/>
              </w:rPr>
            </w:pPr>
            <w:r>
              <w:rPr>
                <w:rFonts w:ascii="Arial" w:cs="Arial" w:eastAsia="Arial" w:hAnsi="Arial"/>
                <w:sz w:val="10"/>
                <w:szCs w:val="10"/>
                <w:b w:val="1"/>
                <w:bCs w:val="1"/>
                <w:color w:val="auto"/>
              </w:rPr>
              <w:t>2020</w:t>
            </w:r>
          </w:p>
        </w:tc>
      </w:tr>
      <w:tr>
        <w:trPr>
          <w:trHeight w:val="134"/>
        </w:trPr>
        <w:tc>
          <w:tcPr>
            <w:tcW w:w="77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Stock options issued and outstanding</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3,351,313</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5,625,735</w:t>
            </w:r>
          </w:p>
        </w:tc>
      </w:tr>
      <w:tr>
        <w:trPr>
          <w:trHeight w:val="142"/>
        </w:trPr>
        <w:tc>
          <w:tcPr>
            <w:tcW w:w="7780" w:type="dxa"/>
            <w:vAlign w:val="bottom"/>
          </w:tcPr>
          <w:p>
            <w:pPr>
              <w:ind w:left="340"/>
              <w:spacing w:after="0"/>
              <w:rPr>
                <w:sz w:val="20"/>
                <w:szCs w:val="20"/>
                <w:color w:val="auto"/>
              </w:rPr>
            </w:pPr>
            <w:r>
              <w:rPr>
                <w:rFonts w:ascii="Arial" w:cs="Arial" w:eastAsia="Arial" w:hAnsi="Arial"/>
                <w:sz w:val="11"/>
                <w:szCs w:val="11"/>
                <w:color w:val="auto"/>
              </w:rPr>
              <w:t>Unvested restricted stock units issued and outstanding</w:t>
            </w:r>
          </w:p>
        </w:tc>
        <w:tc>
          <w:tcPr>
            <w:tcW w:w="1280" w:type="dxa"/>
            <w:vAlign w:val="bottom"/>
          </w:tcPr>
          <w:p>
            <w:pPr>
              <w:jc w:val="right"/>
              <w:spacing w:after="0"/>
              <w:rPr>
                <w:sz w:val="20"/>
                <w:szCs w:val="20"/>
                <w:color w:val="auto"/>
              </w:rPr>
            </w:pPr>
            <w:r>
              <w:rPr>
                <w:rFonts w:ascii="Arial" w:cs="Arial" w:eastAsia="Arial" w:hAnsi="Arial"/>
                <w:sz w:val="11"/>
                <w:szCs w:val="11"/>
                <w:color w:val="auto"/>
              </w:rPr>
              <w:t>6,475,700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7,523,882</w:t>
            </w:r>
          </w:p>
        </w:tc>
      </w:tr>
      <w:tr>
        <w:trPr>
          <w:trHeight w:val="146"/>
        </w:trPr>
        <w:tc>
          <w:tcPr>
            <w:tcW w:w="77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Class A common stock reserved for Twilio.org</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618,857</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707,265</w:t>
            </w:r>
          </w:p>
        </w:tc>
      </w:tr>
      <w:tr>
        <w:trPr>
          <w:trHeight w:val="142"/>
        </w:trPr>
        <w:tc>
          <w:tcPr>
            <w:tcW w:w="7780" w:type="dxa"/>
            <w:vAlign w:val="bottom"/>
          </w:tcPr>
          <w:p>
            <w:pPr>
              <w:ind w:left="340"/>
              <w:spacing w:after="0"/>
              <w:rPr>
                <w:sz w:val="20"/>
                <w:szCs w:val="20"/>
                <w:color w:val="auto"/>
              </w:rPr>
            </w:pPr>
            <w:r>
              <w:rPr>
                <w:rFonts w:ascii="Arial" w:cs="Arial" w:eastAsia="Arial" w:hAnsi="Arial"/>
                <w:sz w:val="11"/>
                <w:szCs w:val="11"/>
                <w:color w:val="auto"/>
              </w:rPr>
              <w:t>Stock-based awards available for grant under 2016 Plan</w:t>
            </w:r>
          </w:p>
        </w:tc>
        <w:tc>
          <w:tcPr>
            <w:tcW w:w="1280" w:type="dxa"/>
            <w:vAlign w:val="bottom"/>
          </w:tcPr>
          <w:p>
            <w:pPr>
              <w:jc w:val="right"/>
              <w:spacing w:after="0"/>
              <w:rPr>
                <w:sz w:val="20"/>
                <w:szCs w:val="20"/>
                <w:color w:val="auto"/>
              </w:rPr>
            </w:pPr>
            <w:r>
              <w:rPr>
                <w:rFonts w:ascii="Arial" w:cs="Arial" w:eastAsia="Arial" w:hAnsi="Arial"/>
                <w:sz w:val="11"/>
                <w:szCs w:val="11"/>
                <w:color w:val="auto"/>
              </w:rPr>
              <w:t>24,650,104</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18,942,205</w:t>
            </w:r>
          </w:p>
        </w:tc>
      </w:tr>
      <w:tr>
        <w:trPr>
          <w:trHeight w:val="146"/>
        </w:trPr>
        <w:tc>
          <w:tcPr>
            <w:tcW w:w="77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Stock-based awards available for grant under ESPP</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6,382,830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4,941,281</w:t>
            </w:r>
          </w:p>
        </w:tc>
      </w:tr>
      <w:tr>
        <w:trPr>
          <w:trHeight w:val="142"/>
        </w:trPr>
        <w:tc>
          <w:tcPr>
            <w:tcW w:w="7780" w:type="dxa"/>
            <w:vAlign w:val="bottom"/>
          </w:tcPr>
          <w:p>
            <w:pPr>
              <w:ind w:left="340"/>
              <w:spacing w:after="0"/>
              <w:rPr>
                <w:sz w:val="20"/>
                <w:szCs w:val="20"/>
                <w:color w:val="auto"/>
              </w:rPr>
            </w:pPr>
            <w:r>
              <w:rPr>
                <w:rFonts w:ascii="Arial" w:cs="Arial" w:eastAsia="Arial" w:hAnsi="Arial"/>
                <w:sz w:val="11"/>
                <w:szCs w:val="11"/>
                <w:color w:val="auto"/>
              </w:rPr>
              <w:t>Class A common stock reserved for the Convertible Notes</w:t>
            </w:r>
          </w:p>
        </w:tc>
        <w:tc>
          <w:tcPr>
            <w:tcW w:w="1980" w:type="dxa"/>
            <w:vAlign w:val="bottom"/>
            <w:gridSpan w:val="3"/>
          </w:tcPr>
          <w:p>
            <w:pPr>
              <w:jc w:val="right"/>
              <w:ind w:right="7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7,569,731</w:t>
            </w:r>
          </w:p>
        </w:tc>
      </w:tr>
      <w:tr>
        <w:trPr>
          <w:trHeight w:val="151"/>
        </w:trPr>
        <w:tc>
          <w:tcPr>
            <w:tcW w:w="7780" w:type="dxa"/>
            <w:vAlign w:val="bottom"/>
            <w:tcBorders>
              <w:top w:val="single" w:sz="8" w:color="CCEEFF"/>
              <w:bottom w:val="single" w:sz="8" w:color="CCEEFF"/>
            </w:tcBorders>
            <w:shd w:val="clear" w:color="auto" w:fill="CCEEFF"/>
          </w:tcPr>
          <w:p>
            <w:pPr>
              <w:ind w:left="460"/>
              <w:spacing w:after="0" w:line="122" w:lineRule="exact"/>
              <w:rPr>
                <w:sz w:val="20"/>
                <w:szCs w:val="20"/>
                <w:color w:val="auto"/>
              </w:rPr>
            </w:pPr>
            <w:r>
              <w:rPr>
                <w:rFonts w:ascii="Arial" w:cs="Arial" w:eastAsia="Arial" w:hAnsi="Arial"/>
                <w:sz w:val="11"/>
                <w:szCs w:val="11"/>
                <w:color w:val="auto"/>
              </w:rPr>
              <w:t>Total</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41,478,804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45,310,099</w:t>
            </w:r>
          </w:p>
        </w:tc>
      </w:tr>
    </w:tbl>
    <w:p>
      <w:pPr>
        <w:spacing w:after="0" w:line="198" w:lineRule="exact"/>
        <w:rPr>
          <w:sz w:val="20"/>
          <w:szCs w:val="20"/>
          <w:color w:val="auto"/>
        </w:rPr>
      </w:pPr>
    </w:p>
    <w:p>
      <w:pPr>
        <w:ind w:left="328"/>
        <w:spacing w:after="0"/>
        <w:rPr>
          <w:sz w:val="20"/>
          <w:szCs w:val="20"/>
          <w:color w:val="auto"/>
        </w:rPr>
      </w:pPr>
      <w:r>
        <w:rPr>
          <w:rFonts w:ascii="Arial" w:cs="Arial" w:eastAsia="Arial" w:hAnsi="Arial"/>
          <w:sz w:val="12"/>
          <w:szCs w:val="12"/>
          <w:b w:val="1"/>
          <w:bCs w:val="1"/>
          <w:i w:val="1"/>
          <w:iCs w:val="1"/>
          <w:color w:val="auto"/>
        </w:rPr>
        <w:t>Public Equity Offerings</w:t>
      </w:r>
    </w:p>
    <w:p>
      <w:pPr>
        <w:spacing w:after="0" w:line="150" w:lineRule="exact"/>
        <w:rPr>
          <w:sz w:val="20"/>
          <w:szCs w:val="20"/>
          <w:color w:val="auto"/>
        </w:rPr>
      </w:pPr>
    </w:p>
    <w:p>
      <w:pPr>
        <w:ind w:left="8" w:firstLine="324"/>
        <w:spacing w:after="0" w:line="263" w:lineRule="auto"/>
        <w:rPr>
          <w:sz w:val="20"/>
          <w:szCs w:val="20"/>
          <w:color w:val="auto"/>
        </w:rPr>
      </w:pPr>
      <w:r>
        <w:rPr>
          <w:rFonts w:ascii="Arial" w:cs="Arial" w:eastAsia="Arial" w:hAnsi="Arial"/>
          <w:sz w:val="12"/>
          <w:szCs w:val="12"/>
          <w:color w:val="auto"/>
        </w:rPr>
        <w:t>In February 2021, August 2020 and June 2019, the Company completed public equity offerings in which it sold 4,312,500 shares, 5,819,838 shares and 8,064,515 shares, respectively, of its Class A common stock at a public offering price of $409.60, $247.00 and $124.00 per share, respectively. The Company received total proceeds of $1.8 billion, $1.4 billion and $979.0 million, respectively, net of underwriting discounts and offering expenses paid by the Company.</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15. Stock-Based Compensation</w:t>
      </w:r>
    </w:p>
    <w:p>
      <w:pPr>
        <w:spacing w:after="0" w:line="154" w:lineRule="exact"/>
        <w:rPr>
          <w:sz w:val="20"/>
          <w:szCs w:val="20"/>
          <w:color w:val="auto"/>
        </w:rPr>
      </w:pPr>
    </w:p>
    <w:p>
      <w:pPr>
        <w:ind w:left="328"/>
        <w:spacing w:after="0"/>
        <w:rPr>
          <w:sz w:val="20"/>
          <w:szCs w:val="20"/>
          <w:color w:val="auto"/>
        </w:rPr>
      </w:pPr>
      <w:r>
        <w:rPr>
          <w:rFonts w:ascii="Arial" w:cs="Arial" w:eastAsia="Arial" w:hAnsi="Arial"/>
          <w:sz w:val="12"/>
          <w:szCs w:val="12"/>
          <w:b w:val="1"/>
          <w:bCs w:val="1"/>
          <w:i w:val="1"/>
          <w:iCs w:val="1"/>
          <w:color w:val="auto"/>
        </w:rPr>
        <w:t>2008 Stock Option Plan</w:t>
      </w:r>
    </w:p>
    <w:p>
      <w:pPr>
        <w:spacing w:after="0" w:line="150" w:lineRule="exact"/>
        <w:rPr>
          <w:sz w:val="20"/>
          <w:szCs w:val="20"/>
          <w:color w:val="auto"/>
        </w:rPr>
      </w:pPr>
    </w:p>
    <w:p>
      <w:pPr>
        <w:ind w:left="8" w:right="100" w:firstLine="324"/>
        <w:spacing w:after="0" w:line="146" w:lineRule="exact"/>
        <w:rPr>
          <w:sz w:val="20"/>
          <w:szCs w:val="20"/>
          <w:color w:val="auto"/>
        </w:rPr>
      </w:pPr>
      <w:r>
        <w:rPr>
          <w:rFonts w:ascii="Arial" w:cs="Arial" w:eastAsia="Arial" w:hAnsi="Arial"/>
          <w:sz w:val="10"/>
          <w:szCs w:val="10"/>
          <w:color w:val="auto"/>
        </w:rPr>
        <w:t>The Company maintained a stock plan, the 2008 Stock Option Plan, as amended and restated (the “2008 Plan”), which allowed the Company to grant incentive (“ISO”), non</w:t>
      </w:r>
      <w:r>
        <w:rPr>
          <w:rFonts w:ascii="MS PGothic" w:cs="MS PGothic" w:eastAsia="MS PGothic" w:hAnsi="MS PGothic"/>
          <w:sz w:val="10"/>
          <w:szCs w:val="10"/>
          <w:color w:val="auto"/>
        </w:rPr>
        <w:t>‑</w:t>
      </w:r>
      <w:r>
        <w:rPr>
          <w:rFonts w:ascii="Arial" w:cs="Arial" w:eastAsia="Arial" w:hAnsi="Arial"/>
          <w:sz w:val="10"/>
          <w:szCs w:val="10"/>
          <w:color w:val="auto"/>
        </w:rPr>
        <w:t>statutory (“NSO”) stock options and restricted stock units (“RSU”) to its employees, directors and consultants to participate in the Company’s future performance through stock</w:t>
      </w:r>
      <w:r>
        <w:rPr>
          <w:rFonts w:ascii="MS PGothic" w:cs="MS PGothic" w:eastAsia="MS PGothic" w:hAnsi="MS PGothic"/>
          <w:sz w:val="10"/>
          <w:szCs w:val="10"/>
          <w:color w:val="auto"/>
        </w:rPr>
        <w:t>‑</w:t>
      </w:r>
      <w:r>
        <w:rPr>
          <w:rFonts w:ascii="Arial" w:cs="Arial" w:eastAsia="Arial" w:hAnsi="Arial"/>
          <w:sz w:val="10"/>
          <w:szCs w:val="10"/>
          <w:color w:val="auto"/>
        </w:rPr>
        <w:t>based awards at the discretion of the board of directors. Under the 2008 Plan, options to purchase the Company’s common stock could not be granted at a price less than fair value in the case of ISOs and NSOs. Fair value was determined by the board of directors, in good faith, with input from valuation consultants. On June 22, 2016, the plan was terminated in connection with the Company’s IPO. Accordingly, no shares are available for future issuance under the 2008 Plan. The 2008 Plan continues to govern outstanding equity awards granted thereunder. The Company’s right of first refusal for outstanding equity awards granted under the 2008 Plan terminated upon completion of the IPO. All remaining outstanding stock options granted under the 2008 Plan are vested and exercisable.</w:t>
      </w:r>
    </w:p>
    <w:p>
      <w:pPr>
        <w:spacing w:after="0" w:line="199"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31" w:right="339" w:bottom="1440" w:gutter="0" w:footer="0" w:header="0"/>
        </w:sectPr>
      </w:pPr>
    </w:p>
    <w:bookmarkStart w:id="110" w:name="page111"/>
    <w:bookmarkEnd w:id="11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2016 Stock Option Plan</w:t>
      </w:r>
    </w:p>
    <w:p>
      <w:pPr>
        <w:spacing w:after="0" w:line="150" w:lineRule="exact"/>
        <w:rPr>
          <w:sz w:val="20"/>
          <w:szCs w:val="20"/>
          <w:color w:val="auto"/>
        </w:rPr>
      </w:pPr>
    </w:p>
    <w:p>
      <w:pPr>
        <w:ind w:right="80" w:firstLine="324"/>
        <w:spacing w:after="0" w:line="256" w:lineRule="auto"/>
        <w:rPr>
          <w:sz w:val="20"/>
          <w:szCs w:val="20"/>
          <w:color w:val="auto"/>
        </w:rPr>
      </w:pPr>
      <w:r>
        <w:rPr>
          <w:rFonts w:ascii="Arial" w:cs="Arial" w:eastAsia="Arial" w:hAnsi="Arial"/>
          <w:sz w:val="12"/>
          <w:szCs w:val="12"/>
          <w:color w:val="auto"/>
        </w:rPr>
        <w:t>The Company’s 2016 Stock Option and Incentive Plan (the “2016 Plan”) became effective on June 21, 2016. The 2016 Plan provides for the grant of ISOs, NSOs, restricted stock, RSUs, stock appreciation rights, unrestricted stock awards, performance share awards, dividend equivalent rights and cash-based awards to employees, directors and consultants of the Company. A total of 11,500,000 shares of the Company’s Class A common stock were initially reserved for issuance under the 2016 Plan. These available shares automatically increase each January 1, beginning on January 1, 2017, by 5% of the number of shares of the Company’s Class A and Class B common stock outstanding on the immediately preceding December 31, or such lesser number of shares as determined by the Company’s compensation committee. On January 1, 2021 and 2020, the shares available for grant under the 2016 Plan were automatically increased by 8,202,376 shares and 6,920,640 shares,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Under the 2016 Plan, the stock options are granted at a price per share not less than 100% of the fair market value per share of the underlying common stock on the date of grant.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Segment 2013 Stock Incentive Plan</w:t>
      </w:r>
    </w:p>
    <w:p>
      <w:pPr>
        <w:spacing w:after="0" w:line="150" w:lineRule="exact"/>
        <w:rPr>
          <w:sz w:val="20"/>
          <w:szCs w:val="20"/>
          <w:color w:val="auto"/>
        </w:rPr>
      </w:pPr>
    </w:p>
    <w:p>
      <w:pPr>
        <w:ind w:right="200" w:firstLine="324"/>
        <w:spacing w:after="0" w:line="276" w:lineRule="auto"/>
        <w:rPr>
          <w:sz w:val="20"/>
          <w:szCs w:val="20"/>
          <w:color w:val="auto"/>
        </w:rPr>
      </w:pPr>
      <w:r>
        <w:rPr>
          <w:rFonts w:ascii="Arial" w:cs="Arial" w:eastAsia="Arial" w:hAnsi="Arial"/>
          <w:sz w:val="12"/>
          <w:szCs w:val="12"/>
          <w:color w:val="auto"/>
        </w:rPr>
        <w:t>In connection with its acquisition of Segment, the Company assumed and replaced all stock options and restricted stock units of continuing employees issued under Segment’s 2013 Stock Incentive Plan (“Segment Plan”) that were unvested and outstanding on the acquisition date. The assumed equity awards will continue to be outstanding and will be governed by the provisions of the Segment Plan.</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SendGrid 2009, 2012 and 2017 Stock Incentive Plans</w:t>
      </w:r>
    </w:p>
    <w:p>
      <w:pPr>
        <w:spacing w:after="0" w:line="150" w:lineRule="exact"/>
        <w:rPr>
          <w:sz w:val="20"/>
          <w:szCs w:val="20"/>
          <w:color w:val="auto"/>
        </w:rPr>
      </w:pPr>
    </w:p>
    <w:p>
      <w:pPr>
        <w:ind w:right="80" w:firstLine="324"/>
        <w:spacing w:after="0" w:line="259" w:lineRule="auto"/>
        <w:rPr>
          <w:sz w:val="20"/>
          <w:szCs w:val="20"/>
          <w:color w:val="auto"/>
        </w:rPr>
      </w:pPr>
      <w:r>
        <w:rPr>
          <w:rFonts w:ascii="Arial" w:cs="Arial" w:eastAsia="Arial" w:hAnsi="Arial"/>
          <w:sz w:val="12"/>
          <w:szCs w:val="12"/>
          <w:color w:val="auto"/>
        </w:rPr>
        <w:t>In connection with its acquisition of SendGrid, the Company assumed all stock options and restricted stock units issued under SendGrid’s 2009, 2012 and 2017 Stock Incentive Plans that were outstanding on the date of acquisition. The assumed equity awards will continue to be outstanding and will be governed by the provisions of their respective plans. Additionally, the Company assumed shares of SendGrid common stock that were reserved and available for issuance under SendGrid's 2017 Equity Incentive Plan, on an as converted basis. These shares can be utilized for future equity grants under the Company’s 2016 Plan, to the extent permitted by New York Stock Exchange rules.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Zipwhip 2008 Stock Plan and 2018 Equity Incentive Plan</w:t>
      </w:r>
    </w:p>
    <w:p>
      <w:pPr>
        <w:spacing w:after="0" w:line="150" w:lineRule="exact"/>
        <w:rPr>
          <w:sz w:val="20"/>
          <w:szCs w:val="20"/>
          <w:color w:val="auto"/>
        </w:rPr>
      </w:pPr>
    </w:p>
    <w:p>
      <w:pPr>
        <w:ind w:right="260" w:firstLine="324"/>
        <w:spacing w:after="0" w:line="323" w:lineRule="auto"/>
        <w:rPr>
          <w:sz w:val="20"/>
          <w:szCs w:val="20"/>
          <w:color w:val="auto"/>
        </w:rPr>
      </w:pPr>
      <w:r>
        <w:rPr>
          <w:rFonts w:ascii="Arial" w:cs="Arial" w:eastAsia="Arial" w:hAnsi="Arial"/>
          <w:sz w:val="11"/>
          <w:szCs w:val="11"/>
          <w:color w:val="auto"/>
        </w:rPr>
        <w:t>In connection with its acquisition of Zipwhip, the Company assumed and replaced all stock options and restricted stock units of continuing employees issued under Zipwhip Amended and Restated 2008 Stock Plan and 2018 Equity Incentive Plan (“Zipwhip Plans”) that were unvested and outstanding on the acquisition date. The assumed equity awards will continue to be outstanding and will be governed by the provisions of the Zipwhip Plans.</w:t>
      </w:r>
    </w:p>
    <w:p>
      <w:pPr>
        <w:spacing w:after="0" w:line="92" w:lineRule="exact"/>
        <w:rPr>
          <w:sz w:val="20"/>
          <w:szCs w:val="20"/>
          <w:color w:val="auto"/>
        </w:rPr>
      </w:pPr>
    </w:p>
    <w:p>
      <w:pPr>
        <w:ind w:firstLine="324"/>
        <w:spacing w:after="0" w:line="323" w:lineRule="auto"/>
        <w:rPr>
          <w:sz w:val="20"/>
          <w:szCs w:val="20"/>
          <w:color w:val="auto"/>
        </w:rPr>
      </w:pPr>
      <w:r>
        <w:rPr>
          <w:rFonts w:ascii="Arial" w:cs="Arial" w:eastAsia="Arial" w:hAnsi="Arial"/>
          <w:sz w:val="11"/>
          <w:szCs w:val="11"/>
          <w:color w:val="auto"/>
        </w:rPr>
        <w:t>Under all plans, stock options generally expire 10 years from the date of grant and vest over periods determined by the board of directors. The vesting period for stock options and restricted stock units is generally four years from the date of grant. For existing employees and, effective February 2021, for new-hires the stock options and restricted stock units vest in equal monthly and quarterly installments, respectively, over the service period.</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2016 Employee Stock Purchase Plan</w:t>
      </w:r>
    </w:p>
    <w:p>
      <w:pPr>
        <w:spacing w:after="0" w:line="150" w:lineRule="exact"/>
        <w:rPr>
          <w:sz w:val="20"/>
          <w:szCs w:val="20"/>
          <w:color w:val="auto"/>
        </w:rPr>
      </w:pPr>
    </w:p>
    <w:p>
      <w:pPr>
        <w:ind w:right="80" w:firstLine="324"/>
        <w:spacing w:after="0" w:line="259" w:lineRule="auto"/>
        <w:rPr>
          <w:sz w:val="20"/>
          <w:szCs w:val="20"/>
          <w:color w:val="auto"/>
        </w:rPr>
      </w:pPr>
      <w:r>
        <w:rPr>
          <w:rFonts w:ascii="Arial" w:cs="Arial" w:eastAsia="Arial" w:hAnsi="Arial"/>
          <w:sz w:val="12"/>
          <w:szCs w:val="12"/>
          <w:color w:val="auto"/>
        </w:rPr>
        <w:t>The Company’s Employee Stock Purchase Plan (“2016 ESPP”), as amended, initially became effective on June 21, 2016. A total of 2,400,000 shares of the Company’s Class A common stock were initially reserved for issuance under the 2016 ESPP. These available shares automatically increase each January 1, beginning on January 1, 2017, by the lesser of 1,800,000 shares of the Company's Class A common stock, 1% of the number of shares of the Company’s Class A and Class B common stock outstanding on the immediately preceding December 31 or such lesser number of shares as determined by the Company’s compensation committee. On January 1, 2021 and 2020, the shares available for grant under the 2016 ESPP were automatically increased by 1,640,475 shares and 1,384,128 shares, respectively.</w:t>
      </w:r>
    </w:p>
    <w:p>
      <w:pPr>
        <w:spacing w:after="0" w:line="124" w:lineRule="exact"/>
        <w:rPr>
          <w:sz w:val="20"/>
          <w:szCs w:val="20"/>
          <w:color w:val="auto"/>
        </w:rPr>
      </w:pPr>
    </w:p>
    <w:p>
      <w:pPr>
        <w:ind w:right="180" w:firstLine="324"/>
        <w:spacing w:after="0" w:line="276" w:lineRule="auto"/>
        <w:rPr>
          <w:sz w:val="20"/>
          <w:szCs w:val="20"/>
          <w:color w:val="auto"/>
        </w:rPr>
      </w:pPr>
      <w:r>
        <w:rPr>
          <w:rFonts w:ascii="Arial" w:cs="Arial" w:eastAsia="Arial" w:hAnsi="Arial"/>
          <w:sz w:val="12"/>
          <w:szCs w:val="12"/>
          <w:color w:val="auto"/>
        </w:rPr>
        <w:t>The 2016 ESPP allows eligible employees to purchase shares of the Company’s Class A common stock at a discount of up to 15% through payroll deductions of their eligible compensation, subject to any plan limitations. The 2016 ESPP provides for separate six-month offering periods beginning in May and November of each fiscal year.</w:t>
      </w:r>
    </w:p>
    <w:p>
      <w:pPr>
        <w:spacing w:after="0" w:line="115" w:lineRule="exact"/>
        <w:rPr>
          <w:sz w:val="20"/>
          <w:szCs w:val="20"/>
          <w:color w:val="auto"/>
        </w:rPr>
      </w:pPr>
    </w:p>
    <w:p>
      <w:pPr>
        <w:ind w:right="260" w:firstLine="324"/>
        <w:spacing w:after="0" w:line="276" w:lineRule="auto"/>
        <w:rPr>
          <w:sz w:val="20"/>
          <w:szCs w:val="20"/>
          <w:color w:val="auto"/>
        </w:rPr>
      </w:pPr>
      <w:r>
        <w:rPr>
          <w:rFonts w:ascii="Arial" w:cs="Arial" w:eastAsia="Arial" w:hAnsi="Arial"/>
          <w:sz w:val="12"/>
          <w:szCs w:val="12"/>
          <w:color w:val="auto"/>
        </w:rPr>
        <w:t>On each purchase date, eligible employees purchase the Company’s stock at a price per share equal to 85% of the lesser of (i) the fair market value of the Company’s Class A common stock on the offering date or (ii) the fair market value of the Company’s Class A common stock on the purchase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11" w:name="page112"/>
    <w:bookmarkEnd w:id="11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December 31, 2021, total unrecognized compensation cost related to the 2016 ESPP was not significant.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Stock-options and restricted stock units activity under the Company's 2008 Plan and 2016 Plan as well as respective Stock Incentive Plans of SendGrid and Segment was as follows: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Stock Options</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115"/>
        </w:trPr>
        <w:tc>
          <w:tcPr>
            <w:tcW w:w="3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3"/>
            <w:vMerge w:val="restart"/>
          </w:tcPr>
          <w:p>
            <w:pPr>
              <w:ind w:left="780"/>
              <w:spacing w:after="0"/>
              <w:rPr>
                <w:sz w:val="20"/>
                <w:szCs w:val="20"/>
                <w:color w:val="auto"/>
              </w:rPr>
            </w:pPr>
            <w:r>
              <w:rPr>
                <w:rFonts w:ascii="Arial" w:cs="Arial" w:eastAsia="Arial" w:hAnsi="Arial"/>
                <w:sz w:val="10"/>
                <w:szCs w:val="10"/>
                <w:b w:val="1"/>
                <w:bCs w:val="1"/>
                <w:color w:val="auto"/>
              </w:rPr>
              <w:t>Weighted-</w:t>
            </w:r>
          </w:p>
        </w:tc>
        <w:tc>
          <w:tcPr>
            <w:tcW w:w="1240" w:type="dxa"/>
            <w:vAlign w:val="bottom"/>
            <w:gridSpan w:val="2"/>
          </w:tcPr>
          <w:p>
            <w:pPr>
              <w:ind w:left="580"/>
              <w:spacing w:after="0"/>
              <w:rPr>
                <w:sz w:val="20"/>
                <w:szCs w:val="20"/>
                <w:color w:val="auto"/>
              </w:rPr>
            </w:pPr>
            <w:r>
              <w:rPr>
                <w:rFonts w:ascii="Arial" w:cs="Arial" w:eastAsia="Arial" w:hAnsi="Arial"/>
                <w:sz w:val="10"/>
                <w:szCs w:val="10"/>
                <w:b w:val="1"/>
                <w:bCs w:val="1"/>
                <w:color w:val="auto"/>
              </w:rPr>
              <w:t>Weighted-</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gridSpan w:val="3"/>
            <w:vMerge w:val="continue"/>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4"/>
              </w:rPr>
              <w:t>average</w:t>
            </w: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90"/>
        </w:trPr>
        <w:tc>
          <w:tcPr>
            <w:tcW w:w="3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7"/>
                <w:szCs w:val="7"/>
                <w:color w:val="auto"/>
              </w:rPr>
            </w:pPr>
          </w:p>
        </w:tc>
        <w:tc>
          <w:tcPr>
            <w:tcW w:w="1080" w:type="dxa"/>
            <w:vAlign w:val="bottom"/>
          </w:tcPr>
          <w:p>
            <w:pPr>
              <w:jc w:val="center"/>
              <w:ind w:left="392"/>
              <w:spacing w:after="0" w:line="90" w:lineRule="exact"/>
              <w:rPr>
                <w:sz w:val="20"/>
                <w:szCs w:val="20"/>
                <w:color w:val="auto"/>
              </w:rPr>
            </w:pPr>
            <w:r>
              <w:rPr>
                <w:rFonts w:ascii="Arial" w:cs="Arial" w:eastAsia="Arial" w:hAnsi="Arial"/>
                <w:sz w:val="10"/>
                <w:szCs w:val="10"/>
                <w:b w:val="1"/>
                <w:bCs w:val="1"/>
                <w:color w:val="auto"/>
                <w:w w:val="84"/>
              </w:rPr>
              <w:t>average</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60"/>
              <w:spacing w:after="0" w:line="90" w:lineRule="exact"/>
              <w:rPr>
                <w:sz w:val="20"/>
                <w:szCs w:val="20"/>
                <w:color w:val="auto"/>
              </w:rPr>
            </w:pPr>
            <w:r>
              <w:rPr>
                <w:rFonts w:ascii="Arial" w:cs="Arial" w:eastAsia="Arial" w:hAnsi="Arial"/>
                <w:sz w:val="10"/>
                <w:szCs w:val="10"/>
                <w:b w:val="1"/>
                <w:bCs w:val="1"/>
                <w:color w:val="auto"/>
                <w:w w:val="87"/>
              </w:rPr>
              <w:t>remaining</w:t>
            </w: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jc w:val="center"/>
              <w:ind w:left="392"/>
              <w:spacing w:after="0" w:line="90" w:lineRule="exact"/>
              <w:rPr>
                <w:sz w:val="20"/>
                <w:szCs w:val="20"/>
                <w:color w:val="auto"/>
              </w:rPr>
            </w:pPr>
            <w:r>
              <w:rPr>
                <w:rFonts w:ascii="Arial" w:cs="Arial" w:eastAsia="Arial" w:hAnsi="Arial"/>
                <w:sz w:val="10"/>
                <w:szCs w:val="10"/>
                <w:b w:val="1"/>
                <w:bCs w:val="1"/>
                <w:color w:val="auto"/>
                <w:w w:val="79"/>
              </w:rPr>
              <w:t>exercise</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88"/>
              </w:rPr>
              <w:t>contractual</w:t>
            </w: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gridSpan w:val="2"/>
          </w:tcPr>
          <w:p>
            <w:pPr>
              <w:jc w:val="center"/>
              <w:ind w:right="520"/>
              <w:spacing w:after="0" w:line="90" w:lineRule="exact"/>
              <w:rPr>
                <w:sz w:val="20"/>
                <w:szCs w:val="20"/>
                <w:color w:val="auto"/>
              </w:rPr>
            </w:pPr>
            <w:r>
              <w:rPr>
                <w:rFonts w:ascii="Arial" w:cs="Arial" w:eastAsia="Arial" w:hAnsi="Arial"/>
                <w:sz w:val="10"/>
                <w:szCs w:val="10"/>
                <w:b w:val="1"/>
                <w:bCs w:val="1"/>
                <w:color w:val="auto"/>
                <w:w w:val="87"/>
              </w:rPr>
              <w:t>intrinsic</w:t>
            </w:r>
          </w:p>
        </w:tc>
        <w:tc>
          <w:tcPr>
            <w:tcW w:w="0" w:type="dxa"/>
            <w:vAlign w:val="bottom"/>
          </w:tcPr>
          <w:p>
            <w:pPr>
              <w:spacing w:after="0"/>
              <w:rPr>
                <w:sz w:val="1"/>
                <w:szCs w:val="1"/>
                <w:color w:val="auto"/>
              </w:rPr>
            </w:pPr>
          </w:p>
        </w:tc>
      </w:tr>
      <w:tr>
        <w:trPr>
          <w:trHeight w:val="90"/>
        </w:trPr>
        <w:tc>
          <w:tcPr>
            <w:tcW w:w="380" w:type="dxa"/>
            <w:vAlign w:val="bottom"/>
          </w:tcPr>
          <w:p>
            <w:pPr>
              <w:spacing w:after="0"/>
              <w:rPr>
                <w:sz w:val="7"/>
                <w:szCs w:val="7"/>
                <w:color w:val="auto"/>
              </w:rPr>
            </w:pPr>
          </w:p>
        </w:tc>
        <w:tc>
          <w:tcPr>
            <w:tcW w:w="4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jc w:val="right"/>
              <w:ind w:right="372"/>
              <w:spacing w:after="0" w:line="90" w:lineRule="exact"/>
              <w:rPr>
                <w:sz w:val="20"/>
                <w:szCs w:val="20"/>
                <w:color w:val="auto"/>
              </w:rPr>
            </w:pPr>
            <w:r>
              <w:rPr>
                <w:rFonts w:ascii="Arial" w:cs="Arial" w:eastAsia="Arial" w:hAnsi="Arial"/>
                <w:sz w:val="10"/>
                <w:szCs w:val="10"/>
                <w:b w:val="1"/>
                <w:bCs w:val="1"/>
                <w:color w:val="auto"/>
              </w:rPr>
              <w:t>options</w:t>
            </w:r>
          </w:p>
        </w:tc>
        <w:tc>
          <w:tcPr>
            <w:tcW w:w="100" w:type="dxa"/>
            <w:vAlign w:val="bottom"/>
          </w:tcPr>
          <w:p>
            <w:pPr>
              <w:spacing w:after="0"/>
              <w:rPr>
                <w:sz w:val="7"/>
                <w:szCs w:val="7"/>
                <w:color w:val="auto"/>
              </w:rPr>
            </w:pPr>
          </w:p>
        </w:tc>
        <w:tc>
          <w:tcPr>
            <w:tcW w:w="1080" w:type="dxa"/>
            <w:vAlign w:val="bottom"/>
          </w:tcPr>
          <w:p>
            <w:pPr>
              <w:jc w:val="center"/>
              <w:ind w:left="392"/>
              <w:spacing w:after="0" w:line="90" w:lineRule="exact"/>
              <w:rPr>
                <w:sz w:val="20"/>
                <w:szCs w:val="20"/>
                <w:color w:val="auto"/>
              </w:rPr>
            </w:pPr>
            <w:r>
              <w:rPr>
                <w:rFonts w:ascii="Arial" w:cs="Arial" w:eastAsia="Arial" w:hAnsi="Arial"/>
                <w:sz w:val="10"/>
                <w:szCs w:val="10"/>
                <w:b w:val="1"/>
                <w:bCs w:val="1"/>
                <w:color w:val="auto"/>
                <w:w w:val="83"/>
              </w:rPr>
              <w:t>price</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80"/>
              <w:spacing w:after="0" w:line="90" w:lineRule="exact"/>
              <w:rPr>
                <w:sz w:val="20"/>
                <w:szCs w:val="20"/>
                <w:color w:val="auto"/>
              </w:rPr>
            </w:pPr>
            <w:r>
              <w:rPr>
                <w:rFonts w:ascii="Arial" w:cs="Arial" w:eastAsia="Arial" w:hAnsi="Arial"/>
                <w:sz w:val="10"/>
                <w:szCs w:val="10"/>
                <w:b w:val="1"/>
                <w:bCs w:val="1"/>
                <w:color w:val="auto"/>
                <w:w w:val="92"/>
              </w:rPr>
              <w:t>term</w:t>
            </w: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gridSpan w:val="2"/>
          </w:tcPr>
          <w:p>
            <w:pPr>
              <w:jc w:val="center"/>
              <w:ind w:right="520"/>
              <w:spacing w:after="0" w:line="90" w:lineRule="exact"/>
              <w:rPr>
                <w:sz w:val="20"/>
                <w:szCs w:val="20"/>
                <w:color w:val="auto"/>
              </w:rPr>
            </w:pPr>
            <w:r>
              <w:rPr>
                <w:rFonts w:ascii="Arial" w:cs="Arial" w:eastAsia="Arial" w:hAnsi="Arial"/>
                <w:sz w:val="10"/>
                <w:szCs w:val="10"/>
                <w:b w:val="1"/>
                <w:bCs w:val="1"/>
                <w:color w:val="auto"/>
                <w:w w:val="85"/>
              </w:rPr>
              <w:t>value</w:t>
            </w:r>
          </w:p>
        </w:tc>
        <w:tc>
          <w:tcPr>
            <w:tcW w:w="0" w:type="dxa"/>
            <w:vAlign w:val="bottom"/>
          </w:tcPr>
          <w:p>
            <w:pPr>
              <w:spacing w:after="0"/>
              <w:rPr>
                <w:sz w:val="1"/>
                <w:szCs w:val="1"/>
                <w:color w:val="auto"/>
              </w:rPr>
            </w:pPr>
          </w:p>
        </w:tc>
      </w:tr>
      <w:tr>
        <w:trPr>
          <w:trHeight w:val="125"/>
        </w:trPr>
        <w:tc>
          <w:tcPr>
            <w:tcW w:w="380" w:type="dxa"/>
            <w:vAlign w:val="bottom"/>
            <w:tcBorders>
              <w:bottom w:val="single" w:sz="8" w:color="CCEEFF"/>
            </w:tcBorders>
          </w:tcPr>
          <w:p>
            <w:pPr>
              <w:spacing w:after="0"/>
              <w:rPr>
                <w:sz w:val="10"/>
                <w:szCs w:val="10"/>
                <w:color w:val="auto"/>
              </w:rPr>
            </w:pPr>
          </w:p>
        </w:tc>
        <w:tc>
          <w:tcPr>
            <w:tcW w:w="43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w w:val="97"/>
              </w:rPr>
              <w:t>outstanding</w:t>
            </w:r>
          </w:p>
        </w:tc>
        <w:tc>
          <w:tcPr>
            <w:tcW w:w="10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center"/>
              <w:ind w:left="412"/>
              <w:spacing w:after="0"/>
              <w:rPr>
                <w:sz w:val="20"/>
                <w:szCs w:val="20"/>
                <w:color w:val="auto"/>
              </w:rPr>
            </w:pPr>
            <w:r>
              <w:rPr>
                <w:rFonts w:ascii="Arial" w:cs="Arial" w:eastAsia="Arial" w:hAnsi="Arial"/>
                <w:sz w:val="10"/>
                <w:szCs w:val="10"/>
                <w:b w:val="1"/>
                <w:bCs w:val="1"/>
                <w:color w:val="auto"/>
                <w:w w:val="87"/>
              </w:rPr>
              <w:t>(Per share)</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 years)</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0"/>
                <w:szCs w:val="10"/>
                <w:b w:val="1"/>
                <w:bCs w:val="1"/>
                <w:color w:val="auto"/>
                <w:w w:val="84"/>
              </w:rPr>
              <w:t>(In thousands)</w:t>
            </w:r>
          </w:p>
        </w:tc>
        <w:tc>
          <w:tcPr>
            <w:tcW w:w="0" w:type="dxa"/>
            <w:vAlign w:val="bottom"/>
          </w:tcPr>
          <w:p>
            <w:pPr>
              <w:spacing w:after="0"/>
              <w:rPr>
                <w:sz w:val="1"/>
                <w:szCs w:val="1"/>
                <w:color w:val="auto"/>
              </w:rPr>
            </w:pPr>
          </w:p>
        </w:tc>
      </w:tr>
      <w:tr>
        <w:trPr>
          <w:trHeight w:val="134"/>
        </w:trPr>
        <w:tc>
          <w:tcPr>
            <w:tcW w:w="380" w:type="dxa"/>
            <w:vAlign w:val="bottom"/>
            <w:shd w:val="clear" w:color="auto" w:fill="CCEEFF"/>
          </w:tcPr>
          <w:p>
            <w:pPr>
              <w:spacing w:after="0"/>
              <w:rPr>
                <w:sz w:val="11"/>
                <w:szCs w:val="11"/>
                <w:color w:val="auto"/>
              </w:rPr>
            </w:pPr>
          </w:p>
        </w:tc>
        <w:tc>
          <w:tcPr>
            <w:tcW w:w="4360" w:type="dxa"/>
            <w:vAlign w:val="bottom"/>
            <w:shd w:val="clear" w:color="auto" w:fill="CCEEFF"/>
          </w:tcPr>
          <w:p>
            <w:pPr>
              <w:ind w:left="60"/>
              <w:spacing w:after="0"/>
              <w:rPr>
                <w:sz w:val="20"/>
                <w:szCs w:val="20"/>
                <w:color w:val="auto"/>
              </w:rPr>
            </w:pPr>
            <w:r>
              <w:rPr>
                <w:rFonts w:ascii="Arial" w:cs="Arial" w:eastAsia="Arial" w:hAnsi="Arial"/>
                <w:sz w:val="11"/>
                <w:szCs w:val="11"/>
                <w:color w:val="auto"/>
              </w:rPr>
              <w:t>Outstanding options as of December 31, 2020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5,070,735</w:t>
            </w: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51.71</w:t>
            </w: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209"/>
              <w:spacing w:after="0"/>
              <w:rPr>
                <w:sz w:val="20"/>
                <w:szCs w:val="20"/>
                <w:color w:val="auto"/>
              </w:rPr>
            </w:pPr>
            <w:r>
              <w:rPr>
                <w:rFonts w:ascii="Arial" w:cs="Arial" w:eastAsia="Arial" w:hAnsi="Arial"/>
                <w:sz w:val="11"/>
                <w:szCs w:val="11"/>
                <w:color w:val="auto"/>
              </w:rPr>
              <w:t>6.85</w:t>
            </w:r>
          </w:p>
        </w:tc>
        <w:tc>
          <w:tcPr>
            <w:tcW w:w="80" w:type="dxa"/>
            <w:vAlign w:val="bottom"/>
            <w:shd w:val="clear" w:color="auto" w:fill="CCEEFF"/>
          </w:tcPr>
          <w:p>
            <w:pPr>
              <w:spacing w:after="0"/>
              <w:rPr>
                <w:sz w:val="11"/>
                <w:szCs w:val="11"/>
                <w:color w:val="auto"/>
              </w:rPr>
            </w:pPr>
          </w:p>
        </w:tc>
        <w:tc>
          <w:tcPr>
            <w:tcW w:w="260" w:type="dxa"/>
            <w:vAlign w:val="bottom"/>
            <w:shd w:val="clear" w:color="auto" w:fill="BFE4FF"/>
          </w:tcPr>
          <w:p>
            <w:pPr>
              <w:spacing w:after="0"/>
              <w:rPr>
                <w:sz w:val="11"/>
                <w:szCs w:val="11"/>
                <w:color w:val="auto"/>
              </w:rPr>
            </w:pPr>
          </w:p>
        </w:tc>
        <w:tc>
          <w:tcPr>
            <w:tcW w:w="260" w:type="dxa"/>
            <w:vAlign w:val="bottom"/>
            <w:shd w:val="clear" w:color="auto" w:fill="BFE4FF"/>
          </w:tcPr>
          <w:p>
            <w:pPr>
              <w:jc w:val="right"/>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BFE4FF"/>
          </w:tcPr>
          <w:p>
            <w:pPr>
              <w:jc w:val="right"/>
              <w:ind w:right="40"/>
              <w:spacing w:after="0"/>
              <w:rPr>
                <w:sz w:val="20"/>
                <w:szCs w:val="20"/>
                <w:color w:val="auto"/>
              </w:rPr>
            </w:pPr>
            <w:r>
              <w:rPr>
                <w:rFonts w:ascii="Arial" w:cs="Arial" w:eastAsia="Arial" w:hAnsi="Arial"/>
                <w:sz w:val="11"/>
                <w:szCs w:val="11"/>
                <w:color w:val="auto"/>
              </w:rPr>
              <w:t>1,454,222</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4360" w:type="dxa"/>
            <w:vAlign w:val="bottom"/>
          </w:tcPr>
          <w:p>
            <w:pPr>
              <w:ind w:left="200"/>
              <w:spacing w:after="0"/>
              <w:rPr>
                <w:sz w:val="20"/>
                <w:szCs w:val="20"/>
                <w:color w:val="auto"/>
              </w:rPr>
            </w:pPr>
            <w:r>
              <w:rPr>
                <w:rFonts w:ascii="Arial" w:cs="Arial" w:eastAsia="Arial" w:hAnsi="Arial"/>
                <w:sz w:val="11"/>
                <w:szCs w:val="11"/>
                <w:color w:val="auto"/>
              </w:rPr>
              <w:t>Granted</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350,208</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343.94</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0" w:type="dxa"/>
            <w:vAlign w:val="bottom"/>
            <w:shd w:val="clear" w:color="auto" w:fill="CCEEFF"/>
          </w:tcPr>
          <w:p>
            <w:pPr>
              <w:spacing w:after="0"/>
              <w:rPr>
                <w:sz w:val="12"/>
                <w:szCs w:val="12"/>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Assumed in acquisition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83,539</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49.26</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4360" w:type="dxa"/>
            <w:vAlign w:val="bottom"/>
          </w:tcPr>
          <w:p>
            <w:pPr>
              <w:ind w:left="200"/>
              <w:spacing w:after="0"/>
              <w:rPr>
                <w:sz w:val="20"/>
                <w:szCs w:val="20"/>
                <w:color w:val="auto"/>
              </w:rPr>
            </w:pPr>
            <w:r>
              <w:rPr>
                <w:rFonts w:ascii="Arial" w:cs="Arial" w:eastAsia="Arial" w:hAnsi="Arial"/>
                <w:sz w:val="11"/>
                <w:szCs w:val="11"/>
                <w:color w:val="auto"/>
              </w:rPr>
              <w:t>Exercised</w:t>
            </w:r>
          </w:p>
        </w:tc>
        <w:tc>
          <w:tcPr>
            <w:tcW w:w="1160" w:type="dxa"/>
            <w:vAlign w:val="bottom"/>
            <w:gridSpan w:val="2"/>
          </w:tcPr>
          <w:p>
            <w:pPr>
              <w:jc w:val="right"/>
              <w:spacing w:after="0"/>
              <w:rPr>
                <w:sz w:val="20"/>
                <w:szCs w:val="20"/>
                <w:color w:val="auto"/>
              </w:rPr>
            </w:pPr>
            <w:r>
              <w:rPr>
                <w:rFonts w:ascii="Arial" w:cs="Arial" w:eastAsia="Arial" w:hAnsi="Arial"/>
                <w:sz w:val="11"/>
                <w:szCs w:val="11"/>
                <w:color w:val="auto"/>
              </w:rPr>
              <w:t>(1,733,819)</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40.44</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 w:type="dxa"/>
            <w:vAlign w:val="bottom"/>
            <w:shd w:val="clear" w:color="auto" w:fill="CCEEFF"/>
          </w:tcPr>
          <w:p>
            <w:pPr>
              <w:spacing w:after="0"/>
              <w:rPr>
                <w:sz w:val="12"/>
                <w:szCs w:val="12"/>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Forfeited and canceled</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(419,350)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131.01</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 w:type="dxa"/>
            <w:vAlign w:val="bottom"/>
            <w:tcBorders>
              <w:bottom w:val="single" w:sz="8" w:color="CCEEFF"/>
            </w:tcBorders>
          </w:tcPr>
          <w:p>
            <w:pPr>
              <w:spacing w:after="0"/>
              <w:rPr>
                <w:sz w:val="13"/>
                <w:szCs w:val="13"/>
                <w:color w:val="auto"/>
              </w:rPr>
            </w:pPr>
          </w:p>
        </w:tc>
        <w:tc>
          <w:tcPr>
            <w:tcW w:w="4360" w:type="dxa"/>
            <w:vAlign w:val="bottom"/>
            <w:tcBorders>
              <w:bottom w:val="single" w:sz="8" w:color="CCEEFF"/>
            </w:tcBorders>
          </w:tcPr>
          <w:p>
            <w:pPr>
              <w:ind w:left="60"/>
              <w:spacing w:after="0"/>
              <w:rPr>
                <w:sz w:val="20"/>
                <w:szCs w:val="20"/>
                <w:color w:val="auto"/>
              </w:rPr>
            </w:pPr>
            <w:r>
              <w:rPr>
                <w:rFonts w:ascii="Arial" w:cs="Arial" w:eastAsia="Arial" w:hAnsi="Arial"/>
                <w:sz w:val="11"/>
                <w:szCs w:val="11"/>
                <w:color w:val="auto"/>
              </w:rPr>
              <w:t>Outstanding options as of December 31, 2021</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3,351,313</w:t>
            </w:r>
          </w:p>
        </w:tc>
        <w:tc>
          <w:tcPr>
            <w:tcW w:w="1180" w:type="dxa"/>
            <w:vAlign w:val="bottom"/>
            <w:tcBorders>
              <w:bottom w:val="single" w:sz="8" w:color="CCEEFF"/>
            </w:tcBorders>
            <w:gridSpan w:val="2"/>
          </w:tcPr>
          <w:p>
            <w:pPr>
              <w:jc w:val="right"/>
              <w:ind w:right="532"/>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78.10</w:t>
            </w: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jc w:val="right"/>
              <w:ind w:right="209"/>
              <w:spacing w:after="0"/>
              <w:rPr>
                <w:sz w:val="20"/>
                <w:szCs w:val="20"/>
                <w:color w:val="auto"/>
              </w:rPr>
            </w:pPr>
            <w:r>
              <w:rPr>
                <w:rFonts w:ascii="Arial" w:cs="Arial" w:eastAsia="Arial" w:hAnsi="Arial"/>
                <w:sz w:val="11"/>
                <w:szCs w:val="11"/>
                <w:color w:val="auto"/>
              </w:rPr>
              <w:t>6.09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1"/>
                <w:szCs w:val="11"/>
                <w:color w:val="auto"/>
              </w:rPr>
              <w:t>646,760</w:t>
            </w:r>
          </w:p>
        </w:tc>
        <w:tc>
          <w:tcPr>
            <w:tcW w:w="0" w:type="dxa"/>
            <w:vAlign w:val="bottom"/>
          </w:tcPr>
          <w:p>
            <w:pPr>
              <w:spacing w:after="0"/>
              <w:rPr>
                <w:sz w:val="1"/>
                <w:szCs w:val="1"/>
                <w:color w:val="auto"/>
              </w:rPr>
            </w:pPr>
          </w:p>
        </w:tc>
      </w:tr>
      <w:tr>
        <w:trPr>
          <w:trHeight w:val="164"/>
        </w:trPr>
        <w:tc>
          <w:tcPr>
            <w:tcW w:w="38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Options vested and exercisable as of December 31, 2021</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2,152,819</w:t>
            </w:r>
          </w:p>
        </w:tc>
        <w:tc>
          <w:tcPr>
            <w:tcW w:w="1180" w:type="dxa"/>
            <w:vAlign w:val="bottom"/>
            <w:tcBorders>
              <w:bottom w:val="single" w:sz="8" w:color="CCEEFF"/>
            </w:tcBorders>
            <w:gridSpan w:val="2"/>
            <w:shd w:val="clear" w:color="auto" w:fill="CCEEFF"/>
          </w:tcPr>
          <w:p>
            <w:pPr>
              <w:jc w:val="right"/>
              <w:ind w:right="532"/>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37.21</w:t>
            </w:r>
          </w:p>
        </w:tc>
        <w:tc>
          <w:tcPr>
            <w:tcW w:w="8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1"/>
                <w:szCs w:val="11"/>
                <w:color w:val="auto"/>
              </w:rPr>
              <w:t>4.92</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490,502</w:t>
            </w:r>
          </w:p>
        </w:tc>
        <w:tc>
          <w:tcPr>
            <w:tcW w:w="0" w:type="dxa"/>
            <w:vAlign w:val="bottom"/>
          </w:tcPr>
          <w:p>
            <w:pPr>
              <w:spacing w:after="0"/>
              <w:rPr>
                <w:sz w:val="1"/>
                <w:szCs w:val="1"/>
                <w:color w:val="auto"/>
              </w:rPr>
            </w:pPr>
          </w:p>
        </w:tc>
      </w:tr>
      <w:tr>
        <w:trPr>
          <w:trHeight w:val="343"/>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0"/>
                <w:szCs w:val="10"/>
                <w:b w:val="1"/>
                <w:bCs w:val="1"/>
                <w:color w:val="auto"/>
                <w:w w:val="86"/>
              </w:rPr>
              <w:t>Year Ended December 31,</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right"/>
              <w:ind w:right="912"/>
              <w:spacing w:after="0"/>
              <w:rPr>
                <w:sz w:val="20"/>
                <w:szCs w:val="20"/>
                <w:color w:val="auto"/>
              </w:rPr>
            </w:pPr>
            <w:r>
              <w:rPr>
                <w:rFonts w:ascii="Arial" w:cs="Arial" w:eastAsia="Arial" w:hAnsi="Arial"/>
                <w:sz w:val="10"/>
                <w:szCs w:val="10"/>
                <w:b w:val="1"/>
                <w:bCs w:val="1"/>
                <w:color w:val="auto"/>
                <w:w w:val="89"/>
              </w:rPr>
              <w:t>2021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center"/>
              <w:ind w:right="849"/>
              <w:spacing w:after="0"/>
              <w:rPr>
                <w:sz w:val="20"/>
                <w:szCs w:val="20"/>
                <w:color w:val="auto"/>
              </w:rPr>
            </w:pPr>
            <w:r>
              <w:rPr>
                <w:rFonts w:ascii="Arial" w:cs="Arial" w:eastAsia="Arial" w:hAnsi="Arial"/>
                <w:sz w:val="10"/>
                <w:szCs w:val="10"/>
                <w:b w:val="1"/>
                <w:bCs w:val="1"/>
                <w:color w:val="auto"/>
                <w:w w:val="80"/>
              </w:rPr>
              <w:t>2020</w:t>
            </w: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469"/>
              <w:spacing w:after="0"/>
              <w:rPr>
                <w:sz w:val="20"/>
                <w:szCs w:val="20"/>
                <w:color w:val="auto"/>
              </w:rPr>
            </w:pPr>
            <w:r>
              <w:rPr>
                <w:rFonts w:ascii="Arial" w:cs="Arial" w:eastAsia="Arial" w:hAnsi="Arial"/>
                <w:sz w:val="10"/>
                <w:szCs w:val="10"/>
                <w:b w:val="1"/>
                <w:bCs w:val="1"/>
                <w:color w:val="auto"/>
                <w:w w:val="80"/>
              </w:rPr>
              <w:t>2019</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8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60" w:type="dxa"/>
            <w:vAlign w:val="bottom"/>
            <w:gridSpan w:val="5"/>
          </w:tcPr>
          <w:p>
            <w:pPr>
              <w:jc w:val="center"/>
              <w:ind w:left="592"/>
              <w:spacing w:after="0"/>
              <w:rPr>
                <w:sz w:val="20"/>
                <w:szCs w:val="20"/>
                <w:color w:val="auto"/>
              </w:rPr>
            </w:pPr>
            <w:r>
              <w:rPr>
                <w:rFonts w:ascii="Arial" w:cs="Arial" w:eastAsia="Arial" w:hAnsi="Arial"/>
                <w:sz w:val="10"/>
                <w:szCs w:val="10"/>
                <w:color w:val="auto"/>
                <w:w w:val="85"/>
              </w:rPr>
              <w:t>(In thousands, except per share amounts)</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4360" w:type="dxa"/>
            <w:vAlign w:val="bottom"/>
            <w:shd w:val="clear" w:color="auto" w:fill="CCEEFF"/>
          </w:tcPr>
          <w:p>
            <w:pPr>
              <w:ind w:left="440"/>
              <w:spacing w:after="0" w:line="147" w:lineRule="exact"/>
              <w:rPr>
                <w:sz w:val="20"/>
                <w:szCs w:val="20"/>
                <w:color w:val="auto"/>
              </w:rPr>
            </w:pPr>
            <w:r>
              <w:rPr>
                <w:rFonts w:ascii="Arial" w:cs="Arial" w:eastAsia="Arial" w:hAnsi="Arial"/>
                <w:sz w:val="11"/>
                <w:szCs w:val="11"/>
                <w:color w:val="auto"/>
              </w:rPr>
              <w:t xml:space="preserve">Aggregate intrinsic value of stock options exercised </w:t>
            </w:r>
            <w:r>
              <w:rPr>
                <w:rFonts w:ascii="Arial" w:cs="Arial" w:eastAsia="Arial" w:hAnsi="Arial"/>
                <w:sz w:val="14"/>
                <w:szCs w:val="14"/>
                <w:color w:val="auto"/>
                <w:vertAlign w:val="superscript"/>
              </w:rPr>
              <w:t>(1)</w:t>
            </w:r>
          </w:p>
        </w:tc>
        <w:tc>
          <w:tcPr>
            <w:tcW w:w="1160" w:type="dxa"/>
            <w:vAlign w:val="bottom"/>
            <w:gridSpan w:val="2"/>
            <w:shd w:val="clear" w:color="auto" w:fill="CCEEFF"/>
          </w:tcPr>
          <w:p>
            <w:pPr>
              <w:jc w:val="right"/>
              <w:ind w:right="372"/>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CEEFF"/>
          </w:tcPr>
          <w:p>
            <w:pPr>
              <w:jc w:val="right"/>
              <w:ind w:right="452"/>
              <w:spacing w:after="0"/>
              <w:rPr>
                <w:sz w:val="20"/>
                <w:szCs w:val="20"/>
                <w:color w:val="auto"/>
              </w:rPr>
            </w:pPr>
            <w:r>
              <w:rPr>
                <w:rFonts w:ascii="Arial" w:cs="Arial" w:eastAsia="Arial" w:hAnsi="Arial"/>
                <w:sz w:val="11"/>
                <w:szCs w:val="11"/>
                <w:color w:val="auto"/>
              </w:rPr>
              <w:t>508,539</w:t>
            </w:r>
          </w:p>
        </w:tc>
        <w:tc>
          <w:tcPr>
            <w:tcW w:w="460" w:type="dxa"/>
            <w:vAlign w:val="bottom"/>
            <w:shd w:val="clear" w:color="auto" w:fill="CCEEFF"/>
          </w:tcPr>
          <w:p>
            <w:pPr>
              <w:jc w:val="right"/>
              <w:ind w:right="28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09"/>
              <w:spacing w:after="0"/>
              <w:rPr>
                <w:sz w:val="20"/>
                <w:szCs w:val="20"/>
                <w:color w:val="auto"/>
              </w:rPr>
            </w:pPr>
            <w:r>
              <w:rPr>
                <w:rFonts w:ascii="Arial" w:cs="Arial" w:eastAsia="Arial" w:hAnsi="Arial"/>
                <w:sz w:val="11"/>
                <w:szCs w:val="11"/>
                <w:color w:val="auto"/>
              </w:rPr>
              <w:t>603,597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394,998</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4360" w:type="dxa"/>
            <w:vAlign w:val="bottom"/>
          </w:tcPr>
          <w:p>
            <w:pPr>
              <w:ind w:left="440"/>
              <w:spacing w:after="0"/>
              <w:rPr>
                <w:sz w:val="20"/>
                <w:szCs w:val="20"/>
                <w:color w:val="auto"/>
              </w:rPr>
            </w:pPr>
            <w:r>
              <w:rPr>
                <w:rFonts w:ascii="Arial" w:cs="Arial" w:eastAsia="Arial" w:hAnsi="Arial"/>
                <w:sz w:val="11"/>
                <w:szCs w:val="11"/>
                <w:color w:val="auto"/>
              </w:rPr>
              <w:t>Total estimated grant date fair value of options vested</w:t>
            </w:r>
          </w:p>
        </w:tc>
        <w:tc>
          <w:tcPr>
            <w:tcW w:w="1160" w:type="dxa"/>
            <w:vAlign w:val="bottom"/>
            <w:gridSpan w:val="2"/>
          </w:tcPr>
          <w:p>
            <w:pPr>
              <w:jc w:val="right"/>
              <w:ind w:right="372"/>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452"/>
              <w:spacing w:after="0"/>
              <w:rPr>
                <w:sz w:val="20"/>
                <w:szCs w:val="20"/>
                <w:color w:val="auto"/>
              </w:rPr>
            </w:pPr>
            <w:r>
              <w:rPr>
                <w:rFonts w:ascii="Arial" w:cs="Arial" w:eastAsia="Arial" w:hAnsi="Arial"/>
                <w:sz w:val="11"/>
                <w:szCs w:val="11"/>
                <w:color w:val="auto"/>
              </w:rPr>
              <w:t>138,851</w:t>
            </w:r>
          </w:p>
        </w:tc>
        <w:tc>
          <w:tcPr>
            <w:tcW w:w="460" w:type="dxa"/>
            <w:vAlign w:val="bottom"/>
          </w:tcPr>
          <w:p>
            <w:pPr>
              <w:jc w:val="right"/>
              <w:ind w:right="28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160" w:type="dxa"/>
            <w:vAlign w:val="bottom"/>
          </w:tcPr>
          <w:p>
            <w:pPr>
              <w:jc w:val="right"/>
              <w:ind w:right="409"/>
              <w:spacing w:after="0"/>
              <w:rPr>
                <w:sz w:val="20"/>
                <w:szCs w:val="20"/>
                <w:color w:val="auto"/>
              </w:rPr>
            </w:pPr>
            <w:r>
              <w:rPr>
                <w:rFonts w:ascii="Arial" w:cs="Arial" w:eastAsia="Arial" w:hAnsi="Arial"/>
                <w:sz w:val="11"/>
                <w:szCs w:val="11"/>
                <w:color w:val="auto"/>
              </w:rPr>
              <w:t>107,854</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81,292</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436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Weighted-average grant date fair value per share of options granted</w:t>
            </w:r>
          </w:p>
        </w:tc>
        <w:tc>
          <w:tcPr>
            <w:tcW w:w="1160" w:type="dxa"/>
            <w:vAlign w:val="bottom"/>
            <w:gridSpan w:val="2"/>
            <w:shd w:val="clear" w:color="auto" w:fill="CCEEFF"/>
          </w:tcPr>
          <w:p>
            <w:pPr>
              <w:jc w:val="right"/>
              <w:ind w:right="372"/>
              <w:spacing w:after="0"/>
              <w:rPr>
                <w:sz w:val="20"/>
                <w:szCs w:val="20"/>
                <w:color w:val="auto"/>
              </w:rPr>
            </w:pPr>
            <w:r>
              <w:rPr>
                <w:rFonts w:ascii="Arial" w:cs="Arial" w:eastAsia="Arial" w:hAnsi="Arial"/>
                <w:sz w:val="11"/>
                <w:szCs w:val="11"/>
                <w:color w:val="auto"/>
              </w:rPr>
              <w:t>$</w:t>
            </w:r>
          </w:p>
        </w:tc>
        <w:tc>
          <w:tcPr>
            <w:tcW w:w="1180" w:type="dxa"/>
            <w:vAlign w:val="bottom"/>
            <w:gridSpan w:val="2"/>
            <w:shd w:val="clear" w:color="auto" w:fill="CCEEFF"/>
          </w:tcPr>
          <w:p>
            <w:pPr>
              <w:jc w:val="right"/>
              <w:ind w:right="452"/>
              <w:spacing w:after="0"/>
              <w:rPr>
                <w:sz w:val="20"/>
                <w:szCs w:val="20"/>
                <w:color w:val="auto"/>
              </w:rPr>
            </w:pPr>
            <w:r>
              <w:rPr>
                <w:rFonts w:ascii="Arial" w:cs="Arial" w:eastAsia="Arial" w:hAnsi="Arial"/>
                <w:sz w:val="11"/>
                <w:szCs w:val="11"/>
                <w:color w:val="auto"/>
              </w:rPr>
              <w:t>216.29</w:t>
            </w:r>
          </w:p>
        </w:tc>
        <w:tc>
          <w:tcPr>
            <w:tcW w:w="460" w:type="dxa"/>
            <w:vAlign w:val="bottom"/>
            <w:shd w:val="clear" w:color="auto" w:fill="CCEEFF"/>
          </w:tcPr>
          <w:p>
            <w:pPr>
              <w:jc w:val="right"/>
              <w:ind w:right="28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409"/>
              <w:spacing w:after="0"/>
              <w:rPr>
                <w:sz w:val="20"/>
                <w:szCs w:val="20"/>
                <w:color w:val="auto"/>
              </w:rPr>
            </w:pPr>
            <w:r>
              <w:rPr>
                <w:rFonts w:ascii="Arial" w:cs="Arial" w:eastAsia="Arial" w:hAnsi="Arial"/>
                <w:sz w:val="11"/>
                <w:szCs w:val="11"/>
                <w:color w:val="auto"/>
              </w:rPr>
              <w:t>170.70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58.13</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____________________________________</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5"/>
          <w:szCs w:val="15"/>
          <w:color w:val="auto"/>
          <w:vertAlign w:val="superscript"/>
        </w:rPr>
        <w:t>(</w:t>
      </w:r>
      <w:r>
        <w:rPr>
          <w:rFonts w:ascii="Arial" w:cs="Arial" w:eastAsia="Arial" w:hAnsi="Arial"/>
          <w:sz w:val="6"/>
          <w:szCs w:val="6"/>
          <w:color w:val="auto"/>
        </w:rPr>
        <w:t>1</w:t>
      </w:r>
      <w:r>
        <w:rPr>
          <w:rFonts w:ascii="Arial" w:cs="Arial" w:eastAsia="Arial" w:hAnsi="Arial"/>
          <w:sz w:val="15"/>
          <w:szCs w:val="15"/>
          <w:color w:val="auto"/>
          <w:vertAlign w:val="superscript"/>
        </w:rPr>
        <w:t>)</w:t>
      </w:r>
      <w:r>
        <w:rPr>
          <w:rFonts w:ascii="Arial" w:cs="Arial" w:eastAsia="Arial" w:hAnsi="Arial"/>
          <w:sz w:val="6"/>
          <w:szCs w:val="6"/>
          <w:color w:val="auto"/>
        </w:rPr>
        <w:t xml:space="preserve"> </w:t>
      </w:r>
      <w:r>
        <w:rPr>
          <w:rFonts w:ascii="Arial" w:cs="Arial" w:eastAsia="Arial" w:hAnsi="Arial"/>
          <w:sz w:val="10"/>
          <w:szCs w:val="10"/>
          <w:color w:val="auto"/>
        </w:rPr>
        <w:t>Aggregate intrinsic value represents the difference between the fair value of the Company’s Class A common stock as reported on the New York Stock Exchange and the exercise price of outstanding “in-the-money” options.</w:t>
      </w:r>
    </w:p>
    <w:p>
      <w:pPr>
        <w:spacing w:after="0" w:line="107"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As of December 31, 2020, the Company had outstanding 555,000 shares of performance-based stock options with a weighted average exercise price of $31.72 and an aggregate intrinsic value of $170.3 million. All performance conditions had been met. During the year ended December 31, 2021, all of these stock options were exercised. The aggregate intrinsic value of these stock options exercised was $140.2 million. As of December 31, 2021, no performance-based stock options remain outstanding.</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As of December 31, 2021, total unrecognized compensation cost related to all unvested stock options was $151.5 million, which will be amortized on a ratable basis over a weighted-average period of 2.2 years.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15"/>
        </w:trPr>
        <w:tc>
          <w:tcPr>
            <w:tcW w:w="6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Weighted-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vMerge w:val="restart"/>
          </w:tcPr>
          <w:p>
            <w:pPr>
              <w:jc w:val="right"/>
              <w:ind w:right="350"/>
              <w:spacing w:after="0"/>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90"/>
        </w:trPr>
        <w:tc>
          <w:tcPr>
            <w:tcW w:w="6120" w:type="dxa"/>
            <w:vAlign w:val="bottom"/>
          </w:tcPr>
          <w:p>
            <w:pPr>
              <w:spacing w:after="0"/>
              <w:rPr>
                <w:sz w:val="7"/>
                <w:szCs w:val="7"/>
                <w:color w:val="auto"/>
              </w:rPr>
            </w:pPr>
          </w:p>
        </w:tc>
        <w:tc>
          <w:tcPr>
            <w:tcW w:w="1160" w:type="dxa"/>
            <w:vAlign w:val="bottom"/>
            <w:vMerge w:val="restart"/>
          </w:tcPr>
          <w:p>
            <w:pPr>
              <w:ind w:left="520"/>
              <w:spacing w:after="0"/>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7"/>
                <w:szCs w:val="7"/>
                <w:color w:val="auto"/>
              </w:rPr>
            </w:pPr>
          </w:p>
        </w:tc>
        <w:tc>
          <w:tcPr>
            <w:tcW w:w="1100" w:type="dxa"/>
            <w:vAlign w:val="bottom"/>
          </w:tcPr>
          <w:p>
            <w:pPr>
              <w:jc w:val="center"/>
              <w:ind w:left="292"/>
              <w:spacing w:after="0" w:line="90" w:lineRule="exact"/>
              <w:rPr>
                <w:sz w:val="20"/>
                <w:szCs w:val="20"/>
                <w:color w:val="auto"/>
              </w:rPr>
            </w:pPr>
            <w:r>
              <w:rPr>
                <w:rFonts w:ascii="Arial" w:cs="Arial" w:eastAsia="Arial" w:hAnsi="Arial"/>
                <w:sz w:val="10"/>
                <w:szCs w:val="10"/>
                <w:b w:val="1"/>
                <w:bCs w:val="1"/>
                <w:color w:val="auto"/>
                <w:w w:val="84"/>
              </w:rPr>
              <w:t>average</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jc w:val="center"/>
              <w:ind w:left="292"/>
              <w:spacing w:after="0" w:line="90" w:lineRule="exact"/>
              <w:rPr>
                <w:sz w:val="20"/>
                <w:szCs w:val="20"/>
                <w:color w:val="auto"/>
              </w:rPr>
            </w:pPr>
            <w:r>
              <w:rPr>
                <w:rFonts w:ascii="Arial" w:cs="Arial" w:eastAsia="Arial" w:hAnsi="Arial"/>
                <w:sz w:val="10"/>
                <w:szCs w:val="10"/>
                <w:b w:val="1"/>
                <w:bCs w:val="1"/>
                <w:color w:val="auto"/>
                <w:w w:val="90"/>
              </w:rPr>
              <w:t>grant date</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jc w:val="center"/>
              <w:ind w:right="370"/>
              <w:spacing w:after="0" w:line="90" w:lineRule="exact"/>
              <w:rPr>
                <w:sz w:val="20"/>
                <w:szCs w:val="20"/>
                <w:color w:val="auto"/>
              </w:rPr>
            </w:pPr>
            <w:r>
              <w:rPr>
                <w:rFonts w:ascii="Arial" w:cs="Arial" w:eastAsia="Arial" w:hAnsi="Arial"/>
                <w:sz w:val="10"/>
                <w:szCs w:val="10"/>
                <w:b w:val="1"/>
                <w:bCs w:val="1"/>
                <w:color w:val="auto"/>
                <w:w w:val="87"/>
              </w:rPr>
              <w:t>intrinsic</w:t>
            </w:r>
          </w:p>
        </w:tc>
        <w:tc>
          <w:tcPr>
            <w:tcW w:w="0" w:type="dxa"/>
            <w:vAlign w:val="bottom"/>
          </w:tcPr>
          <w:p>
            <w:pPr>
              <w:spacing w:after="0"/>
              <w:rPr>
                <w:sz w:val="1"/>
                <w:szCs w:val="1"/>
                <w:color w:val="auto"/>
              </w:rPr>
            </w:pPr>
          </w:p>
        </w:tc>
      </w:tr>
      <w:tr>
        <w:trPr>
          <w:trHeight w:val="90"/>
        </w:trPr>
        <w:tc>
          <w:tcPr>
            <w:tcW w:w="6120" w:type="dxa"/>
            <w:vAlign w:val="bottom"/>
          </w:tcPr>
          <w:p>
            <w:pPr>
              <w:spacing w:after="0"/>
              <w:rPr>
                <w:sz w:val="7"/>
                <w:szCs w:val="7"/>
                <w:color w:val="auto"/>
              </w:rPr>
            </w:pPr>
          </w:p>
        </w:tc>
        <w:tc>
          <w:tcPr>
            <w:tcW w:w="116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6"/>
              </w:rPr>
              <w:t>awards</w:t>
            </w:r>
          </w:p>
        </w:tc>
        <w:tc>
          <w:tcPr>
            <w:tcW w:w="100" w:type="dxa"/>
            <w:vAlign w:val="bottom"/>
          </w:tcPr>
          <w:p>
            <w:pPr>
              <w:spacing w:after="0"/>
              <w:rPr>
                <w:sz w:val="7"/>
                <w:szCs w:val="7"/>
                <w:color w:val="auto"/>
              </w:rPr>
            </w:pPr>
          </w:p>
        </w:tc>
        <w:tc>
          <w:tcPr>
            <w:tcW w:w="1100" w:type="dxa"/>
            <w:vAlign w:val="bottom"/>
          </w:tcPr>
          <w:p>
            <w:pPr>
              <w:jc w:val="center"/>
              <w:ind w:left="292"/>
              <w:spacing w:after="0" w:line="90" w:lineRule="exact"/>
              <w:rPr>
                <w:sz w:val="20"/>
                <w:szCs w:val="20"/>
                <w:color w:val="auto"/>
              </w:rPr>
            </w:pPr>
            <w:r>
              <w:rPr>
                <w:rFonts w:ascii="Arial" w:cs="Arial" w:eastAsia="Arial" w:hAnsi="Arial"/>
                <w:sz w:val="10"/>
                <w:szCs w:val="10"/>
                <w:b w:val="1"/>
                <w:bCs w:val="1"/>
                <w:color w:val="auto"/>
                <w:w w:val="90"/>
              </w:rPr>
              <w:t>fair value</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jc w:val="center"/>
              <w:ind w:right="370"/>
              <w:spacing w:after="0" w:line="90" w:lineRule="exact"/>
              <w:rPr>
                <w:sz w:val="20"/>
                <w:szCs w:val="20"/>
                <w:color w:val="auto"/>
              </w:rPr>
            </w:pPr>
            <w:r>
              <w:rPr>
                <w:rFonts w:ascii="Arial" w:cs="Arial" w:eastAsia="Arial" w:hAnsi="Arial"/>
                <w:sz w:val="10"/>
                <w:szCs w:val="10"/>
                <w:b w:val="1"/>
                <w:bCs w:val="1"/>
                <w:color w:val="auto"/>
                <w:w w:val="85"/>
              </w:rPr>
              <w:t>value</w:t>
            </w:r>
          </w:p>
        </w:tc>
        <w:tc>
          <w:tcPr>
            <w:tcW w:w="0" w:type="dxa"/>
            <w:vAlign w:val="bottom"/>
          </w:tcPr>
          <w:p>
            <w:pPr>
              <w:spacing w:after="0"/>
              <w:rPr>
                <w:sz w:val="1"/>
                <w:szCs w:val="1"/>
                <w:color w:val="auto"/>
              </w:rPr>
            </w:pPr>
          </w:p>
        </w:tc>
      </w:tr>
      <w:tr>
        <w:trPr>
          <w:trHeight w:val="125"/>
        </w:trPr>
        <w:tc>
          <w:tcPr>
            <w:tcW w:w="6120" w:type="dxa"/>
            <w:vAlign w:val="bottom"/>
            <w:tcBorders>
              <w:bottom w:val="single" w:sz="8" w:color="CCEEFF"/>
            </w:tcBorders>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outstanding</w:t>
            </w:r>
          </w:p>
        </w:tc>
        <w:tc>
          <w:tcPr>
            <w:tcW w:w="10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jc w:val="center"/>
              <w:ind w:left="292"/>
              <w:spacing w:after="0"/>
              <w:rPr>
                <w:sz w:val="20"/>
                <w:szCs w:val="20"/>
                <w:color w:val="auto"/>
              </w:rPr>
            </w:pPr>
            <w:r>
              <w:rPr>
                <w:rFonts w:ascii="Arial" w:cs="Arial" w:eastAsia="Arial" w:hAnsi="Arial"/>
                <w:sz w:val="10"/>
                <w:szCs w:val="10"/>
                <w:b w:val="1"/>
                <w:bCs w:val="1"/>
                <w:color w:val="auto"/>
                <w:w w:val="84"/>
              </w:rPr>
              <w:t>(Per share)</w:t>
            </w: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390"/>
              <w:spacing w:after="0"/>
              <w:rPr>
                <w:sz w:val="20"/>
                <w:szCs w:val="20"/>
                <w:color w:val="auto"/>
              </w:rPr>
            </w:pPr>
            <w:r>
              <w:rPr>
                <w:rFonts w:ascii="Arial" w:cs="Arial" w:eastAsia="Arial" w:hAnsi="Arial"/>
                <w:sz w:val="10"/>
                <w:szCs w:val="10"/>
                <w:b w:val="1"/>
                <w:bCs w:val="1"/>
                <w:color w:val="auto"/>
                <w:w w:val="87"/>
              </w:rPr>
              <w:t>(In thousands)</w:t>
            </w:r>
          </w:p>
        </w:tc>
        <w:tc>
          <w:tcPr>
            <w:tcW w:w="0" w:type="dxa"/>
            <w:vAlign w:val="bottom"/>
          </w:tcPr>
          <w:p>
            <w:pPr>
              <w:spacing w:after="0"/>
              <w:rPr>
                <w:sz w:val="1"/>
                <w:szCs w:val="1"/>
                <w:color w:val="auto"/>
              </w:rPr>
            </w:pPr>
          </w:p>
        </w:tc>
      </w:tr>
      <w:tr>
        <w:trPr>
          <w:trHeight w:val="134"/>
        </w:trPr>
        <w:tc>
          <w:tcPr>
            <w:tcW w:w="61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Unvested RSUs as of December 31, 2020</w:t>
            </w:r>
          </w:p>
        </w:tc>
        <w:tc>
          <w:tcPr>
            <w:tcW w:w="1160" w:type="dxa"/>
            <w:vAlign w:val="bottom"/>
            <w:shd w:val="clear" w:color="auto" w:fill="CCEEFF"/>
          </w:tcPr>
          <w:p>
            <w:pPr>
              <w:jc w:val="center"/>
              <w:ind w:left="608"/>
              <w:spacing w:after="0"/>
              <w:rPr>
                <w:sz w:val="20"/>
                <w:szCs w:val="20"/>
                <w:color w:val="auto"/>
              </w:rPr>
            </w:pPr>
            <w:r>
              <w:rPr>
                <w:rFonts w:ascii="Arial" w:cs="Arial" w:eastAsia="Arial" w:hAnsi="Arial"/>
                <w:sz w:val="11"/>
                <w:szCs w:val="11"/>
                <w:color w:val="auto"/>
                <w:w w:val="85"/>
              </w:rPr>
              <w:t>7,523,882</w:t>
            </w:r>
          </w:p>
        </w:tc>
        <w:tc>
          <w:tcPr>
            <w:tcW w:w="1200" w:type="dxa"/>
            <w:vAlign w:val="bottom"/>
            <w:gridSpan w:val="2"/>
            <w:shd w:val="clear" w:color="auto" w:fill="CCEEFF"/>
          </w:tcPr>
          <w:p>
            <w:pPr>
              <w:jc w:val="right"/>
              <w:ind w:right="672"/>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131.76</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2,542,858</w:t>
            </w:r>
          </w:p>
        </w:tc>
        <w:tc>
          <w:tcPr>
            <w:tcW w:w="0" w:type="dxa"/>
            <w:vAlign w:val="bottom"/>
          </w:tcPr>
          <w:p>
            <w:pPr>
              <w:spacing w:after="0"/>
              <w:rPr>
                <w:sz w:val="1"/>
                <w:szCs w:val="1"/>
                <w:color w:val="auto"/>
              </w:rPr>
            </w:pPr>
          </w:p>
        </w:tc>
      </w:tr>
      <w:tr>
        <w:trPr>
          <w:trHeight w:val="142"/>
        </w:trPr>
        <w:tc>
          <w:tcPr>
            <w:tcW w:w="6120" w:type="dxa"/>
            <w:vAlign w:val="bottom"/>
          </w:tcPr>
          <w:p>
            <w:pPr>
              <w:ind w:left="460"/>
              <w:spacing w:after="0"/>
              <w:rPr>
                <w:sz w:val="20"/>
                <w:szCs w:val="20"/>
                <w:color w:val="auto"/>
              </w:rPr>
            </w:pPr>
            <w:r>
              <w:rPr>
                <w:rFonts w:ascii="Arial" w:cs="Arial" w:eastAsia="Arial" w:hAnsi="Arial"/>
                <w:sz w:val="11"/>
                <w:szCs w:val="11"/>
                <w:color w:val="auto"/>
              </w:rPr>
              <w:t>Granted</w:t>
            </w:r>
          </w:p>
        </w:tc>
        <w:tc>
          <w:tcPr>
            <w:tcW w:w="1160" w:type="dxa"/>
            <w:vAlign w:val="bottom"/>
          </w:tcPr>
          <w:p>
            <w:pPr>
              <w:jc w:val="center"/>
              <w:ind w:left="608"/>
              <w:spacing w:after="0"/>
              <w:rPr>
                <w:sz w:val="20"/>
                <w:szCs w:val="20"/>
                <w:color w:val="auto"/>
              </w:rPr>
            </w:pPr>
            <w:r>
              <w:rPr>
                <w:rFonts w:ascii="Arial" w:cs="Arial" w:eastAsia="Arial" w:hAnsi="Arial"/>
                <w:sz w:val="11"/>
                <w:szCs w:val="11"/>
                <w:color w:val="auto"/>
                <w:w w:val="85"/>
              </w:rPr>
              <w:t>3,465,980</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83"/>
              </w:rPr>
              <w:t>328.38</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120" w:type="dxa"/>
            <w:vAlign w:val="bottom"/>
            <w:shd w:val="clear" w:color="auto" w:fill="CCEEFF"/>
          </w:tcPr>
          <w:p>
            <w:pPr>
              <w:ind w:left="460"/>
              <w:spacing w:after="0"/>
              <w:rPr>
                <w:sz w:val="20"/>
                <w:szCs w:val="20"/>
                <w:color w:val="auto"/>
              </w:rPr>
            </w:pPr>
            <w:r>
              <w:rPr>
                <w:rFonts w:ascii="Arial" w:cs="Arial" w:eastAsia="Arial" w:hAnsi="Arial"/>
                <w:sz w:val="11"/>
                <w:szCs w:val="11"/>
                <w:color w:val="auto"/>
              </w:rPr>
              <w:t>Vested</w:t>
            </w:r>
          </w:p>
        </w:tc>
        <w:tc>
          <w:tcPr>
            <w:tcW w:w="1160" w:type="dxa"/>
            <w:vAlign w:val="bottom"/>
            <w:shd w:val="clear" w:color="auto" w:fill="CCEEFF"/>
          </w:tcPr>
          <w:p>
            <w:pPr>
              <w:jc w:val="center"/>
              <w:ind w:left="568"/>
              <w:spacing w:after="0"/>
              <w:rPr>
                <w:sz w:val="20"/>
                <w:szCs w:val="20"/>
                <w:color w:val="auto"/>
              </w:rPr>
            </w:pPr>
            <w:r>
              <w:rPr>
                <w:rFonts w:ascii="Arial" w:cs="Arial" w:eastAsia="Arial" w:hAnsi="Arial"/>
                <w:sz w:val="11"/>
                <w:szCs w:val="11"/>
                <w:color w:val="auto"/>
                <w:w w:val="88"/>
              </w:rPr>
              <w:t>(3,493,652)</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114.70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tcPr>
          <w:p>
            <w:pPr>
              <w:ind w:left="460"/>
              <w:spacing w:after="0"/>
              <w:rPr>
                <w:sz w:val="20"/>
                <w:szCs w:val="20"/>
                <w:color w:val="auto"/>
              </w:rPr>
            </w:pPr>
            <w:r>
              <w:rPr>
                <w:rFonts w:ascii="Arial" w:cs="Arial" w:eastAsia="Arial" w:hAnsi="Arial"/>
                <w:sz w:val="11"/>
                <w:szCs w:val="11"/>
                <w:color w:val="auto"/>
              </w:rPr>
              <w:t>Forfeited and canceled</w:t>
            </w:r>
          </w:p>
        </w:tc>
        <w:tc>
          <w:tcPr>
            <w:tcW w:w="1160" w:type="dxa"/>
            <w:vAlign w:val="bottom"/>
            <w:tcBorders>
              <w:bottom w:val="single" w:sz="8" w:color="auto"/>
            </w:tcBorders>
          </w:tcPr>
          <w:p>
            <w:pPr>
              <w:jc w:val="center"/>
              <w:ind w:left="568"/>
              <w:spacing w:after="0"/>
              <w:rPr>
                <w:sz w:val="20"/>
                <w:szCs w:val="20"/>
                <w:color w:val="auto"/>
              </w:rPr>
            </w:pPr>
            <w:r>
              <w:rPr>
                <w:rFonts w:ascii="Arial" w:cs="Arial" w:eastAsia="Arial" w:hAnsi="Arial"/>
                <w:sz w:val="11"/>
                <w:szCs w:val="11"/>
                <w:color w:val="auto"/>
                <w:w w:val="88"/>
              </w:rPr>
              <w:t>(1,020,510)</w:t>
            </w:r>
          </w:p>
        </w:tc>
        <w:tc>
          <w:tcPr>
            <w:tcW w:w="1200" w:type="dxa"/>
            <w:vAlign w:val="bottom"/>
            <w:tcBorders>
              <w:bottom w:val="single" w:sz="8" w:color="CCEEFF"/>
            </w:tcBorders>
            <w:gridSpan w:val="2"/>
          </w:tcPr>
          <w:p>
            <w:pPr>
              <w:jc w:val="right"/>
              <w:ind w:right="672"/>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w w:val="83"/>
              </w:rPr>
              <w:t>188.76</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1"/>
                <w:szCs w:val="11"/>
                <w:color w:val="auto"/>
              </w:rPr>
              <w:t>Unvested RSUs as of December 31, 2021</w:t>
            </w:r>
          </w:p>
        </w:tc>
        <w:tc>
          <w:tcPr>
            <w:tcW w:w="1160" w:type="dxa"/>
            <w:vAlign w:val="bottom"/>
            <w:tcBorders>
              <w:bottom w:val="single" w:sz="8" w:color="auto"/>
            </w:tcBorders>
            <w:shd w:val="clear" w:color="auto" w:fill="CCEEFF"/>
          </w:tcPr>
          <w:p>
            <w:pPr>
              <w:jc w:val="center"/>
              <w:ind w:left="608"/>
              <w:spacing w:after="0"/>
              <w:rPr>
                <w:sz w:val="20"/>
                <w:szCs w:val="20"/>
                <w:color w:val="auto"/>
              </w:rPr>
            </w:pPr>
            <w:r>
              <w:rPr>
                <w:rFonts w:ascii="Arial" w:cs="Arial" w:eastAsia="Arial" w:hAnsi="Arial"/>
                <w:sz w:val="11"/>
                <w:szCs w:val="11"/>
                <w:color w:val="auto"/>
                <w:w w:val="85"/>
              </w:rPr>
              <w:t>6,475,700</w:t>
            </w:r>
          </w:p>
        </w:tc>
        <w:tc>
          <w:tcPr>
            <w:tcW w:w="1200" w:type="dxa"/>
            <w:vAlign w:val="bottom"/>
            <w:tcBorders>
              <w:bottom w:val="single" w:sz="8" w:color="CCEEFF"/>
            </w:tcBorders>
            <w:gridSpan w:val="2"/>
            <w:shd w:val="clear" w:color="auto" w:fill="CCEEFF"/>
          </w:tcPr>
          <w:p>
            <w:pPr>
              <w:jc w:val="right"/>
              <w:ind w:right="672"/>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3"/>
              </w:rPr>
              <w:t>237.22</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1,705,311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As of December 31, 2021, the Company had outstanding 24,697 restricted stock awards (“RSAs”) that were held in escrow with future vesting conditions. The aggregate intrinsic value of these awards was not significant.</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December 31, 2021, total unrecognized compensation cost related to unvested RSUs and RSAs was $1.4 billion, which will be amortized over a weighted-average period of 3.1 years.</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31" w:right="399" w:bottom="1440" w:gutter="0" w:footer="0" w:header="0"/>
        </w:sectPr>
      </w:pPr>
    </w:p>
    <w:bookmarkStart w:id="112" w:name="page113"/>
    <w:bookmarkEnd w:id="11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of December 31, 2021, the unrecognized compensation cost related to Class A common stock subject to future vesting conditions is $60.1 million, which will be amortized over a term of 2.0 years.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Valuation Assumptions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fair value of employee stock options was estimated on the date of grant using the following assumptions in the Black-Scholes option pricing model:</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23"/>
        </w:trPr>
        <w:tc>
          <w:tcPr>
            <w:tcW w:w="2980" w:type="dxa"/>
            <w:vAlign w:val="bottom"/>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0"/>
                <w:szCs w:val="10"/>
                <w:b w:val="1"/>
                <w:bCs w:val="1"/>
                <w:color w:val="auto"/>
                <w:w w:val="86"/>
              </w:rPr>
              <w:t>Year Ended December 31,</w:t>
            </w:r>
          </w:p>
        </w:tc>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r>
      <w:tr>
        <w:trPr>
          <w:trHeight w:val="122"/>
        </w:trPr>
        <w:tc>
          <w:tcPr>
            <w:tcW w:w="2980" w:type="dxa"/>
            <w:vAlign w:val="bottom"/>
            <w:tcBorders>
              <w:bottom w:val="single" w:sz="8" w:color="CCEEFF"/>
            </w:tcBorders>
          </w:tcPr>
          <w:p>
            <w:pPr>
              <w:ind w:left="660"/>
              <w:spacing w:after="0"/>
              <w:rPr>
                <w:sz w:val="20"/>
                <w:szCs w:val="20"/>
                <w:color w:val="auto"/>
              </w:rPr>
            </w:pPr>
            <w:r>
              <w:rPr>
                <w:rFonts w:ascii="Arial" w:cs="Arial" w:eastAsia="Arial" w:hAnsi="Arial"/>
                <w:sz w:val="10"/>
                <w:szCs w:val="10"/>
                <w:b w:val="1"/>
                <w:bCs w:val="1"/>
                <w:color w:val="auto"/>
              </w:rPr>
              <w:t>Employee Stock Options:</w:t>
            </w:r>
          </w:p>
        </w:tc>
        <w:tc>
          <w:tcPr>
            <w:tcW w:w="1780" w:type="dxa"/>
            <w:vAlign w:val="bottom"/>
            <w:tcBorders>
              <w:bottom w:val="single" w:sz="8" w:color="auto"/>
            </w:tcBorders>
            <w:gridSpan w:val="2"/>
          </w:tcPr>
          <w:p>
            <w:pPr>
              <w:jc w:val="center"/>
              <w:ind w:left="607"/>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CCEEFF"/>
            </w:tcBorders>
          </w:tcPr>
          <w:p>
            <w:pPr>
              <w:spacing w:after="0"/>
              <w:rPr>
                <w:sz w:val="10"/>
                <w:szCs w:val="10"/>
                <w:color w:val="auto"/>
              </w:rPr>
            </w:pPr>
          </w:p>
        </w:tc>
        <w:tc>
          <w:tcPr>
            <w:tcW w:w="176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1760" w:type="dxa"/>
            <w:vAlign w:val="bottom"/>
            <w:tcBorders>
              <w:bottom w:val="single" w:sz="8" w:color="auto"/>
            </w:tcBorders>
            <w:gridSpan w:val="2"/>
          </w:tcPr>
          <w:p>
            <w:pPr>
              <w:jc w:val="right"/>
              <w:ind w:right="406"/>
              <w:spacing w:after="0"/>
              <w:rPr>
                <w:sz w:val="20"/>
                <w:szCs w:val="20"/>
                <w:color w:val="auto"/>
              </w:rPr>
            </w:pPr>
            <w:r>
              <w:rPr>
                <w:rFonts w:ascii="Arial" w:cs="Arial" w:eastAsia="Arial" w:hAnsi="Arial"/>
                <w:sz w:val="10"/>
                <w:szCs w:val="10"/>
                <w:b w:val="1"/>
                <w:bCs w:val="1"/>
                <w:color w:val="auto"/>
              </w:rPr>
              <w:t>2019</w:t>
            </w:r>
          </w:p>
        </w:tc>
      </w:tr>
      <w:tr>
        <w:trPr>
          <w:trHeight w:val="134"/>
        </w:trPr>
        <w:tc>
          <w:tcPr>
            <w:tcW w:w="2980" w:type="dxa"/>
            <w:vAlign w:val="bottom"/>
            <w:shd w:val="clear" w:color="auto" w:fill="CCEEFF"/>
          </w:tcPr>
          <w:p>
            <w:pPr>
              <w:ind w:left="660"/>
              <w:spacing w:after="0"/>
              <w:rPr>
                <w:sz w:val="20"/>
                <w:szCs w:val="20"/>
                <w:color w:val="auto"/>
              </w:rPr>
            </w:pPr>
            <w:r>
              <w:rPr>
                <w:rFonts w:ascii="Arial" w:cs="Arial" w:eastAsia="Arial" w:hAnsi="Arial"/>
                <w:sz w:val="11"/>
                <w:szCs w:val="11"/>
                <w:color w:val="auto"/>
              </w:rPr>
              <w:t>Fair value of common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$268.55</w:t>
            </w:r>
          </w:p>
        </w:tc>
        <w:tc>
          <w:tcPr>
            <w:tcW w:w="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$409.21</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$108.37</w:t>
            </w:r>
          </w:p>
        </w:tc>
        <w:tc>
          <w:tcPr>
            <w:tcW w:w="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$301.72</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$103.70</w:t>
            </w:r>
          </w:p>
        </w:tc>
        <w:tc>
          <w:tcPr>
            <w:tcW w:w="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$130.70</w:t>
            </w:r>
          </w:p>
        </w:tc>
      </w:tr>
      <w:tr>
        <w:trPr>
          <w:trHeight w:val="142"/>
        </w:trPr>
        <w:tc>
          <w:tcPr>
            <w:tcW w:w="2980" w:type="dxa"/>
            <w:vAlign w:val="bottom"/>
          </w:tcPr>
          <w:p>
            <w:pPr>
              <w:ind w:left="660"/>
              <w:spacing w:after="0"/>
              <w:rPr>
                <w:sz w:val="20"/>
                <w:szCs w:val="20"/>
                <w:color w:val="auto"/>
              </w:rPr>
            </w:pPr>
            <w:r>
              <w:rPr>
                <w:rFonts w:ascii="Arial" w:cs="Arial" w:eastAsia="Arial" w:hAnsi="Arial"/>
                <w:sz w:val="11"/>
                <w:szCs w:val="11"/>
                <w:color w:val="auto"/>
              </w:rPr>
              <w:t>Expected term (in years)</w:t>
            </w:r>
          </w:p>
        </w:tc>
        <w:tc>
          <w:tcPr>
            <w:tcW w:w="1180" w:type="dxa"/>
            <w:vAlign w:val="bottom"/>
          </w:tcPr>
          <w:p>
            <w:pPr>
              <w:jc w:val="right"/>
              <w:spacing w:after="0"/>
              <w:rPr>
                <w:sz w:val="20"/>
                <w:szCs w:val="20"/>
                <w:color w:val="auto"/>
              </w:rPr>
            </w:pPr>
            <w:r>
              <w:rPr>
                <w:rFonts w:ascii="Arial" w:cs="Arial" w:eastAsia="Arial" w:hAnsi="Arial"/>
                <w:sz w:val="11"/>
                <w:szCs w:val="11"/>
                <w:color w:val="auto"/>
              </w:rPr>
              <w:t>0.30</w:t>
            </w:r>
          </w:p>
        </w:tc>
        <w:tc>
          <w:tcPr>
            <w:tcW w:w="600" w:type="dxa"/>
            <w:vAlign w:val="bottom"/>
          </w:tcPr>
          <w:p>
            <w:pPr>
              <w:ind w:left="20"/>
              <w:spacing w:after="0"/>
              <w:rPr>
                <w:sz w:val="20"/>
                <w:szCs w:val="20"/>
                <w:color w:val="auto"/>
              </w:rPr>
            </w:pPr>
            <w:r>
              <w:rPr>
                <w:rFonts w:ascii="Arial" w:cs="Arial" w:eastAsia="Arial" w:hAnsi="Arial"/>
                <w:sz w:val="11"/>
                <w:szCs w:val="11"/>
                <w:color w:val="auto"/>
              </w:rPr>
              <w:t>- 6.39</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0.52</w:t>
            </w:r>
          </w:p>
        </w:tc>
        <w:tc>
          <w:tcPr>
            <w:tcW w:w="600" w:type="dxa"/>
            <w:vAlign w:val="bottom"/>
          </w:tcPr>
          <w:p>
            <w:pPr>
              <w:ind w:left="20"/>
              <w:spacing w:after="0"/>
              <w:rPr>
                <w:sz w:val="20"/>
                <w:szCs w:val="20"/>
                <w:color w:val="auto"/>
              </w:rPr>
            </w:pPr>
            <w:r>
              <w:rPr>
                <w:rFonts w:ascii="Arial" w:cs="Arial" w:eastAsia="Arial" w:hAnsi="Arial"/>
                <w:sz w:val="11"/>
                <w:szCs w:val="11"/>
                <w:color w:val="auto"/>
              </w:rPr>
              <w:t>- 6.08</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0.33</w:t>
            </w:r>
          </w:p>
        </w:tc>
        <w:tc>
          <w:tcPr>
            <w:tcW w:w="600" w:type="dxa"/>
            <w:vAlign w:val="bottom"/>
          </w:tcPr>
          <w:p>
            <w:pPr>
              <w:ind w:left="20"/>
              <w:spacing w:after="0"/>
              <w:rPr>
                <w:sz w:val="20"/>
                <w:szCs w:val="20"/>
                <w:color w:val="auto"/>
              </w:rPr>
            </w:pPr>
            <w:r>
              <w:rPr>
                <w:rFonts w:ascii="Arial" w:cs="Arial" w:eastAsia="Arial" w:hAnsi="Arial"/>
                <w:sz w:val="11"/>
                <w:szCs w:val="11"/>
                <w:color w:val="auto"/>
              </w:rPr>
              <w:t>- 6.08</w:t>
            </w:r>
          </w:p>
        </w:tc>
      </w:tr>
      <w:tr>
        <w:trPr>
          <w:trHeight w:val="146"/>
        </w:trPr>
        <w:tc>
          <w:tcPr>
            <w:tcW w:w="2980" w:type="dxa"/>
            <w:vAlign w:val="bottom"/>
            <w:shd w:val="clear" w:color="auto" w:fill="CCEEFF"/>
          </w:tcPr>
          <w:p>
            <w:pPr>
              <w:ind w:left="660"/>
              <w:spacing w:after="0"/>
              <w:rPr>
                <w:sz w:val="20"/>
                <w:szCs w:val="20"/>
                <w:color w:val="auto"/>
              </w:rPr>
            </w:pPr>
            <w:r>
              <w:rPr>
                <w:rFonts w:ascii="Arial" w:cs="Arial" w:eastAsia="Arial" w:hAnsi="Arial"/>
                <w:sz w:val="11"/>
                <w:szCs w:val="11"/>
                <w:color w:val="auto"/>
              </w:rPr>
              <w:t>Expected volatility</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w:t>
            </w:r>
          </w:p>
        </w:tc>
        <w:tc>
          <w:tcPr>
            <w:tcW w:w="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- 61.5%</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51.9%</w:t>
            </w:r>
          </w:p>
        </w:tc>
        <w:tc>
          <w:tcPr>
            <w:tcW w:w="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- 65.1%</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49.0%</w:t>
            </w:r>
          </w:p>
        </w:tc>
        <w:tc>
          <w:tcPr>
            <w:tcW w:w="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- 66.5%</w:t>
            </w:r>
          </w:p>
        </w:tc>
      </w:tr>
      <w:tr>
        <w:trPr>
          <w:trHeight w:val="142"/>
        </w:trPr>
        <w:tc>
          <w:tcPr>
            <w:tcW w:w="2980" w:type="dxa"/>
            <w:vAlign w:val="bottom"/>
          </w:tcPr>
          <w:p>
            <w:pPr>
              <w:ind w:left="660"/>
              <w:spacing w:after="0"/>
              <w:rPr>
                <w:sz w:val="20"/>
                <w:szCs w:val="20"/>
                <w:color w:val="auto"/>
              </w:rPr>
            </w:pPr>
            <w:r>
              <w:rPr>
                <w:rFonts w:ascii="Arial" w:cs="Arial" w:eastAsia="Arial" w:hAnsi="Arial"/>
                <w:sz w:val="11"/>
                <w:szCs w:val="11"/>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1"/>
                <w:szCs w:val="11"/>
                <w:color w:val="auto"/>
              </w:rPr>
              <w:t>0.1%</w:t>
            </w:r>
          </w:p>
        </w:tc>
        <w:tc>
          <w:tcPr>
            <w:tcW w:w="600" w:type="dxa"/>
            <w:vAlign w:val="bottom"/>
          </w:tcPr>
          <w:p>
            <w:pPr>
              <w:ind w:left="20"/>
              <w:spacing w:after="0"/>
              <w:rPr>
                <w:sz w:val="20"/>
                <w:szCs w:val="20"/>
                <w:color w:val="auto"/>
              </w:rPr>
            </w:pPr>
            <w:r>
              <w:rPr>
                <w:rFonts w:ascii="Arial" w:cs="Arial" w:eastAsia="Arial" w:hAnsi="Arial"/>
                <w:sz w:val="11"/>
                <w:szCs w:val="11"/>
                <w:color w:val="auto"/>
              </w:rPr>
              <w:t>- 1.4%</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0.1%</w:t>
            </w:r>
          </w:p>
        </w:tc>
        <w:tc>
          <w:tcPr>
            <w:tcW w:w="600" w:type="dxa"/>
            <w:vAlign w:val="bottom"/>
          </w:tcPr>
          <w:p>
            <w:pPr>
              <w:ind w:left="20"/>
              <w:spacing w:after="0"/>
              <w:rPr>
                <w:sz w:val="20"/>
                <w:szCs w:val="20"/>
                <w:color w:val="auto"/>
              </w:rPr>
            </w:pPr>
            <w:r>
              <w:rPr>
                <w:rFonts w:ascii="Arial" w:cs="Arial" w:eastAsia="Arial" w:hAnsi="Arial"/>
                <w:sz w:val="11"/>
                <w:szCs w:val="11"/>
                <w:color w:val="auto"/>
              </w:rPr>
              <w:t>- 1.4%</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1.6%</w:t>
            </w:r>
          </w:p>
        </w:tc>
        <w:tc>
          <w:tcPr>
            <w:tcW w:w="600" w:type="dxa"/>
            <w:vAlign w:val="bottom"/>
          </w:tcPr>
          <w:p>
            <w:pPr>
              <w:ind w:left="20"/>
              <w:spacing w:after="0"/>
              <w:rPr>
                <w:sz w:val="20"/>
                <w:szCs w:val="20"/>
                <w:color w:val="auto"/>
              </w:rPr>
            </w:pPr>
            <w:r>
              <w:rPr>
                <w:rFonts w:ascii="Arial" w:cs="Arial" w:eastAsia="Arial" w:hAnsi="Arial"/>
                <w:sz w:val="11"/>
                <w:szCs w:val="11"/>
                <w:color w:val="auto"/>
              </w:rPr>
              <w:t>- 2.5%</w:t>
            </w:r>
          </w:p>
        </w:tc>
      </w:tr>
      <w:tr>
        <w:trPr>
          <w:trHeight w:val="146"/>
        </w:trPr>
        <w:tc>
          <w:tcPr>
            <w:tcW w:w="2980" w:type="dxa"/>
            <w:vAlign w:val="bottom"/>
            <w:shd w:val="clear" w:color="auto" w:fill="CCEEFF"/>
          </w:tcPr>
          <w:p>
            <w:pPr>
              <w:ind w:left="660"/>
              <w:spacing w:after="0"/>
              <w:rPr>
                <w:sz w:val="20"/>
                <w:szCs w:val="20"/>
                <w:color w:val="auto"/>
              </w:rPr>
            </w:pPr>
            <w:r>
              <w:rPr>
                <w:rFonts w:ascii="Arial" w:cs="Arial" w:eastAsia="Arial" w:hAnsi="Arial"/>
                <w:sz w:val="11"/>
                <w:szCs w:val="11"/>
                <w:color w:val="auto"/>
              </w:rPr>
              <w:t>Dividend rate</w:t>
            </w:r>
          </w:p>
        </w:tc>
        <w:tc>
          <w:tcPr>
            <w:tcW w:w="1880" w:type="dxa"/>
            <w:vAlign w:val="bottom"/>
            <w:gridSpan w:val="3"/>
            <w:shd w:val="clear" w:color="auto" w:fill="CCEEFF"/>
          </w:tcPr>
          <w:p>
            <w:pPr>
              <w:jc w:val="center"/>
              <w:ind w:left="507"/>
              <w:spacing w:after="0"/>
              <w:rPr>
                <w:sz w:val="20"/>
                <w:szCs w:val="20"/>
                <w:color w:val="auto"/>
              </w:rPr>
            </w:pPr>
            <w:r>
              <w:rPr>
                <w:rFonts w:ascii="Arial" w:cs="Arial" w:eastAsia="Arial" w:hAnsi="Arial"/>
                <w:sz w:val="11"/>
                <w:szCs w:val="11"/>
                <w:color w:val="auto"/>
                <w:w w:val="96"/>
              </w:rPr>
              <w:t>—%</w:t>
            </w:r>
          </w:p>
        </w:tc>
        <w:tc>
          <w:tcPr>
            <w:tcW w:w="1860" w:type="dxa"/>
            <w:vAlign w:val="bottom"/>
            <w:gridSpan w:val="3"/>
            <w:shd w:val="clear" w:color="auto" w:fill="CCEEFF"/>
          </w:tcPr>
          <w:p>
            <w:pPr>
              <w:jc w:val="center"/>
              <w:ind w:left="488"/>
              <w:spacing w:after="0"/>
              <w:rPr>
                <w:sz w:val="20"/>
                <w:szCs w:val="20"/>
                <w:color w:val="auto"/>
              </w:rPr>
            </w:pPr>
            <w:r>
              <w:rPr>
                <w:rFonts w:ascii="Arial" w:cs="Arial" w:eastAsia="Arial" w:hAnsi="Arial"/>
                <w:sz w:val="11"/>
                <w:szCs w:val="11"/>
                <w:color w:val="auto"/>
                <w:w w:val="96"/>
              </w:rPr>
              <w:t>—%</w:t>
            </w:r>
          </w:p>
        </w:tc>
        <w:tc>
          <w:tcPr>
            <w:tcW w:w="1760" w:type="dxa"/>
            <w:vAlign w:val="bottom"/>
            <w:gridSpan w:val="2"/>
            <w:shd w:val="clear" w:color="auto" w:fill="CCEEFF"/>
          </w:tcPr>
          <w:p>
            <w:pPr>
              <w:jc w:val="right"/>
              <w:ind w:right="406"/>
              <w:spacing w:after="0"/>
              <w:rPr>
                <w:sz w:val="20"/>
                <w:szCs w:val="20"/>
                <w:color w:val="auto"/>
              </w:rPr>
            </w:pPr>
            <w:r>
              <w:rPr>
                <w:rFonts w:ascii="Arial" w:cs="Arial" w:eastAsia="Arial" w:hAnsi="Arial"/>
                <w:sz w:val="11"/>
                <w:szCs w:val="11"/>
                <w:color w:val="auto"/>
              </w:rPr>
              <w:t>—%</w:t>
            </w:r>
          </w:p>
        </w:tc>
      </w:tr>
      <w:tr>
        <w:trPr>
          <w:trHeight w:val="343"/>
        </w:trPr>
        <w:tc>
          <w:tcPr>
            <w:tcW w:w="29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0"/>
                <w:szCs w:val="10"/>
                <w:b w:val="1"/>
                <w:bCs w:val="1"/>
                <w:color w:val="auto"/>
                <w:w w:val="86"/>
              </w:rPr>
              <w:t>Year Ended December 31,</w:t>
            </w:r>
          </w:p>
        </w:tc>
        <w:tc>
          <w:tcPr>
            <w:tcW w:w="1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22"/>
        </w:trPr>
        <w:tc>
          <w:tcPr>
            <w:tcW w:w="2980" w:type="dxa"/>
            <w:vAlign w:val="bottom"/>
            <w:tcBorders>
              <w:bottom w:val="single" w:sz="8" w:color="CCEEFF"/>
            </w:tcBorders>
          </w:tcPr>
          <w:p>
            <w:pPr>
              <w:ind w:left="660"/>
              <w:spacing w:after="0"/>
              <w:rPr>
                <w:sz w:val="20"/>
                <w:szCs w:val="20"/>
                <w:color w:val="auto"/>
              </w:rPr>
            </w:pPr>
            <w:r>
              <w:rPr>
                <w:rFonts w:ascii="Arial" w:cs="Arial" w:eastAsia="Arial" w:hAnsi="Arial"/>
                <w:sz w:val="10"/>
                <w:szCs w:val="10"/>
                <w:b w:val="1"/>
                <w:bCs w:val="1"/>
                <w:color w:val="auto"/>
              </w:rPr>
              <w:t>Employee Stock Purchase Plan:</w:t>
            </w:r>
          </w:p>
        </w:tc>
        <w:tc>
          <w:tcPr>
            <w:tcW w:w="1780" w:type="dxa"/>
            <w:vAlign w:val="bottom"/>
            <w:tcBorders>
              <w:bottom w:val="single" w:sz="8" w:color="auto"/>
            </w:tcBorders>
            <w:gridSpan w:val="2"/>
          </w:tcPr>
          <w:p>
            <w:pPr>
              <w:jc w:val="center"/>
              <w:ind w:left="607"/>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CCEEFF"/>
            </w:tcBorders>
          </w:tcPr>
          <w:p>
            <w:pPr>
              <w:spacing w:after="0"/>
              <w:rPr>
                <w:sz w:val="10"/>
                <w:szCs w:val="10"/>
                <w:color w:val="auto"/>
              </w:rPr>
            </w:pPr>
          </w:p>
        </w:tc>
        <w:tc>
          <w:tcPr>
            <w:tcW w:w="176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1760" w:type="dxa"/>
            <w:vAlign w:val="bottom"/>
            <w:tcBorders>
              <w:bottom w:val="single" w:sz="8" w:color="auto"/>
            </w:tcBorders>
            <w:gridSpan w:val="2"/>
          </w:tcPr>
          <w:p>
            <w:pPr>
              <w:jc w:val="right"/>
              <w:ind w:right="406"/>
              <w:spacing w:after="0"/>
              <w:rPr>
                <w:sz w:val="20"/>
                <w:szCs w:val="20"/>
                <w:color w:val="auto"/>
              </w:rPr>
            </w:pPr>
            <w:r>
              <w:rPr>
                <w:rFonts w:ascii="Arial" w:cs="Arial" w:eastAsia="Arial" w:hAnsi="Arial"/>
                <w:sz w:val="10"/>
                <w:szCs w:val="10"/>
                <w:b w:val="1"/>
                <w:bCs w:val="1"/>
                <w:color w:val="auto"/>
              </w:rPr>
              <w:t>2019</w:t>
            </w:r>
          </w:p>
        </w:tc>
      </w:tr>
      <w:tr>
        <w:trPr>
          <w:trHeight w:val="134"/>
        </w:trPr>
        <w:tc>
          <w:tcPr>
            <w:tcW w:w="2980" w:type="dxa"/>
            <w:vAlign w:val="bottom"/>
            <w:shd w:val="clear" w:color="auto" w:fill="CCEEFF"/>
          </w:tcPr>
          <w:p>
            <w:pPr>
              <w:ind w:left="660"/>
              <w:spacing w:after="0"/>
              <w:rPr>
                <w:sz w:val="20"/>
                <w:szCs w:val="20"/>
                <w:color w:val="auto"/>
              </w:rPr>
            </w:pPr>
            <w:r>
              <w:rPr>
                <w:rFonts w:ascii="Arial" w:cs="Arial" w:eastAsia="Arial" w:hAnsi="Arial"/>
                <w:sz w:val="11"/>
                <w:szCs w:val="11"/>
                <w:color w:val="auto"/>
              </w:rPr>
              <w:t>Expected term (in years)</w:t>
            </w:r>
          </w:p>
        </w:tc>
        <w:tc>
          <w:tcPr>
            <w:tcW w:w="1780" w:type="dxa"/>
            <w:vAlign w:val="bottom"/>
            <w:gridSpan w:val="2"/>
            <w:shd w:val="clear" w:color="auto" w:fill="CCEEFF"/>
          </w:tcPr>
          <w:p>
            <w:pPr>
              <w:jc w:val="center"/>
              <w:ind w:left="587"/>
              <w:spacing w:after="0"/>
              <w:rPr>
                <w:sz w:val="20"/>
                <w:szCs w:val="20"/>
                <w:color w:val="auto"/>
              </w:rPr>
            </w:pPr>
            <w:r>
              <w:rPr>
                <w:rFonts w:ascii="Arial" w:cs="Arial" w:eastAsia="Arial" w:hAnsi="Arial"/>
                <w:sz w:val="11"/>
                <w:szCs w:val="11"/>
                <w:color w:val="auto"/>
                <w:w w:val="83"/>
              </w:rPr>
              <w:t>0.50</w:t>
            </w:r>
          </w:p>
        </w:tc>
        <w:tc>
          <w:tcPr>
            <w:tcW w:w="10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left="588"/>
              <w:spacing w:after="0"/>
              <w:rPr>
                <w:sz w:val="20"/>
                <w:szCs w:val="20"/>
                <w:color w:val="auto"/>
              </w:rPr>
            </w:pPr>
            <w:r>
              <w:rPr>
                <w:rFonts w:ascii="Arial" w:cs="Arial" w:eastAsia="Arial" w:hAnsi="Arial"/>
                <w:sz w:val="11"/>
                <w:szCs w:val="11"/>
                <w:color w:val="auto"/>
                <w:w w:val="93"/>
              </w:rPr>
              <w:t>0.50</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0.49</w:t>
            </w:r>
          </w:p>
        </w:tc>
        <w:tc>
          <w:tcPr>
            <w:tcW w:w="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- 0.50</w:t>
            </w:r>
          </w:p>
        </w:tc>
      </w:tr>
      <w:tr>
        <w:trPr>
          <w:trHeight w:val="142"/>
        </w:trPr>
        <w:tc>
          <w:tcPr>
            <w:tcW w:w="2980" w:type="dxa"/>
            <w:vAlign w:val="bottom"/>
          </w:tcPr>
          <w:p>
            <w:pPr>
              <w:ind w:left="660"/>
              <w:spacing w:after="0"/>
              <w:rPr>
                <w:sz w:val="20"/>
                <w:szCs w:val="20"/>
                <w:color w:val="auto"/>
              </w:rPr>
            </w:pPr>
            <w:r>
              <w:rPr>
                <w:rFonts w:ascii="Arial" w:cs="Arial" w:eastAsia="Arial" w:hAnsi="Arial"/>
                <w:sz w:val="11"/>
                <w:szCs w:val="11"/>
                <w:color w:val="auto"/>
              </w:rPr>
              <w:t>Expected volatility</w:t>
            </w:r>
          </w:p>
        </w:tc>
        <w:tc>
          <w:tcPr>
            <w:tcW w:w="1180" w:type="dxa"/>
            <w:vAlign w:val="bottom"/>
          </w:tcPr>
          <w:p>
            <w:pPr>
              <w:jc w:val="right"/>
              <w:spacing w:after="0"/>
              <w:rPr>
                <w:sz w:val="20"/>
                <w:szCs w:val="20"/>
                <w:color w:val="auto"/>
              </w:rPr>
            </w:pPr>
            <w:r>
              <w:rPr>
                <w:rFonts w:ascii="Arial" w:cs="Arial" w:eastAsia="Arial" w:hAnsi="Arial"/>
                <w:sz w:val="11"/>
                <w:szCs w:val="11"/>
                <w:color w:val="auto"/>
              </w:rPr>
              <w:t>46.4%</w:t>
            </w:r>
          </w:p>
        </w:tc>
        <w:tc>
          <w:tcPr>
            <w:tcW w:w="600" w:type="dxa"/>
            <w:vAlign w:val="bottom"/>
          </w:tcPr>
          <w:p>
            <w:pPr>
              <w:ind w:left="20"/>
              <w:spacing w:after="0"/>
              <w:rPr>
                <w:sz w:val="20"/>
                <w:szCs w:val="20"/>
                <w:color w:val="auto"/>
              </w:rPr>
            </w:pPr>
            <w:r>
              <w:rPr>
                <w:rFonts w:ascii="Arial" w:cs="Arial" w:eastAsia="Arial" w:hAnsi="Arial"/>
                <w:sz w:val="11"/>
                <w:szCs w:val="11"/>
                <w:color w:val="auto"/>
              </w:rPr>
              <w:t>- 58.7%</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54.4%</w:t>
            </w:r>
          </w:p>
        </w:tc>
        <w:tc>
          <w:tcPr>
            <w:tcW w:w="600" w:type="dxa"/>
            <w:vAlign w:val="bottom"/>
          </w:tcPr>
          <w:p>
            <w:pPr>
              <w:ind w:left="20"/>
              <w:spacing w:after="0"/>
              <w:rPr>
                <w:sz w:val="20"/>
                <w:szCs w:val="20"/>
                <w:color w:val="auto"/>
              </w:rPr>
            </w:pPr>
            <w:r>
              <w:rPr>
                <w:rFonts w:ascii="Arial" w:cs="Arial" w:eastAsia="Arial" w:hAnsi="Arial"/>
                <w:sz w:val="11"/>
                <w:szCs w:val="11"/>
                <w:color w:val="auto"/>
              </w:rPr>
              <w:t>- 72.1%</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43.1%</w:t>
            </w:r>
          </w:p>
        </w:tc>
        <w:tc>
          <w:tcPr>
            <w:tcW w:w="600" w:type="dxa"/>
            <w:vAlign w:val="bottom"/>
          </w:tcPr>
          <w:p>
            <w:pPr>
              <w:ind w:left="20"/>
              <w:spacing w:after="0"/>
              <w:rPr>
                <w:sz w:val="20"/>
                <w:szCs w:val="20"/>
                <w:color w:val="auto"/>
              </w:rPr>
            </w:pPr>
            <w:r>
              <w:rPr>
                <w:rFonts w:ascii="Arial" w:cs="Arial" w:eastAsia="Arial" w:hAnsi="Arial"/>
                <w:sz w:val="11"/>
                <w:szCs w:val="11"/>
                <w:color w:val="auto"/>
              </w:rPr>
              <w:t>- 50.3%</w:t>
            </w:r>
          </w:p>
        </w:tc>
      </w:tr>
      <w:tr>
        <w:trPr>
          <w:trHeight w:val="146"/>
        </w:trPr>
        <w:tc>
          <w:tcPr>
            <w:tcW w:w="2980" w:type="dxa"/>
            <w:vAlign w:val="bottom"/>
            <w:shd w:val="clear" w:color="auto" w:fill="CCEEFF"/>
          </w:tcPr>
          <w:p>
            <w:pPr>
              <w:ind w:left="660"/>
              <w:spacing w:after="0"/>
              <w:rPr>
                <w:sz w:val="20"/>
                <w:szCs w:val="20"/>
                <w:color w:val="auto"/>
              </w:rPr>
            </w:pPr>
            <w:r>
              <w:rPr>
                <w:rFonts w:ascii="Arial" w:cs="Arial" w:eastAsia="Arial" w:hAnsi="Arial"/>
                <w:sz w:val="11"/>
                <w:szCs w:val="11"/>
                <w:color w:val="auto"/>
              </w:rPr>
              <w:t>Risk-free interest rate</w:t>
            </w:r>
          </w:p>
        </w:tc>
        <w:tc>
          <w:tcPr>
            <w:tcW w:w="1880" w:type="dxa"/>
            <w:vAlign w:val="bottom"/>
            <w:gridSpan w:val="3"/>
            <w:shd w:val="clear" w:color="auto" w:fill="CCEEFF"/>
          </w:tcPr>
          <w:p>
            <w:pPr>
              <w:jc w:val="center"/>
              <w:ind w:left="507"/>
              <w:spacing w:after="0"/>
              <w:rPr>
                <w:sz w:val="20"/>
                <w:szCs w:val="20"/>
                <w:color w:val="auto"/>
              </w:rPr>
            </w:pPr>
            <w:r>
              <w:rPr>
                <w:rFonts w:ascii="Arial" w:cs="Arial" w:eastAsia="Arial" w:hAnsi="Arial"/>
                <w:sz w:val="11"/>
                <w:szCs w:val="11"/>
                <w:color w:val="auto"/>
                <w:w w:val="93"/>
              </w:rPr>
              <w:t>—% - 0.1%</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- 0.2%</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- 2.4%</w:t>
            </w:r>
          </w:p>
        </w:tc>
      </w:tr>
      <w:tr>
        <w:trPr>
          <w:trHeight w:val="140"/>
        </w:trPr>
        <w:tc>
          <w:tcPr>
            <w:tcW w:w="2980" w:type="dxa"/>
            <w:vAlign w:val="bottom"/>
          </w:tcPr>
          <w:p>
            <w:pPr>
              <w:ind w:left="660"/>
              <w:spacing w:after="0"/>
              <w:rPr>
                <w:sz w:val="20"/>
                <w:szCs w:val="20"/>
                <w:color w:val="auto"/>
              </w:rPr>
            </w:pPr>
            <w:r>
              <w:rPr>
                <w:rFonts w:ascii="Arial" w:cs="Arial" w:eastAsia="Arial" w:hAnsi="Arial"/>
                <w:sz w:val="11"/>
                <w:szCs w:val="11"/>
                <w:color w:val="auto"/>
              </w:rPr>
              <w:t>Dividend rate</w:t>
            </w:r>
          </w:p>
        </w:tc>
        <w:tc>
          <w:tcPr>
            <w:tcW w:w="1880" w:type="dxa"/>
            <w:vAlign w:val="bottom"/>
            <w:gridSpan w:val="3"/>
          </w:tcPr>
          <w:p>
            <w:pPr>
              <w:jc w:val="center"/>
              <w:ind w:left="507"/>
              <w:spacing w:after="0"/>
              <w:rPr>
                <w:sz w:val="20"/>
                <w:szCs w:val="20"/>
                <w:color w:val="auto"/>
              </w:rPr>
            </w:pPr>
            <w:r>
              <w:rPr>
                <w:rFonts w:ascii="Arial" w:cs="Arial" w:eastAsia="Arial" w:hAnsi="Arial"/>
                <w:sz w:val="11"/>
                <w:szCs w:val="11"/>
                <w:color w:val="auto"/>
                <w:w w:val="96"/>
              </w:rPr>
              <w:t>—%</w:t>
            </w:r>
          </w:p>
        </w:tc>
        <w:tc>
          <w:tcPr>
            <w:tcW w:w="1860" w:type="dxa"/>
            <w:vAlign w:val="bottom"/>
            <w:gridSpan w:val="3"/>
          </w:tcPr>
          <w:p>
            <w:pPr>
              <w:jc w:val="center"/>
              <w:ind w:left="488"/>
              <w:spacing w:after="0"/>
              <w:rPr>
                <w:sz w:val="20"/>
                <w:szCs w:val="20"/>
                <w:color w:val="auto"/>
              </w:rPr>
            </w:pPr>
            <w:r>
              <w:rPr>
                <w:rFonts w:ascii="Arial" w:cs="Arial" w:eastAsia="Arial" w:hAnsi="Arial"/>
                <w:sz w:val="11"/>
                <w:szCs w:val="11"/>
                <w:color w:val="auto"/>
                <w:w w:val="96"/>
              </w:rPr>
              <w:t>—%</w:t>
            </w:r>
          </w:p>
        </w:tc>
        <w:tc>
          <w:tcPr>
            <w:tcW w:w="1760" w:type="dxa"/>
            <w:vAlign w:val="bottom"/>
            <w:gridSpan w:val="2"/>
          </w:tcPr>
          <w:p>
            <w:pPr>
              <w:jc w:val="right"/>
              <w:ind w:right="406"/>
              <w:spacing w:after="0"/>
              <w:rPr>
                <w:sz w:val="20"/>
                <w:szCs w:val="20"/>
                <w:color w:val="auto"/>
              </w:rPr>
            </w:pPr>
            <w:r>
              <w:rPr>
                <w:rFonts w:ascii="Arial" w:cs="Arial" w:eastAsia="Arial" w:hAnsi="Arial"/>
                <w:sz w:val="11"/>
                <w:szCs w:val="11"/>
                <w:color w:val="auto"/>
              </w:rPr>
              <w:t>—%</w:t>
            </w:r>
          </w:p>
        </w:tc>
      </w:tr>
    </w:tbl>
    <w:p>
      <w:pPr>
        <w:spacing w:after="0" w:line="193"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Stock-Based Compensation Expense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recorded total stock-based compensation expense as follows:</w:t>
      </w:r>
    </w:p>
    <w:p>
      <w:pPr>
        <w:spacing w:after="0" w:line="171" w:lineRule="exact"/>
        <w:rPr>
          <w:sz w:val="20"/>
          <w:szCs w:val="20"/>
          <w:color w:val="auto"/>
        </w:rPr>
      </w:pPr>
    </w:p>
    <w:tbl>
      <w:tblPr>
        <w:tblLayout w:type="fixed"/>
        <w:tblInd w:w="740" w:type="dxa"/>
        <w:tblCellMar>
          <w:top w:w="0" w:type="dxa"/>
          <w:left w:w="0" w:type="dxa"/>
          <w:bottom w:w="0" w:type="dxa"/>
          <w:right w:w="0" w:type="dxa"/>
        </w:tblCellMar>
      </w:tblPr>
      <w:tr>
        <w:trPr>
          <w:trHeight w:val="127"/>
        </w:trPr>
        <w:tc>
          <w:tcPr>
            <w:tcW w:w="206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0"/>
                <w:szCs w:val="10"/>
                <w:b w:val="1"/>
                <w:bCs w:val="1"/>
                <w:color w:val="auto"/>
                <w:w w:val="86"/>
              </w:rPr>
              <w:t>Year Ended December 31,</w:t>
            </w:r>
          </w:p>
        </w:tc>
        <w:tc>
          <w:tcPr>
            <w:tcW w:w="10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118"/>
        </w:trPr>
        <w:tc>
          <w:tcPr>
            <w:tcW w:w="206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80"/>
              </w:rPr>
              <w:t>2020</w:t>
            </w: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b w:val="1"/>
                <w:bCs w:val="1"/>
                <w:color w:val="auto"/>
              </w:rPr>
              <w:t>2019</w:t>
            </w:r>
          </w:p>
        </w:tc>
      </w:tr>
      <w:tr>
        <w:trPr>
          <w:trHeight w:val="114"/>
        </w:trPr>
        <w:tc>
          <w:tcPr>
            <w:tcW w:w="2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0"/>
                <w:szCs w:val="10"/>
                <w:color w:val="auto"/>
                <w:w w:val="84"/>
              </w:rPr>
              <w:t>(In thousands)</w:t>
            </w: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46"/>
        </w:trPr>
        <w:tc>
          <w:tcPr>
            <w:tcW w:w="2060" w:type="dxa"/>
            <w:vAlign w:val="bottom"/>
            <w:shd w:val="clear" w:color="auto" w:fill="CCEEFF"/>
          </w:tcPr>
          <w:p>
            <w:pPr>
              <w:ind w:left="780"/>
              <w:spacing w:after="0"/>
              <w:rPr>
                <w:sz w:val="20"/>
                <w:szCs w:val="20"/>
                <w:color w:val="auto"/>
              </w:rPr>
            </w:pPr>
            <w:r>
              <w:rPr>
                <w:rFonts w:ascii="Arial" w:cs="Arial" w:eastAsia="Arial" w:hAnsi="Arial"/>
                <w:sz w:val="11"/>
                <w:szCs w:val="11"/>
                <w:color w:val="auto"/>
              </w:rPr>
              <w:t>Cost of revenue</w:t>
            </w:r>
          </w:p>
        </w:tc>
        <w:tc>
          <w:tcPr>
            <w:tcW w:w="10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14,074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8,857</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7,123</w:t>
            </w:r>
          </w:p>
        </w:tc>
      </w:tr>
      <w:tr>
        <w:trPr>
          <w:trHeight w:val="142"/>
        </w:trPr>
        <w:tc>
          <w:tcPr>
            <w:tcW w:w="2060" w:type="dxa"/>
            <w:vAlign w:val="bottom"/>
          </w:tcPr>
          <w:p>
            <w:pPr>
              <w:ind w:left="780"/>
              <w:spacing w:after="0"/>
              <w:rPr>
                <w:sz w:val="20"/>
                <w:szCs w:val="20"/>
                <w:color w:val="auto"/>
              </w:rPr>
            </w:pPr>
            <w:r>
              <w:rPr>
                <w:rFonts w:ascii="Arial" w:cs="Arial" w:eastAsia="Arial" w:hAnsi="Arial"/>
                <w:sz w:val="11"/>
                <w:szCs w:val="11"/>
                <w:color w:val="auto"/>
                <w:w w:val="93"/>
              </w:rPr>
              <w:t>Research and development</w:t>
            </w:r>
          </w:p>
        </w:tc>
        <w:tc>
          <w:tcPr>
            <w:tcW w:w="10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258,672</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jc w:val="right"/>
              <w:ind w:right="8"/>
              <w:spacing w:after="0"/>
              <w:rPr>
                <w:sz w:val="20"/>
                <w:szCs w:val="20"/>
                <w:color w:val="auto"/>
              </w:rPr>
            </w:pPr>
            <w:r>
              <w:rPr>
                <w:rFonts w:ascii="Arial" w:cs="Arial" w:eastAsia="Arial" w:hAnsi="Arial"/>
                <w:sz w:val="11"/>
                <w:szCs w:val="11"/>
                <w:color w:val="auto"/>
              </w:rPr>
              <w:t>173,303</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126,012</w:t>
            </w:r>
          </w:p>
        </w:tc>
      </w:tr>
      <w:tr>
        <w:trPr>
          <w:trHeight w:val="146"/>
        </w:trPr>
        <w:tc>
          <w:tcPr>
            <w:tcW w:w="2060" w:type="dxa"/>
            <w:vAlign w:val="bottom"/>
            <w:shd w:val="clear" w:color="auto" w:fill="CCEEFF"/>
          </w:tcPr>
          <w:p>
            <w:pPr>
              <w:ind w:left="780"/>
              <w:spacing w:after="0"/>
              <w:rPr>
                <w:sz w:val="20"/>
                <w:szCs w:val="20"/>
                <w:color w:val="auto"/>
              </w:rPr>
            </w:pPr>
            <w:r>
              <w:rPr>
                <w:rFonts w:ascii="Arial" w:cs="Arial" w:eastAsia="Arial" w:hAnsi="Arial"/>
                <w:sz w:val="11"/>
                <w:szCs w:val="11"/>
                <w:color w:val="auto"/>
              </w:rPr>
              <w:t>Sales and marketing</w:t>
            </w:r>
          </w:p>
        </w:tc>
        <w:tc>
          <w:tcPr>
            <w:tcW w:w="10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213,351</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103,450</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60,886</w:t>
            </w:r>
          </w:p>
        </w:tc>
      </w:tr>
      <w:tr>
        <w:trPr>
          <w:trHeight w:val="142"/>
        </w:trPr>
        <w:tc>
          <w:tcPr>
            <w:tcW w:w="2060" w:type="dxa"/>
            <w:vAlign w:val="bottom"/>
            <w:tcBorders>
              <w:bottom w:val="single" w:sz="8" w:color="CCEEFF"/>
            </w:tcBorders>
          </w:tcPr>
          <w:p>
            <w:pPr>
              <w:ind w:left="780"/>
              <w:spacing w:after="0"/>
              <w:rPr>
                <w:sz w:val="20"/>
                <w:szCs w:val="20"/>
                <w:color w:val="auto"/>
              </w:rPr>
            </w:pPr>
            <w:r>
              <w:rPr>
                <w:rFonts w:ascii="Arial" w:cs="Arial" w:eastAsia="Arial" w:hAnsi="Arial"/>
                <w:sz w:val="11"/>
                <w:szCs w:val="11"/>
                <w:color w:val="auto"/>
                <w:w w:val="95"/>
              </w:rPr>
              <w:t>General and administrative</w:t>
            </w:r>
          </w:p>
        </w:tc>
        <w:tc>
          <w:tcPr>
            <w:tcW w:w="10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146,188</w:t>
            </w: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76,301</w:t>
            </w:r>
          </w:p>
        </w:tc>
        <w:tc>
          <w:tcPr>
            <w:tcW w:w="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70,297</w:t>
            </w:r>
          </w:p>
        </w:tc>
      </w:tr>
      <w:tr>
        <w:trPr>
          <w:trHeight w:val="151"/>
        </w:trPr>
        <w:tc>
          <w:tcPr>
            <w:tcW w:w="2060" w:type="dxa"/>
            <w:vAlign w:val="bottom"/>
            <w:tcBorders>
              <w:bottom w:val="single" w:sz="8" w:color="CCEEFF"/>
            </w:tcBorders>
            <w:shd w:val="clear" w:color="auto" w:fill="CCEEFF"/>
          </w:tcPr>
          <w:p>
            <w:pPr>
              <w:ind w:left="920"/>
              <w:spacing w:after="0" w:line="122" w:lineRule="exact"/>
              <w:rPr>
                <w:sz w:val="20"/>
                <w:szCs w:val="20"/>
                <w:color w:val="auto"/>
              </w:rPr>
            </w:pPr>
            <w:r>
              <w:rPr>
                <w:rFonts w:ascii="Arial" w:cs="Arial" w:eastAsia="Arial" w:hAnsi="Arial"/>
                <w:sz w:val="11"/>
                <w:szCs w:val="11"/>
                <w:color w:val="auto"/>
              </w:rPr>
              <w:t>Total</w:t>
            </w:r>
          </w:p>
        </w:tc>
        <w:tc>
          <w:tcPr>
            <w:tcW w:w="10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632,285</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361,911</w:t>
            </w:r>
          </w:p>
        </w:tc>
        <w:tc>
          <w:tcPr>
            <w:tcW w:w="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264,318</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Net Loss Per Share Attributable to Common Stockholders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sets forth the calculation of basic and diluted net loss per share attributable to common stockholders during the periods presented:</w:t>
      </w:r>
    </w:p>
    <w:p>
      <w:pPr>
        <w:spacing w:after="0" w:line="171" w:lineRule="exact"/>
        <w:rPr>
          <w:sz w:val="20"/>
          <w:szCs w:val="20"/>
          <w:color w:val="auto"/>
        </w:rPr>
      </w:pPr>
    </w:p>
    <w:tbl>
      <w:tblPr>
        <w:tblLayout w:type="fixed"/>
        <w:tblInd w:w="720" w:type="dxa"/>
        <w:tblCellMar>
          <w:top w:w="0" w:type="dxa"/>
          <w:left w:w="0" w:type="dxa"/>
          <w:bottom w:w="0" w:type="dxa"/>
          <w:right w:w="0" w:type="dxa"/>
        </w:tblCellMar>
      </w:tblPr>
      <w:tr>
        <w:trPr>
          <w:trHeight w:val="127"/>
        </w:trPr>
        <w:tc>
          <w:tcPr>
            <w:tcW w:w="54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ind w:left="480"/>
              <w:spacing w:after="0"/>
              <w:rPr>
                <w:sz w:val="20"/>
                <w:szCs w:val="20"/>
                <w:color w:val="auto"/>
              </w:rPr>
            </w:pPr>
            <w:r>
              <w:rPr>
                <w:rFonts w:ascii="Arial" w:cs="Arial" w:eastAsia="Arial" w:hAnsi="Arial"/>
                <w:sz w:val="10"/>
                <w:szCs w:val="10"/>
                <w:b w:val="1"/>
                <w:bCs w:val="1"/>
                <w:color w:val="auto"/>
                <w:w w:val="94"/>
              </w:rPr>
              <w:t>Year Ended December 31,</w:t>
            </w:r>
          </w:p>
        </w:tc>
        <w:tc>
          <w:tcPr>
            <w:tcW w:w="7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40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54"/>
        </w:trPr>
        <w:tc>
          <w:tcPr>
            <w:tcW w:w="5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Net loss attributable to common stockholders (in thousands)</w:t>
            </w:r>
          </w:p>
        </w:tc>
        <w:tc>
          <w:tcPr>
            <w:tcW w:w="7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(949,900)</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(490,979)</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(307,063)</w:t>
            </w:r>
          </w:p>
        </w:tc>
        <w:tc>
          <w:tcPr>
            <w:tcW w:w="0" w:type="dxa"/>
            <w:vAlign w:val="bottom"/>
          </w:tcPr>
          <w:p>
            <w:pPr>
              <w:spacing w:after="0"/>
              <w:rPr>
                <w:sz w:val="1"/>
                <w:szCs w:val="1"/>
                <w:color w:val="auto"/>
              </w:rPr>
            </w:pPr>
          </w:p>
        </w:tc>
      </w:tr>
      <w:tr>
        <w:trPr>
          <w:trHeight w:val="90"/>
        </w:trPr>
        <w:tc>
          <w:tcPr>
            <w:tcW w:w="5400" w:type="dxa"/>
            <w:vAlign w:val="bottom"/>
          </w:tcPr>
          <w:p>
            <w:pPr>
              <w:ind w:left="460"/>
              <w:spacing w:after="0" w:line="90" w:lineRule="exact"/>
              <w:rPr>
                <w:sz w:val="20"/>
                <w:szCs w:val="20"/>
                <w:color w:val="auto"/>
              </w:rPr>
            </w:pPr>
            <w:r>
              <w:rPr>
                <w:rFonts w:ascii="Arial" w:cs="Arial" w:eastAsia="Arial" w:hAnsi="Arial"/>
                <w:sz w:val="10"/>
                <w:szCs w:val="10"/>
                <w:color w:val="auto"/>
              </w:rPr>
              <w:t>Weighted-average shares used to compute net loss per share attributable to</w:t>
            </w:r>
          </w:p>
        </w:tc>
        <w:tc>
          <w:tcPr>
            <w:tcW w:w="7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174,180,465</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1"/>
                <w:szCs w:val="11"/>
                <w:color w:val="auto"/>
              </w:rPr>
              <w:t>146,708,663</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1"/>
                <w:szCs w:val="11"/>
                <w:color w:val="auto"/>
              </w:rPr>
              <w:t>130,083,046</w:t>
            </w:r>
          </w:p>
        </w:tc>
        <w:tc>
          <w:tcPr>
            <w:tcW w:w="0" w:type="dxa"/>
            <w:vAlign w:val="bottom"/>
          </w:tcPr>
          <w:p>
            <w:pPr>
              <w:spacing w:after="0"/>
              <w:rPr>
                <w:sz w:val="1"/>
                <w:szCs w:val="1"/>
                <w:color w:val="auto"/>
              </w:rPr>
            </w:pPr>
          </w:p>
        </w:tc>
      </w:tr>
      <w:tr>
        <w:trPr>
          <w:trHeight w:val="138"/>
        </w:trPr>
        <w:tc>
          <w:tcPr>
            <w:tcW w:w="5400" w:type="dxa"/>
            <w:vAlign w:val="bottom"/>
            <w:tcBorders>
              <w:bottom w:val="single" w:sz="8" w:color="CCEEFF"/>
            </w:tcBorders>
          </w:tcPr>
          <w:p>
            <w:pPr>
              <w:ind w:left="160"/>
              <w:spacing w:after="0" w:line="122" w:lineRule="exact"/>
              <w:rPr>
                <w:sz w:val="20"/>
                <w:szCs w:val="20"/>
                <w:color w:val="auto"/>
              </w:rPr>
            </w:pPr>
            <w:r>
              <w:rPr>
                <w:rFonts w:ascii="Arial" w:cs="Arial" w:eastAsia="Arial" w:hAnsi="Arial"/>
                <w:sz w:val="11"/>
                <w:szCs w:val="11"/>
                <w:color w:val="auto"/>
              </w:rPr>
              <w:t>common stockholders, basic and diluted</w:t>
            </w:r>
          </w:p>
        </w:tc>
        <w:tc>
          <w:tcPr>
            <w:tcW w:w="7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4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Net loss per share attributable to common stockholders, basic and diluted</w:t>
            </w:r>
          </w:p>
        </w:tc>
        <w:tc>
          <w:tcPr>
            <w:tcW w:w="7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(5.45)</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(3.35)</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(2.36)</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80"/>
          </w:cols>
          <w:pgMar w:left="300" w:top="131" w:right="619" w:bottom="1440" w:gutter="0" w:footer="0" w:header="0"/>
        </w:sectPr>
      </w:pPr>
    </w:p>
    <w:bookmarkStart w:id="113" w:name="page114"/>
    <w:bookmarkEnd w:id="113"/>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8"/>
        <w:spacing w:after="0"/>
        <w:rPr>
          <w:sz w:val="20"/>
          <w:szCs w:val="20"/>
          <w:color w:val="auto"/>
        </w:rPr>
      </w:pPr>
      <w:r>
        <w:rPr>
          <w:rFonts w:ascii="Arial" w:cs="Arial" w:eastAsia="Arial" w:hAnsi="Arial"/>
          <w:sz w:val="11"/>
          <w:szCs w:val="11"/>
          <w:color w:val="auto"/>
        </w:rPr>
        <w:t>The following outstanding shares of common stock equivalents were excluded from the calculation of the diluted net loss per share attributable to common stockholders because their effect would have been anti-dilutive:</w:t>
      </w:r>
    </w:p>
    <w:p>
      <w:pPr>
        <w:spacing w:after="0" w:line="183" w:lineRule="exact"/>
        <w:rPr>
          <w:sz w:val="20"/>
          <w:szCs w:val="20"/>
          <w:color w:val="auto"/>
        </w:rPr>
      </w:pPr>
    </w:p>
    <w:tbl>
      <w:tblPr>
        <w:tblLayout w:type="fixed"/>
        <w:tblInd w:w="728" w:type="dxa"/>
        <w:tblCellMar>
          <w:top w:w="0" w:type="dxa"/>
          <w:left w:w="0" w:type="dxa"/>
          <w:bottom w:w="0" w:type="dxa"/>
          <w:right w:w="0" w:type="dxa"/>
        </w:tblCellMar>
      </w:tblPr>
      <w:tr>
        <w:trPr>
          <w:trHeight w:val="127"/>
        </w:trPr>
        <w:tc>
          <w:tcPr>
            <w:tcW w:w="64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ind w:left="440"/>
              <w:spacing w:after="0"/>
              <w:rPr>
                <w:sz w:val="20"/>
                <w:szCs w:val="20"/>
                <w:color w:val="auto"/>
              </w:rPr>
            </w:pPr>
            <w:r>
              <w:rPr>
                <w:rFonts w:ascii="Arial" w:cs="Arial" w:eastAsia="Arial" w:hAnsi="Arial"/>
                <w:sz w:val="10"/>
                <w:szCs w:val="10"/>
                <w:b w:val="1"/>
                <w:bCs w:val="1"/>
                <w:color w:val="auto"/>
                <w:w w:val="90"/>
              </w:rPr>
              <w:t>As of December 31,</w:t>
            </w:r>
          </w:p>
        </w:tc>
        <w:tc>
          <w:tcPr>
            <w:tcW w:w="1200" w:type="dxa"/>
            <w:vAlign w:val="bottom"/>
            <w:tcBorders>
              <w:bottom w:val="single" w:sz="8" w:color="auto"/>
            </w:tcBorders>
          </w:tcPr>
          <w:p>
            <w:pPr>
              <w:spacing w:after="0"/>
              <w:rPr>
                <w:sz w:val="11"/>
                <w:szCs w:val="11"/>
                <w:color w:val="auto"/>
              </w:rPr>
            </w:pPr>
          </w:p>
        </w:tc>
      </w:tr>
      <w:tr>
        <w:trPr>
          <w:trHeight w:val="118"/>
        </w:trPr>
        <w:tc>
          <w:tcPr>
            <w:tcW w:w="648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120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b w:val="1"/>
                <w:bCs w:val="1"/>
                <w:color w:val="auto"/>
              </w:rPr>
              <w:t>2019</w:t>
            </w:r>
          </w:p>
        </w:tc>
      </w:tr>
      <w:tr>
        <w:trPr>
          <w:trHeight w:val="134"/>
        </w:trPr>
        <w:tc>
          <w:tcPr>
            <w:tcW w:w="6480" w:type="dxa"/>
            <w:vAlign w:val="bottom"/>
            <w:shd w:val="clear" w:color="auto" w:fill="CCEEFF"/>
          </w:tcPr>
          <w:p>
            <w:pPr>
              <w:ind w:left="460"/>
              <w:spacing w:after="0"/>
              <w:rPr>
                <w:sz w:val="20"/>
                <w:szCs w:val="20"/>
                <w:color w:val="auto"/>
              </w:rPr>
            </w:pPr>
            <w:r>
              <w:rPr>
                <w:rFonts w:ascii="Arial" w:cs="Arial" w:eastAsia="Arial" w:hAnsi="Arial"/>
                <w:sz w:val="11"/>
                <w:szCs w:val="11"/>
                <w:color w:val="auto"/>
              </w:rPr>
              <w:t>Stock options issued and outstanding</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3,351,313</w:t>
            </w: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5,625,735</w:t>
            </w: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7,705,848</w:t>
            </w:r>
          </w:p>
        </w:tc>
      </w:tr>
      <w:tr>
        <w:trPr>
          <w:trHeight w:val="142"/>
        </w:trPr>
        <w:tc>
          <w:tcPr>
            <w:tcW w:w="6480" w:type="dxa"/>
            <w:vAlign w:val="bottom"/>
          </w:tcPr>
          <w:p>
            <w:pPr>
              <w:ind w:left="460"/>
              <w:spacing w:after="0"/>
              <w:rPr>
                <w:sz w:val="20"/>
                <w:szCs w:val="20"/>
                <w:color w:val="auto"/>
              </w:rPr>
            </w:pPr>
            <w:r>
              <w:rPr>
                <w:rFonts w:ascii="Arial" w:cs="Arial" w:eastAsia="Arial" w:hAnsi="Arial"/>
                <w:sz w:val="11"/>
                <w:szCs w:val="11"/>
                <w:color w:val="auto"/>
              </w:rPr>
              <w:t>Restricted stock units issued and outstanding</w:t>
            </w:r>
          </w:p>
        </w:tc>
        <w:tc>
          <w:tcPr>
            <w:tcW w:w="1200" w:type="dxa"/>
            <w:vAlign w:val="bottom"/>
          </w:tcPr>
          <w:p>
            <w:pPr>
              <w:jc w:val="right"/>
              <w:spacing w:after="0"/>
              <w:rPr>
                <w:sz w:val="20"/>
                <w:szCs w:val="20"/>
                <w:color w:val="auto"/>
              </w:rPr>
            </w:pPr>
            <w:r>
              <w:rPr>
                <w:rFonts w:ascii="Arial" w:cs="Arial" w:eastAsia="Arial" w:hAnsi="Arial"/>
                <w:sz w:val="11"/>
                <w:szCs w:val="11"/>
                <w:color w:val="auto"/>
              </w:rPr>
              <w:t>6,475,700</w:t>
            </w:r>
          </w:p>
        </w:tc>
        <w:tc>
          <w:tcPr>
            <w:tcW w:w="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7,523,882</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8,490,517</w:t>
            </w:r>
          </w:p>
        </w:tc>
      </w:tr>
      <w:tr>
        <w:trPr>
          <w:trHeight w:val="146"/>
        </w:trPr>
        <w:tc>
          <w:tcPr>
            <w:tcW w:w="6480" w:type="dxa"/>
            <w:vAlign w:val="bottom"/>
            <w:shd w:val="clear" w:color="auto" w:fill="CCEEFF"/>
          </w:tcPr>
          <w:p>
            <w:pPr>
              <w:ind w:left="460"/>
              <w:spacing w:after="0"/>
              <w:rPr>
                <w:sz w:val="20"/>
                <w:szCs w:val="20"/>
                <w:color w:val="auto"/>
              </w:rPr>
            </w:pPr>
            <w:r>
              <w:rPr>
                <w:rFonts w:ascii="Arial" w:cs="Arial" w:eastAsia="Arial" w:hAnsi="Arial"/>
                <w:sz w:val="11"/>
                <w:szCs w:val="11"/>
                <w:color w:val="auto"/>
              </w:rPr>
              <w:t>Class A common stock reserved for Twilio.org</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618,857</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707,265</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795,673</w:t>
            </w:r>
          </w:p>
        </w:tc>
      </w:tr>
      <w:tr>
        <w:trPr>
          <w:trHeight w:val="142"/>
        </w:trPr>
        <w:tc>
          <w:tcPr>
            <w:tcW w:w="6480" w:type="dxa"/>
            <w:vAlign w:val="bottom"/>
          </w:tcPr>
          <w:p>
            <w:pPr>
              <w:ind w:left="460"/>
              <w:spacing w:after="0"/>
              <w:rPr>
                <w:sz w:val="20"/>
                <w:szCs w:val="20"/>
                <w:color w:val="auto"/>
              </w:rPr>
            </w:pPr>
            <w:r>
              <w:rPr>
                <w:rFonts w:ascii="Arial" w:cs="Arial" w:eastAsia="Arial" w:hAnsi="Arial"/>
                <w:sz w:val="11"/>
                <w:szCs w:val="11"/>
                <w:color w:val="auto"/>
              </w:rPr>
              <w:t>Class A common stock committed under ESPP</w:t>
            </w:r>
          </w:p>
        </w:tc>
        <w:tc>
          <w:tcPr>
            <w:tcW w:w="1200" w:type="dxa"/>
            <w:vAlign w:val="bottom"/>
          </w:tcPr>
          <w:p>
            <w:pPr>
              <w:jc w:val="right"/>
              <w:spacing w:after="0"/>
              <w:rPr>
                <w:sz w:val="20"/>
                <w:szCs w:val="20"/>
                <w:color w:val="auto"/>
              </w:rPr>
            </w:pPr>
            <w:r>
              <w:rPr>
                <w:rFonts w:ascii="Arial" w:cs="Arial" w:eastAsia="Arial" w:hAnsi="Arial"/>
                <w:sz w:val="11"/>
                <w:szCs w:val="11"/>
                <w:color w:val="auto"/>
              </w:rPr>
              <w:t>147,947</w:t>
            </w:r>
          </w:p>
        </w:tc>
        <w:tc>
          <w:tcPr>
            <w:tcW w:w="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103,703</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207,792</w:t>
            </w:r>
          </w:p>
        </w:tc>
      </w:tr>
      <w:tr>
        <w:trPr>
          <w:trHeight w:val="146"/>
        </w:trPr>
        <w:tc>
          <w:tcPr>
            <w:tcW w:w="6480" w:type="dxa"/>
            <w:vAlign w:val="bottom"/>
            <w:shd w:val="clear" w:color="auto" w:fill="CCEEFF"/>
          </w:tcPr>
          <w:p>
            <w:pPr>
              <w:ind w:left="460"/>
              <w:spacing w:after="0" w:line="146" w:lineRule="exact"/>
              <w:rPr>
                <w:sz w:val="20"/>
                <w:szCs w:val="20"/>
                <w:color w:val="auto"/>
              </w:rPr>
            </w:pPr>
            <w:r>
              <w:rPr>
                <w:rFonts w:ascii="Arial" w:cs="Arial" w:eastAsia="Arial" w:hAnsi="Arial"/>
                <w:sz w:val="11"/>
                <w:szCs w:val="11"/>
                <w:color w:val="auto"/>
              </w:rPr>
              <w:t>Convertible Notes</w:t>
            </w:r>
            <w:r>
              <w:rPr>
                <w:rFonts w:ascii="Arial" w:cs="Arial" w:eastAsia="Arial" w:hAnsi="Arial"/>
                <w:sz w:val="14"/>
                <w:szCs w:val="14"/>
                <w:color w:val="auto"/>
                <w:vertAlign w:val="superscript"/>
              </w:rPr>
              <w:t>(1)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4,847,578</w:t>
            </w: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3,150,647</w:t>
            </w:r>
          </w:p>
        </w:tc>
      </w:tr>
      <w:tr>
        <w:trPr>
          <w:trHeight w:val="142"/>
        </w:trPr>
        <w:tc>
          <w:tcPr>
            <w:tcW w:w="6480" w:type="dxa"/>
            <w:vAlign w:val="bottom"/>
          </w:tcPr>
          <w:p>
            <w:pPr>
              <w:ind w:left="460"/>
              <w:spacing w:after="0"/>
              <w:rPr>
                <w:sz w:val="20"/>
                <w:szCs w:val="20"/>
                <w:color w:val="auto"/>
              </w:rPr>
            </w:pPr>
            <w:r>
              <w:rPr>
                <w:rFonts w:ascii="Arial" w:cs="Arial" w:eastAsia="Arial" w:hAnsi="Arial"/>
                <w:sz w:val="11"/>
                <w:szCs w:val="11"/>
                <w:color w:val="auto"/>
              </w:rPr>
              <w:t>Class A common stock in escrow</w:t>
            </w:r>
          </w:p>
        </w:tc>
        <w:tc>
          <w:tcPr>
            <w:tcW w:w="1200" w:type="dxa"/>
            <w:vAlign w:val="bottom"/>
          </w:tcPr>
          <w:p>
            <w:pPr>
              <w:jc w:val="right"/>
              <w:spacing w:after="0"/>
              <w:rPr>
                <w:sz w:val="20"/>
                <w:szCs w:val="20"/>
                <w:color w:val="auto"/>
              </w:rPr>
            </w:pPr>
            <w:r>
              <w:rPr>
                <w:rFonts w:ascii="Arial" w:cs="Arial" w:eastAsia="Arial" w:hAnsi="Arial"/>
                <w:sz w:val="11"/>
                <w:szCs w:val="11"/>
                <w:color w:val="auto"/>
              </w:rPr>
              <w:t>75,506</w:t>
            </w:r>
          </w:p>
        </w:tc>
        <w:tc>
          <w:tcPr>
            <w:tcW w:w="80" w:type="dxa"/>
            <w:vAlign w:val="bottom"/>
          </w:tcPr>
          <w:p>
            <w:pPr>
              <w:spacing w:after="0"/>
              <w:rPr>
                <w:sz w:val="12"/>
                <w:szCs w:val="12"/>
                <w:color w:val="auto"/>
              </w:rPr>
            </w:pPr>
          </w:p>
        </w:tc>
        <w:tc>
          <w:tcPr>
            <w:tcW w:w="1220" w:type="dxa"/>
            <w:vAlign w:val="bottom"/>
          </w:tcPr>
          <w:p>
            <w:pPr>
              <w:jc w:val="right"/>
              <w:ind w:right="7"/>
              <w:spacing w:after="0"/>
              <w:rPr>
                <w:sz w:val="20"/>
                <w:szCs w:val="20"/>
                <w:color w:val="auto"/>
              </w:rPr>
            </w:pPr>
            <w:r>
              <w:rPr>
                <w:rFonts w:ascii="Arial" w:cs="Arial" w:eastAsia="Arial" w:hAnsi="Arial"/>
                <w:sz w:val="11"/>
                <w:szCs w:val="11"/>
                <w:color w:val="auto"/>
              </w:rPr>
              <w:t>75,612</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6480" w:type="dxa"/>
            <w:vAlign w:val="bottom"/>
            <w:shd w:val="clear" w:color="auto" w:fill="CCEEFF"/>
          </w:tcPr>
          <w:p>
            <w:pPr>
              <w:ind w:left="460"/>
              <w:spacing w:after="0"/>
              <w:rPr>
                <w:sz w:val="20"/>
                <w:szCs w:val="20"/>
                <w:color w:val="auto"/>
              </w:rPr>
            </w:pPr>
            <w:r>
              <w:rPr>
                <w:rFonts w:ascii="Arial" w:cs="Arial" w:eastAsia="Arial" w:hAnsi="Arial"/>
                <w:sz w:val="11"/>
                <w:szCs w:val="11"/>
                <w:color w:val="auto"/>
              </w:rPr>
              <w:t>Class A common stock in escrow and restricted stock awards subject to future vesting</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235,054</w:t>
            </w:r>
          </w:p>
        </w:tc>
        <w:tc>
          <w:tcPr>
            <w:tcW w:w="80" w:type="dxa"/>
            <w:vAlign w:val="bottom"/>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268,030</w:t>
            </w:r>
          </w:p>
        </w:tc>
        <w:tc>
          <w:tcPr>
            <w:tcW w:w="80" w:type="dxa"/>
            <w:vAlign w:val="bottom"/>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5"/>
        </w:trPr>
        <w:tc>
          <w:tcPr>
            <w:tcW w:w="6480" w:type="dxa"/>
            <w:vAlign w:val="bottom"/>
          </w:tcPr>
          <w:p>
            <w:pPr>
              <w:ind w:left="580"/>
              <w:spacing w:after="0"/>
              <w:rPr>
                <w:sz w:val="20"/>
                <w:szCs w:val="20"/>
                <w:color w:val="auto"/>
              </w:rPr>
            </w:pPr>
            <w:r>
              <w:rPr>
                <w:rFonts w:ascii="Arial" w:cs="Arial" w:eastAsia="Arial" w:hAnsi="Arial"/>
                <w:sz w:val="11"/>
                <w:szCs w:val="11"/>
                <w:color w:val="auto"/>
              </w:rPr>
              <w:t>Total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10,904,377</w:t>
            </w:r>
          </w:p>
        </w:tc>
        <w:tc>
          <w:tcPr>
            <w:tcW w:w="80" w:type="dxa"/>
            <w:vAlign w:val="bottom"/>
          </w:tcPr>
          <w:p>
            <w:pPr>
              <w:spacing w:after="0"/>
              <w:rPr>
                <w:sz w:val="11"/>
                <w:szCs w:val="11"/>
                <w:color w:val="auto"/>
              </w:rPr>
            </w:pP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19,151,805</w:t>
            </w:r>
          </w:p>
        </w:tc>
        <w:tc>
          <w:tcPr>
            <w:tcW w:w="80" w:type="dxa"/>
            <w:vAlign w:val="bottom"/>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20,350,477</w:t>
            </w:r>
          </w:p>
        </w:tc>
      </w:tr>
      <w:tr>
        <w:trPr>
          <w:trHeight w:val="20"/>
        </w:trPr>
        <w:tc>
          <w:tcPr>
            <w:tcW w:w="6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328"/>
        <w:spacing w:after="0"/>
        <w:rPr>
          <w:sz w:val="20"/>
          <w:szCs w:val="20"/>
          <w:color w:val="auto"/>
        </w:rPr>
      </w:pPr>
      <w:r>
        <w:rPr>
          <w:rFonts w:ascii="Arial" w:cs="Arial" w:eastAsia="Arial" w:hAnsi="Arial"/>
          <w:sz w:val="12"/>
          <w:szCs w:val="12"/>
          <w:color w:val="auto"/>
        </w:rPr>
        <w:t>____________________________________</w:t>
      </w:r>
    </w:p>
    <w:p>
      <w:pPr>
        <w:spacing w:after="0" w:line="10" w:lineRule="exact"/>
        <w:rPr>
          <w:sz w:val="20"/>
          <w:szCs w:val="20"/>
          <w:color w:val="auto"/>
        </w:rPr>
      </w:pPr>
    </w:p>
    <w:p>
      <w:pPr>
        <w:ind w:left="328" w:hanging="4"/>
        <w:spacing w:after="0" w:line="254" w:lineRule="auto"/>
        <w:tabs>
          <w:tab w:leader="none" w:pos="437" w:val="left"/>
        </w:tabs>
        <w:numPr>
          <w:ilvl w:val="1"/>
          <w:numId w:val="84"/>
        </w:numPr>
        <w:rPr>
          <w:rFonts w:ascii="Arial" w:cs="Arial" w:eastAsia="Arial" w:hAnsi="Arial"/>
          <w:sz w:val="13"/>
          <w:szCs w:val="13"/>
          <w:color w:val="auto"/>
          <w:vertAlign w:val="superscript"/>
        </w:rPr>
      </w:pPr>
      <w:r>
        <w:rPr>
          <w:rFonts w:ascii="Arial" w:cs="Arial" w:eastAsia="Arial" w:hAnsi="Arial"/>
          <w:sz w:val="10"/>
          <w:szCs w:val="10"/>
          <w:color w:val="auto"/>
        </w:rPr>
        <w:t>The Convertible Notes were fully redeemed in 2021 and were no longer outstanding as of December 31, 2021. As of December 31, 2020, the Company expected to settle the principal amount of the notes in shares of its Class A common stock, and as such used the if-converted method to calculate any potential dilutive effect of the debt settlement on diluted net income per share, if applicable. Prior to the fourth quarter 2020, the Company expected to settle the principal amount of these notes in cash and any excess in shares of the Company's Class A common stock. Hence, as of December 31, 2019, the Company used the treasury stock method to calculate any potential dilutive effect of the conversion spread on diluted net income per share, if applicable. The conversion spread has a dilutive impact on diluted net income per share of Class A common stock when the average market price of the Company's Class A common stock for a given period exceeds the conversion price of $70.90 per share for the Convertible Notes. The conversion spread was calculated using the average market price of Class A common stock during the period, consistent with the treasury stock method.</w:t>
      </w:r>
    </w:p>
    <w:p>
      <w:pPr>
        <w:spacing w:after="0" w:line="121" w:lineRule="exact"/>
        <w:rPr>
          <w:rFonts w:ascii="Arial" w:cs="Arial" w:eastAsia="Arial" w:hAnsi="Arial"/>
          <w:sz w:val="13"/>
          <w:szCs w:val="13"/>
          <w:color w:val="auto"/>
          <w:vertAlign w:val="superscript"/>
        </w:rPr>
      </w:pPr>
    </w:p>
    <w:p>
      <w:pPr>
        <w:ind w:left="188" w:hanging="188"/>
        <w:spacing w:after="0"/>
        <w:tabs>
          <w:tab w:leader="none" w:pos="188" w:val="left"/>
        </w:tabs>
        <w:numPr>
          <w:ilvl w:val="0"/>
          <w:numId w:val="85"/>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154"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following table presents domestic and foreign components of loss before income taxes for the periods presented:</w:t>
      </w:r>
    </w:p>
    <w:p>
      <w:pPr>
        <w:spacing w:after="0" w:line="189" w:lineRule="exact"/>
        <w:rPr>
          <w:sz w:val="20"/>
          <w:szCs w:val="20"/>
          <w:color w:val="auto"/>
        </w:rPr>
      </w:pPr>
    </w:p>
    <w:tbl>
      <w:tblPr>
        <w:tblLayout w:type="fixed"/>
        <w:tblInd w:w="328" w:type="dxa"/>
        <w:tblCellMar>
          <w:top w:w="0" w:type="dxa"/>
          <w:left w:w="0" w:type="dxa"/>
          <w:bottom w:w="0" w:type="dxa"/>
          <w:right w:w="0" w:type="dxa"/>
        </w:tblCellMar>
      </w:tblPr>
      <w:tr>
        <w:trPr>
          <w:trHeight w:val="127"/>
        </w:trPr>
        <w:tc>
          <w:tcPr>
            <w:tcW w:w="56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0"/>
                <w:szCs w:val="10"/>
                <w:b w:val="1"/>
                <w:bCs w:val="1"/>
                <w:color w:val="auto"/>
                <w:w w:val="86"/>
              </w:rPr>
              <w:t>Year Ended December 31,</w:t>
            </w: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24"/>
        </w:trPr>
        <w:tc>
          <w:tcPr>
            <w:tcW w:w="5680" w:type="dxa"/>
            <w:vAlign w:val="bottom"/>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108"/>
              <w:spacing w:after="0"/>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2019</w:t>
            </w:r>
          </w:p>
        </w:tc>
      </w:tr>
      <w:tr>
        <w:trPr>
          <w:trHeight w:val="117"/>
        </w:trPr>
        <w:tc>
          <w:tcPr>
            <w:tcW w:w="5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0"/>
                <w:szCs w:val="10"/>
                <w:color w:val="auto"/>
                <w:w w:val="84"/>
              </w:rPr>
              <w:t>(In thousands)</w:t>
            </w: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6"/>
        </w:trPr>
        <w:tc>
          <w:tcPr>
            <w:tcW w:w="56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United States</w:t>
            </w:r>
          </w:p>
        </w:tc>
        <w:tc>
          <w:tcPr>
            <w:tcW w:w="980" w:type="dxa"/>
            <w:vAlign w:val="bottom"/>
            <w:shd w:val="clear" w:color="auto" w:fill="CCEEFF"/>
          </w:tcPr>
          <w:p>
            <w:pPr>
              <w:jc w:val="right"/>
              <w:ind w:right="548"/>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(737,360)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(403,148)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(328,902)</w:t>
            </w:r>
          </w:p>
        </w:tc>
      </w:tr>
      <w:tr>
        <w:trPr>
          <w:trHeight w:val="142"/>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International</w:t>
            </w:r>
          </w:p>
        </w:tc>
        <w:tc>
          <w:tcPr>
            <w:tcW w:w="9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9"/>
              </w:rPr>
              <w:t>(223,569)</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(101,278)</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(33,314)</w:t>
            </w:r>
          </w:p>
        </w:tc>
      </w:tr>
      <w:tr>
        <w:trPr>
          <w:trHeight w:val="151"/>
        </w:trPr>
        <w:tc>
          <w:tcPr>
            <w:tcW w:w="5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Loss before provision for income taxes</w:t>
            </w:r>
          </w:p>
        </w:tc>
        <w:tc>
          <w:tcPr>
            <w:tcW w:w="98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9"/>
              </w:rPr>
              <w:t>(960,929)</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(504,426)</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(362,216)</w:t>
            </w:r>
          </w:p>
        </w:tc>
      </w:tr>
    </w:tbl>
    <w:p>
      <w:pPr>
        <w:spacing w:after="0" w:line="189" w:lineRule="exact"/>
        <w:rPr>
          <w:sz w:val="20"/>
          <w:szCs w:val="20"/>
          <w:color w:val="auto"/>
        </w:rPr>
      </w:pPr>
    </w:p>
    <w:p>
      <w:pPr>
        <w:ind w:left="328"/>
        <w:spacing w:after="0"/>
        <w:rPr>
          <w:sz w:val="20"/>
          <w:szCs w:val="20"/>
          <w:color w:val="auto"/>
        </w:rPr>
      </w:pPr>
      <w:r>
        <w:rPr>
          <w:rFonts w:ascii="Arial" w:cs="Arial" w:eastAsia="Arial" w:hAnsi="Arial"/>
          <w:sz w:val="12"/>
          <w:szCs w:val="12"/>
          <w:color w:val="auto"/>
        </w:rPr>
        <w:t>Benefit for income taxes consists of the following:</w:t>
      </w:r>
    </w:p>
    <w:p>
      <w:pPr>
        <w:spacing w:after="0" w:line="171" w:lineRule="exact"/>
        <w:rPr>
          <w:sz w:val="20"/>
          <w:szCs w:val="20"/>
          <w:color w:val="auto"/>
        </w:rPr>
      </w:pPr>
    </w:p>
    <w:tbl>
      <w:tblPr>
        <w:tblLayout w:type="fixed"/>
        <w:tblInd w:w="328" w:type="dxa"/>
        <w:tblCellMar>
          <w:top w:w="0" w:type="dxa"/>
          <w:left w:w="0" w:type="dxa"/>
          <w:bottom w:w="0" w:type="dxa"/>
          <w:right w:w="0" w:type="dxa"/>
        </w:tblCellMar>
      </w:tblPr>
      <w:tr>
        <w:trPr>
          <w:trHeight w:val="127"/>
        </w:trPr>
        <w:tc>
          <w:tcPr>
            <w:tcW w:w="56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0"/>
                <w:szCs w:val="10"/>
                <w:b w:val="1"/>
                <w:bCs w:val="1"/>
                <w:color w:val="auto"/>
                <w:w w:val="86"/>
              </w:rPr>
              <w:t>Year Ended December 31,</w:t>
            </w: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18"/>
        </w:trPr>
        <w:tc>
          <w:tcPr>
            <w:tcW w:w="568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107"/>
              <w:spacing w:after="0"/>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2019</w:t>
            </w:r>
          </w:p>
        </w:tc>
      </w:tr>
      <w:tr>
        <w:trPr>
          <w:trHeight w:val="125"/>
        </w:trPr>
        <w:tc>
          <w:tcPr>
            <w:tcW w:w="56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Current:</w:t>
            </w:r>
          </w:p>
        </w:tc>
        <w:tc>
          <w:tcPr>
            <w:tcW w:w="10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260"/>
              <w:spacing w:after="0"/>
              <w:rPr>
                <w:sz w:val="20"/>
                <w:szCs w:val="20"/>
                <w:color w:val="auto"/>
              </w:rPr>
            </w:pPr>
            <w:r>
              <w:rPr>
                <w:rFonts w:ascii="Arial" w:cs="Arial" w:eastAsia="Arial" w:hAnsi="Arial"/>
                <w:sz w:val="10"/>
                <w:szCs w:val="10"/>
                <w:color w:val="auto"/>
                <w:w w:val="84"/>
              </w:rPr>
              <w:t>(In thousands)</w:t>
            </w:r>
          </w:p>
        </w:tc>
        <w:tc>
          <w:tcPr>
            <w:tcW w:w="5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2"/>
        </w:trPr>
        <w:tc>
          <w:tcPr>
            <w:tcW w:w="5680" w:type="dxa"/>
            <w:vAlign w:val="bottom"/>
          </w:tcPr>
          <w:p>
            <w:pPr>
              <w:ind w:left="420"/>
              <w:spacing w:after="0"/>
              <w:rPr>
                <w:sz w:val="20"/>
                <w:szCs w:val="20"/>
                <w:color w:val="auto"/>
              </w:rPr>
            </w:pPr>
            <w:r>
              <w:rPr>
                <w:rFonts w:ascii="Arial" w:cs="Arial" w:eastAsia="Arial" w:hAnsi="Arial"/>
                <w:sz w:val="11"/>
                <w:szCs w:val="11"/>
                <w:color w:val="auto"/>
              </w:rPr>
              <w:t>Federal</w:t>
            </w:r>
          </w:p>
        </w:tc>
        <w:tc>
          <w:tcPr>
            <w:tcW w:w="1020" w:type="dxa"/>
            <w:vAlign w:val="bottom"/>
          </w:tcPr>
          <w:p>
            <w:pPr>
              <w:jc w:val="right"/>
              <w:ind w:right="588"/>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122</w:t>
            </w:r>
          </w:p>
        </w:tc>
        <w:tc>
          <w:tcPr>
            <w:tcW w:w="80" w:type="dxa"/>
            <w:vAlign w:val="bottom"/>
          </w:tcPr>
          <w:p>
            <w:pPr>
              <w:spacing w:after="0"/>
              <w:rPr>
                <w:sz w:val="12"/>
                <w:szCs w:val="12"/>
                <w:color w:val="auto"/>
              </w:rPr>
            </w:pPr>
          </w:p>
        </w:tc>
        <w:tc>
          <w:tcPr>
            <w:tcW w:w="500" w:type="dxa"/>
            <w:vAlign w:val="bottom"/>
          </w:tcPr>
          <w:p>
            <w:pPr>
              <w:jc w:val="right"/>
              <w:ind w:right="48"/>
              <w:spacing w:after="0"/>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State</w:t>
            </w: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w:t>
            </w:r>
          </w:p>
        </w:tc>
      </w:tr>
      <w:tr>
        <w:trPr>
          <w:trHeight w:val="142"/>
        </w:trPr>
        <w:tc>
          <w:tcPr>
            <w:tcW w:w="5680" w:type="dxa"/>
            <w:vAlign w:val="bottom"/>
            <w:tcBorders>
              <w:bottom w:val="single" w:sz="8" w:color="CCEEFF"/>
            </w:tcBorders>
          </w:tcPr>
          <w:p>
            <w:pPr>
              <w:ind w:left="420"/>
              <w:spacing w:after="0"/>
              <w:rPr>
                <w:sz w:val="20"/>
                <w:szCs w:val="20"/>
                <w:color w:val="auto"/>
              </w:rPr>
            </w:pPr>
            <w:r>
              <w:rPr>
                <w:rFonts w:ascii="Arial" w:cs="Arial" w:eastAsia="Arial" w:hAnsi="Arial"/>
                <w:sz w:val="11"/>
                <w:szCs w:val="11"/>
                <w:color w:val="auto"/>
              </w:rPr>
              <w:t>Foreign</w:t>
            </w: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8,274</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5,215</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2,684</w:t>
            </w:r>
          </w:p>
        </w:tc>
      </w:tr>
      <w:tr>
        <w:trPr>
          <w:trHeight w:val="135"/>
        </w:trPr>
        <w:tc>
          <w:tcPr>
            <w:tcW w:w="5680" w:type="dxa"/>
            <w:vAlign w:val="bottom"/>
            <w:shd w:val="clear" w:color="auto" w:fill="CCEEFF"/>
          </w:tcPr>
          <w:p>
            <w:pPr>
              <w:ind w:left="540"/>
              <w:spacing w:after="0"/>
              <w:rPr>
                <w:sz w:val="20"/>
                <w:szCs w:val="20"/>
                <w:color w:val="auto"/>
              </w:rPr>
            </w:pPr>
            <w:r>
              <w:rPr>
                <w:rFonts w:ascii="Arial" w:cs="Arial" w:eastAsia="Arial" w:hAnsi="Arial"/>
                <w:sz w:val="11"/>
                <w:szCs w:val="11"/>
                <w:color w:val="auto"/>
              </w:rPr>
              <w:t>Total</w:t>
            </w:r>
          </w:p>
        </w:tc>
        <w:tc>
          <w:tcPr>
            <w:tcW w:w="10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8,816</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5,487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2,882</w:t>
            </w:r>
          </w:p>
        </w:tc>
      </w:tr>
      <w:tr>
        <w:trPr>
          <w:trHeight w:val="142"/>
        </w:trPr>
        <w:tc>
          <w:tcPr>
            <w:tcW w:w="5680" w:type="dxa"/>
            <w:vAlign w:val="bottom"/>
          </w:tcPr>
          <w:p>
            <w:pPr>
              <w:ind w:left="340"/>
              <w:spacing w:after="0"/>
              <w:rPr>
                <w:sz w:val="20"/>
                <w:szCs w:val="20"/>
                <w:color w:val="auto"/>
              </w:rPr>
            </w:pPr>
            <w:r>
              <w:rPr>
                <w:rFonts w:ascii="Arial" w:cs="Arial" w:eastAsia="Arial" w:hAnsi="Arial"/>
                <w:sz w:val="11"/>
                <w:szCs w:val="11"/>
                <w:color w:val="auto"/>
              </w:rPr>
              <w:t>Deferred:</w:t>
            </w: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Federal</w:t>
            </w: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(13,772)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(12,719)</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(49,393)</w:t>
            </w:r>
          </w:p>
        </w:tc>
      </w:tr>
      <w:tr>
        <w:trPr>
          <w:trHeight w:val="142"/>
        </w:trPr>
        <w:tc>
          <w:tcPr>
            <w:tcW w:w="5680" w:type="dxa"/>
            <w:vAlign w:val="bottom"/>
          </w:tcPr>
          <w:p>
            <w:pPr>
              <w:ind w:left="420"/>
              <w:spacing w:after="0"/>
              <w:rPr>
                <w:sz w:val="20"/>
                <w:szCs w:val="20"/>
                <w:color w:val="auto"/>
              </w:rPr>
            </w:pPr>
            <w:r>
              <w:rPr>
                <w:rFonts w:ascii="Arial" w:cs="Arial" w:eastAsia="Arial" w:hAnsi="Arial"/>
                <w:sz w:val="11"/>
                <w:szCs w:val="11"/>
                <w:color w:val="auto"/>
              </w:rPr>
              <w:t>State</w:t>
            </w:r>
          </w:p>
        </w:tc>
        <w:tc>
          <w:tcPr>
            <w:tcW w:w="10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(4,083)</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(3,563)</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(7,474)</w:t>
            </w: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Foreign</w:t>
            </w:r>
          </w:p>
        </w:tc>
        <w:tc>
          <w:tcPr>
            <w:tcW w:w="10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(1,990)</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(2,652)</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(1,168)</w:t>
            </w:r>
          </w:p>
        </w:tc>
      </w:tr>
      <w:tr>
        <w:trPr>
          <w:trHeight w:val="131"/>
        </w:trPr>
        <w:tc>
          <w:tcPr>
            <w:tcW w:w="5680" w:type="dxa"/>
            <w:vAlign w:val="bottom"/>
            <w:tcBorders>
              <w:bottom w:val="single" w:sz="8" w:color="CCEEFF"/>
            </w:tcBorders>
          </w:tcPr>
          <w:p>
            <w:pPr>
              <w:ind w:left="540"/>
              <w:spacing w:after="0"/>
              <w:rPr>
                <w:sz w:val="20"/>
                <w:szCs w:val="20"/>
                <w:color w:val="auto"/>
              </w:rPr>
            </w:pPr>
            <w:r>
              <w:rPr>
                <w:rFonts w:ascii="Arial" w:cs="Arial" w:eastAsia="Arial" w:hAnsi="Arial"/>
                <w:sz w:val="11"/>
                <w:szCs w:val="11"/>
                <w:color w:val="auto"/>
              </w:rPr>
              <w:t>Total</w:t>
            </w:r>
          </w:p>
        </w:tc>
        <w:tc>
          <w:tcPr>
            <w:tcW w:w="10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2"/>
              </w:rPr>
              <w:t>(19,845)</w:t>
            </w: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(18,934)</w:t>
            </w: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(58,035)</w:t>
            </w:r>
          </w:p>
        </w:tc>
      </w:tr>
      <w:tr>
        <w:trPr>
          <w:trHeight w:val="151"/>
        </w:trPr>
        <w:tc>
          <w:tcPr>
            <w:tcW w:w="5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1"/>
                <w:szCs w:val="11"/>
                <w:color w:val="auto"/>
              </w:rPr>
              <w:t>Income tax benefit</w:t>
            </w:r>
          </w:p>
        </w:tc>
        <w:tc>
          <w:tcPr>
            <w:tcW w:w="102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2"/>
              </w:rPr>
              <w:t>(11,029)</w:t>
            </w: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(13,447)</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(55,153)</w:t>
            </w:r>
          </w:p>
        </w:tc>
      </w:tr>
    </w:tbl>
    <w:p>
      <w:pPr>
        <w:spacing w:after="0" w:line="261"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8"/>
          </w:cols>
          <w:pgMar w:left="292" w:top="131" w:right="379" w:bottom="1440" w:gutter="0" w:footer="0" w:header="0"/>
        </w:sectPr>
      </w:pPr>
    </w:p>
    <w:bookmarkStart w:id="114" w:name="page115"/>
    <w:bookmarkEnd w:id="11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presents a reconciliation of the statutory federal tax rate and the Company's effective tax rate:</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127"/>
        </w:trPr>
        <w:tc>
          <w:tcPr>
            <w:tcW w:w="550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ind w:left="380"/>
              <w:spacing w:after="0"/>
              <w:rPr>
                <w:sz w:val="20"/>
                <w:szCs w:val="20"/>
                <w:color w:val="auto"/>
              </w:rPr>
            </w:pPr>
            <w:r>
              <w:rPr>
                <w:rFonts w:ascii="Arial" w:cs="Arial" w:eastAsia="Arial" w:hAnsi="Arial"/>
                <w:sz w:val="10"/>
                <w:szCs w:val="10"/>
                <w:b w:val="1"/>
                <w:bCs w:val="1"/>
                <w:color w:val="auto"/>
                <w:w w:val="97"/>
              </w:rPr>
              <w:t>Year Ended December 31,</w:t>
            </w:r>
          </w:p>
        </w:tc>
        <w:tc>
          <w:tcPr>
            <w:tcW w:w="1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r>
      <w:tr>
        <w:trPr>
          <w:trHeight w:val="118"/>
        </w:trPr>
        <w:tc>
          <w:tcPr>
            <w:tcW w:w="550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tcPr>
          <w:p>
            <w:pPr>
              <w:jc w:val="right"/>
              <w:ind w:right="187"/>
              <w:spacing w:after="0"/>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rPr>
              <w:t>2020</w:t>
            </w: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rPr>
              <w:t>2019</w:t>
            </w:r>
          </w:p>
        </w:tc>
        <w:tc>
          <w:tcPr>
            <w:tcW w:w="280" w:type="dxa"/>
            <w:vAlign w:val="bottom"/>
            <w:tcBorders>
              <w:bottom w:val="single" w:sz="8" w:color="auto"/>
            </w:tcBorders>
          </w:tcPr>
          <w:p>
            <w:pPr>
              <w:spacing w:after="0"/>
              <w:rPr>
                <w:sz w:val="10"/>
                <w:szCs w:val="10"/>
                <w:color w:val="auto"/>
              </w:rPr>
            </w:pPr>
          </w:p>
        </w:tc>
      </w:tr>
      <w:tr>
        <w:trPr>
          <w:trHeight w:val="134"/>
        </w:trPr>
        <w:tc>
          <w:tcPr>
            <w:tcW w:w="55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Tax benefit at federal statutory rate</w:t>
            </w:r>
          </w:p>
        </w:tc>
        <w:tc>
          <w:tcPr>
            <w:tcW w:w="124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21</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21</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00" w:type="dxa"/>
            <w:vAlign w:val="bottom"/>
          </w:tcPr>
          <w:p>
            <w:pPr>
              <w:ind w:left="340"/>
              <w:spacing w:after="0"/>
              <w:rPr>
                <w:sz w:val="20"/>
                <w:szCs w:val="20"/>
                <w:color w:val="auto"/>
              </w:rPr>
            </w:pPr>
            <w:r>
              <w:rPr>
                <w:rFonts w:ascii="Arial" w:cs="Arial" w:eastAsia="Arial" w:hAnsi="Arial"/>
                <w:sz w:val="11"/>
                <w:szCs w:val="11"/>
                <w:color w:val="auto"/>
              </w:rPr>
              <w:t>State tax, net of federal benefit</w:t>
            </w:r>
          </w:p>
        </w:tc>
        <w:tc>
          <w:tcPr>
            <w:tcW w:w="1240" w:type="dxa"/>
            <w:vAlign w:val="bottom"/>
          </w:tcPr>
          <w:p>
            <w:pPr>
              <w:jc w:val="right"/>
              <w:ind w:right="147"/>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ind w:right="147"/>
              <w:spacing w:after="0"/>
              <w:rPr>
                <w:sz w:val="20"/>
                <w:szCs w:val="20"/>
                <w:color w:val="auto"/>
              </w:rPr>
            </w:pPr>
            <w:r>
              <w:rPr>
                <w:rFonts w:ascii="Arial" w:cs="Arial" w:eastAsia="Arial" w:hAnsi="Arial"/>
                <w:sz w:val="11"/>
                <w:szCs w:val="11"/>
                <w:color w:val="auto"/>
              </w:rPr>
              <w:t>12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127"/>
              <w:spacing w:after="0"/>
              <w:rPr>
                <w:sz w:val="20"/>
                <w:szCs w:val="20"/>
                <w:color w:val="auto"/>
              </w:rPr>
            </w:pPr>
            <w:r>
              <w:rPr>
                <w:rFonts w:ascii="Arial" w:cs="Arial" w:eastAsia="Arial" w:hAnsi="Arial"/>
                <w:sz w:val="11"/>
                <w:szCs w:val="11"/>
                <w:color w:val="auto"/>
              </w:rPr>
              <w:t>8</w:t>
            </w:r>
          </w:p>
        </w:tc>
        <w:tc>
          <w:tcPr>
            <w:tcW w:w="280" w:type="dxa"/>
            <w:vAlign w:val="bottom"/>
          </w:tcPr>
          <w:p>
            <w:pPr>
              <w:spacing w:after="0"/>
              <w:rPr>
                <w:sz w:val="12"/>
                <w:szCs w:val="12"/>
                <w:color w:val="auto"/>
              </w:rPr>
            </w:pPr>
          </w:p>
        </w:tc>
      </w:tr>
      <w:tr>
        <w:trPr>
          <w:trHeight w:val="146"/>
        </w:trPr>
        <w:tc>
          <w:tcPr>
            <w:tcW w:w="55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Stock-based compensation</w:t>
            </w:r>
          </w:p>
        </w:tc>
        <w:tc>
          <w:tcPr>
            <w:tcW w:w="124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16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24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14</w:t>
            </w:r>
          </w:p>
        </w:tc>
        <w:tc>
          <w:tcPr>
            <w:tcW w:w="280" w:type="dxa"/>
            <w:vAlign w:val="bottom"/>
            <w:shd w:val="clear" w:color="auto" w:fill="CCEEFF"/>
          </w:tcPr>
          <w:p>
            <w:pPr>
              <w:spacing w:after="0"/>
              <w:rPr>
                <w:sz w:val="12"/>
                <w:szCs w:val="12"/>
                <w:color w:val="auto"/>
              </w:rPr>
            </w:pPr>
          </w:p>
        </w:tc>
      </w:tr>
      <w:tr>
        <w:trPr>
          <w:trHeight w:val="142"/>
        </w:trPr>
        <w:tc>
          <w:tcPr>
            <w:tcW w:w="5500" w:type="dxa"/>
            <w:vAlign w:val="bottom"/>
          </w:tcPr>
          <w:p>
            <w:pPr>
              <w:ind w:left="340"/>
              <w:spacing w:after="0"/>
              <w:rPr>
                <w:sz w:val="20"/>
                <w:szCs w:val="20"/>
                <w:color w:val="auto"/>
              </w:rPr>
            </w:pPr>
            <w:r>
              <w:rPr>
                <w:rFonts w:ascii="Arial" w:cs="Arial" w:eastAsia="Arial" w:hAnsi="Arial"/>
                <w:sz w:val="11"/>
                <w:szCs w:val="11"/>
                <w:color w:val="auto"/>
              </w:rPr>
              <w:t>Credits</w:t>
            </w:r>
          </w:p>
        </w:tc>
        <w:tc>
          <w:tcPr>
            <w:tcW w:w="1240" w:type="dxa"/>
            <w:vAlign w:val="bottom"/>
          </w:tcPr>
          <w:p>
            <w:pPr>
              <w:jc w:val="right"/>
              <w:ind w:right="147"/>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ind w:right="147"/>
              <w:spacing w:after="0"/>
              <w:rPr>
                <w:sz w:val="20"/>
                <w:szCs w:val="20"/>
                <w:color w:val="auto"/>
              </w:rPr>
            </w:pPr>
            <w:r>
              <w:rPr>
                <w:rFonts w:ascii="Arial" w:cs="Arial" w:eastAsia="Arial" w:hAnsi="Arial"/>
                <w:sz w:val="11"/>
                <w:szCs w:val="11"/>
                <w:color w:val="auto"/>
              </w:rPr>
              <w:t>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127"/>
              <w:spacing w:after="0"/>
              <w:rPr>
                <w:sz w:val="20"/>
                <w:szCs w:val="20"/>
                <w:color w:val="auto"/>
              </w:rPr>
            </w:pPr>
            <w:r>
              <w:rPr>
                <w:rFonts w:ascii="Arial" w:cs="Arial" w:eastAsia="Arial" w:hAnsi="Arial"/>
                <w:sz w:val="11"/>
                <w:szCs w:val="11"/>
                <w:color w:val="auto"/>
              </w:rPr>
              <w:t>4</w:t>
            </w:r>
          </w:p>
        </w:tc>
        <w:tc>
          <w:tcPr>
            <w:tcW w:w="280" w:type="dxa"/>
            <w:vAlign w:val="bottom"/>
          </w:tcPr>
          <w:p>
            <w:pPr>
              <w:spacing w:after="0"/>
              <w:rPr>
                <w:sz w:val="12"/>
                <w:szCs w:val="12"/>
                <w:color w:val="auto"/>
              </w:rPr>
            </w:pPr>
          </w:p>
        </w:tc>
      </w:tr>
      <w:tr>
        <w:trPr>
          <w:trHeight w:val="146"/>
        </w:trPr>
        <w:tc>
          <w:tcPr>
            <w:tcW w:w="55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Foreign rate differential</w:t>
            </w:r>
          </w:p>
        </w:tc>
        <w:tc>
          <w:tcPr>
            <w:tcW w:w="124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(2)</w:t>
            </w:r>
          </w:p>
        </w:tc>
        <w:tc>
          <w:tcPr>
            <w:tcW w:w="280" w:type="dxa"/>
            <w:vAlign w:val="bottom"/>
            <w:shd w:val="clear" w:color="auto" w:fill="CCEEFF"/>
          </w:tcPr>
          <w:p>
            <w:pPr>
              <w:spacing w:after="0"/>
              <w:rPr>
                <w:sz w:val="12"/>
                <w:szCs w:val="12"/>
                <w:color w:val="auto"/>
              </w:rPr>
            </w:pPr>
          </w:p>
        </w:tc>
      </w:tr>
      <w:tr>
        <w:trPr>
          <w:trHeight w:val="142"/>
        </w:trPr>
        <w:tc>
          <w:tcPr>
            <w:tcW w:w="5500" w:type="dxa"/>
            <w:vAlign w:val="bottom"/>
          </w:tcPr>
          <w:p>
            <w:pPr>
              <w:ind w:left="340"/>
              <w:spacing w:after="0"/>
              <w:rPr>
                <w:sz w:val="20"/>
                <w:szCs w:val="20"/>
                <w:color w:val="auto"/>
              </w:rPr>
            </w:pPr>
            <w:r>
              <w:rPr>
                <w:rFonts w:ascii="Arial" w:cs="Arial" w:eastAsia="Arial" w:hAnsi="Arial"/>
                <w:sz w:val="11"/>
                <w:szCs w:val="11"/>
                <w:color w:val="auto"/>
              </w:rPr>
              <w:t>Permanent book vs. tax differences</w:t>
            </w:r>
          </w:p>
        </w:tc>
        <w:tc>
          <w:tcPr>
            <w:tcW w:w="124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ind w:right="107"/>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r>
      <w:tr>
        <w:trPr>
          <w:trHeight w:val="146"/>
        </w:trPr>
        <w:tc>
          <w:tcPr>
            <w:tcW w:w="55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Change in valuation allowance</w:t>
            </w:r>
          </w:p>
        </w:tc>
        <w:tc>
          <w:tcPr>
            <w:tcW w:w="124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(46)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(51)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(29)</w:t>
            </w:r>
          </w:p>
        </w:tc>
        <w:tc>
          <w:tcPr>
            <w:tcW w:w="280" w:type="dxa"/>
            <w:vAlign w:val="bottom"/>
            <w:shd w:val="clear" w:color="auto" w:fill="CCEEFF"/>
          </w:tcPr>
          <w:p>
            <w:pPr>
              <w:spacing w:after="0"/>
              <w:rPr>
                <w:sz w:val="12"/>
                <w:szCs w:val="12"/>
                <w:color w:val="auto"/>
              </w:rPr>
            </w:pPr>
          </w:p>
        </w:tc>
      </w:tr>
      <w:tr>
        <w:trPr>
          <w:trHeight w:val="142"/>
        </w:trPr>
        <w:tc>
          <w:tcPr>
            <w:tcW w:w="550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Other</w:t>
            </w:r>
          </w:p>
        </w:tc>
        <w:tc>
          <w:tcPr>
            <w:tcW w:w="1240" w:type="dxa"/>
            <w:vAlign w:val="bottom"/>
            <w:tcBorders>
              <w:bottom w:val="single" w:sz="8" w:color="auto"/>
            </w:tcBorders>
          </w:tcPr>
          <w:p>
            <w:pPr>
              <w:jc w:val="right"/>
              <w:ind w:right="14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147"/>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w:t>
            </w:r>
          </w:p>
        </w:tc>
        <w:tc>
          <w:tcPr>
            <w:tcW w:w="280" w:type="dxa"/>
            <w:vAlign w:val="bottom"/>
            <w:tcBorders>
              <w:bottom w:val="single" w:sz="8" w:color="auto"/>
            </w:tcBorders>
          </w:tcPr>
          <w:p>
            <w:pPr>
              <w:spacing w:after="0"/>
              <w:rPr>
                <w:sz w:val="12"/>
                <w:szCs w:val="12"/>
                <w:color w:val="auto"/>
              </w:rPr>
            </w:pPr>
          </w:p>
        </w:tc>
      </w:tr>
      <w:tr>
        <w:trPr>
          <w:trHeight w:val="151"/>
        </w:trPr>
        <w:tc>
          <w:tcPr>
            <w:tcW w:w="5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Effective tax rate</w:t>
            </w:r>
          </w:p>
        </w:tc>
        <w:tc>
          <w:tcPr>
            <w:tcW w:w="124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1"/>
                <w:szCs w:val="11"/>
                <w:color w:val="auto"/>
              </w:rPr>
              <w:t>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1"/>
                <w:szCs w:val="11"/>
                <w:color w:val="auto"/>
              </w:rPr>
              <w:t>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1"/>
                <w:szCs w:val="11"/>
                <w:color w:val="auto"/>
              </w:rPr>
              <w:t>15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bl>
    <w:p>
      <w:pPr>
        <w:spacing w:after="0" w:line="198"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w:t>
      </w:r>
    </w:p>
    <w:p>
      <w:pPr>
        <w:spacing w:after="0" w:line="154" w:lineRule="exact"/>
        <w:rPr>
          <w:sz w:val="20"/>
          <w:szCs w:val="20"/>
          <w:color w:val="auto"/>
        </w:rPr>
      </w:pPr>
    </w:p>
    <w:tbl>
      <w:tblPr>
        <w:tblLayout w:type="fixed"/>
        <w:tblInd w:w="1420" w:type="dxa"/>
        <w:tblCellMar>
          <w:top w:w="0" w:type="dxa"/>
          <w:left w:w="0" w:type="dxa"/>
          <w:bottom w:w="0" w:type="dxa"/>
          <w:right w:w="0" w:type="dxa"/>
        </w:tblCellMar>
      </w:tblPr>
      <w:tr>
        <w:trPr>
          <w:trHeight w:val="127"/>
        </w:trPr>
        <w:tc>
          <w:tcPr>
            <w:tcW w:w="56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0"/>
                <w:szCs w:val="10"/>
                <w:b w:val="1"/>
                <w:bCs w:val="1"/>
                <w:color w:val="auto"/>
              </w:rPr>
              <w:t>As of December 31,</w:t>
            </w:r>
          </w:p>
        </w:tc>
        <w:tc>
          <w:tcPr>
            <w:tcW w:w="840" w:type="dxa"/>
            <w:vAlign w:val="bottom"/>
            <w:tcBorders>
              <w:bottom w:val="single" w:sz="8" w:color="auto"/>
            </w:tcBorders>
          </w:tcPr>
          <w:p>
            <w:pPr>
              <w:spacing w:after="0"/>
              <w:rPr>
                <w:sz w:val="11"/>
                <w:szCs w:val="11"/>
                <w:color w:val="auto"/>
              </w:rPr>
            </w:pPr>
          </w:p>
        </w:tc>
      </w:tr>
      <w:tr>
        <w:trPr>
          <w:trHeight w:val="124"/>
        </w:trPr>
        <w:tc>
          <w:tcPr>
            <w:tcW w:w="56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67"/>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2020</w:t>
            </w:r>
          </w:p>
        </w:tc>
      </w:tr>
      <w:tr>
        <w:trPr>
          <w:trHeight w:val="128"/>
        </w:trPr>
        <w:tc>
          <w:tcPr>
            <w:tcW w:w="5680" w:type="dxa"/>
            <w:vAlign w:val="bottom"/>
            <w:shd w:val="clear" w:color="auto" w:fill="CCEEFF"/>
          </w:tcPr>
          <w:p>
            <w:pPr>
              <w:ind w:left="340"/>
              <w:spacing w:after="0" w:line="124" w:lineRule="exact"/>
              <w:rPr>
                <w:sz w:val="20"/>
                <w:szCs w:val="20"/>
                <w:color w:val="auto"/>
              </w:rPr>
            </w:pPr>
            <w:r>
              <w:rPr>
                <w:rFonts w:ascii="Arial" w:cs="Arial" w:eastAsia="Arial" w:hAnsi="Arial"/>
                <w:sz w:val="11"/>
                <w:szCs w:val="11"/>
                <w:color w:val="auto"/>
              </w:rPr>
              <w:t>Deferred tax assets:</w:t>
            </w:r>
          </w:p>
        </w:tc>
        <w:tc>
          <w:tcPr>
            <w:tcW w:w="6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jc w:val="right"/>
              <w:ind w:right="226"/>
              <w:spacing w:after="0"/>
              <w:rPr>
                <w:sz w:val="20"/>
                <w:szCs w:val="20"/>
                <w:color w:val="auto"/>
              </w:rPr>
            </w:pPr>
            <w:r>
              <w:rPr>
                <w:rFonts w:ascii="Arial" w:cs="Arial" w:eastAsia="Arial" w:hAnsi="Arial"/>
                <w:sz w:val="10"/>
                <w:szCs w:val="10"/>
                <w:color w:val="auto"/>
              </w:rPr>
              <w:t>(In thousands)</w:t>
            </w:r>
          </w:p>
        </w:tc>
        <w:tc>
          <w:tcPr>
            <w:tcW w:w="840" w:type="dxa"/>
            <w:vAlign w:val="bottom"/>
            <w:shd w:val="clear" w:color="auto" w:fill="CCEEFF"/>
          </w:tcPr>
          <w:p>
            <w:pPr>
              <w:spacing w:after="0"/>
              <w:rPr>
                <w:sz w:val="11"/>
                <w:szCs w:val="11"/>
                <w:color w:val="auto"/>
              </w:rPr>
            </w:pPr>
          </w:p>
        </w:tc>
      </w:tr>
      <w:tr>
        <w:trPr>
          <w:trHeight w:val="142"/>
        </w:trPr>
        <w:tc>
          <w:tcPr>
            <w:tcW w:w="5680" w:type="dxa"/>
            <w:vAlign w:val="bottom"/>
          </w:tcPr>
          <w:p>
            <w:pPr>
              <w:ind w:left="420"/>
              <w:spacing w:after="0"/>
              <w:rPr>
                <w:sz w:val="20"/>
                <w:szCs w:val="20"/>
                <w:color w:val="auto"/>
              </w:rPr>
            </w:pPr>
            <w:r>
              <w:rPr>
                <w:rFonts w:ascii="Arial" w:cs="Arial" w:eastAsia="Arial" w:hAnsi="Arial"/>
                <w:sz w:val="11"/>
                <w:szCs w:val="11"/>
                <w:color w:val="auto"/>
              </w:rPr>
              <w:t>Net operating loss carryforwards</w:t>
            </w:r>
          </w:p>
        </w:tc>
        <w:tc>
          <w:tcPr>
            <w:tcW w:w="62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1,054,585</w:t>
            </w:r>
          </w:p>
        </w:tc>
        <w:tc>
          <w:tcPr>
            <w:tcW w:w="100" w:type="dxa"/>
            <w:vAlign w:val="bottom"/>
          </w:tcPr>
          <w:p>
            <w:pPr>
              <w:spacing w:after="0"/>
              <w:rPr>
                <w:sz w:val="12"/>
                <w:szCs w:val="12"/>
                <w:color w:val="auto"/>
              </w:rPr>
            </w:pPr>
          </w:p>
        </w:tc>
        <w:tc>
          <w:tcPr>
            <w:tcW w:w="6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656,755</w:t>
            </w: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Accrued and prepaid expenses</w:t>
            </w: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24,831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15,408</w:t>
            </w:r>
          </w:p>
        </w:tc>
      </w:tr>
      <w:tr>
        <w:trPr>
          <w:trHeight w:val="142"/>
        </w:trPr>
        <w:tc>
          <w:tcPr>
            <w:tcW w:w="5680" w:type="dxa"/>
            <w:vAlign w:val="bottom"/>
          </w:tcPr>
          <w:p>
            <w:pPr>
              <w:ind w:left="420"/>
              <w:spacing w:after="0"/>
              <w:rPr>
                <w:sz w:val="20"/>
                <w:szCs w:val="20"/>
                <w:color w:val="auto"/>
              </w:rPr>
            </w:pPr>
            <w:r>
              <w:rPr>
                <w:rFonts w:ascii="Arial" w:cs="Arial" w:eastAsia="Arial" w:hAnsi="Arial"/>
                <w:sz w:val="11"/>
                <w:szCs w:val="11"/>
                <w:color w:val="auto"/>
              </w:rPr>
              <w:t>Stock-based compensation</w:t>
            </w:r>
          </w:p>
        </w:tc>
        <w:tc>
          <w:tcPr>
            <w:tcW w:w="6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44,261</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32,900</w:t>
            </w: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Research and development credits</w:t>
            </w: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148,282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92,899</w:t>
            </w:r>
          </w:p>
        </w:tc>
      </w:tr>
      <w:tr>
        <w:trPr>
          <w:trHeight w:val="142"/>
        </w:trPr>
        <w:tc>
          <w:tcPr>
            <w:tcW w:w="5680" w:type="dxa"/>
            <w:vAlign w:val="bottom"/>
          </w:tcPr>
          <w:p>
            <w:pPr>
              <w:ind w:left="420"/>
              <w:spacing w:after="0"/>
              <w:rPr>
                <w:sz w:val="20"/>
                <w:szCs w:val="20"/>
                <w:color w:val="auto"/>
              </w:rPr>
            </w:pPr>
            <w:r>
              <w:rPr>
                <w:rFonts w:ascii="Arial" w:cs="Arial" w:eastAsia="Arial" w:hAnsi="Arial"/>
                <w:sz w:val="11"/>
                <w:szCs w:val="11"/>
                <w:color w:val="auto"/>
              </w:rPr>
              <w:t>Charitable contributions</w:t>
            </w:r>
          </w:p>
        </w:tc>
        <w:tc>
          <w:tcPr>
            <w:tcW w:w="6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15,219</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8,229</w:t>
            </w: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Capped call</w:t>
            </w:r>
          </w:p>
        </w:tc>
        <w:tc>
          <w:tcPr>
            <w:tcW w:w="6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4,475</w:t>
            </w:r>
          </w:p>
        </w:tc>
      </w:tr>
      <w:tr>
        <w:trPr>
          <w:trHeight w:val="142"/>
        </w:trPr>
        <w:tc>
          <w:tcPr>
            <w:tcW w:w="5680" w:type="dxa"/>
            <w:vAlign w:val="bottom"/>
          </w:tcPr>
          <w:p>
            <w:pPr>
              <w:ind w:left="420"/>
              <w:spacing w:after="0"/>
              <w:rPr>
                <w:sz w:val="20"/>
                <w:szCs w:val="20"/>
                <w:color w:val="auto"/>
              </w:rPr>
            </w:pPr>
            <w:r>
              <w:rPr>
                <w:rFonts w:ascii="Arial" w:cs="Arial" w:eastAsia="Arial" w:hAnsi="Arial"/>
                <w:sz w:val="11"/>
                <w:szCs w:val="11"/>
                <w:color w:val="auto"/>
              </w:rPr>
              <w:t>Debt issuance cost</w:t>
            </w:r>
          </w:p>
        </w:tc>
        <w:tc>
          <w:tcPr>
            <w:tcW w:w="6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230</w:t>
            </w: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Depreciable property</w:t>
            </w: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3,675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42"/>
        </w:trPr>
        <w:tc>
          <w:tcPr>
            <w:tcW w:w="5680" w:type="dxa"/>
            <w:vAlign w:val="bottom"/>
          </w:tcPr>
          <w:p>
            <w:pPr>
              <w:ind w:left="420"/>
              <w:spacing w:after="0"/>
              <w:rPr>
                <w:sz w:val="20"/>
                <w:szCs w:val="20"/>
                <w:color w:val="auto"/>
              </w:rPr>
            </w:pPr>
            <w:r>
              <w:rPr>
                <w:rFonts w:ascii="Arial" w:cs="Arial" w:eastAsia="Arial" w:hAnsi="Arial"/>
                <w:sz w:val="11"/>
                <w:szCs w:val="11"/>
                <w:color w:val="auto"/>
              </w:rPr>
              <w:t>Intangibles</w:t>
            </w:r>
          </w:p>
        </w:tc>
        <w:tc>
          <w:tcPr>
            <w:tcW w:w="6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135,500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135,500</w:t>
            </w: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Lease liability</w:t>
            </w: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71,651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68,566</w:t>
            </w:r>
          </w:p>
        </w:tc>
      </w:tr>
      <w:tr>
        <w:trPr>
          <w:trHeight w:val="142"/>
        </w:trPr>
        <w:tc>
          <w:tcPr>
            <w:tcW w:w="5680" w:type="dxa"/>
            <w:vAlign w:val="bottom"/>
            <w:tcBorders>
              <w:bottom w:val="single" w:sz="8" w:color="CCEEFF"/>
            </w:tcBorders>
          </w:tcPr>
          <w:p>
            <w:pPr>
              <w:ind w:left="420"/>
              <w:spacing w:after="0"/>
              <w:rPr>
                <w:sz w:val="20"/>
                <w:szCs w:val="20"/>
                <w:color w:val="auto"/>
              </w:rPr>
            </w:pPr>
            <w:r>
              <w:rPr>
                <w:rFonts w:ascii="Arial" w:cs="Arial" w:eastAsia="Arial" w:hAnsi="Arial"/>
                <w:sz w:val="11"/>
                <w:szCs w:val="11"/>
                <w:color w:val="auto"/>
              </w:rPr>
              <w:t>Other</w:t>
            </w:r>
          </w:p>
        </w:tc>
        <w:tc>
          <w:tcPr>
            <w:tcW w:w="6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14,567</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5680" w:type="dxa"/>
            <w:vAlign w:val="bottom"/>
            <w:shd w:val="clear" w:color="auto" w:fill="CCEEFF"/>
          </w:tcPr>
          <w:p>
            <w:pPr>
              <w:ind w:left="560"/>
              <w:spacing w:after="0"/>
              <w:rPr>
                <w:sz w:val="20"/>
                <w:szCs w:val="20"/>
                <w:color w:val="auto"/>
              </w:rPr>
            </w:pPr>
            <w:r>
              <w:rPr>
                <w:rFonts w:ascii="Arial" w:cs="Arial" w:eastAsia="Arial" w:hAnsi="Arial"/>
                <w:sz w:val="11"/>
                <w:szCs w:val="11"/>
                <w:color w:val="auto"/>
              </w:rPr>
              <w:t>Gross deferred tax assets</w:t>
            </w:r>
          </w:p>
        </w:tc>
        <w:tc>
          <w:tcPr>
            <w:tcW w:w="6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1,512,571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1,014,962</w:t>
            </w:r>
          </w:p>
        </w:tc>
      </w:tr>
      <w:tr>
        <w:trPr>
          <w:trHeight w:val="142"/>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Valuation allowance</w:t>
            </w:r>
          </w:p>
        </w:tc>
        <w:tc>
          <w:tcPr>
            <w:tcW w:w="6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(1,136,827)</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(677,782)</w:t>
            </w:r>
          </w:p>
        </w:tc>
      </w:tr>
      <w:tr>
        <w:trPr>
          <w:trHeight w:val="135"/>
        </w:trPr>
        <w:tc>
          <w:tcPr>
            <w:tcW w:w="5680" w:type="dxa"/>
            <w:vAlign w:val="bottom"/>
            <w:shd w:val="clear" w:color="auto" w:fill="CCEEFF"/>
          </w:tcPr>
          <w:p>
            <w:pPr>
              <w:ind w:left="560"/>
              <w:spacing w:after="0"/>
              <w:rPr>
                <w:sz w:val="20"/>
                <w:szCs w:val="20"/>
                <w:color w:val="auto"/>
              </w:rPr>
            </w:pPr>
            <w:r>
              <w:rPr>
                <w:rFonts w:ascii="Arial" w:cs="Arial" w:eastAsia="Arial" w:hAnsi="Arial"/>
                <w:sz w:val="11"/>
                <w:szCs w:val="11"/>
                <w:color w:val="auto"/>
              </w:rPr>
              <w:t>Net deferred tax assets</w:t>
            </w:r>
          </w:p>
        </w:tc>
        <w:tc>
          <w:tcPr>
            <w:tcW w:w="6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375,744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337,180</w:t>
            </w:r>
          </w:p>
        </w:tc>
      </w:tr>
      <w:tr>
        <w:trPr>
          <w:trHeight w:val="142"/>
        </w:trPr>
        <w:tc>
          <w:tcPr>
            <w:tcW w:w="5680" w:type="dxa"/>
            <w:vAlign w:val="bottom"/>
          </w:tcPr>
          <w:p>
            <w:pPr>
              <w:ind w:left="340"/>
              <w:spacing w:after="0"/>
              <w:rPr>
                <w:sz w:val="20"/>
                <w:szCs w:val="20"/>
                <w:color w:val="auto"/>
              </w:rPr>
            </w:pPr>
            <w:r>
              <w:rPr>
                <w:rFonts w:ascii="Arial" w:cs="Arial" w:eastAsia="Arial" w:hAnsi="Arial"/>
                <w:sz w:val="11"/>
                <w:szCs w:val="11"/>
                <w:color w:val="auto"/>
              </w:rPr>
              <w:t>Deferred tax liabilities:</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Capitalized software</w:t>
            </w: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(28,825)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(19,174)</w:t>
            </w:r>
          </w:p>
        </w:tc>
      </w:tr>
      <w:tr>
        <w:trPr>
          <w:trHeight w:val="142"/>
        </w:trPr>
        <w:tc>
          <w:tcPr>
            <w:tcW w:w="5680" w:type="dxa"/>
            <w:vAlign w:val="bottom"/>
          </w:tcPr>
          <w:p>
            <w:pPr>
              <w:ind w:left="420"/>
              <w:spacing w:after="0"/>
              <w:rPr>
                <w:sz w:val="20"/>
                <w:szCs w:val="20"/>
                <w:color w:val="auto"/>
              </w:rPr>
            </w:pPr>
            <w:r>
              <w:rPr>
                <w:rFonts w:ascii="Arial" w:cs="Arial" w:eastAsia="Arial" w:hAnsi="Arial"/>
                <w:sz w:val="11"/>
                <w:szCs w:val="11"/>
                <w:color w:val="auto"/>
              </w:rPr>
              <w:t>Prepaid expenses</w:t>
            </w:r>
          </w:p>
        </w:tc>
        <w:tc>
          <w:tcPr>
            <w:tcW w:w="6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(1,649)</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(450)</w:t>
            </w: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Acquired intangibles</w:t>
            </w: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(251,034)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(231,379)</w:t>
            </w:r>
          </w:p>
        </w:tc>
      </w:tr>
      <w:tr>
        <w:trPr>
          <w:trHeight w:val="142"/>
        </w:trPr>
        <w:tc>
          <w:tcPr>
            <w:tcW w:w="5680" w:type="dxa"/>
            <w:vAlign w:val="bottom"/>
          </w:tcPr>
          <w:p>
            <w:pPr>
              <w:ind w:left="420"/>
              <w:spacing w:after="0"/>
              <w:rPr>
                <w:sz w:val="20"/>
                <w:szCs w:val="20"/>
                <w:color w:val="auto"/>
              </w:rPr>
            </w:pPr>
            <w:r>
              <w:rPr>
                <w:rFonts w:ascii="Arial" w:cs="Arial" w:eastAsia="Arial" w:hAnsi="Arial"/>
                <w:sz w:val="11"/>
                <w:szCs w:val="11"/>
                <w:color w:val="auto"/>
              </w:rPr>
              <w:t>Property and equipment</w:t>
            </w:r>
          </w:p>
        </w:tc>
        <w:tc>
          <w:tcPr>
            <w:tcW w:w="6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(85)</w:t>
            </w: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Convertible debt</w:t>
            </w:r>
          </w:p>
        </w:tc>
        <w:tc>
          <w:tcPr>
            <w:tcW w:w="6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(9,495)</w:t>
            </w:r>
          </w:p>
        </w:tc>
      </w:tr>
      <w:tr>
        <w:trPr>
          <w:trHeight w:val="142"/>
        </w:trPr>
        <w:tc>
          <w:tcPr>
            <w:tcW w:w="5680" w:type="dxa"/>
            <w:vAlign w:val="bottom"/>
          </w:tcPr>
          <w:p>
            <w:pPr>
              <w:ind w:left="420"/>
              <w:spacing w:after="0"/>
              <w:rPr>
                <w:sz w:val="20"/>
                <w:szCs w:val="20"/>
                <w:color w:val="auto"/>
              </w:rPr>
            </w:pPr>
            <w:r>
              <w:rPr>
                <w:rFonts w:ascii="Arial" w:cs="Arial" w:eastAsia="Arial" w:hAnsi="Arial"/>
                <w:sz w:val="11"/>
                <w:szCs w:val="11"/>
                <w:color w:val="auto"/>
              </w:rPr>
              <w:t>Right-of-use asset</w:t>
            </w:r>
          </w:p>
        </w:tc>
        <w:tc>
          <w:tcPr>
            <w:tcW w:w="6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(64,277)</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(66,243)</w:t>
            </w:r>
          </w:p>
        </w:tc>
      </w:tr>
      <w:tr>
        <w:trPr>
          <w:trHeight w:val="146"/>
        </w:trPr>
        <w:tc>
          <w:tcPr>
            <w:tcW w:w="5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Deferred commissions</w:t>
            </w: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(47,897)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(21,162)</w:t>
            </w:r>
          </w:p>
        </w:tc>
      </w:tr>
      <w:tr>
        <w:trPr>
          <w:trHeight w:val="142"/>
        </w:trPr>
        <w:tc>
          <w:tcPr>
            <w:tcW w:w="5680" w:type="dxa"/>
            <w:vAlign w:val="bottom"/>
          </w:tcPr>
          <w:p>
            <w:pPr>
              <w:ind w:left="420"/>
              <w:spacing w:after="0"/>
              <w:rPr>
                <w:sz w:val="20"/>
                <w:szCs w:val="20"/>
                <w:color w:val="auto"/>
              </w:rPr>
            </w:pPr>
            <w:r>
              <w:rPr>
                <w:rFonts w:ascii="Arial" w:cs="Arial" w:eastAsia="Arial" w:hAnsi="Arial"/>
                <w:sz w:val="11"/>
                <w:szCs w:val="11"/>
                <w:color w:val="auto"/>
              </w:rPr>
              <w:t>Other</w:t>
            </w:r>
          </w:p>
        </w:tc>
        <w:tc>
          <w:tcPr>
            <w:tcW w:w="6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(2,876)</w:t>
            </w:r>
          </w:p>
        </w:tc>
      </w:tr>
      <w:tr>
        <w:trPr>
          <w:trHeight w:val="151"/>
        </w:trPr>
        <w:tc>
          <w:tcPr>
            <w:tcW w:w="56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rPr>
              <w:t>Net deferred tax liability</w:t>
            </w:r>
          </w:p>
        </w:tc>
        <w:tc>
          <w:tcPr>
            <w:tcW w:w="6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(13,684)</w:t>
            </w:r>
          </w:p>
        </w:tc>
      </w:tr>
    </w:tbl>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115" w:name="page116"/>
    <w:bookmarkEnd w:id="11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summarizes our tax carryforwards, carryovers, and credits:</w:t>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115"/>
        </w:trPr>
        <w:tc>
          <w:tcPr>
            <w:tcW w:w="3660" w:type="dxa"/>
            <w:vAlign w:val="bottom"/>
          </w:tcPr>
          <w:p>
            <w:pPr>
              <w:spacing w:after="0"/>
              <w:rPr>
                <w:sz w:val="10"/>
                <w:szCs w:val="10"/>
                <w:color w:val="auto"/>
              </w:rPr>
            </w:pPr>
          </w:p>
        </w:tc>
        <w:tc>
          <w:tcPr>
            <w:tcW w:w="1480" w:type="dxa"/>
            <w:vAlign w:val="bottom"/>
          </w:tcPr>
          <w:p>
            <w:pPr>
              <w:jc w:val="right"/>
              <w:ind w:right="168"/>
              <w:spacing w:after="0"/>
              <w:rPr>
                <w:sz w:val="20"/>
                <w:szCs w:val="20"/>
                <w:color w:val="auto"/>
              </w:rPr>
            </w:pPr>
            <w:r>
              <w:rPr>
                <w:rFonts w:ascii="Arial" w:cs="Arial" w:eastAsia="Arial" w:hAnsi="Arial"/>
                <w:sz w:val="10"/>
                <w:szCs w:val="10"/>
                <w:b w:val="1"/>
                <w:bCs w:val="1"/>
                <w:color w:val="auto"/>
              </w:rPr>
              <w:t>As of</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tcPr>
          <w:p>
            <w:pPr>
              <w:ind w:left="1320"/>
              <w:spacing w:after="0"/>
              <w:rPr>
                <w:sz w:val="20"/>
                <w:szCs w:val="20"/>
                <w:color w:val="auto"/>
              </w:rPr>
            </w:pPr>
            <w:r>
              <w:rPr>
                <w:rFonts w:ascii="Arial" w:cs="Arial" w:eastAsia="Arial" w:hAnsi="Arial"/>
                <w:sz w:val="10"/>
                <w:szCs w:val="10"/>
                <w:b w:val="1"/>
                <w:bCs w:val="1"/>
                <w:color w:val="auto"/>
              </w:rPr>
              <w:t>Expiration Date</w:t>
            </w:r>
          </w:p>
        </w:tc>
      </w:tr>
      <w:tr>
        <w:trPr>
          <w:trHeight w:val="125"/>
        </w:trPr>
        <w:tc>
          <w:tcPr>
            <w:tcW w:w="3660" w:type="dxa"/>
            <w:vAlign w:val="bottom"/>
          </w:tcPr>
          <w:p>
            <w:pPr>
              <w:spacing w:after="0"/>
              <w:rPr>
                <w:sz w:val="10"/>
                <w:szCs w:val="10"/>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rPr>
              <w:t>December 31, 2021</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tcBorders>
              <w:bottom w:val="single" w:sz="8" w:color="auto"/>
            </w:tcBorders>
          </w:tcPr>
          <w:p>
            <w:pPr>
              <w:ind w:left="1180"/>
              <w:spacing w:after="0"/>
              <w:rPr>
                <w:sz w:val="20"/>
                <w:szCs w:val="20"/>
                <w:color w:val="auto"/>
              </w:rPr>
            </w:pPr>
            <w:r>
              <w:rPr>
                <w:rFonts w:ascii="Arial" w:cs="Arial" w:eastAsia="Arial" w:hAnsi="Arial"/>
                <w:sz w:val="10"/>
                <w:szCs w:val="10"/>
                <w:b w:val="1"/>
                <w:bCs w:val="1"/>
                <w:color w:val="auto"/>
              </w:rPr>
              <w:t>(If not utilized)</w:t>
            </w:r>
          </w:p>
        </w:tc>
      </w:tr>
      <w:tr>
        <w:trPr>
          <w:trHeight w:val="114"/>
        </w:trPr>
        <w:tc>
          <w:tcPr>
            <w:tcW w:w="366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(In thousands)</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tcPr>
          <w:p>
            <w:pPr>
              <w:spacing w:after="0"/>
              <w:rPr>
                <w:sz w:val="9"/>
                <w:szCs w:val="9"/>
                <w:color w:val="auto"/>
              </w:rPr>
            </w:pPr>
          </w:p>
        </w:tc>
      </w:tr>
      <w:tr>
        <w:trPr>
          <w:trHeight w:val="146"/>
        </w:trPr>
        <w:tc>
          <w:tcPr>
            <w:tcW w:w="36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Federal net operating loss carryforwards</w:t>
            </w:r>
          </w:p>
        </w:tc>
        <w:tc>
          <w:tcPr>
            <w:tcW w:w="1480" w:type="dxa"/>
            <w:vAlign w:val="bottom"/>
            <w:shd w:val="clear" w:color="auto" w:fill="CCEEFF"/>
          </w:tcPr>
          <w:p>
            <w:pPr>
              <w:jc w:val="right"/>
              <w:ind w:right="1048"/>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320,167</w:t>
            </w:r>
          </w:p>
        </w:tc>
        <w:tc>
          <w:tcPr>
            <w:tcW w:w="80" w:type="dxa"/>
            <w:vAlign w:val="bottom"/>
            <w:shd w:val="clear" w:color="auto" w:fill="CCEEFF"/>
          </w:tcPr>
          <w:p>
            <w:pPr>
              <w:spacing w:after="0"/>
              <w:rPr>
                <w:sz w:val="12"/>
                <w:szCs w:val="12"/>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Various dates beginning in 2029</w:t>
            </w:r>
          </w:p>
        </w:tc>
      </w:tr>
      <w:tr>
        <w:trPr>
          <w:trHeight w:val="142"/>
        </w:trPr>
        <w:tc>
          <w:tcPr>
            <w:tcW w:w="3660" w:type="dxa"/>
            <w:vAlign w:val="bottom"/>
          </w:tcPr>
          <w:p>
            <w:pPr>
              <w:ind w:left="340"/>
              <w:spacing w:after="0"/>
              <w:rPr>
                <w:sz w:val="20"/>
                <w:szCs w:val="20"/>
                <w:color w:val="auto"/>
              </w:rPr>
            </w:pPr>
            <w:r>
              <w:rPr>
                <w:rFonts w:ascii="Arial" w:cs="Arial" w:eastAsia="Arial" w:hAnsi="Arial"/>
                <w:sz w:val="11"/>
                <w:szCs w:val="11"/>
                <w:color w:val="auto"/>
              </w:rPr>
              <w:t>Federal tax credits</w:t>
            </w:r>
          </w:p>
        </w:tc>
        <w:tc>
          <w:tcPr>
            <w:tcW w:w="1480" w:type="dxa"/>
            <w:vAlign w:val="bottom"/>
          </w:tcPr>
          <w:p>
            <w:pPr>
              <w:jc w:val="right"/>
              <w:ind w:right="1048"/>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132,920</w:t>
            </w:r>
          </w:p>
        </w:tc>
        <w:tc>
          <w:tcPr>
            <w:tcW w:w="80" w:type="dxa"/>
            <w:vAlign w:val="bottom"/>
          </w:tcPr>
          <w:p>
            <w:pPr>
              <w:spacing w:after="0"/>
              <w:rPr>
                <w:sz w:val="12"/>
                <w:szCs w:val="12"/>
                <w:color w:val="auto"/>
              </w:rPr>
            </w:pPr>
          </w:p>
        </w:tc>
        <w:tc>
          <w:tcPr>
            <w:tcW w:w="2980" w:type="dxa"/>
            <w:vAlign w:val="bottom"/>
          </w:tcPr>
          <w:p>
            <w:pPr>
              <w:ind w:left="340"/>
              <w:spacing w:after="0"/>
              <w:rPr>
                <w:sz w:val="20"/>
                <w:szCs w:val="20"/>
                <w:color w:val="auto"/>
              </w:rPr>
            </w:pPr>
            <w:r>
              <w:rPr>
                <w:rFonts w:ascii="Arial" w:cs="Arial" w:eastAsia="Arial" w:hAnsi="Arial"/>
                <w:sz w:val="11"/>
                <w:szCs w:val="11"/>
                <w:color w:val="auto"/>
              </w:rPr>
              <w:t>Various dates beginning in 2029</w:t>
            </w:r>
          </w:p>
        </w:tc>
      </w:tr>
      <w:tr>
        <w:trPr>
          <w:trHeight w:val="146"/>
        </w:trPr>
        <w:tc>
          <w:tcPr>
            <w:tcW w:w="36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Federal net operating loss carryforwards</w:t>
            </w:r>
          </w:p>
        </w:tc>
        <w:tc>
          <w:tcPr>
            <w:tcW w:w="1480" w:type="dxa"/>
            <w:vAlign w:val="bottom"/>
            <w:shd w:val="clear" w:color="auto" w:fill="CCEEFF"/>
          </w:tcPr>
          <w:p>
            <w:pPr>
              <w:jc w:val="right"/>
              <w:ind w:right="1048"/>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3"/>
              </w:rPr>
              <w:t>3,906,263</w:t>
            </w:r>
          </w:p>
        </w:tc>
        <w:tc>
          <w:tcPr>
            <w:tcW w:w="80" w:type="dxa"/>
            <w:vAlign w:val="bottom"/>
            <w:shd w:val="clear" w:color="auto" w:fill="CCEEFF"/>
          </w:tcPr>
          <w:p>
            <w:pPr>
              <w:spacing w:after="0"/>
              <w:rPr>
                <w:sz w:val="12"/>
                <w:szCs w:val="12"/>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Indefinite</w:t>
            </w:r>
          </w:p>
        </w:tc>
      </w:tr>
      <w:tr>
        <w:trPr>
          <w:trHeight w:val="142"/>
        </w:trPr>
        <w:tc>
          <w:tcPr>
            <w:tcW w:w="3660" w:type="dxa"/>
            <w:vAlign w:val="bottom"/>
          </w:tcPr>
          <w:p>
            <w:pPr>
              <w:ind w:left="340"/>
              <w:spacing w:after="0"/>
              <w:rPr>
                <w:sz w:val="20"/>
                <w:szCs w:val="20"/>
                <w:color w:val="auto"/>
              </w:rPr>
            </w:pPr>
            <w:r>
              <w:rPr>
                <w:rFonts w:ascii="Arial" w:cs="Arial" w:eastAsia="Arial" w:hAnsi="Arial"/>
                <w:sz w:val="11"/>
                <w:szCs w:val="11"/>
                <w:color w:val="auto"/>
              </w:rPr>
              <w:t>State net operating loss carryforwards</w:t>
            </w:r>
          </w:p>
        </w:tc>
        <w:tc>
          <w:tcPr>
            <w:tcW w:w="1480" w:type="dxa"/>
            <w:vAlign w:val="bottom"/>
          </w:tcPr>
          <w:p>
            <w:pPr>
              <w:jc w:val="right"/>
              <w:ind w:right="1048"/>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2,737,083</w:t>
            </w:r>
          </w:p>
        </w:tc>
        <w:tc>
          <w:tcPr>
            <w:tcW w:w="80" w:type="dxa"/>
            <w:vAlign w:val="bottom"/>
          </w:tcPr>
          <w:p>
            <w:pPr>
              <w:spacing w:after="0"/>
              <w:rPr>
                <w:sz w:val="12"/>
                <w:szCs w:val="12"/>
                <w:color w:val="auto"/>
              </w:rPr>
            </w:pPr>
          </w:p>
        </w:tc>
        <w:tc>
          <w:tcPr>
            <w:tcW w:w="2980" w:type="dxa"/>
            <w:vAlign w:val="bottom"/>
          </w:tcPr>
          <w:p>
            <w:pPr>
              <w:ind w:left="340"/>
              <w:spacing w:after="0"/>
              <w:rPr>
                <w:sz w:val="20"/>
                <w:szCs w:val="20"/>
                <w:color w:val="auto"/>
              </w:rPr>
            </w:pPr>
            <w:r>
              <w:rPr>
                <w:rFonts w:ascii="Arial" w:cs="Arial" w:eastAsia="Arial" w:hAnsi="Arial"/>
                <w:sz w:val="11"/>
                <w:szCs w:val="11"/>
                <w:color w:val="auto"/>
              </w:rPr>
              <w:t>Various dates beginning in 2025</w:t>
            </w:r>
          </w:p>
        </w:tc>
      </w:tr>
      <w:tr>
        <w:trPr>
          <w:trHeight w:val="146"/>
        </w:trPr>
        <w:tc>
          <w:tcPr>
            <w:tcW w:w="3660" w:type="dxa"/>
            <w:vAlign w:val="bottom"/>
            <w:shd w:val="clear" w:color="auto" w:fill="CCEEFF"/>
          </w:tcPr>
          <w:p>
            <w:pPr>
              <w:ind w:left="340"/>
              <w:spacing w:after="0"/>
              <w:rPr>
                <w:sz w:val="20"/>
                <w:szCs w:val="20"/>
                <w:color w:val="auto"/>
              </w:rPr>
            </w:pPr>
            <w:r>
              <w:rPr>
                <w:rFonts w:ascii="Arial" w:cs="Arial" w:eastAsia="Arial" w:hAnsi="Arial"/>
                <w:sz w:val="11"/>
                <w:szCs w:val="11"/>
                <w:color w:val="auto"/>
              </w:rPr>
              <w:t>State tax credits</w:t>
            </w:r>
          </w:p>
        </w:tc>
        <w:tc>
          <w:tcPr>
            <w:tcW w:w="1480" w:type="dxa"/>
            <w:vAlign w:val="bottom"/>
            <w:shd w:val="clear" w:color="auto" w:fill="CCEEFF"/>
          </w:tcPr>
          <w:p>
            <w:pPr>
              <w:jc w:val="right"/>
              <w:ind w:right="1048"/>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84,858</w:t>
            </w:r>
          </w:p>
        </w:tc>
        <w:tc>
          <w:tcPr>
            <w:tcW w:w="80" w:type="dxa"/>
            <w:vAlign w:val="bottom"/>
            <w:shd w:val="clear" w:color="auto" w:fill="CCEEFF"/>
          </w:tcPr>
          <w:p>
            <w:pPr>
              <w:spacing w:after="0"/>
              <w:rPr>
                <w:sz w:val="12"/>
                <w:szCs w:val="12"/>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Indefinite</w:t>
            </w:r>
          </w:p>
        </w:tc>
      </w:tr>
      <w:tr>
        <w:trPr>
          <w:trHeight w:val="140"/>
        </w:trPr>
        <w:tc>
          <w:tcPr>
            <w:tcW w:w="3660" w:type="dxa"/>
            <w:vAlign w:val="bottom"/>
          </w:tcPr>
          <w:p>
            <w:pPr>
              <w:ind w:left="340"/>
              <w:spacing w:after="0"/>
              <w:rPr>
                <w:sz w:val="20"/>
                <w:szCs w:val="20"/>
                <w:color w:val="auto"/>
              </w:rPr>
            </w:pPr>
            <w:r>
              <w:rPr>
                <w:rFonts w:ascii="Arial" w:cs="Arial" w:eastAsia="Arial" w:hAnsi="Arial"/>
                <w:sz w:val="11"/>
                <w:szCs w:val="11"/>
                <w:color w:val="auto"/>
              </w:rPr>
              <w:t>Foreign net operating loss carryforwards</w:t>
            </w:r>
          </w:p>
        </w:tc>
        <w:tc>
          <w:tcPr>
            <w:tcW w:w="1480" w:type="dxa"/>
            <w:vAlign w:val="bottom"/>
          </w:tcPr>
          <w:p>
            <w:pPr>
              <w:jc w:val="right"/>
              <w:ind w:right="1048"/>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268,653</w:t>
            </w:r>
          </w:p>
        </w:tc>
        <w:tc>
          <w:tcPr>
            <w:tcW w:w="80" w:type="dxa"/>
            <w:vAlign w:val="bottom"/>
          </w:tcPr>
          <w:p>
            <w:pPr>
              <w:spacing w:after="0"/>
              <w:rPr>
                <w:sz w:val="12"/>
                <w:szCs w:val="12"/>
                <w:color w:val="auto"/>
              </w:rPr>
            </w:pPr>
          </w:p>
        </w:tc>
        <w:tc>
          <w:tcPr>
            <w:tcW w:w="2980" w:type="dxa"/>
            <w:vAlign w:val="bottom"/>
          </w:tcPr>
          <w:p>
            <w:pPr>
              <w:ind w:left="340"/>
              <w:spacing w:after="0"/>
              <w:rPr>
                <w:sz w:val="20"/>
                <w:szCs w:val="20"/>
                <w:color w:val="auto"/>
              </w:rPr>
            </w:pPr>
            <w:r>
              <w:rPr>
                <w:rFonts w:ascii="Arial" w:cs="Arial" w:eastAsia="Arial" w:hAnsi="Arial"/>
                <w:sz w:val="11"/>
                <w:szCs w:val="11"/>
                <w:color w:val="auto"/>
              </w:rPr>
              <w:t>Indefinite</w:t>
            </w:r>
          </w:p>
        </w:tc>
      </w:tr>
    </w:tbl>
    <w:p>
      <w:pPr>
        <w:spacing w:after="0" w:line="202" w:lineRule="exact"/>
        <w:rPr>
          <w:sz w:val="20"/>
          <w:szCs w:val="20"/>
          <w:color w:val="auto"/>
        </w:rPr>
      </w:pPr>
    </w:p>
    <w:p>
      <w:pPr>
        <w:ind w:firstLine="324"/>
        <w:spacing w:after="0" w:line="263" w:lineRule="auto"/>
        <w:rPr>
          <w:sz w:val="20"/>
          <w:szCs w:val="20"/>
          <w:color w:val="auto"/>
        </w:rPr>
      </w:pPr>
      <w:r>
        <w:rPr>
          <w:rFonts w:ascii="Arial" w:cs="Arial" w:eastAsia="Arial" w:hAnsi="Arial"/>
          <w:sz w:val="12"/>
          <w:szCs w:val="12"/>
          <w:color w:val="auto"/>
        </w:rPr>
        <w:t>A limitation may apply to the use of the net operating loss and credit carryforwards, under provisions of the Internal Revenue Code of 1986, as amended, and similar state tax provisions that are applicable if the Company experiences an “ownership change.” An ownership change may occur, for example, as a result of issuance of new equity. Should these limitations apply, the carryforwards would be subject to an annual limitation, resulting in a potential reduction in the gross deferred tax assets before considering the valuation allowance.</w:t>
      </w:r>
    </w:p>
    <w:p>
      <w:pPr>
        <w:spacing w:after="0" w:line="122" w:lineRule="exact"/>
        <w:rPr>
          <w:sz w:val="20"/>
          <w:szCs w:val="20"/>
          <w:color w:val="auto"/>
        </w:rPr>
      </w:pPr>
    </w:p>
    <w:p>
      <w:pPr>
        <w:ind w:right="20" w:firstLine="324"/>
        <w:spacing w:after="0" w:line="259" w:lineRule="auto"/>
        <w:rPr>
          <w:sz w:val="20"/>
          <w:szCs w:val="20"/>
          <w:color w:val="auto"/>
        </w:rPr>
      </w:pPr>
      <w:r>
        <w:rPr>
          <w:rFonts w:ascii="Arial" w:cs="Arial" w:eastAsia="Arial" w:hAnsi="Arial"/>
          <w:sz w:val="12"/>
          <w:szCs w:val="12"/>
          <w:color w:val="auto"/>
        </w:rPr>
        <w:t>The Company's accounting for deferred taxes involves the evaluation of a number of factors concerning the realizability of its net deferred tax assets. The Company primarily considered such factors as its history of operating losses, the nature of the Company's deferred tax assets, and the timing, likelihood and amount, if any, of future taxable income during the periods in which those temporary differences and carryforwards become deductible. Additionally, in December 2020, the Company completed an intra-entity asset transfer of certain intellectual property rights to an Irish subsidiary where its international business is headquartered. The transfer resulted in a step-up in the tax basis of the transferred intellectual property rights and a correlated $135.5 million increase in foreign deferred tax assets.</w:t>
      </w:r>
    </w:p>
    <w:p>
      <w:pPr>
        <w:spacing w:after="0" w:line="124" w:lineRule="exact"/>
        <w:rPr>
          <w:sz w:val="20"/>
          <w:szCs w:val="20"/>
          <w:color w:val="auto"/>
        </w:rPr>
      </w:pPr>
    </w:p>
    <w:p>
      <w:pPr>
        <w:ind w:right="220" w:firstLine="324"/>
        <w:spacing w:after="0" w:line="276" w:lineRule="auto"/>
        <w:rPr>
          <w:sz w:val="20"/>
          <w:szCs w:val="20"/>
          <w:color w:val="auto"/>
        </w:rPr>
      </w:pPr>
      <w:r>
        <w:rPr>
          <w:rFonts w:ascii="Arial" w:cs="Arial" w:eastAsia="Arial" w:hAnsi="Arial"/>
          <w:sz w:val="12"/>
          <w:szCs w:val="12"/>
          <w:color w:val="auto"/>
        </w:rPr>
        <w:t>At present, the Company does not believe that it is more likely than not that the federal, state and foreign net deferred tax assets will be realized, and accordingly, a full valuation allowance has been established. The valuation allowance increased by approximately $459.0 million and $421.9 million during the years ended December 31, 2021 and 2020, respectively.</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 reconciliation of the beginning and ending amount of unrecognized tax benefits is as follows:</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127"/>
        </w:trPr>
        <w:tc>
          <w:tcPr>
            <w:tcW w:w="56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ind w:left="340"/>
              <w:spacing w:after="0"/>
              <w:rPr>
                <w:sz w:val="20"/>
                <w:szCs w:val="20"/>
                <w:color w:val="auto"/>
              </w:rPr>
            </w:pPr>
            <w:r>
              <w:rPr>
                <w:rFonts w:ascii="Arial" w:cs="Arial" w:eastAsia="Arial" w:hAnsi="Arial"/>
                <w:sz w:val="10"/>
                <w:szCs w:val="10"/>
                <w:b w:val="1"/>
                <w:bCs w:val="1"/>
                <w:color w:val="auto"/>
                <w:w w:val="94"/>
              </w:rPr>
              <w:t>Year Ended December 31,</w:t>
            </w: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18"/>
        </w:trPr>
        <w:tc>
          <w:tcPr>
            <w:tcW w:w="5680" w:type="dxa"/>
            <w:vAlign w:val="bottom"/>
          </w:tcPr>
          <w:p>
            <w:pPr>
              <w:spacing w:after="0"/>
              <w:rPr>
                <w:sz w:val="10"/>
                <w:szCs w:val="1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2019</w:t>
            </w:r>
          </w:p>
        </w:tc>
      </w:tr>
      <w:tr>
        <w:trPr>
          <w:trHeight w:val="114"/>
        </w:trPr>
        <w:tc>
          <w:tcPr>
            <w:tcW w:w="5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gridSpan w:val="2"/>
          </w:tcPr>
          <w:p>
            <w:pPr>
              <w:ind w:left="120"/>
              <w:spacing w:after="0"/>
              <w:rPr>
                <w:sz w:val="20"/>
                <w:szCs w:val="20"/>
                <w:color w:val="auto"/>
              </w:rPr>
            </w:pPr>
            <w:r>
              <w:rPr>
                <w:rFonts w:ascii="Arial" w:cs="Arial" w:eastAsia="Arial" w:hAnsi="Arial"/>
                <w:sz w:val="10"/>
                <w:szCs w:val="10"/>
                <w:color w:val="auto"/>
              </w:rPr>
              <w:t>(In thousands)</w:t>
            </w: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46"/>
        </w:trPr>
        <w:tc>
          <w:tcPr>
            <w:tcW w:w="56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Unrecognized tax benefit, beginning of year</w:t>
            </w:r>
          </w:p>
        </w:tc>
        <w:tc>
          <w:tcPr>
            <w:tcW w:w="1020" w:type="dxa"/>
            <w:vAlign w:val="bottom"/>
            <w:shd w:val="clear" w:color="auto" w:fill="CCEEFF"/>
          </w:tcPr>
          <w:p>
            <w:pPr>
              <w:jc w:val="right"/>
              <w:ind w:right="568"/>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191,183</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49,042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15,635</w:t>
            </w:r>
          </w:p>
        </w:tc>
      </w:tr>
      <w:tr>
        <w:trPr>
          <w:trHeight w:val="142"/>
        </w:trPr>
        <w:tc>
          <w:tcPr>
            <w:tcW w:w="5680" w:type="dxa"/>
            <w:vAlign w:val="bottom"/>
          </w:tcPr>
          <w:p>
            <w:pPr>
              <w:ind w:left="340"/>
              <w:spacing w:after="0"/>
              <w:rPr>
                <w:sz w:val="20"/>
                <w:szCs w:val="20"/>
                <w:color w:val="auto"/>
              </w:rPr>
            </w:pPr>
            <w:r>
              <w:rPr>
                <w:rFonts w:ascii="Arial" w:cs="Arial" w:eastAsia="Arial" w:hAnsi="Arial"/>
                <w:sz w:val="11"/>
                <w:szCs w:val="11"/>
                <w:color w:val="auto"/>
              </w:rPr>
              <w:t>Gross increases for tax positions of prior years</w:t>
            </w:r>
          </w:p>
        </w:tc>
        <w:tc>
          <w:tcPr>
            <w:tcW w:w="10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3,496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jc w:val="right"/>
              <w:ind w:right="8"/>
              <w:spacing w:after="0"/>
              <w:rPr>
                <w:sz w:val="20"/>
                <w:szCs w:val="20"/>
                <w:color w:val="auto"/>
              </w:rPr>
            </w:pPr>
            <w:r>
              <w:rPr>
                <w:rFonts w:ascii="Arial" w:cs="Arial" w:eastAsia="Arial" w:hAnsi="Arial"/>
                <w:sz w:val="11"/>
                <w:szCs w:val="11"/>
                <w:color w:val="auto"/>
              </w:rPr>
              <w:t>4,259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12,939</w:t>
            </w:r>
          </w:p>
        </w:tc>
      </w:tr>
      <w:tr>
        <w:trPr>
          <w:trHeight w:val="146"/>
        </w:trPr>
        <w:tc>
          <w:tcPr>
            <w:tcW w:w="56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Gross decrease for tax positions of prior years</w:t>
            </w: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(10,693)</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w:t>
            </w:r>
          </w:p>
        </w:tc>
      </w:tr>
      <w:tr>
        <w:trPr>
          <w:trHeight w:val="142"/>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Gross increases for tax positions of current year</w:t>
            </w: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39,394</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138,813</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20,863</w:t>
            </w:r>
          </w:p>
        </w:tc>
      </w:tr>
      <w:tr>
        <w:trPr>
          <w:trHeight w:val="151"/>
        </w:trPr>
        <w:tc>
          <w:tcPr>
            <w:tcW w:w="5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Unrecognized tax benefit, end of year</w:t>
            </w:r>
          </w:p>
        </w:tc>
        <w:tc>
          <w:tcPr>
            <w:tcW w:w="10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223,380</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191,183</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49,042</w:t>
            </w:r>
          </w:p>
        </w:tc>
      </w:tr>
    </w:tbl>
    <w:p>
      <w:pPr>
        <w:spacing w:after="0" w:line="189" w:lineRule="exact"/>
        <w:rPr>
          <w:sz w:val="20"/>
          <w:szCs w:val="20"/>
          <w:color w:val="auto"/>
        </w:rPr>
      </w:pPr>
    </w:p>
    <w:p>
      <w:pPr>
        <w:ind w:right="40" w:firstLine="324"/>
        <w:spacing w:after="0" w:line="276" w:lineRule="auto"/>
        <w:rPr>
          <w:sz w:val="20"/>
          <w:szCs w:val="20"/>
          <w:color w:val="auto"/>
        </w:rPr>
      </w:pPr>
      <w:r>
        <w:rPr>
          <w:rFonts w:ascii="Arial" w:cs="Arial" w:eastAsia="Arial" w:hAnsi="Arial"/>
          <w:sz w:val="12"/>
          <w:szCs w:val="12"/>
          <w:color w:val="auto"/>
        </w:rPr>
        <w:t>As of December 31, 2021, the Company had approximately $223.4 million of unrecognized tax benefits. If the $223.4 million is recognized, $6.6 million would affect the effective tax rate. The remaining amount would be offset by the reversal of related deferred tax assets which are subject to a full valuation allowance.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recognizes interest and penalties, if any, related to uncertain tax positions in its income tax provision. As of December 31, 2021 and 2020, such amounts are not significant.</w:t>
      </w:r>
    </w:p>
    <w:p>
      <w:pPr>
        <w:spacing w:after="0" w:line="150" w:lineRule="exact"/>
        <w:rPr>
          <w:sz w:val="20"/>
          <w:szCs w:val="20"/>
          <w:color w:val="auto"/>
        </w:rPr>
      </w:pPr>
    </w:p>
    <w:p>
      <w:pPr>
        <w:ind w:right="60" w:firstLine="324"/>
        <w:spacing w:after="0" w:line="276" w:lineRule="auto"/>
        <w:rPr>
          <w:sz w:val="20"/>
          <w:szCs w:val="20"/>
          <w:color w:val="auto"/>
        </w:rPr>
      </w:pPr>
      <w:r>
        <w:rPr>
          <w:rFonts w:ascii="Arial" w:cs="Arial" w:eastAsia="Arial" w:hAnsi="Arial"/>
          <w:sz w:val="12"/>
          <w:szCs w:val="12"/>
          <w:color w:val="auto"/>
        </w:rPr>
        <w:t>The Company does not anticipate any significant changes within 12 months of December 31, 2021, in its uncertain tax positions that would be material to the consolidated financial statements taken as a whole because nearly all of the unrecognized tax benefit has been offset by a deferred tax asset, which has been reduced by a valuation allowance.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16" w:name="page117"/>
    <w:bookmarkEnd w:id="11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right="40" w:firstLine="324"/>
        <w:spacing w:after="0" w:line="298" w:lineRule="auto"/>
        <w:rPr>
          <w:sz w:val="20"/>
          <w:szCs w:val="20"/>
          <w:color w:val="auto"/>
        </w:rPr>
      </w:pPr>
      <w:r>
        <w:rPr>
          <w:rFonts w:ascii="Arial" w:cs="Arial" w:eastAsia="Arial" w:hAnsi="Arial"/>
          <w:sz w:val="11"/>
          <w:szCs w:val="11"/>
          <w:color w:val="auto"/>
        </w:rPr>
        <w:t>The Company files U.S. federal income tax returns as well as income tax returns in many U.S. states and foreign jurisdictions. As of December 31, 2021, the tax years 2008 through the current period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 The Company is fully reserved for all open U.S. federal, state and local, or non-U.S. income tax examinations by any tax authorities.</w:t>
      </w:r>
    </w:p>
    <w:p>
      <w:pPr>
        <w:spacing w:after="0" w:line="105" w:lineRule="exact"/>
        <w:rPr>
          <w:sz w:val="20"/>
          <w:szCs w:val="20"/>
          <w:color w:val="auto"/>
        </w:rPr>
      </w:pPr>
    </w:p>
    <w:p>
      <w:pPr>
        <w:ind w:right="200" w:firstLine="324"/>
        <w:spacing w:after="0" w:line="285" w:lineRule="auto"/>
        <w:rPr>
          <w:sz w:val="20"/>
          <w:szCs w:val="20"/>
          <w:color w:val="auto"/>
        </w:rPr>
      </w:pPr>
      <w:r>
        <w:rPr>
          <w:rFonts w:ascii="Arial" w:cs="Arial" w:eastAsia="Arial" w:hAnsi="Arial"/>
          <w:sz w:val="11"/>
          <w:szCs w:val="11"/>
          <w:color w:val="auto"/>
        </w:rPr>
        <w:t>On June 7, 2019, a three-judge panel from the U.S. Court of Appeals for the Ninth Circuit overturned the U.S. Tax Court's decision in Altera Corp. v. Commissioner and upheld the portion of the Treasury regulations under Section 482 of the Internal Revenue Code that requires related parties in a cost-sharing arrangement to share expenses related to share-based compensation. As a result of this decision, the Company's gross unrecognized tax benefits increased to reflect the impact of including share-based compensation in cost-sharing arrangements. On July 22, 2019, Altera filed a petition for a rehearing before the full Ninth Circuit and the request was denied on November 12, 2019. On February 10, 2020, Altera filed a petition to appeal the decision to the Supreme Court and on June 22, 2020 the Supreme Court denied the petition. There is no impact on the Company’s effective tax rate for years ended December 31, 2021 and 2020 due to a full valuation allowance against its deferred tax assets. We will continue to monitor future developments and their potential effects on our consolidated financial statements.</w:t>
      </w:r>
    </w:p>
    <w:p>
      <w:pPr>
        <w:spacing w:after="0" w:line="113" w:lineRule="exact"/>
        <w:rPr>
          <w:sz w:val="20"/>
          <w:szCs w:val="20"/>
          <w:color w:val="auto"/>
        </w:rPr>
      </w:pPr>
    </w:p>
    <w:p>
      <w:pPr>
        <w:ind w:right="400" w:firstLine="324"/>
        <w:spacing w:after="0" w:line="263" w:lineRule="auto"/>
        <w:rPr>
          <w:sz w:val="20"/>
          <w:szCs w:val="20"/>
          <w:color w:val="auto"/>
        </w:rPr>
      </w:pPr>
      <w:r>
        <w:rPr>
          <w:rFonts w:ascii="Arial" w:cs="Arial" w:eastAsia="Arial" w:hAnsi="Arial"/>
          <w:sz w:val="12"/>
          <w:szCs w:val="12"/>
          <w:color w:val="auto"/>
        </w:rPr>
        <w:t>In connection with the Zipwhip acquisition, the Company recorded a net deferred tax liability which provides an additional source of taxable income to support the realization of the pre-existing deferred tax assets and, accordingly, during the year ended December 31, 2021, the Company released a total of $15.9 million of its U.S. valuation allowance. The Company continues to maintain a valuation allowance for its U.S. Federal and State net deferred tax assets.</w:t>
      </w:r>
    </w:p>
    <w:p>
      <w:pPr>
        <w:spacing w:after="0" w:line="122" w:lineRule="exact"/>
        <w:rPr>
          <w:sz w:val="20"/>
          <w:szCs w:val="20"/>
          <w:color w:val="auto"/>
        </w:rPr>
      </w:pPr>
    </w:p>
    <w:p>
      <w:pPr>
        <w:ind w:right="400" w:firstLine="324"/>
        <w:spacing w:after="0" w:line="263" w:lineRule="auto"/>
        <w:rPr>
          <w:sz w:val="20"/>
          <w:szCs w:val="20"/>
          <w:color w:val="auto"/>
        </w:rPr>
      </w:pPr>
      <w:r>
        <w:rPr>
          <w:rFonts w:ascii="Arial" w:cs="Arial" w:eastAsia="Arial" w:hAnsi="Arial"/>
          <w:sz w:val="12"/>
          <w:szCs w:val="12"/>
          <w:color w:val="auto"/>
        </w:rPr>
        <w:t>In connection with the Segment acquisition, the Company recorded a net deferred tax liability which provides an additional source of taxable income to support the realization of the pre-existing deferred tax assets and, accordingly, during the year ended December 31, 2020, the Company released a total of $13.8 million of its U.S. valuation allowance. The Company continues to maintain a valuation allowance for its U.S. Federal and State net deferred tax assets.</w:t>
      </w:r>
    </w:p>
    <w:p>
      <w:pPr>
        <w:spacing w:after="0" w:line="122" w:lineRule="exact"/>
        <w:rPr>
          <w:sz w:val="20"/>
          <w:szCs w:val="20"/>
          <w:color w:val="auto"/>
        </w:rPr>
      </w:pPr>
    </w:p>
    <w:p>
      <w:pPr>
        <w:ind w:right="400" w:firstLine="324"/>
        <w:spacing w:after="0" w:line="263" w:lineRule="auto"/>
        <w:rPr>
          <w:sz w:val="20"/>
          <w:szCs w:val="20"/>
          <w:color w:val="auto"/>
        </w:rPr>
      </w:pPr>
      <w:r>
        <w:rPr>
          <w:rFonts w:ascii="Arial" w:cs="Arial" w:eastAsia="Arial" w:hAnsi="Arial"/>
          <w:sz w:val="12"/>
          <w:szCs w:val="12"/>
          <w:color w:val="auto"/>
        </w:rPr>
        <w:t>In connection with the SendGrid acquisition, the Company recorded a net deferred tax liability which provides an additional source of taxable income to support the realization of the pre-existing deferred tax assets and, accordingly, during the year ended December 31, 2019, the Company released a total of $55.0 million of its U.S. valuation allowance. The Company continues to maintain a valuation allowance for its U.S. Federal and State net deferred tax assets.</w:t>
      </w:r>
    </w:p>
    <w:p>
      <w:pPr>
        <w:spacing w:after="0" w:line="122" w:lineRule="exact"/>
        <w:rPr>
          <w:sz w:val="20"/>
          <w:szCs w:val="20"/>
          <w:color w:val="auto"/>
        </w:rPr>
      </w:pPr>
    </w:p>
    <w:p>
      <w:pPr>
        <w:ind w:firstLine="324"/>
        <w:spacing w:after="0" w:line="323" w:lineRule="auto"/>
        <w:rPr>
          <w:sz w:val="20"/>
          <w:szCs w:val="20"/>
          <w:color w:val="auto"/>
        </w:rPr>
      </w:pPr>
      <w:r>
        <w:rPr>
          <w:rFonts w:ascii="Arial" w:cs="Arial" w:eastAsia="Arial" w:hAnsi="Arial"/>
          <w:sz w:val="11"/>
          <w:szCs w:val="11"/>
          <w:color w:val="auto"/>
        </w:rPr>
        <w:t>The provision for income taxes recorded in the years ended December 31, 2021 and 2020, consists primarily of income taxes, withholding taxes in foreign jurisdictions in which the Company conducts business and the tax benefit related to the release of valuation allowance from acquisitions. The Company’s U.S. operations have been in a loss position and the Company maintains a full valuation allowance against its U.S. deferred tax assets.</w:t>
      </w: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Subsequent Events</w:t>
      </w:r>
    </w:p>
    <w:p>
      <w:pPr>
        <w:spacing w:after="0" w:line="145" w:lineRule="exact"/>
        <w:rPr>
          <w:sz w:val="20"/>
          <w:szCs w:val="20"/>
          <w:color w:val="auto"/>
        </w:rPr>
      </w:pPr>
    </w:p>
    <w:p>
      <w:pPr>
        <w:ind w:right="100" w:firstLine="324"/>
        <w:spacing w:after="0" w:line="245" w:lineRule="auto"/>
        <w:rPr>
          <w:sz w:val="20"/>
          <w:szCs w:val="20"/>
          <w:color w:val="auto"/>
        </w:rPr>
      </w:pPr>
      <w:r>
        <w:rPr>
          <w:rFonts w:ascii="Arial" w:cs="Arial" w:eastAsia="Arial" w:hAnsi="Arial"/>
          <w:sz w:val="12"/>
          <w:szCs w:val="12"/>
          <w:color w:val="auto"/>
        </w:rPr>
        <w:t>As described in Note 13(a), the Company was a party to a certain Framework Agreement, as amended, and a Subscription Agreement pursuant to which the Company intended to purchase up to $750.0 million in common stock of MBAC, subject to certain terms and conditions.</w:t>
      </w:r>
    </w:p>
    <w:p>
      <w:pPr>
        <w:spacing w:after="0" w:line="114" w:lineRule="exact"/>
        <w:rPr>
          <w:sz w:val="20"/>
          <w:szCs w:val="20"/>
          <w:color w:val="auto"/>
        </w:rPr>
      </w:pPr>
    </w:p>
    <w:p>
      <w:pPr>
        <w:ind w:right="140" w:firstLine="324"/>
        <w:spacing w:after="0" w:line="234" w:lineRule="auto"/>
        <w:rPr>
          <w:sz w:val="20"/>
          <w:szCs w:val="20"/>
          <w:color w:val="auto"/>
        </w:rPr>
      </w:pPr>
      <w:r>
        <w:rPr>
          <w:rFonts w:ascii="Arial" w:cs="Arial" w:eastAsia="Arial" w:hAnsi="Arial"/>
          <w:sz w:val="12"/>
          <w:szCs w:val="12"/>
          <w:color w:val="auto"/>
        </w:rPr>
        <w:t>In February 2022, Syniverse, MBAC and the Merger Sub mutually terminated the Merger Agreement and the related proposed Merger. The parties agreed to this termination because the rate of MBAC shareholder redemptions for the proposed transaction would have exceeded the minimum cash condition for closing, which occurred as a result of the recent changes in market conditions. Consequently, the Company will not be purchasing any shares of common stock of, or making any investments in, MBAC.</w:t>
      </w:r>
    </w:p>
    <w:p>
      <w:pPr>
        <w:spacing w:after="0" w:line="12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2"/>
          <w:szCs w:val="12"/>
          <w:color w:val="auto"/>
        </w:rPr>
        <w:t>Notwithstanding the above, the Framework Agreement between the Company, Syniverse and Carlyle remains in full force and effect. Pursuant to the terms and subject to the closing conditions set forth in the Framework Agreement, the parties are pursuing the alternative transaction, whereby the Company will make a minority investment of $500.0 million to $750.0 million in Syniverse and the parties (or their applicable subsidiaries) will enter into a wholesale agreement.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transaction is expected to close in 2022.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17" w:name="page118"/>
    <w:bookmarkEnd w:id="11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 </w:t>
      </w:r>
      <w:r>
        <w:rPr>
          <w:rFonts w:ascii="Arial" w:cs="Arial" w:eastAsia="Arial" w:hAnsi="Arial"/>
          <w:sz w:val="12"/>
          <w:szCs w:val="12"/>
          <w:b w:val="1"/>
          <w:bCs w:val="1"/>
          <w:i w:val="1"/>
          <w:iCs w:val="1"/>
          <w:color w:val="auto"/>
        </w:rPr>
        <w:t>Changes in and Disagreements with Accountants on Accounting and Financial Disclosure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9A. </w:t>
      </w:r>
      <w:r>
        <w:rPr>
          <w:rFonts w:ascii="Arial" w:cs="Arial" w:eastAsia="Arial" w:hAnsi="Arial"/>
          <w:sz w:val="12"/>
          <w:szCs w:val="12"/>
          <w:b w:val="1"/>
          <w:bCs w:val="1"/>
          <w:i w:val="1"/>
          <w:iCs w:val="1"/>
          <w:color w:val="auto"/>
        </w:rPr>
        <w:t>Controls and Procedures</w:t>
      </w:r>
    </w:p>
    <w:p>
      <w:pPr>
        <w:spacing w:after="0" w:line="150" w:lineRule="exact"/>
        <w:rPr>
          <w:sz w:val="20"/>
          <w:szCs w:val="20"/>
          <w:color w:val="auto"/>
        </w:rPr>
      </w:pPr>
    </w:p>
    <w:p>
      <w:pPr>
        <w:ind w:left="580" w:hanging="264"/>
        <w:spacing w:after="0"/>
        <w:tabs>
          <w:tab w:leader="none" w:pos="580" w:val="left"/>
        </w:tabs>
        <w:numPr>
          <w:ilvl w:val="0"/>
          <w:numId w:val="86"/>
        </w:numPr>
        <w:rPr>
          <w:rFonts w:ascii="Arial" w:cs="Arial" w:eastAsia="Arial" w:hAnsi="Arial"/>
          <w:sz w:val="12"/>
          <w:szCs w:val="12"/>
          <w:b w:val="1"/>
          <w:bCs w:val="1"/>
          <w:color w:val="auto"/>
        </w:rPr>
      </w:pPr>
      <w:r>
        <w:rPr>
          <w:rFonts w:ascii="Arial" w:cs="Arial" w:eastAsia="Arial" w:hAnsi="Arial"/>
          <w:sz w:val="12"/>
          <w:szCs w:val="12"/>
          <w:b w:val="1"/>
          <w:bCs w:val="1"/>
          <w:color w:val="auto"/>
        </w:rPr>
        <w:t>Evaluation of Disclosure Controls and Procedures</w:t>
      </w:r>
    </w:p>
    <w:p>
      <w:pPr>
        <w:spacing w:after="0" w:line="154"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color w:val="auto"/>
        </w:rPr>
        <w:t>Our management, with the participation of our Chief Executive Officer and our Principal Financial Officer, has evaluated the effectiveness of our disclosure controls and procedures (as defined in Rules 13a-15(e) and 15d-15(e) under the Exchange Act), as of the end of the period covered by this Annual Report on Form 10-K.</w:t>
      </w:r>
    </w:p>
    <w:p>
      <w:pPr>
        <w:spacing w:after="0" w:line="115" w:lineRule="exact"/>
        <w:rPr>
          <w:sz w:val="20"/>
          <w:szCs w:val="20"/>
          <w:color w:val="auto"/>
        </w:rPr>
      </w:pPr>
    </w:p>
    <w:p>
      <w:pPr>
        <w:ind w:firstLine="324"/>
        <w:spacing w:after="0" w:line="298" w:lineRule="auto"/>
        <w:rPr>
          <w:sz w:val="20"/>
          <w:szCs w:val="20"/>
          <w:color w:val="auto"/>
        </w:rPr>
      </w:pPr>
      <w:r>
        <w:rPr>
          <w:rFonts w:ascii="Arial" w:cs="Arial" w:eastAsia="Arial" w:hAnsi="Arial"/>
          <w:sz w:val="11"/>
          <w:szCs w:val="11"/>
          <w:color w:val="auto"/>
        </w:rPr>
        <w:t>Based on this evaluation, our Chief Executive Officer and our Principal Financial Officer concluded that, as of December 31, 2021,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Principal Financial Officer, as appropriate, to allow timely decisions regarding required disclosures.</w:t>
      </w:r>
    </w:p>
    <w:p>
      <w:pPr>
        <w:spacing w:after="0" w:line="101" w:lineRule="exact"/>
        <w:rPr>
          <w:sz w:val="20"/>
          <w:szCs w:val="20"/>
          <w:color w:val="auto"/>
        </w:rPr>
      </w:pPr>
    </w:p>
    <w:p>
      <w:pPr>
        <w:ind w:left="580" w:hanging="264"/>
        <w:spacing w:after="0"/>
        <w:tabs>
          <w:tab w:leader="none" w:pos="580" w:val="left"/>
        </w:tabs>
        <w:numPr>
          <w:ilvl w:val="0"/>
          <w:numId w:val="87"/>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Management's Annual Report on Internal Control Over Financial Reporting</w:t>
      </w:r>
    </w:p>
    <w:p>
      <w:pPr>
        <w:spacing w:after="0" w:line="154" w:lineRule="exact"/>
        <w:rPr>
          <w:sz w:val="20"/>
          <w:szCs w:val="20"/>
          <w:color w:val="auto"/>
        </w:rPr>
      </w:pPr>
    </w:p>
    <w:p>
      <w:pPr>
        <w:ind w:right="120" w:firstLine="324"/>
        <w:spacing w:after="0" w:line="340" w:lineRule="auto"/>
        <w:rPr>
          <w:sz w:val="20"/>
          <w:szCs w:val="20"/>
          <w:color w:val="auto"/>
        </w:rPr>
      </w:pPr>
      <w:r>
        <w:rPr>
          <w:rFonts w:ascii="Arial" w:cs="Arial" w:eastAsia="Arial" w:hAnsi="Arial"/>
          <w:sz w:val="10"/>
          <w:szCs w:val="10"/>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Principal Financial Officer, to provide reasonable assurance regarding the reliability of financial reporting and the preparation of financial statements for external purposes in accordance with U.S generally accepted accounting principles.</w:t>
      </w:r>
    </w:p>
    <w:p>
      <w:pPr>
        <w:spacing w:after="0" w:line="87"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2"/>
          <w:szCs w:val="12"/>
          <w:color w:val="auto"/>
        </w:rPr>
        <w:t xml:space="preserve">Under the supervision and with the participation of our Chief Executive Officer and our Principal Financial Officer and oversight of the board of directors, our management conducted an evaluation of the effectiveness of our internal control over financial reporting as of December 31, 2021, based on the criteria set forth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issued by the Committee of Sponsoring Organizations of the Treadway Commission (2013 framework). Based on this evaluation, management concluded that our internal control over financial reporting was effective as of December 31, 2021.</w:t>
      </w:r>
    </w:p>
    <w:p>
      <w:pPr>
        <w:spacing w:after="0" w:line="12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2"/>
          <w:szCs w:val="12"/>
          <w:color w:val="auto"/>
        </w:rPr>
        <w:t>On July 14, 2021 the Company acquired Zipwhip, Inc. (“Zipwhip”). Management excluded Zipwhip from its assessment of the effectiveness of the Company’s internal control over financial reporting as of December 31, 2021. Zipwhip's total assets excluded from this assessment was $51.9 million, representing 0.4% of the Company’s consolidated total assets as of December 31, 2021, and Zipwhip's total revenue of $55.4 million represented 2% of the Company’s consolidated revenue for the year ended December 31, 2021.</w:t>
      </w:r>
    </w:p>
    <w:p>
      <w:pPr>
        <w:spacing w:after="0" w:line="12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2"/>
          <w:szCs w:val="12"/>
          <w:color w:val="auto"/>
        </w:rPr>
        <w:t>The effectiveness of our internal control over financial reporting as of December 31, 2021 has been audited by KPMG LLP, an independent registered public accounting firm, as stated in their report which is included in Part II, Item 8, “Financial Statements and Supplementary Data”, of this Annual Report on Form 10-K.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18" w:name="page119"/>
    <w:bookmarkEnd w:id="11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left="320"/>
        <w:spacing w:after="0"/>
        <w:tabs>
          <w:tab w:leader="none" w:pos="540" w:val="left"/>
        </w:tabs>
        <w:rPr>
          <w:sz w:val="20"/>
          <w:szCs w:val="20"/>
          <w:color w:val="auto"/>
        </w:rPr>
      </w:pPr>
      <w:r>
        <w:rPr>
          <w:rFonts w:ascii="Arial" w:cs="Arial" w:eastAsia="Arial" w:hAnsi="Arial"/>
          <w:sz w:val="12"/>
          <w:szCs w:val="12"/>
          <w:b w:val="1"/>
          <w:bCs w:val="1"/>
          <w:color w:val="auto"/>
        </w:rPr>
        <w:t>(c)</w:t>
      </w:r>
      <w:r>
        <w:rPr>
          <w:sz w:val="20"/>
          <w:szCs w:val="20"/>
          <w:color w:val="auto"/>
        </w:rPr>
        <w:tab/>
      </w:r>
      <w:r>
        <w:rPr>
          <w:rFonts w:ascii="Arial" w:cs="Arial" w:eastAsia="Arial" w:hAnsi="Arial"/>
          <w:sz w:val="11"/>
          <w:szCs w:val="11"/>
          <w:b w:val="1"/>
          <w:bCs w:val="1"/>
          <w:color w:val="auto"/>
        </w:rPr>
        <w:t>Changes in Internal Control</w:t>
      </w:r>
    </w:p>
    <w:p>
      <w:pPr>
        <w:spacing w:after="0" w:line="154" w:lineRule="exact"/>
        <w:rPr>
          <w:sz w:val="20"/>
          <w:szCs w:val="20"/>
          <w:color w:val="auto"/>
        </w:rPr>
      </w:pPr>
    </w:p>
    <w:p>
      <w:pPr>
        <w:ind w:right="160" w:firstLine="324"/>
        <w:spacing w:after="0" w:line="247" w:lineRule="auto"/>
        <w:rPr>
          <w:sz w:val="20"/>
          <w:szCs w:val="20"/>
          <w:color w:val="auto"/>
        </w:rPr>
      </w:pPr>
      <w:r>
        <w:rPr>
          <w:rFonts w:ascii="Arial" w:cs="Arial" w:eastAsia="Arial" w:hAnsi="Arial"/>
          <w:sz w:val="12"/>
          <w:szCs w:val="12"/>
          <w:color w:val="auto"/>
        </w:rPr>
        <w:t>On July 14, 2021, the Company acquired Zipwhip. As a result of this acquisition, the Company is reviewing the internal controls of Zipwhip and is making appropriate changes as deemed necessary. Except for the changes in internal controls related to Zipwhip, there were no changes in our internal control over financial reporting in connection with the evaluation required by Rule 13a-15 (d) and 15d-15 (d) of the Exchange Act that occurred during the quarter ended December 31, 2021, that materially affected, or are reasonably likely to materially affect, our internal control over financial reporting.</w:t>
      </w:r>
    </w:p>
    <w:p>
      <w:pPr>
        <w:spacing w:after="0" w:line="155" w:lineRule="exact"/>
        <w:rPr>
          <w:sz w:val="20"/>
          <w:szCs w:val="20"/>
          <w:color w:val="auto"/>
        </w:rPr>
      </w:pPr>
    </w:p>
    <w:p>
      <w:pPr>
        <w:ind w:left="580" w:hanging="264"/>
        <w:spacing w:after="0"/>
        <w:tabs>
          <w:tab w:leader="none" w:pos="58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color w:val="auto"/>
        </w:rPr>
        <w:t>Inherent Limitations on Effectiveness of Controls</w:t>
      </w:r>
    </w:p>
    <w:p>
      <w:pPr>
        <w:spacing w:after="0" w:line="181" w:lineRule="exact"/>
        <w:rPr>
          <w:sz w:val="20"/>
          <w:szCs w:val="20"/>
          <w:color w:val="auto"/>
        </w:rPr>
      </w:pPr>
    </w:p>
    <w:p>
      <w:pPr>
        <w:ind w:firstLine="324"/>
        <w:spacing w:after="0" w:line="146" w:lineRule="exact"/>
        <w:rPr>
          <w:sz w:val="20"/>
          <w:szCs w:val="20"/>
          <w:color w:val="auto"/>
        </w:rPr>
      </w:pPr>
      <w:r>
        <w:rPr>
          <w:rFonts w:ascii="Arial" w:cs="Arial" w:eastAsia="Arial" w:hAnsi="Arial"/>
          <w:sz w:val="12"/>
          <w:szCs w:val="12"/>
          <w:color w:val="auto"/>
        </w:rPr>
        <w:t>Our management, including our Chief Executive Officer and our Principal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r>
      <w:r>
        <w:rPr>
          <w:rFonts w:ascii="MS PGothic" w:cs="MS PGothic" w:eastAsia="MS PGothic" w:hAnsi="MS PGothic"/>
          <w:sz w:val="12"/>
          <w:szCs w:val="12"/>
          <w:color w:val="auto"/>
        </w:rPr>
        <w:t>‑</w:t>
      </w:r>
      <w:r>
        <w:rPr>
          <w:rFonts w:ascii="Arial" w:cs="Arial" w:eastAsia="Arial" w:hAnsi="Arial"/>
          <w:sz w:val="12"/>
          <w:szCs w:val="12"/>
          <w:color w:val="auto"/>
        </w:rPr>
        <w:t>effective control system, misstatements due to error or fraud may occur and not be detected.</w:t>
      </w:r>
    </w:p>
    <w:p>
      <w:pPr>
        <w:spacing w:after="0" w:line="131" w:lineRule="exact"/>
        <w:rPr>
          <w:sz w:val="20"/>
          <w:szCs w:val="20"/>
          <w:color w:val="auto"/>
        </w:rPr>
      </w:pPr>
    </w:p>
    <w:p>
      <w:pPr>
        <w:jc w:val="center"/>
        <w:ind w:right="9840"/>
        <w:spacing w:after="0"/>
        <w:rPr>
          <w:sz w:val="20"/>
          <w:szCs w:val="20"/>
          <w:color w:val="auto"/>
        </w:rPr>
      </w:pPr>
      <w:r>
        <w:rPr>
          <w:rFonts w:ascii="Arial" w:cs="Arial" w:eastAsia="Arial" w:hAnsi="Arial"/>
          <w:sz w:val="10"/>
          <w:szCs w:val="10"/>
          <w:b w:val="1"/>
          <w:bCs w:val="1"/>
          <w:color w:val="auto"/>
        </w:rPr>
        <w:t xml:space="preserve">Item 9B. </w:t>
      </w:r>
      <w:r>
        <w:rPr>
          <w:rFonts w:ascii="Arial" w:cs="Arial" w:eastAsia="Arial" w:hAnsi="Arial"/>
          <w:sz w:val="10"/>
          <w:szCs w:val="10"/>
          <w:b w:val="1"/>
          <w:bCs w:val="1"/>
          <w:i w:val="1"/>
          <w:iCs w:val="1"/>
          <w:color w:val="auto"/>
        </w:rPr>
        <w:t>Other Information</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9C. </w:t>
      </w:r>
      <w:r>
        <w:rPr>
          <w:rFonts w:ascii="Arial" w:cs="Arial" w:eastAsia="Arial" w:hAnsi="Arial"/>
          <w:sz w:val="12"/>
          <w:szCs w:val="12"/>
          <w:b w:val="1"/>
          <w:bCs w:val="1"/>
          <w:i w:val="1"/>
          <w:iCs w:val="1"/>
          <w:color w:val="auto"/>
        </w:rPr>
        <w:t>Disclosure Regarding Foreign Jurisdictions that Prevent Inspections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10. </w:t>
      </w:r>
      <w:r>
        <w:rPr>
          <w:rFonts w:ascii="Arial" w:cs="Arial" w:eastAsia="Arial" w:hAnsi="Arial"/>
          <w:sz w:val="12"/>
          <w:szCs w:val="12"/>
          <w:b w:val="1"/>
          <w:bCs w:val="1"/>
          <w:i w:val="1"/>
          <w:iCs w:val="1"/>
          <w:color w:val="auto"/>
        </w:rPr>
        <w:t>Directors, Executive Officers and Corporate Governance</w:t>
      </w:r>
    </w:p>
    <w:p>
      <w:pPr>
        <w:spacing w:after="0" w:line="154" w:lineRule="exact"/>
        <w:rPr>
          <w:sz w:val="20"/>
          <w:szCs w:val="20"/>
          <w:color w:val="auto"/>
        </w:rPr>
      </w:pPr>
    </w:p>
    <w:p>
      <w:pPr>
        <w:ind w:right="60" w:firstLine="324"/>
        <w:spacing w:after="0" w:line="276" w:lineRule="auto"/>
        <w:rPr>
          <w:sz w:val="20"/>
          <w:szCs w:val="20"/>
          <w:color w:val="auto"/>
        </w:rPr>
      </w:pPr>
      <w:r>
        <w:rPr>
          <w:rFonts w:ascii="Arial" w:cs="Arial" w:eastAsia="Arial" w:hAnsi="Arial"/>
          <w:sz w:val="12"/>
          <w:szCs w:val="12"/>
          <w:color w:val="auto"/>
        </w:rPr>
        <w:t>The information required by this item is incorporated by reference to our Proxy Statement relating to our 2022 Annual Meeting of Stockholders. The Proxy Statement will be filed with the Securities and Exchange Commission within 120 days of the fiscal year ended December 31, 2021.</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Codes of Business Conduct and Ethics</w:t>
      </w:r>
    </w:p>
    <w:p>
      <w:pPr>
        <w:spacing w:after="0" w:line="150" w:lineRule="exact"/>
        <w:rPr>
          <w:sz w:val="20"/>
          <w:szCs w:val="20"/>
          <w:color w:val="auto"/>
        </w:rPr>
      </w:pPr>
    </w:p>
    <w:p>
      <w:pPr>
        <w:ind w:right="40" w:firstLine="324"/>
        <w:spacing w:after="0" w:line="263" w:lineRule="auto"/>
        <w:rPr>
          <w:sz w:val="20"/>
          <w:szCs w:val="20"/>
          <w:color w:val="auto"/>
        </w:rPr>
      </w:pPr>
      <w:r>
        <w:rPr>
          <w:rFonts w:ascii="Arial" w:cs="Arial" w:eastAsia="Arial" w:hAnsi="Arial"/>
          <w:sz w:val="12"/>
          <w:szCs w:val="12"/>
          <w:color w:val="auto"/>
        </w:rPr>
        <w:t>Our board of directors has adopted a Code of Business Conduct and Ethics that applies to all officers, directors and employees, which is available on our website at (investors.twilio.com)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11. </w:t>
      </w:r>
      <w:r>
        <w:rPr>
          <w:rFonts w:ascii="Arial" w:cs="Arial" w:eastAsia="Arial" w:hAnsi="Arial"/>
          <w:sz w:val="12"/>
          <w:szCs w:val="12"/>
          <w:b w:val="1"/>
          <w:bCs w:val="1"/>
          <w:i w:val="1"/>
          <w:iCs w:val="1"/>
          <w:color w:val="auto"/>
        </w:rPr>
        <w:t>Executive Compensation</w:t>
      </w:r>
    </w:p>
    <w:p>
      <w:pPr>
        <w:spacing w:after="0" w:line="154" w:lineRule="exact"/>
        <w:rPr>
          <w:sz w:val="20"/>
          <w:szCs w:val="20"/>
          <w:color w:val="auto"/>
        </w:rPr>
      </w:pPr>
    </w:p>
    <w:p>
      <w:pPr>
        <w:ind w:right="60" w:firstLine="324"/>
        <w:spacing w:after="0" w:line="276" w:lineRule="auto"/>
        <w:rPr>
          <w:sz w:val="20"/>
          <w:szCs w:val="20"/>
          <w:color w:val="auto"/>
        </w:rPr>
      </w:pPr>
      <w:r>
        <w:rPr>
          <w:rFonts w:ascii="Arial" w:cs="Arial" w:eastAsia="Arial" w:hAnsi="Arial"/>
          <w:sz w:val="12"/>
          <w:szCs w:val="12"/>
          <w:color w:val="auto"/>
        </w:rPr>
        <w:t>The information required by this item is incorporated by reference to our Proxy Statement relating to our 2022 Annual Meeting of Stockholders. The Proxy Statement will be filed with the Securities and Exchange Commission within 120 days of the fiscal year ended December 31, 2021.</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12. </w:t>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54" w:lineRule="exact"/>
        <w:rPr>
          <w:sz w:val="20"/>
          <w:szCs w:val="20"/>
          <w:color w:val="auto"/>
        </w:rPr>
      </w:pPr>
    </w:p>
    <w:p>
      <w:pPr>
        <w:ind w:right="60" w:firstLine="324"/>
        <w:spacing w:after="0" w:line="276" w:lineRule="auto"/>
        <w:rPr>
          <w:sz w:val="20"/>
          <w:szCs w:val="20"/>
          <w:color w:val="auto"/>
        </w:rPr>
      </w:pPr>
      <w:r>
        <w:rPr>
          <w:rFonts w:ascii="Arial" w:cs="Arial" w:eastAsia="Arial" w:hAnsi="Arial"/>
          <w:sz w:val="12"/>
          <w:szCs w:val="12"/>
          <w:color w:val="auto"/>
        </w:rPr>
        <w:t>The information required by this item is incorporated by reference to our Proxy Statement relating to our 2022 Annual Meeting of Stockholders. The Proxy Statement will be filed with the Securities and Exchange Commission within 120 days of the fiscal year ended December 31, 2021.</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119" w:name="page120"/>
    <w:bookmarkEnd w:id="11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13. </w:t>
      </w:r>
      <w:r>
        <w:rPr>
          <w:rFonts w:ascii="Arial" w:cs="Arial" w:eastAsia="Arial" w:hAnsi="Arial"/>
          <w:sz w:val="12"/>
          <w:szCs w:val="12"/>
          <w:b w:val="1"/>
          <w:bCs w:val="1"/>
          <w:i w:val="1"/>
          <w:iCs w:val="1"/>
          <w:color w:val="auto"/>
        </w:rPr>
        <w:t>Certain Relationships and Related Transactions and Director Independence</w:t>
      </w:r>
    </w:p>
    <w:p>
      <w:pPr>
        <w:spacing w:after="0" w:line="154"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color w:val="auto"/>
        </w:rPr>
        <w:t>The information required by this item is incorporated by reference to our Proxy Statement relating to our 2022 Annual Meeting of Stockholders. The Proxy Statement will be filed with the Securities and Exchange Commission within 120 days of the fiscal year ended December 31, 2021.</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14. </w:t>
      </w:r>
      <w:r>
        <w:rPr>
          <w:rFonts w:ascii="Arial" w:cs="Arial" w:eastAsia="Arial" w:hAnsi="Arial"/>
          <w:sz w:val="12"/>
          <w:szCs w:val="12"/>
          <w:b w:val="1"/>
          <w:bCs w:val="1"/>
          <w:i w:val="1"/>
          <w:iCs w:val="1"/>
          <w:color w:val="auto"/>
        </w:rPr>
        <w:t>Principal Accountant Fees and Services</w:t>
      </w:r>
    </w:p>
    <w:p>
      <w:pPr>
        <w:spacing w:after="0" w:line="154" w:lineRule="exact"/>
        <w:rPr>
          <w:sz w:val="20"/>
          <w:szCs w:val="20"/>
          <w:color w:val="auto"/>
        </w:rPr>
      </w:pPr>
    </w:p>
    <w:p>
      <w:pPr>
        <w:ind w:right="80" w:firstLine="324"/>
        <w:spacing w:after="0" w:line="276" w:lineRule="auto"/>
        <w:rPr>
          <w:sz w:val="20"/>
          <w:szCs w:val="20"/>
          <w:color w:val="auto"/>
        </w:rPr>
      </w:pPr>
      <w:r>
        <w:rPr>
          <w:rFonts w:ascii="Arial" w:cs="Arial" w:eastAsia="Arial" w:hAnsi="Arial"/>
          <w:sz w:val="12"/>
          <w:szCs w:val="12"/>
          <w:color w:val="auto"/>
        </w:rPr>
        <w:t>The information required by this item is incorporated by reference to our Proxy Statement relating to our 2022 Annual Meeting of Stockholders. The Proxy Statement will be filed with the Securities and Exchange Commission within 120 days of the fiscal year ended December 31, 2021.</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i w:val="1"/>
          <w:iCs w:val="1"/>
          <w:color w:val="auto"/>
        </w:rPr>
        <w:t>Exhibits and Financial Statement Schedules</w:t>
      </w:r>
    </w:p>
    <w:p>
      <w:pPr>
        <w:spacing w:after="0" w:line="154" w:lineRule="exact"/>
        <w:rPr>
          <w:sz w:val="20"/>
          <w:szCs w:val="20"/>
          <w:color w:val="auto"/>
        </w:rPr>
      </w:pPr>
    </w:p>
    <w:p>
      <w:pPr>
        <w:ind w:left="860" w:right="7700" w:hanging="544"/>
        <w:spacing w:after="0" w:line="500" w:lineRule="auto"/>
        <w:tabs>
          <w:tab w:leader="none" w:pos="858"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following documents are filed as part of this report: 1. Financial Statements</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See Index to Financial Statements at Item 8 herein.</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2. Financial Statement Schedules</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Schedules not listed above have been omitted because they are not required, not applicable, or the required information is otherwise included.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3. Exhibits</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exhibits listed below are filed as part of this Annual Report on Form 10-K or are incorporated herein by reference, in each case as indicated below.</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EXHIBIT INDEX</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1000" w:type="dxa"/>
            <w:vAlign w:val="bottom"/>
          </w:tcPr>
          <w:p>
            <w:pPr>
              <w:jc w:val="right"/>
              <w:ind w:right="293"/>
              <w:spacing w:after="0"/>
              <w:rPr>
                <w:sz w:val="20"/>
                <w:szCs w:val="20"/>
                <w:color w:val="auto"/>
              </w:rPr>
            </w:pPr>
            <w:r>
              <w:rPr>
                <w:rFonts w:ascii="Arial" w:cs="Arial" w:eastAsia="Arial" w:hAnsi="Arial"/>
                <w:sz w:val="10"/>
                <w:szCs w:val="10"/>
                <w:b w:val="1"/>
                <w:bCs w:val="1"/>
                <w:color w:val="auto"/>
              </w:rPr>
              <w:t>Exhibit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493"/>
              <w:spacing w:after="0"/>
              <w:rPr>
                <w:sz w:val="20"/>
                <w:szCs w:val="20"/>
                <w:color w:val="auto"/>
              </w:rPr>
            </w:pPr>
            <w:r>
              <w:rPr>
                <w:rFonts w:ascii="Arial" w:cs="Arial" w:eastAsia="Arial" w:hAnsi="Arial"/>
                <w:sz w:val="10"/>
                <w:szCs w:val="10"/>
                <w:b w:val="1"/>
                <w:bCs w:val="1"/>
                <w:color w:val="auto"/>
                <w:w w:val="93"/>
              </w:rPr>
              <w:t>Incorporated by Reference</w:t>
            </w:r>
          </w:p>
        </w:tc>
        <w:tc>
          <w:tcPr>
            <w:tcW w:w="1620" w:type="dxa"/>
            <w:vAlign w:val="bottom"/>
            <w:tcBorders>
              <w:bottom w:val="single" w:sz="8" w:color="auto"/>
            </w:tcBorders>
          </w:tcPr>
          <w:p>
            <w:pPr>
              <w:spacing w:after="0"/>
              <w:rPr>
                <w:sz w:val="11"/>
                <w:szCs w:val="11"/>
                <w:color w:val="auto"/>
              </w:rPr>
            </w:pPr>
          </w:p>
        </w:tc>
      </w:tr>
      <w:tr>
        <w:trPr>
          <w:trHeight w:val="125"/>
        </w:trPr>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0"/>
                <w:szCs w:val="10"/>
                <w:b w:val="1"/>
                <w:bCs w:val="1"/>
                <w:color w:val="auto"/>
              </w:rPr>
              <w:t>Number</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640" w:type="dxa"/>
            <w:vAlign w:val="bottom"/>
            <w:gridSpan w:val="14"/>
          </w:tcPr>
          <w:p>
            <w:pPr>
              <w:spacing w:after="0"/>
              <w:rPr>
                <w:sz w:val="20"/>
                <w:szCs w:val="20"/>
                <w:color w:val="auto"/>
              </w:rPr>
            </w:pPr>
            <w:r>
              <w:rPr>
                <w:rFonts w:ascii="Arial" w:cs="Arial" w:eastAsia="Arial" w:hAnsi="Arial"/>
                <w:sz w:val="10"/>
                <w:szCs w:val="10"/>
                <w:b w:val="1"/>
                <w:bCs w:val="1"/>
                <w:color w:val="auto"/>
              </w:rPr>
              <w:t>Description</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w w:val="87"/>
              </w:rPr>
              <w:t>Form</w:t>
            </w:r>
          </w:p>
        </w:tc>
        <w:tc>
          <w:tcPr>
            <w:tcW w:w="980" w:type="dxa"/>
            <w:vAlign w:val="bottom"/>
          </w:tcPr>
          <w:p>
            <w:pPr>
              <w:ind w:left="500"/>
              <w:spacing w:after="0"/>
              <w:rPr>
                <w:sz w:val="20"/>
                <w:szCs w:val="20"/>
                <w:color w:val="auto"/>
              </w:rPr>
            </w:pPr>
            <w:r>
              <w:rPr>
                <w:rFonts w:ascii="Arial" w:cs="Arial" w:eastAsia="Arial" w:hAnsi="Arial"/>
                <w:sz w:val="10"/>
                <w:szCs w:val="10"/>
                <w:b w:val="1"/>
                <w:bCs w:val="1"/>
                <w:color w:val="auto"/>
              </w:rPr>
              <w:t>File No.</w:t>
            </w:r>
          </w:p>
        </w:tc>
        <w:tc>
          <w:tcPr>
            <w:tcW w:w="1740" w:type="dxa"/>
            <w:vAlign w:val="bottom"/>
          </w:tcPr>
          <w:p>
            <w:pPr>
              <w:jc w:val="right"/>
              <w:ind w:right="653"/>
              <w:spacing w:after="0"/>
              <w:rPr>
                <w:sz w:val="20"/>
                <w:szCs w:val="20"/>
                <w:color w:val="auto"/>
              </w:rPr>
            </w:pPr>
            <w:r>
              <w:rPr>
                <w:rFonts w:ascii="Arial" w:cs="Arial" w:eastAsia="Arial" w:hAnsi="Arial"/>
                <w:sz w:val="10"/>
                <w:szCs w:val="10"/>
                <w:b w:val="1"/>
                <w:bCs w:val="1"/>
                <w:color w:val="auto"/>
              </w:rPr>
              <w:t>Exhibit</w:t>
            </w:r>
          </w:p>
        </w:tc>
        <w:tc>
          <w:tcPr>
            <w:tcW w:w="1620" w:type="dxa"/>
            <w:vAlign w:val="bottom"/>
          </w:tcPr>
          <w:p>
            <w:pPr>
              <w:jc w:val="center"/>
              <w:ind w:right="193"/>
              <w:spacing w:after="0"/>
              <w:rPr>
                <w:sz w:val="20"/>
                <w:szCs w:val="20"/>
                <w:color w:val="auto"/>
              </w:rPr>
            </w:pPr>
            <w:r>
              <w:rPr>
                <w:rFonts w:ascii="Arial" w:cs="Arial" w:eastAsia="Arial" w:hAnsi="Arial"/>
                <w:sz w:val="10"/>
                <w:szCs w:val="10"/>
                <w:b w:val="1"/>
                <w:bCs w:val="1"/>
                <w:color w:val="auto"/>
                <w:w w:val="89"/>
              </w:rPr>
              <w:t>Filing Date</w:t>
            </w:r>
          </w:p>
        </w:tc>
      </w:tr>
      <w:tr>
        <w:trPr>
          <w:trHeight w:val="82"/>
        </w:trPr>
        <w:tc>
          <w:tcPr>
            <w:tcW w:w="1000" w:type="dxa"/>
            <w:vAlign w:val="bottom"/>
          </w:tcPr>
          <w:p>
            <w:pPr>
              <w:jc w:val="right"/>
              <w:spacing w:after="0" w:line="82" w:lineRule="exact"/>
              <w:rPr>
                <w:sz w:val="20"/>
                <w:szCs w:val="20"/>
                <w:color w:val="auto"/>
              </w:rPr>
            </w:pPr>
            <w:r>
              <w:rPr>
                <w:rFonts w:ascii="Arial" w:cs="Arial" w:eastAsia="Arial" w:hAnsi="Arial"/>
                <w:sz w:val="8"/>
                <w:szCs w:val="8"/>
                <w:color w:val="auto"/>
              </w:rPr>
              <w:t>2.1</w:t>
            </w:r>
          </w:p>
        </w:tc>
        <w:tc>
          <w:tcPr>
            <w:tcW w:w="100" w:type="dxa"/>
            <w:vAlign w:val="bottom"/>
          </w:tcPr>
          <w:p>
            <w:pPr>
              <w:spacing w:after="0"/>
              <w:rPr>
                <w:sz w:val="7"/>
                <w:szCs w:val="7"/>
                <w:color w:val="auto"/>
              </w:rPr>
            </w:pPr>
          </w:p>
        </w:tc>
        <w:tc>
          <w:tcPr>
            <w:tcW w:w="4700" w:type="dxa"/>
            <w:vAlign w:val="bottom"/>
            <w:gridSpan w:val="17"/>
          </w:tcPr>
          <w:p>
            <w:pPr>
              <w:spacing w:after="0" w:line="82" w:lineRule="exact"/>
              <w:rPr>
                <w:rFonts w:ascii="Arial" w:cs="Arial" w:eastAsia="Arial" w:hAnsi="Arial"/>
                <w:sz w:val="8"/>
                <w:szCs w:val="8"/>
                <w:color w:val="0000FF"/>
              </w:rPr>
            </w:pPr>
            <w:hyperlink r:id="rId143">
              <w:r>
                <w:rPr>
                  <w:rFonts w:ascii="Arial" w:cs="Arial" w:eastAsia="Arial" w:hAnsi="Arial"/>
                  <w:sz w:val="8"/>
                  <w:szCs w:val="8"/>
                  <w:color w:val="0000FF"/>
                </w:rPr>
                <w:t>Agreement and Plan of Merger and Reorganization, dated as of May 16, 2021, by and among Twilio Inc., a Delaware</w:t>
              </w:r>
            </w:hyperlink>
          </w:p>
        </w:tc>
        <w:tc>
          <w:tcPr>
            <w:tcW w:w="1060" w:type="dxa"/>
            <w:vAlign w:val="bottom"/>
          </w:tcPr>
          <w:p>
            <w:pPr>
              <w:jc w:val="center"/>
              <w:spacing w:after="0" w:line="82" w:lineRule="exact"/>
              <w:rPr>
                <w:sz w:val="20"/>
                <w:szCs w:val="20"/>
                <w:color w:val="auto"/>
              </w:rPr>
            </w:pPr>
            <w:r>
              <w:rPr>
                <w:rFonts w:ascii="Arial" w:cs="Arial" w:eastAsia="Arial" w:hAnsi="Arial"/>
                <w:sz w:val="8"/>
                <w:szCs w:val="8"/>
                <w:color w:val="auto"/>
              </w:rPr>
              <w:t>10-Q</w:t>
            </w:r>
          </w:p>
        </w:tc>
        <w:tc>
          <w:tcPr>
            <w:tcW w:w="980" w:type="dxa"/>
            <w:vAlign w:val="bottom"/>
          </w:tcPr>
          <w:p>
            <w:pPr>
              <w:jc w:val="center"/>
              <w:ind w:left="293"/>
              <w:spacing w:after="0" w:line="82" w:lineRule="exact"/>
              <w:rPr>
                <w:sz w:val="20"/>
                <w:szCs w:val="20"/>
                <w:color w:val="auto"/>
              </w:rPr>
            </w:pPr>
            <w:r>
              <w:rPr>
                <w:rFonts w:ascii="Arial" w:cs="Arial" w:eastAsia="Arial" w:hAnsi="Arial"/>
                <w:sz w:val="8"/>
                <w:szCs w:val="8"/>
                <w:color w:val="auto"/>
              </w:rPr>
              <w:t>001-37806</w:t>
            </w:r>
          </w:p>
        </w:tc>
        <w:tc>
          <w:tcPr>
            <w:tcW w:w="1740" w:type="dxa"/>
            <w:vAlign w:val="bottom"/>
          </w:tcPr>
          <w:p>
            <w:pPr>
              <w:jc w:val="right"/>
              <w:ind w:right="293"/>
              <w:spacing w:after="0" w:line="82" w:lineRule="exact"/>
              <w:rPr>
                <w:sz w:val="20"/>
                <w:szCs w:val="20"/>
                <w:color w:val="auto"/>
              </w:rPr>
            </w:pPr>
            <w:r>
              <w:rPr>
                <w:rFonts w:ascii="Arial" w:cs="Arial" w:eastAsia="Arial" w:hAnsi="Arial"/>
                <w:sz w:val="8"/>
                <w:szCs w:val="8"/>
                <w:color w:val="auto"/>
              </w:rPr>
              <w:t>2.1</w:t>
            </w:r>
          </w:p>
        </w:tc>
        <w:tc>
          <w:tcPr>
            <w:tcW w:w="1620" w:type="dxa"/>
            <w:vAlign w:val="bottom"/>
          </w:tcPr>
          <w:p>
            <w:pPr>
              <w:jc w:val="center"/>
              <w:ind w:right="173"/>
              <w:spacing w:after="0" w:line="82" w:lineRule="exact"/>
              <w:rPr>
                <w:sz w:val="20"/>
                <w:szCs w:val="20"/>
                <w:color w:val="auto"/>
              </w:rPr>
            </w:pPr>
            <w:r>
              <w:rPr>
                <w:rFonts w:ascii="Arial" w:cs="Arial" w:eastAsia="Arial" w:hAnsi="Arial"/>
                <w:sz w:val="8"/>
                <w:szCs w:val="8"/>
                <w:color w:val="auto"/>
              </w:rPr>
              <w:t>July 30, 2021</w:t>
            </w:r>
          </w:p>
        </w:tc>
      </w:tr>
      <w:tr>
        <w:trPr>
          <w:trHeight w:val="70"/>
        </w:trPr>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500" w:type="dxa"/>
            <w:vAlign w:val="bottom"/>
            <w:tcBorders>
              <w:top w:val="single" w:sz="8" w:color="0000FF"/>
            </w:tcBorders>
            <w:gridSpan w:val="15"/>
          </w:tcPr>
          <w:p>
            <w:pPr>
              <w:spacing w:after="0" w:line="70" w:lineRule="exact"/>
              <w:rPr>
                <w:rFonts w:ascii="Arial" w:cs="Arial" w:eastAsia="Arial" w:hAnsi="Arial"/>
                <w:sz w:val="8"/>
                <w:szCs w:val="8"/>
                <w:color w:val="0000FF"/>
              </w:rPr>
            </w:pPr>
            <w:hyperlink r:id="rId143">
              <w:r>
                <w:rPr>
                  <w:rFonts w:ascii="Arial" w:cs="Arial" w:eastAsia="Arial" w:hAnsi="Arial"/>
                  <w:sz w:val="8"/>
                  <w:szCs w:val="8"/>
                  <w:color w:val="0000FF"/>
                </w:rPr>
                <w:t>corporation, Zeus Merger Sub I, Inc., a Delaware corporation, Zeus Merger Sub II, LLC, a Delaware limited liability</w:t>
              </w:r>
            </w:hyperlink>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70"/>
        </w:trPr>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80" w:type="dxa"/>
            <w:vAlign w:val="bottom"/>
            <w:tcBorders>
              <w:top w:val="single" w:sz="8" w:color="0000FF"/>
            </w:tcBorders>
            <w:gridSpan w:val="14"/>
          </w:tcPr>
          <w:p>
            <w:pPr>
              <w:spacing w:after="0" w:line="70" w:lineRule="exact"/>
              <w:rPr>
                <w:rFonts w:ascii="Arial" w:cs="Arial" w:eastAsia="Arial" w:hAnsi="Arial"/>
                <w:sz w:val="8"/>
                <w:szCs w:val="8"/>
                <w:color w:val="0000FF"/>
              </w:rPr>
            </w:pPr>
            <w:hyperlink r:id="rId143">
              <w:r>
                <w:rPr>
                  <w:rFonts w:ascii="Arial" w:cs="Arial" w:eastAsia="Arial" w:hAnsi="Arial"/>
                  <w:sz w:val="8"/>
                  <w:szCs w:val="8"/>
                  <w:color w:val="0000FF"/>
                </w:rPr>
                <w:t>company, Zipwhip, Inc., a Delaware corporation and Fortis Advisors LLC, a Delaware limited liability company</w:t>
              </w:r>
            </w:hyperlink>
          </w:p>
        </w:tc>
        <w:tc>
          <w:tcPr>
            <w:tcW w:w="1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06"/>
        </w:trPr>
        <w:tc>
          <w:tcPr>
            <w:tcW w:w="1000" w:type="dxa"/>
            <w:vAlign w:val="bottom"/>
          </w:tcPr>
          <w:p>
            <w:pPr>
              <w:jc w:val="right"/>
              <w:spacing w:after="0" w:line="106" w:lineRule="exact"/>
              <w:rPr>
                <w:sz w:val="20"/>
                <w:szCs w:val="20"/>
                <w:color w:val="auto"/>
              </w:rPr>
            </w:pPr>
            <w:r>
              <w:rPr>
                <w:rFonts w:ascii="Arial" w:cs="Arial" w:eastAsia="Arial" w:hAnsi="Arial"/>
                <w:sz w:val="10"/>
                <w:szCs w:val="10"/>
                <w:color w:val="auto"/>
              </w:rPr>
              <w:t>2.2</w:t>
            </w:r>
          </w:p>
        </w:tc>
        <w:tc>
          <w:tcPr>
            <w:tcW w:w="100" w:type="dxa"/>
            <w:vAlign w:val="bottom"/>
          </w:tcPr>
          <w:p>
            <w:pPr>
              <w:spacing w:after="0"/>
              <w:rPr>
                <w:sz w:val="9"/>
                <w:szCs w:val="9"/>
                <w:color w:val="auto"/>
              </w:rPr>
            </w:pPr>
          </w:p>
        </w:tc>
        <w:tc>
          <w:tcPr>
            <w:tcW w:w="4700" w:type="dxa"/>
            <w:vAlign w:val="bottom"/>
            <w:gridSpan w:val="17"/>
          </w:tcPr>
          <w:p>
            <w:pPr>
              <w:spacing w:after="0" w:line="106" w:lineRule="exact"/>
              <w:rPr>
                <w:rFonts w:ascii="Arial" w:cs="Arial" w:eastAsia="Arial" w:hAnsi="Arial"/>
                <w:sz w:val="10"/>
                <w:szCs w:val="10"/>
                <w:color w:val="0000FF"/>
                <w:w w:val="91"/>
              </w:rPr>
            </w:pPr>
            <w:hyperlink r:id="rId144">
              <w:r>
                <w:rPr>
                  <w:rFonts w:ascii="Arial" w:cs="Arial" w:eastAsia="Arial" w:hAnsi="Arial"/>
                  <w:sz w:val="10"/>
                  <w:szCs w:val="10"/>
                  <w:color w:val="0000FF"/>
                  <w:w w:val="91"/>
                </w:rPr>
                <w:t>Agreement and Plan of Reorganization, dated October 12, 2020, by and among Twilio Inc., a Delaware corporation,</w:t>
              </w:r>
            </w:hyperlink>
          </w:p>
        </w:tc>
        <w:tc>
          <w:tcPr>
            <w:tcW w:w="1060" w:type="dxa"/>
            <w:vAlign w:val="bottom"/>
          </w:tcPr>
          <w:p>
            <w:pPr>
              <w:jc w:val="center"/>
              <w:spacing w:after="0" w:line="106" w:lineRule="exact"/>
              <w:rPr>
                <w:sz w:val="20"/>
                <w:szCs w:val="20"/>
                <w:color w:val="auto"/>
              </w:rPr>
            </w:pPr>
            <w:r>
              <w:rPr>
                <w:rFonts w:ascii="Arial" w:cs="Arial" w:eastAsia="Arial" w:hAnsi="Arial"/>
                <w:sz w:val="10"/>
                <w:szCs w:val="10"/>
                <w:color w:val="auto"/>
                <w:w w:val="89"/>
              </w:rPr>
              <w:t>S-3</w:t>
            </w:r>
          </w:p>
        </w:tc>
        <w:tc>
          <w:tcPr>
            <w:tcW w:w="980" w:type="dxa"/>
            <w:vAlign w:val="bottom"/>
          </w:tcPr>
          <w:p>
            <w:pPr>
              <w:jc w:val="center"/>
              <w:ind w:left="293"/>
              <w:spacing w:after="0" w:line="106" w:lineRule="exact"/>
              <w:rPr>
                <w:sz w:val="20"/>
                <w:szCs w:val="20"/>
                <w:color w:val="auto"/>
              </w:rPr>
            </w:pPr>
            <w:r>
              <w:rPr>
                <w:rFonts w:ascii="Arial" w:cs="Arial" w:eastAsia="Arial" w:hAnsi="Arial"/>
                <w:sz w:val="10"/>
                <w:szCs w:val="10"/>
                <w:color w:val="auto"/>
                <w:w w:val="89"/>
              </w:rPr>
              <w:t>333-249889</w:t>
            </w:r>
          </w:p>
        </w:tc>
        <w:tc>
          <w:tcPr>
            <w:tcW w:w="1740" w:type="dxa"/>
            <w:vAlign w:val="bottom"/>
          </w:tcPr>
          <w:p>
            <w:pPr>
              <w:jc w:val="right"/>
              <w:ind w:right="293"/>
              <w:spacing w:after="0" w:line="106" w:lineRule="exact"/>
              <w:rPr>
                <w:sz w:val="20"/>
                <w:szCs w:val="20"/>
                <w:color w:val="auto"/>
              </w:rPr>
            </w:pPr>
            <w:r>
              <w:rPr>
                <w:rFonts w:ascii="Arial" w:cs="Arial" w:eastAsia="Arial" w:hAnsi="Arial"/>
                <w:sz w:val="10"/>
                <w:szCs w:val="10"/>
                <w:color w:val="auto"/>
              </w:rPr>
              <w:t>2.1</w:t>
            </w:r>
          </w:p>
        </w:tc>
        <w:tc>
          <w:tcPr>
            <w:tcW w:w="1620" w:type="dxa"/>
            <w:vAlign w:val="bottom"/>
          </w:tcPr>
          <w:p>
            <w:pPr>
              <w:jc w:val="center"/>
              <w:ind w:right="193"/>
              <w:spacing w:after="0" w:line="106" w:lineRule="exact"/>
              <w:rPr>
                <w:sz w:val="20"/>
                <w:szCs w:val="20"/>
                <w:color w:val="auto"/>
              </w:rPr>
            </w:pPr>
            <w:r>
              <w:rPr>
                <w:rFonts w:ascii="Arial" w:cs="Arial" w:eastAsia="Arial" w:hAnsi="Arial"/>
                <w:sz w:val="10"/>
                <w:szCs w:val="10"/>
                <w:color w:val="auto"/>
                <w:w w:val="85"/>
              </w:rPr>
              <w:t>November 5, 2020</w:t>
            </w:r>
          </w:p>
        </w:tc>
      </w:tr>
      <w:tr>
        <w:trPr>
          <w:trHeight w:val="70"/>
        </w:trPr>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60" w:type="dxa"/>
            <w:vAlign w:val="bottom"/>
            <w:tcBorders>
              <w:top w:val="single" w:sz="8" w:color="0000FF"/>
            </w:tcBorders>
            <w:gridSpan w:val="13"/>
          </w:tcPr>
          <w:p>
            <w:pPr>
              <w:spacing w:after="0" w:line="70" w:lineRule="exact"/>
              <w:rPr>
                <w:rFonts w:ascii="Arial" w:cs="Arial" w:eastAsia="Arial" w:hAnsi="Arial"/>
                <w:sz w:val="8"/>
                <w:szCs w:val="8"/>
                <w:color w:val="0000FF"/>
              </w:rPr>
            </w:pPr>
            <w:hyperlink r:id="rId144">
              <w:r>
                <w:rPr>
                  <w:rFonts w:ascii="Arial" w:cs="Arial" w:eastAsia="Arial" w:hAnsi="Arial"/>
                  <w:sz w:val="8"/>
                  <w:szCs w:val="8"/>
                  <w:color w:val="0000FF"/>
                </w:rPr>
                <w:t>Scorpio Merger Sub, Inc., a Delaware corporation, Segment,io, Inc., a Delaware corporation, and Shareholder</w:t>
              </w:r>
            </w:hyperlink>
          </w:p>
        </w:tc>
        <w:tc>
          <w:tcPr>
            <w:tcW w:w="12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70"/>
        </w:trPr>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0" w:type="dxa"/>
            <w:vAlign w:val="bottom"/>
            <w:tcBorders>
              <w:top w:val="single" w:sz="8" w:color="0000FF"/>
              <w:bottom w:val="single" w:sz="8" w:color="0000FF"/>
            </w:tcBorders>
            <w:gridSpan w:val="6"/>
          </w:tcPr>
          <w:p>
            <w:pPr>
              <w:spacing w:after="0" w:line="70" w:lineRule="exact"/>
              <w:rPr>
                <w:rFonts w:ascii="Arial" w:cs="Arial" w:eastAsia="Arial" w:hAnsi="Arial"/>
                <w:sz w:val="8"/>
                <w:szCs w:val="8"/>
                <w:color w:val="0000FF"/>
              </w:rPr>
            </w:pPr>
            <w:hyperlink r:id="rId144">
              <w:r>
                <w:rPr>
                  <w:rFonts w:ascii="Arial" w:cs="Arial" w:eastAsia="Arial" w:hAnsi="Arial"/>
                  <w:sz w:val="8"/>
                  <w:szCs w:val="8"/>
                  <w:color w:val="0000FF"/>
                </w:rPr>
                <w:t>Representative Services LLC, a Colorado limited liability company</w:t>
              </w:r>
            </w:hyperlink>
          </w:p>
        </w:tc>
        <w:tc>
          <w:tcPr>
            <w:tcW w:w="1620" w:type="dxa"/>
            <w:vAlign w:val="bottom"/>
            <w:tcBorders>
              <w:top w:val="single" w:sz="8" w:color="0000FF"/>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gridSpan w:val="4"/>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97"/>
        </w:trPr>
        <w:tc>
          <w:tcPr>
            <w:tcW w:w="1000" w:type="dxa"/>
            <w:vAlign w:val="bottom"/>
          </w:tcPr>
          <w:p>
            <w:pPr>
              <w:jc w:val="right"/>
              <w:spacing w:after="0" w:line="97" w:lineRule="exact"/>
              <w:rPr>
                <w:sz w:val="20"/>
                <w:szCs w:val="20"/>
                <w:color w:val="auto"/>
              </w:rPr>
            </w:pPr>
            <w:r>
              <w:rPr>
                <w:rFonts w:ascii="Arial" w:cs="Arial" w:eastAsia="Arial" w:hAnsi="Arial"/>
                <w:sz w:val="10"/>
                <w:szCs w:val="10"/>
                <w:color w:val="auto"/>
              </w:rPr>
              <w:t>2.3</w:t>
            </w:r>
          </w:p>
        </w:tc>
        <w:tc>
          <w:tcPr>
            <w:tcW w:w="100" w:type="dxa"/>
            <w:vAlign w:val="bottom"/>
          </w:tcPr>
          <w:p>
            <w:pPr>
              <w:spacing w:after="0"/>
              <w:rPr>
                <w:sz w:val="8"/>
                <w:szCs w:val="8"/>
                <w:color w:val="auto"/>
              </w:rPr>
            </w:pPr>
          </w:p>
        </w:tc>
        <w:tc>
          <w:tcPr>
            <w:tcW w:w="4700" w:type="dxa"/>
            <w:vAlign w:val="bottom"/>
            <w:gridSpan w:val="17"/>
          </w:tcPr>
          <w:p>
            <w:pPr>
              <w:spacing w:after="0" w:line="97" w:lineRule="exact"/>
              <w:rPr>
                <w:rFonts w:ascii="Arial" w:cs="Arial" w:eastAsia="Arial" w:hAnsi="Arial"/>
                <w:sz w:val="10"/>
                <w:szCs w:val="10"/>
                <w:color w:val="0000FF"/>
                <w:w w:val="96"/>
              </w:rPr>
            </w:pPr>
            <w:hyperlink r:id="rId145">
              <w:r>
                <w:rPr>
                  <w:rFonts w:ascii="Arial" w:cs="Arial" w:eastAsia="Arial" w:hAnsi="Arial"/>
                  <w:sz w:val="10"/>
                  <w:szCs w:val="10"/>
                  <w:color w:val="0000FF"/>
                  <w:w w:val="96"/>
                </w:rPr>
                <w:t>Framework Agreement Letter Agreement, dated as of August 16, 2021, by and among Twilio Inc., a Delaware</w:t>
              </w:r>
            </w:hyperlink>
          </w:p>
        </w:tc>
        <w:tc>
          <w:tcPr>
            <w:tcW w:w="1060" w:type="dxa"/>
            <w:vAlign w:val="bottom"/>
          </w:tcPr>
          <w:p>
            <w:pPr>
              <w:jc w:val="center"/>
              <w:spacing w:after="0" w:line="97" w:lineRule="exact"/>
              <w:rPr>
                <w:sz w:val="20"/>
                <w:szCs w:val="20"/>
                <w:color w:val="auto"/>
              </w:rPr>
            </w:pPr>
            <w:r>
              <w:rPr>
                <w:rFonts w:ascii="Arial" w:cs="Arial" w:eastAsia="Arial" w:hAnsi="Arial"/>
                <w:sz w:val="10"/>
                <w:szCs w:val="10"/>
                <w:color w:val="auto"/>
                <w:w w:val="89"/>
              </w:rPr>
              <w:t>8-K</w:t>
            </w:r>
          </w:p>
        </w:tc>
        <w:tc>
          <w:tcPr>
            <w:tcW w:w="980" w:type="dxa"/>
            <w:vAlign w:val="bottom"/>
          </w:tcPr>
          <w:p>
            <w:pPr>
              <w:jc w:val="center"/>
              <w:ind w:left="293"/>
              <w:spacing w:after="0" w:line="97" w:lineRule="exact"/>
              <w:rPr>
                <w:sz w:val="20"/>
                <w:szCs w:val="20"/>
                <w:color w:val="auto"/>
              </w:rPr>
            </w:pPr>
            <w:r>
              <w:rPr>
                <w:rFonts w:ascii="Arial" w:cs="Arial" w:eastAsia="Arial" w:hAnsi="Arial"/>
                <w:sz w:val="10"/>
                <w:szCs w:val="10"/>
                <w:color w:val="auto"/>
                <w:w w:val="83"/>
              </w:rPr>
              <w:t>001-37806</w:t>
            </w:r>
          </w:p>
        </w:tc>
        <w:tc>
          <w:tcPr>
            <w:tcW w:w="1740" w:type="dxa"/>
            <w:vAlign w:val="bottom"/>
          </w:tcPr>
          <w:p>
            <w:pPr>
              <w:jc w:val="right"/>
              <w:ind w:right="333"/>
              <w:spacing w:after="0" w:line="97" w:lineRule="exact"/>
              <w:rPr>
                <w:sz w:val="20"/>
                <w:szCs w:val="20"/>
                <w:color w:val="auto"/>
              </w:rPr>
            </w:pPr>
            <w:r>
              <w:rPr>
                <w:rFonts w:ascii="Arial" w:cs="Arial" w:eastAsia="Arial" w:hAnsi="Arial"/>
                <w:sz w:val="10"/>
                <w:szCs w:val="10"/>
                <w:color w:val="auto"/>
              </w:rPr>
              <w:t>2.1</w:t>
            </w:r>
          </w:p>
        </w:tc>
        <w:tc>
          <w:tcPr>
            <w:tcW w:w="1620" w:type="dxa"/>
            <w:vAlign w:val="bottom"/>
          </w:tcPr>
          <w:p>
            <w:pPr>
              <w:jc w:val="center"/>
              <w:ind w:right="193"/>
              <w:spacing w:after="0" w:line="97" w:lineRule="exact"/>
              <w:rPr>
                <w:sz w:val="20"/>
                <w:szCs w:val="20"/>
                <w:color w:val="auto"/>
              </w:rPr>
            </w:pPr>
            <w:r>
              <w:rPr>
                <w:rFonts w:ascii="Arial" w:cs="Arial" w:eastAsia="Arial" w:hAnsi="Arial"/>
                <w:sz w:val="10"/>
                <w:szCs w:val="10"/>
                <w:color w:val="auto"/>
                <w:w w:val="85"/>
              </w:rPr>
              <w:t>August 17, 2021</w:t>
            </w:r>
          </w:p>
        </w:tc>
      </w:tr>
      <w:tr>
        <w:trPr>
          <w:trHeight w:val="79"/>
        </w:trPr>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40" w:type="dxa"/>
            <w:vAlign w:val="bottom"/>
            <w:tcBorders>
              <w:top w:val="single" w:sz="8" w:color="0000FF"/>
            </w:tcBorders>
            <w:gridSpan w:val="9"/>
          </w:tcPr>
          <w:p>
            <w:pPr>
              <w:spacing w:after="0" w:line="79" w:lineRule="exact"/>
              <w:rPr>
                <w:rFonts w:ascii="Arial" w:cs="Arial" w:eastAsia="Arial" w:hAnsi="Arial"/>
                <w:sz w:val="8"/>
                <w:szCs w:val="8"/>
                <w:color w:val="0000FF"/>
              </w:rPr>
            </w:pPr>
            <w:hyperlink r:id="rId145">
              <w:r>
                <w:rPr>
                  <w:rFonts w:ascii="Arial" w:cs="Arial" w:eastAsia="Arial" w:hAnsi="Arial"/>
                  <w:sz w:val="8"/>
                  <w:szCs w:val="8"/>
                  <w:color w:val="0000FF"/>
                </w:rPr>
                <w:t>corporation, Carlyle Partners V Holdings, L.P., a Delaware limited partnership, and Syniverse Corporation, a</w:t>
              </w:r>
            </w:hyperlink>
          </w:p>
        </w:tc>
        <w:tc>
          <w:tcPr>
            <w:tcW w:w="460" w:type="dxa"/>
            <w:vAlign w:val="bottom"/>
            <w:gridSpan w:val="8"/>
          </w:tcPr>
          <w:p>
            <w:pPr>
              <w:spacing w:after="0" w:line="79" w:lineRule="exact"/>
              <w:rPr>
                <w:rFonts w:ascii="Arial" w:cs="Arial" w:eastAsia="Arial" w:hAnsi="Arial"/>
                <w:sz w:val="8"/>
                <w:szCs w:val="8"/>
                <w:color w:val="0000FF"/>
              </w:rPr>
            </w:pPr>
            <w:hyperlink r:id="rId145">
              <w:r>
                <w:rPr>
                  <w:rFonts w:ascii="Arial" w:cs="Arial" w:eastAsia="Arial" w:hAnsi="Arial"/>
                  <w:sz w:val="8"/>
                  <w:szCs w:val="8"/>
                  <w:color w:val="0000FF"/>
                </w:rPr>
                <w:t>Delaware</w:t>
              </w:r>
            </w:hyperlink>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70"/>
        </w:trPr>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580" w:type="dxa"/>
            <w:vAlign w:val="bottom"/>
            <w:tcBorders>
              <w:top w:val="single" w:sz="8" w:color="0000FF"/>
            </w:tcBorders>
            <w:gridSpan w:val="16"/>
          </w:tcPr>
          <w:p>
            <w:pPr>
              <w:spacing w:after="0" w:line="70" w:lineRule="exact"/>
              <w:rPr>
                <w:rFonts w:ascii="Arial" w:cs="Arial" w:eastAsia="Arial" w:hAnsi="Arial"/>
                <w:sz w:val="8"/>
                <w:szCs w:val="8"/>
                <w:color w:val="0000FF"/>
              </w:rPr>
            </w:pPr>
            <w:hyperlink r:id="rId145">
              <w:r>
                <w:rPr>
                  <w:rFonts w:ascii="Arial" w:cs="Arial" w:eastAsia="Arial" w:hAnsi="Arial"/>
                  <w:sz w:val="8"/>
                  <w:szCs w:val="8"/>
                  <w:color w:val="0000FF"/>
                </w:rPr>
                <w:t>corporation</w:t>
              </w:r>
            </w:hyperlink>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06"/>
        </w:trPr>
        <w:tc>
          <w:tcPr>
            <w:tcW w:w="1000" w:type="dxa"/>
            <w:vAlign w:val="bottom"/>
          </w:tcPr>
          <w:p>
            <w:pPr>
              <w:jc w:val="right"/>
              <w:spacing w:after="0" w:line="106" w:lineRule="exact"/>
              <w:rPr>
                <w:sz w:val="20"/>
                <w:szCs w:val="20"/>
                <w:color w:val="auto"/>
              </w:rPr>
            </w:pPr>
            <w:r>
              <w:rPr>
                <w:rFonts w:ascii="Arial" w:cs="Arial" w:eastAsia="Arial" w:hAnsi="Arial"/>
                <w:sz w:val="10"/>
                <w:szCs w:val="10"/>
                <w:color w:val="auto"/>
              </w:rPr>
              <w:t>3.1</w:t>
            </w:r>
          </w:p>
        </w:tc>
        <w:tc>
          <w:tcPr>
            <w:tcW w:w="100" w:type="dxa"/>
            <w:vAlign w:val="bottom"/>
          </w:tcPr>
          <w:p>
            <w:pPr>
              <w:spacing w:after="0"/>
              <w:rPr>
                <w:sz w:val="9"/>
                <w:szCs w:val="9"/>
                <w:color w:val="auto"/>
              </w:rPr>
            </w:pPr>
          </w:p>
        </w:tc>
        <w:tc>
          <w:tcPr>
            <w:tcW w:w="4700" w:type="dxa"/>
            <w:vAlign w:val="bottom"/>
            <w:gridSpan w:val="17"/>
          </w:tcPr>
          <w:p>
            <w:pPr>
              <w:spacing w:after="0" w:line="106" w:lineRule="exact"/>
              <w:rPr>
                <w:rFonts w:ascii="Arial" w:cs="Arial" w:eastAsia="Arial" w:hAnsi="Arial"/>
                <w:sz w:val="10"/>
                <w:szCs w:val="10"/>
                <w:color w:val="0000FF"/>
              </w:rPr>
            </w:pPr>
            <w:hyperlink r:id="rId146">
              <w:r>
                <w:rPr>
                  <w:rFonts w:ascii="Arial" w:cs="Arial" w:eastAsia="Arial" w:hAnsi="Arial"/>
                  <w:sz w:val="10"/>
                  <w:szCs w:val="10"/>
                  <w:color w:val="0000FF"/>
                </w:rPr>
                <w:t>Amended and Restated Certificate of Incorporation of Twilio Inc.</w:t>
              </w:r>
            </w:hyperlink>
          </w:p>
        </w:tc>
        <w:tc>
          <w:tcPr>
            <w:tcW w:w="1060" w:type="dxa"/>
            <w:vAlign w:val="bottom"/>
          </w:tcPr>
          <w:p>
            <w:pPr>
              <w:jc w:val="center"/>
              <w:spacing w:after="0" w:line="106" w:lineRule="exact"/>
              <w:rPr>
                <w:sz w:val="20"/>
                <w:szCs w:val="20"/>
                <w:color w:val="auto"/>
              </w:rPr>
            </w:pPr>
            <w:r>
              <w:rPr>
                <w:rFonts w:ascii="Arial" w:cs="Arial" w:eastAsia="Arial" w:hAnsi="Arial"/>
                <w:sz w:val="10"/>
                <w:szCs w:val="10"/>
                <w:color w:val="auto"/>
                <w:w w:val="98"/>
              </w:rPr>
              <w:t>S-1A</w:t>
            </w:r>
          </w:p>
        </w:tc>
        <w:tc>
          <w:tcPr>
            <w:tcW w:w="980" w:type="dxa"/>
            <w:vAlign w:val="bottom"/>
          </w:tcPr>
          <w:p>
            <w:pPr>
              <w:jc w:val="center"/>
              <w:ind w:left="313"/>
              <w:spacing w:after="0" w:line="106" w:lineRule="exact"/>
              <w:rPr>
                <w:sz w:val="20"/>
                <w:szCs w:val="20"/>
                <w:color w:val="auto"/>
              </w:rPr>
            </w:pPr>
            <w:r>
              <w:rPr>
                <w:rFonts w:ascii="Arial" w:cs="Arial" w:eastAsia="Arial" w:hAnsi="Arial"/>
                <w:sz w:val="10"/>
                <w:szCs w:val="10"/>
                <w:color w:val="auto"/>
                <w:w w:val="86"/>
              </w:rPr>
              <w:t>333-211634</w:t>
            </w:r>
          </w:p>
        </w:tc>
        <w:tc>
          <w:tcPr>
            <w:tcW w:w="1740" w:type="dxa"/>
            <w:vAlign w:val="bottom"/>
          </w:tcPr>
          <w:p>
            <w:pPr>
              <w:jc w:val="right"/>
              <w:ind w:right="333"/>
              <w:spacing w:after="0" w:line="106" w:lineRule="exact"/>
              <w:rPr>
                <w:sz w:val="20"/>
                <w:szCs w:val="20"/>
                <w:color w:val="auto"/>
              </w:rPr>
            </w:pPr>
            <w:r>
              <w:rPr>
                <w:rFonts w:ascii="Arial" w:cs="Arial" w:eastAsia="Arial" w:hAnsi="Arial"/>
                <w:sz w:val="10"/>
                <w:szCs w:val="10"/>
                <w:color w:val="auto"/>
              </w:rPr>
              <w:t>3.1</w:t>
            </w:r>
          </w:p>
        </w:tc>
        <w:tc>
          <w:tcPr>
            <w:tcW w:w="1620" w:type="dxa"/>
            <w:vAlign w:val="bottom"/>
          </w:tcPr>
          <w:p>
            <w:pPr>
              <w:jc w:val="center"/>
              <w:ind w:right="193"/>
              <w:spacing w:after="0" w:line="106" w:lineRule="exact"/>
              <w:rPr>
                <w:sz w:val="20"/>
                <w:szCs w:val="20"/>
                <w:color w:val="auto"/>
              </w:rPr>
            </w:pPr>
            <w:r>
              <w:rPr>
                <w:rFonts w:ascii="Arial" w:cs="Arial" w:eastAsia="Arial" w:hAnsi="Arial"/>
                <w:sz w:val="10"/>
                <w:szCs w:val="10"/>
                <w:color w:val="auto"/>
                <w:w w:val="85"/>
              </w:rPr>
              <w:t>June 13, 2016</w:t>
            </w:r>
          </w:p>
        </w:tc>
      </w:tr>
      <w:tr>
        <w:trPr>
          <w:trHeight w:val="106"/>
        </w:trPr>
        <w:tc>
          <w:tcPr>
            <w:tcW w:w="1000" w:type="dxa"/>
            <w:vAlign w:val="bottom"/>
          </w:tcPr>
          <w:p>
            <w:pPr>
              <w:jc w:val="right"/>
              <w:spacing w:after="0" w:line="106" w:lineRule="exact"/>
              <w:rPr>
                <w:sz w:val="20"/>
                <w:szCs w:val="20"/>
                <w:color w:val="auto"/>
              </w:rPr>
            </w:pPr>
            <w:r>
              <w:rPr>
                <w:rFonts w:ascii="Arial" w:cs="Arial" w:eastAsia="Arial" w:hAnsi="Arial"/>
                <w:sz w:val="10"/>
                <w:szCs w:val="10"/>
                <w:color w:val="auto"/>
              </w:rPr>
              <w:t>3.2</w:t>
            </w:r>
          </w:p>
        </w:tc>
        <w:tc>
          <w:tcPr>
            <w:tcW w:w="100" w:type="dxa"/>
            <w:vAlign w:val="bottom"/>
          </w:tcPr>
          <w:p>
            <w:pPr>
              <w:spacing w:after="0"/>
              <w:rPr>
                <w:sz w:val="9"/>
                <w:szCs w:val="9"/>
                <w:color w:val="auto"/>
              </w:rPr>
            </w:pPr>
          </w:p>
        </w:tc>
        <w:tc>
          <w:tcPr>
            <w:tcW w:w="2520" w:type="dxa"/>
            <w:vAlign w:val="bottom"/>
            <w:tcBorders>
              <w:top w:val="single" w:sz="8" w:color="0000FF"/>
            </w:tcBorders>
            <w:gridSpan w:val="5"/>
          </w:tcPr>
          <w:p>
            <w:pPr>
              <w:spacing w:after="0" w:line="106" w:lineRule="exact"/>
              <w:rPr>
                <w:rFonts w:ascii="Arial" w:cs="Arial" w:eastAsia="Arial" w:hAnsi="Arial"/>
                <w:sz w:val="10"/>
                <w:szCs w:val="10"/>
                <w:color w:val="0000FF"/>
              </w:rPr>
            </w:pPr>
            <w:hyperlink r:id="rId147">
              <w:r>
                <w:rPr>
                  <w:rFonts w:ascii="Arial" w:cs="Arial" w:eastAsia="Arial" w:hAnsi="Arial"/>
                  <w:sz w:val="10"/>
                  <w:szCs w:val="10"/>
                  <w:color w:val="0000FF"/>
                </w:rPr>
                <w:t>Second Amended and Restated Bylaws of Twilio Inc.</w:t>
              </w:r>
            </w:hyperlink>
          </w:p>
        </w:tc>
        <w:tc>
          <w:tcPr>
            <w:tcW w:w="2180" w:type="dxa"/>
            <w:vAlign w:val="bottom"/>
            <w:gridSpan w:val="12"/>
          </w:tcPr>
          <w:p>
            <w:pPr>
              <w:spacing w:after="0"/>
              <w:rPr>
                <w:sz w:val="9"/>
                <w:szCs w:val="9"/>
                <w:color w:val="auto"/>
              </w:rPr>
            </w:pPr>
          </w:p>
        </w:tc>
        <w:tc>
          <w:tcPr>
            <w:tcW w:w="1060" w:type="dxa"/>
            <w:vAlign w:val="bottom"/>
          </w:tcPr>
          <w:p>
            <w:pPr>
              <w:jc w:val="center"/>
              <w:spacing w:after="0" w:line="106" w:lineRule="exact"/>
              <w:rPr>
                <w:sz w:val="20"/>
                <w:szCs w:val="20"/>
                <w:color w:val="auto"/>
              </w:rPr>
            </w:pPr>
            <w:r>
              <w:rPr>
                <w:rFonts w:ascii="Arial" w:cs="Arial" w:eastAsia="Arial" w:hAnsi="Arial"/>
                <w:sz w:val="10"/>
                <w:szCs w:val="10"/>
                <w:color w:val="auto"/>
                <w:w w:val="80"/>
              </w:rPr>
              <w:t>10-Q</w:t>
            </w:r>
          </w:p>
        </w:tc>
        <w:tc>
          <w:tcPr>
            <w:tcW w:w="980" w:type="dxa"/>
            <w:vAlign w:val="bottom"/>
          </w:tcPr>
          <w:p>
            <w:pPr>
              <w:jc w:val="center"/>
              <w:ind w:left="293"/>
              <w:spacing w:after="0" w:line="106" w:lineRule="exact"/>
              <w:rPr>
                <w:sz w:val="20"/>
                <w:szCs w:val="20"/>
                <w:color w:val="auto"/>
              </w:rPr>
            </w:pPr>
            <w:r>
              <w:rPr>
                <w:rFonts w:ascii="Arial" w:cs="Arial" w:eastAsia="Arial" w:hAnsi="Arial"/>
                <w:sz w:val="10"/>
                <w:szCs w:val="10"/>
                <w:color w:val="auto"/>
                <w:w w:val="83"/>
              </w:rPr>
              <w:t>001-37806</w:t>
            </w:r>
          </w:p>
        </w:tc>
        <w:tc>
          <w:tcPr>
            <w:tcW w:w="1740" w:type="dxa"/>
            <w:vAlign w:val="bottom"/>
          </w:tcPr>
          <w:p>
            <w:pPr>
              <w:jc w:val="right"/>
              <w:ind w:right="333"/>
              <w:spacing w:after="0" w:line="106" w:lineRule="exact"/>
              <w:rPr>
                <w:sz w:val="20"/>
                <w:szCs w:val="20"/>
                <w:color w:val="auto"/>
              </w:rPr>
            </w:pPr>
            <w:r>
              <w:rPr>
                <w:rFonts w:ascii="Arial" w:cs="Arial" w:eastAsia="Arial" w:hAnsi="Arial"/>
                <w:sz w:val="10"/>
                <w:szCs w:val="10"/>
                <w:color w:val="auto"/>
              </w:rPr>
              <w:t>3.1</w:t>
            </w:r>
          </w:p>
        </w:tc>
        <w:tc>
          <w:tcPr>
            <w:tcW w:w="1620" w:type="dxa"/>
            <w:vAlign w:val="bottom"/>
          </w:tcPr>
          <w:p>
            <w:pPr>
              <w:jc w:val="center"/>
              <w:ind w:right="193"/>
              <w:spacing w:after="0" w:line="106" w:lineRule="exact"/>
              <w:rPr>
                <w:sz w:val="20"/>
                <w:szCs w:val="20"/>
                <w:color w:val="auto"/>
              </w:rPr>
            </w:pPr>
            <w:r>
              <w:rPr>
                <w:rFonts w:ascii="Arial" w:cs="Arial" w:eastAsia="Arial" w:hAnsi="Arial"/>
                <w:sz w:val="10"/>
                <w:szCs w:val="10"/>
                <w:color w:val="auto"/>
                <w:w w:val="86"/>
              </w:rPr>
              <w:t>August 4, 2020</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06"/>
        </w:trPr>
        <w:tc>
          <w:tcPr>
            <w:tcW w:w="1000" w:type="dxa"/>
            <w:vAlign w:val="bottom"/>
          </w:tcPr>
          <w:p>
            <w:pPr>
              <w:jc w:val="right"/>
              <w:spacing w:after="0" w:line="106" w:lineRule="exact"/>
              <w:rPr>
                <w:sz w:val="20"/>
                <w:szCs w:val="20"/>
                <w:color w:val="auto"/>
              </w:rPr>
            </w:pPr>
            <w:r>
              <w:rPr>
                <w:rFonts w:ascii="Arial" w:cs="Arial" w:eastAsia="Arial" w:hAnsi="Arial"/>
                <w:sz w:val="10"/>
                <w:szCs w:val="10"/>
                <w:color w:val="auto"/>
              </w:rPr>
              <w:t>4.1</w:t>
            </w:r>
          </w:p>
        </w:tc>
        <w:tc>
          <w:tcPr>
            <w:tcW w:w="100" w:type="dxa"/>
            <w:vAlign w:val="bottom"/>
          </w:tcPr>
          <w:p>
            <w:pPr>
              <w:spacing w:after="0"/>
              <w:rPr>
                <w:sz w:val="9"/>
                <w:szCs w:val="9"/>
                <w:color w:val="auto"/>
              </w:rPr>
            </w:pPr>
          </w:p>
        </w:tc>
        <w:tc>
          <w:tcPr>
            <w:tcW w:w="2240" w:type="dxa"/>
            <w:vAlign w:val="bottom"/>
            <w:tcBorders>
              <w:bottom w:val="single" w:sz="8" w:color="0000FF"/>
            </w:tcBorders>
            <w:gridSpan w:val="4"/>
          </w:tcPr>
          <w:p>
            <w:pPr>
              <w:spacing w:after="0" w:line="106" w:lineRule="exact"/>
              <w:rPr>
                <w:rFonts w:ascii="Arial" w:cs="Arial" w:eastAsia="Arial" w:hAnsi="Arial"/>
                <w:sz w:val="10"/>
                <w:szCs w:val="10"/>
                <w:color w:val="0000FF"/>
                <w:w w:val="89"/>
              </w:rPr>
            </w:pPr>
            <w:hyperlink r:id="rId148">
              <w:r>
                <w:rPr>
                  <w:rFonts w:ascii="Arial" w:cs="Arial" w:eastAsia="Arial" w:hAnsi="Arial"/>
                  <w:sz w:val="10"/>
                  <w:szCs w:val="10"/>
                  <w:color w:val="0000FF"/>
                  <w:w w:val="89"/>
                </w:rPr>
                <w:t>Form of Class A Common Stock Certificate of Twilio Inc.</w:t>
              </w:r>
            </w:hyperlink>
          </w:p>
        </w:tc>
        <w:tc>
          <w:tcPr>
            <w:tcW w:w="2460" w:type="dxa"/>
            <w:vAlign w:val="bottom"/>
            <w:gridSpan w:val="13"/>
          </w:tcPr>
          <w:p>
            <w:pPr>
              <w:spacing w:after="0"/>
              <w:rPr>
                <w:sz w:val="9"/>
                <w:szCs w:val="9"/>
                <w:color w:val="auto"/>
              </w:rPr>
            </w:pPr>
          </w:p>
        </w:tc>
        <w:tc>
          <w:tcPr>
            <w:tcW w:w="1060" w:type="dxa"/>
            <w:vAlign w:val="bottom"/>
          </w:tcPr>
          <w:p>
            <w:pPr>
              <w:jc w:val="center"/>
              <w:spacing w:after="0" w:line="106" w:lineRule="exact"/>
              <w:rPr>
                <w:sz w:val="20"/>
                <w:szCs w:val="20"/>
                <w:color w:val="auto"/>
              </w:rPr>
            </w:pPr>
            <w:r>
              <w:rPr>
                <w:rFonts w:ascii="Arial" w:cs="Arial" w:eastAsia="Arial" w:hAnsi="Arial"/>
                <w:sz w:val="10"/>
                <w:szCs w:val="10"/>
                <w:color w:val="auto"/>
                <w:w w:val="89"/>
              </w:rPr>
              <w:t>S-1</w:t>
            </w:r>
          </w:p>
        </w:tc>
        <w:tc>
          <w:tcPr>
            <w:tcW w:w="980" w:type="dxa"/>
            <w:vAlign w:val="bottom"/>
          </w:tcPr>
          <w:p>
            <w:pPr>
              <w:jc w:val="center"/>
              <w:ind w:left="313"/>
              <w:spacing w:after="0" w:line="106" w:lineRule="exact"/>
              <w:rPr>
                <w:sz w:val="20"/>
                <w:szCs w:val="20"/>
                <w:color w:val="auto"/>
              </w:rPr>
            </w:pPr>
            <w:r>
              <w:rPr>
                <w:rFonts w:ascii="Arial" w:cs="Arial" w:eastAsia="Arial" w:hAnsi="Arial"/>
                <w:sz w:val="10"/>
                <w:szCs w:val="10"/>
                <w:color w:val="auto"/>
                <w:w w:val="86"/>
              </w:rPr>
              <w:t>333-211634</w:t>
            </w:r>
          </w:p>
        </w:tc>
        <w:tc>
          <w:tcPr>
            <w:tcW w:w="1740" w:type="dxa"/>
            <w:vAlign w:val="bottom"/>
          </w:tcPr>
          <w:p>
            <w:pPr>
              <w:jc w:val="right"/>
              <w:ind w:right="333"/>
              <w:spacing w:after="0" w:line="106" w:lineRule="exact"/>
              <w:rPr>
                <w:sz w:val="20"/>
                <w:szCs w:val="20"/>
                <w:color w:val="auto"/>
              </w:rPr>
            </w:pPr>
            <w:r>
              <w:rPr>
                <w:rFonts w:ascii="Arial" w:cs="Arial" w:eastAsia="Arial" w:hAnsi="Arial"/>
                <w:sz w:val="10"/>
                <w:szCs w:val="10"/>
                <w:color w:val="auto"/>
              </w:rPr>
              <w:t>4.1</w:t>
            </w:r>
          </w:p>
        </w:tc>
        <w:tc>
          <w:tcPr>
            <w:tcW w:w="1620" w:type="dxa"/>
            <w:vAlign w:val="bottom"/>
          </w:tcPr>
          <w:p>
            <w:pPr>
              <w:jc w:val="center"/>
              <w:ind w:right="193"/>
              <w:spacing w:after="0" w:line="106" w:lineRule="exact"/>
              <w:rPr>
                <w:sz w:val="20"/>
                <w:szCs w:val="20"/>
                <w:color w:val="auto"/>
              </w:rPr>
            </w:pPr>
            <w:r>
              <w:rPr>
                <w:rFonts w:ascii="Arial" w:cs="Arial" w:eastAsia="Arial" w:hAnsi="Arial"/>
                <w:sz w:val="10"/>
                <w:szCs w:val="10"/>
                <w:color w:val="auto"/>
                <w:w w:val="89"/>
              </w:rPr>
              <w:t>May 26, 2016</w:t>
            </w:r>
          </w:p>
        </w:tc>
      </w:tr>
      <w:tr>
        <w:trPr>
          <w:trHeight w:val="106"/>
        </w:trPr>
        <w:tc>
          <w:tcPr>
            <w:tcW w:w="1000" w:type="dxa"/>
            <w:vAlign w:val="bottom"/>
          </w:tcPr>
          <w:p>
            <w:pPr>
              <w:jc w:val="right"/>
              <w:spacing w:after="0" w:line="106" w:lineRule="exact"/>
              <w:rPr>
                <w:sz w:val="20"/>
                <w:szCs w:val="20"/>
                <w:color w:val="auto"/>
              </w:rPr>
            </w:pPr>
            <w:r>
              <w:rPr>
                <w:rFonts w:ascii="Arial" w:cs="Arial" w:eastAsia="Arial" w:hAnsi="Arial"/>
                <w:sz w:val="10"/>
                <w:szCs w:val="10"/>
                <w:color w:val="auto"/>
              </w:rPr>
              <w:t>4.2</w:t>
            </w:r>
          </w:p>
        </w:tc>
        <w:tc>
          <w:tcPr>
            <w:tcW w:w="100" w:type="dxa"/>
            <w:vAlign w:val="bottom"/>
          </w:tcPr>
          <w:p>
            <w:pPr>
              <w:spacing w:after="0"/>
              <w:rPr>
                <w:sz w:val="9"/>
                <w:szCs w:val="9"/>
                <w:color w:val="auto"/>
              </w:rPr>
            </w:pPr>
          </w:p>
        </w:tc>
        <w:tc>
          <w:tcPr>
            <w:tcW w:w="4700" w:type="dxa"/>
            <w:vAlign w:val="bottom"/>
            <w:gridSpan w:val="17"/>
          </w:tcPr>
          <w:p>
            <w:pPr>
              <w:spacing w:after="0" w:line="106" w:lineRule="exact"/>
              <w:rPr>
                <w:rFonts w:ascii="Arial" w:cs="Arial" w:eastAsia="Arial" w:hAnsi="Arial"/>
                <w:sz w:val="10"/>
                <w:szCs w:val="10"/>
                <w:color w:val="0000FF"/>
                <w:w w:val="94"/>
              </w:rPr>
            </w:pPr>
            <w:hyperlink r:id="rId149">
              <w:r>
                <w:rPr>
                  <w:rFonts w:ascii="Arial" w:cs="Arial" w:eastAsia="Arial" w:hAnsi="Arial"/>
                  <w:sz w:val="10"/>
                  <w:szCs w:val="10"/>
                  <w:color w:val="0000FF"/>
                  <w:w w:val="94"/>
                </w:rPr>
                <w:t>Amended and Restated Investors' Rights Agreement, dated April 24, 2015, between Twilio Inc. and certain of its</w:t>
              </w:r>
            </w:hyperlink>
          </w:p>
        </w:tc>
        <w:tc>
          <w:tcPr>
            <w:tcW w:w="1060" w:type="dxa"/>
            <w:vAlign w:val="bottom"/>
          </w:tcPr>
          <w:p>
            <w:pPr>
              <w:jc w:val="center"/>
              <w:spacing w:after="0" w:line="106" w:lineRule="exact"/>
              <w:rPr>
                <w:sz w:val="20"/>
                <w:szCs w:val="20"/>
                <w:color w:val="auto"/>
              </w:rPr>
            </w:pPr>
            <w:r>
              <w:rPr>
                <w:rFonts w:ascii="Arial" w:cs="Arial" w:eastAsia="Arial" w:hAnsi="Arial"/>
                <w:sz w:val="10"/>
                <w:szCs w:val="10"/>
                <w:color w:val="auto"/>
                <w:w w:val="89"/>
              </w:rPr>
              <w:t>S-1</w:t>
            </w:r>
          </w:p>
        </w:tc>
        <w:tc>
          <w:tcPr>
            <w:tcW w:w="980" w:type="dxa"/>
            <w:vAlign w:val="bottom"/>
          </w:tcPr>
          <w:p>
            <w:pPr>
              <w:jc w:val="center"/>
              <w:ind w:left="313"/>
              <w:spacing w:after="0" w:line="106" w:lineRule="exact"/>
              <w:rPr>
                <w:sz w:val="20"/>
                <w:szCs w:val="20"/>
                <w:color w:val="auto"/>
              </w:rPr>
            </w:pPr>
            <w:r>
              <w:rPr>
                <w:rFonts w:ascii="Arial" w:cs="Arial" w:eastAsia="Arial" w:hAnsi="Arial"/>
                <w:sz w:val="10"/>
                <w:szCs w:val="10"/>
                <w:color w:val="auto"/>
                <w:w w:val="86"/>
              </w:rPr>
              <w:t>333-211634</w:t>
            </w:r>
          </w:p>
        </w:tc>
        <w:tc>
          <w:tcPr>
            <w:tcW w:w="1740" w:type="dxa"/>
            <w:vAlign w:val="bottom"/>
          </w:tcPr>
          <w:p>
            <w:pPr>
              <w:jc w:val="right"/>
              <w:ind w:right="333"/>
              <w:spacing w:after="0" w:line="106" w:lineRule="exact"/>
              <w:rPr>
                <w:sz w:val="20"/>
                <w:szCs w:val="20"/>
                <w:color w:val="auto"/>
              </w:rPr>
            </w:pPr>
            <w:r>
              <w:rPr>
                <w:rFonts w:ascii="Arial" w:cs="Arial" w:eastAsia="Arial" w:hAnsi="Arial"/>
                <w:sz w:val="10"/>
                <w:szCs w:val="10"/>
                <w:color w:val="auto"/>
              </w:rPr>
              <w:t>4.2</w:t>
            </w:r>
          </w:p>
        </w:tc>
        <w:tc>
          <w:tcPr>
            <w:tcW w:w="1620" w:type="dxa"/>
            <w:vAlign w:val="bottom"/>
          </w:tcPr>
          <w:p>
            <w:pPr>
              <w:jc w:val="center"/>
              <w:ind w:right="193"/>
              <w:spacing w:after="0" w:line="106" w:lineRule="exact"/>
              <w:rPr>
                <w:sz w:val="20"/>
                <w:szCs w:val="20"/>
                <w:color w:val="auto"/>
              </w:rPr>
            </w:pPr>
            <w:r>
              <w:rPr>
                <w:rFonts w:ascii="Arial" w:cs="Arial" w:eastAsia="Arial" w:hAnsi="Arial"/>
                <w:sz w:val="10"/>
                <w:szCs w:val="10"/>
                <w:color w:val="auto"/>
                <w:w w:val="89"/>
              </w:rPr>
              <w:t>May 26, 2016</w:t>
            </w:r>
          </w:p>
        </w:tc>
      </w:tr>
      <w:tr>
        <w:trPr>
          <w:trHeight w:val="70"/>
        </w:trPr>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top w:val="single" w:sz="8" w:color="0000FF"/>
              <w:bottom w:val="single" w:sz="8" w:color="0000FF"/>
            </w:tcBorders>
            <w:gridSpan w:val="2"/>
          </w:tcPr>
          <w:p>
            <w:pPr>
              <w:spacing w:after="0" w:line="70" w:lineRule="exact"/>
              <w:rPr>
                <w:rFonts w:ascii="Arial" w:cs="Arial" w:eastAsia="Arial" w:hAnsi="Arial"/>
                <w:sz w:val="8"/>
                <w:szCs w:val="8"/>
                <w:color w:val="0000FF"/>
              </w:rPr>
            </w:pPr>
            <w:hyperlink r:id="rId149">
              <w:r>
                <w:rPr>
                  <w:rFonts w:ascii="Arial" w:cs="Arial" w:eastAsia="Arial" w:hAnsi="Arial"/>
                  <w:sz w:val="8"/>
                  <w:szCs w:val="8"/>
                  <w:color w:val="0000FF"/>
                </w:rPr>
                <w:t>stockholders</w:t>
              </w:r>
            </w:hyperlink>
          </w:p>
        </w:tc>
        <w:tc>
          <w:tcPr>
            <w:tcW w:w="3840" w:type="dxa"/>
            <w:vAlign w:val="bottom"/>
            <w:tcBorders>
              <w:top w:val="single" w:sz="8" w:color="0000FF"/>
            </w:tcBorders>
            <w:gridSpan w:val="9"/>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gridSpan w:val="5"/>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106"/>
        </w:trPr>
        <w:tc>
          <w:tcPr>
            <w:tcW w:w="1000" w:type="dxa"/>
            <w:vAlign w:val="bottom"/>
          </w:tcPr>
          <w:p>
            <w:pPr>
              <w:jc w:val="right"/>
              <w:spacing w:after="0" w:line="106" w:lineRule="exact"/>
              <w:rPr>
                <w:sz w:val="20"/>
                <w:szCs w:val="20"/>
                <w:color w:val="auto"/>
              </w:rPr>
            </w:pPr>
            <w:r>
              <w:rPr>
                <w:rFonts w:ascii="Arial" w:cs="Arial" w:eastAsia="Arial" w:hAnsi="Arial"/>
                <w:sz w:val="10"/>
                <w:szCs w:val="10"/>
                <w:color w:val="auto"/>
              </w:rPr>
              <w:t>4.3</w:t>
            </w:r>
          </w:p>
        </w:tc>
        <w:tc>
          <w:tcPr>
            <w:tcW w:w="100" w:type="dxa"/>
            <w:vAlign w:val="bottom"/>
          </w:tcPr>
          <w:p>
            <w:pPr>
              <w:spacing w:after="0"/>
              <w:rPr>
                <w:sz w:val="9"/>
                <w:szCs w:val="9"/>
                <w:color w:val="auto"/>
              </w:rPr>
            </w:pPr>
          </w:p>
        </w:tc>
        <w:tc>
          <w:tcPr>
            <w:tcW w:w="4360" w:type="dxa"/>
            <w:vAlign w:val="bottom"/>
            <w:tcBorders>
              <w:bottom w:val="single" w:sz="8" w:color="0000FF"/>
            </w:tcBorders>
            <w:gridSpan w:val="12"/>
          </w:tcPr>
          <w:p>
            <w:pPr>
              <w:spacing w:after="0" w:line="106" w:lineRule="exact"/>
              <w:rPr>
                <w:rFonts w:ascii="Arial" w:cs="Arial" w:eastAsia="Arial" w:hAnsi="Arial"/>
                <w:sz w:val="10"/>
                <w:szCs w:val="10"/>
                <w:color w:val="0000FF"/>
                <w:w w:val="87"/>
              </w:rPr>
            </w:pPr>
            <w:hyperlink r:id="rId150">
              <w:r>
                <w:rPr>
                  <w:rFonts w:ascii="Arial" w:cs="Arial" w:eastAsia="Arial" w:hAnsi="Arial"/>
                  <w:sz w:val="10"/>
                  <w:szCs w:val="10"/>
                  <w:color w:val="0000FF"/>
                  <w:w w:val="87"/>
                </w:rPr>
                <w:t>Indenture, dated as of May 17, 2018, between Twilio Inc. and Wilmington Trust, National Association, as trustee</w:t>
              </w:r>
            </w:hyperlink>
          </w:p>
        </w:tc>
        <w:tc>
          <w:tcPr>
            <w:tcW w:w="340" w:type="dxa"/>
            <w:vAlign w:val="bottom"/>
            <w:gridSpan w:val="5"/>
          </w:tcPr>
          <w:p>
            <w:pPr>
              <w:spacing w:after="0"/>
              <w:rPr>
                <w:sz w:val="9"/>
                <w:szCs w:val="9"/>
                <w:color w:val="auto"/>
              </w:rPr>
            </w:pPr>
          </w:p>
        </w:tc>
        <w:tc>
          <w:tcPr>
            <w:tcW w:w="1060" w:type="dxa"/>
            <w:vAlign w:val="bottom"/>
          </w:tcPr>
          <w:p>
            <w:pPr>
              <w:jc w:val="center"/>
              <w:spacing w:after="0" w:line="106" w:lineRule="exact"/>
              <w:rPr>
                <w:sz w:val="20"/>
                <w:szCs w:val="20"/>
                <w:color w:val="auto"/>
              </w:rPr>
            </w:pPr>
            <w:r>
              <w:rPr>
                <w:rFonts w:ascii="Arial" w:cs="Arial" w:eastAsia="Arial" w:hAnsi="Arial"/>
                <w:sz w:val="10"/>
                <w:szCs w:val="10"/>
                <w:color w:val="auto"/>
                <w:w w:val="89"/>
              </w:rPr>
              <w:t>8-K</w:t>
            </w:r>
          </w:p>
        </w:tc>
        <w:tc>
          <w:tcPr>
            <w:tcW w:w="980" w:type="dxa"/>
            <w:vAlign w:val="bottom"/>
          </w:tcPr>
          <w:p>
            <w:pPr>
              <w:jc w:val="center"/>
              <w:ind w:left="293"/>
              <w:spacing w:after="0" w:line="106" w:lineRule="exact"/>
              <w:rPr>
                <w:sz w:val="20"/>
                <w:szCs w:val="20"/>
                <w:color w:val="auto"/>
              </w:rPr>
            </w:pPr>
            <w:r>
              <w:rPr>
                <w:rFonts w:ascii="Arial" w:cs="Arial" w:eastAsia="Arial" w:hAnsi="Arial"/>
                <w:sz w:val="10"/>
                <w:szCs w:val="10"/>
                <w:color w:val="auto"/>
                <w:w w:val="83"/>
              </w:rPr>
              <w:t>001-37806</w:t>
            </w:r>
          </w:p>
        </w:tc>
        <w:tc>
          <w:tcPr>
            <w:tcW w:w="1740" w:type="dxa"/>
            <w:vAlign w:val="bottom"/>
          </w:tcPr>
          <w:p>
            <w:pPr>
              <w:jc w:val="right"/>
              <w:ind w:right="333"/>
              <w:spacing w:after="0" w:line="106" w:lineRule="exact"/>
              <w:rPr>
                <w:sz w:val="20"/>
                <w:szCs w:val="20"/>
                <w:color w:val="auto"/>
              </w:rPr>
            </w:pPr>
            <w:r>
              <w:rPr>
                <w:rFonts w:ascii="Arial" w:cs="Arial" w:eastAsia="Arial" w:hAnsi="Arial"/>
                <w:sz w:val="10"/>
                <w:szCs w:val="10"/>
                <w:color w:val="auto"/>
              </w:rPr>
              <w:t>4.1</w:t>
            </w:r>
          </w:p>
        </w:tc>
        <w:tc>
          <w:tcPr>
            <w:tcW w:w="1620" w:type="dxa"/>
            <w:vAlign w:val="bottom"/>
          </w:tcPr>
          <w:p>
            <w:pPr>
              <w:jc w:val="center"/>
              <w:ind w:right="193"/>
              <w:spacing w:after="0" w:line="106" w:lineRule="exact"/>
              <w:rPr>
                <w:sz w:val="20"/>
                <w:szCs w:val="20"/>
                <w:color w:val="auto"/>
              </w:rPr>
            </w:pPr>
            <w:r>
              <w:rPr>
                <w:rFonts w:ascii="Arial" w:cs="Arial" w:eastAsia="Arial" w:hAnsi="Arial"/>
                <w:sz w:val="10"/>
                <w:szCs w:val="10"/>
                <w:color w:val="auto"/>
                <w:w w:val="89"/>
              </w:rPr>
              <w:t>May 18, 2018</w:t>
            </w:r>
          </w:p>
        </w:tc>
      </w:tr>
      <w:tr>
        <w:trPr>
          <w:trHeight w:val="106"/>
        </w:trPr>
        <w:tc>
          <w:tcPr>
            <w:tcW w:w="1000" w:type="dxa"/>
            <w:vAlign w:val="bottom"/>
          </w:tcPr>
          <w:p>
            <w:pPr>
              <w:jc w:val="right"/>
              <w:spacing w:after="0" w:line="106" w:lineRule="exact"/>
              <w:rPr>
                <w:sz w:val="20"/>
                <w:szCs w:val="20"/>
                <w:color w:val="auto"/>
              </w:rPr>
            </w:pPr>
            <w:r>
              <w:rPr>
                <w:rFonts w:ascii="Arial" w:cs="Arial" w:eastAsia="Arial" w:hAnsi="Arial"/>
                <w:sz w:val="10"/>
                <w:szCs w:val="10"/>
                <w:color w:val="auto"/>
              </w:rPr>
              <w:t>4.4</w:t>
            </w:r>
          </w:p>
        </w:tc>
        <w:tc>
          <w:tcPr>
            <w:tcW w:w="100" w:type="dxa"/>
            <w:vAlign w:val="bottom"/>
          </w:tcPr>
          <w:p>
            <w:pPr>
              <w:spacing w:after="0"/>
              <w:rPr>
                <w:sz w:val="9"/>
                <w:szCs w:val="9"/>
                <w:color w:val="auto"/>
              </w:rPr>
            </w:pPr>
          </w:p>
        </w:tc>
        <w:tc>
          <w:tcPr>
            <w:tcW w:w="2940" w:type="dxa"/>
            <w:vAlign w:val="bottom"/>
            <w:tcBorders>
              <w:bottom w:val="single" w:sz="8" w:color="0000FF"/>
            </w:tcBorders>
            <w:gridSpan w:val="7"/>
          </w:tcPr>
          <w:p>
            <w:pPr>
              <w:spacing w:after="0" w:line="106" w:lineRule="exact"/>
              <w:rPr>
                <w:rFonts w:ascii="Arial" w:cs="Arial" w:eastAsia="Arial" w:hAnsi="Arial"/>
                <w:sz w:val="10"/>
                <w:szCs w:val="10"/>
                <w:color w:val="0000FF"/>
                <w:w w:val="88"/>
              </w:rPr>
            </w:pPr>
            <w:hyperlink r:id="rId150">
              <w:r>
                <w:rPr>
                  <w:rFonts w:ascii="Arial" w:cs="Arial" w:eastAsia="Arial" w:hAnsi="Arial"/>
                  <w:sz w:val="10"/>
                  <w:szCs w:val="10"/>
                  <w:color w:val="0000FF"/>
                  <w:w w:val="88"/>
                </w:rPr>
                <w:t>Form of 0.25% Convertible Senior Notes due 2023 (included in Exhibit 4.3)</w:t>
              </w:r>
            </w:hyperlink>
          </w:p>
        </w:tc>
        <w:tc>
          <w:tcPr>
            <w:tcW w:w="1760" w:type="dxa"/>
            <w:vAlign w:val="bottom"/>
            <w:gridSpan w:val="10"/>
          </w:tcPr>
          <w:p>
            <w:pPr>
              <w:spacing w:after="0"/>
              <w:rPr>
                <w:sz w:val="9"/>
                <w:szCs w:val="9"/>
                <w:color w:val="auto"/>
              </w:rPr>
            </w:pPr>
          </w:p>
        </w:tc>
        <w:tc>
          <w:tcPr>
            <w:tcW w:w="1060" w:type="dxa"/>
            <w:vAlign w:val="bottom"/>
          </w:tcPr>
          <w:p>
            <w:pPr>
              <w:jc w:val="center"/>
              <w:spacing w:after="0" w:line="106" w:lineRule="exact"/>
              <w:rPr>
                <w:sz w:val="20"/>
                <w:szCs w:val="20"/>
                <w:color w:val="auto"/>
              </w:rPr>
            </w:pPr>
            <w:r>
              <w:rPr>
                <w:rFonts w:ascii="Arial" w:cs="Arial" w:eastAsia="Arial" w:hAnsi="Arial"/>
                <w:sz w:val="10"/>
                <w:szCs w:val="10"/>
                <w:color w:val="auto"/>
                <w:w w:val="89"/>
              </w:rPr>
              <w:t>8-K</w:t>
            </w:r>
          </w:p>
        </w:tc>
        <w:tc>
          <w:tcPr>
            <w:tcW w:w="980" w:type="dxa"/>
            <w:vAlign w:val="bottom"/>
          </w:tcPr>
          <w:p>
            <w:pPr>
              <w:jc w:val="center"/>
              <w:ind w:left="293"/>
              <w:spacing w:after="0" w:line="106" w:lineRule="exact"/>
              <w:rPr>
                <w:sz w:val="20"/>
                <w:szCs w:val="20"/>
                <w:color w:val="auto"/>
              </w:rPr>
            </w:pPr>
            <w:r>
              <w:rPr>
                <w:rFonts w:ascii="Arial" w:cs="Arial" w:eastAsia="Arial" w:hAnsi="Arial"/>
                <w:sz w:val="10"/>
                <w:szCs w:val="10"/>
                <w:color w:val="auto"/>
                <w:w w:val="83"/>
              </w:rPr>
              <w:t>001-37806</w:t>
            </w:r>
          </w:p>
        </w:tc>
        <w:tc>
          <w:tcPr>
            <w:tcW w:w="1740" w:type="dxa"/>
            <w:vAlign w:val="bottom"/>
          </w:tcPr>
          <w:p>
            <w:pPr>
              <w:jc w:val="right"/>
              <w:ind w:right="333"/>
              <w:spacing w:after="0" w:line="106" w:lineRule="exact"/>
              <w:rPr>
                <w:sz w:val="20"/>
                <w:szCs w:val="20"/>
                <w:color w:val="auto"/>
              </w:rPr>
            </w:pPr>
            <w:r>
              <w:rPr>
                <w:rFonts w:ascii="Arial" w:cs="Arial" w:eastAsia="Arial" w:hAnsi="Arial"/>
                <w:sz w:val="10"/>
                <w:szCs w:val="10"/>
                <w:color w:val="auto"/>
              </w:rPr>
              <w:t>4.2</w:t>
            </w:r>
          </w:p>
        </w:tc>
        <w:tc>
          <w:tcPr>
            <w:tcW w:w="1620" w:type="dxa"/>
            <w:vAlign w:val="bottom"/>
          </w:tcPr>
          <w:p>
            <w:pPr>
              <w:jc w:val="center"/>
              <w:ind w:right="193"/>
              <w:spacing w:after="0" w:line="106" w:lineRule="exact"/>
              <w:rPr>
                <w:sz w:val="20"/>
                <w:szCs w:val="20"/>
                <w:color w:val="auto"/>
              </w:rPr>
            </w:pPr>
            <w:r>
              <w:rPr>
                <w:rFonts w:ascii="Arial" w:cs="Arial" w:eastAsia="Arial" w:hAnsi="Arial"/>
                <w:sz w:val="10"/>
                <w:szCs w:val="10"/>
                <w:color w:val="auto"/>
                <w:w w:val="89"/>
              </w:rPr>
              <w:t>May 18, 2018</w:t>
            </w:r>
          </w:p>
        </w:tc>
      </w:tr>
      <w:tr>
        <w:trPr>
          <w:trHeight w:val="106"/>
        </w:trPr>
        <w:tc>
          <w:tcPr>
            <w:tcW w:w="1000" w:type="dxa"/>
            <w:vAlign w:val="bottom"/>
          </w:tcPr>
          <w:p>
            <w:pPr>
              <w:jc w:val="right"/>
              <w:spacing w:after="0" w:line="106" w:lineRule="exact"/>
              <w:rPr>
                <w:sz w:val="20"/>
                <w:szCs w:val="20"/>
                <w:color w:val="auto"/>
              </w:rPr>
            </w:pPr>
            <w:r>
              <w:rPr>
                <w:rFonts w:ascii="Arial" w:cs="Arial" w:eastAsia="Arial" w:hAnsi="Arial"/>
                <w:sz w:val="10"/>
                <w:szCs w:val="10"/>
                <w:color w:val="auto"/>
              </w:rPr>
              <w:t>4.5</w:t>
            </w:r>
          </w:p>
        </w:tc>
        <w:tc>
          <w:tcPr>
            <w:tcW w:w="100" w:type="dxa"/>
            <w:vAlign w:val="bottom"/>
          </w:tcPr>
          <w:p>
            <w:pPr>
              <w:spacing w:after="0"/>
              <w:rPr>
                <w:sz w:val="9"/>
                <w:szCs w:val="9"/>
                <w:color w:val="auto"/>
              </w:rPr>
            </w:pPr>
          </w:p>
        </w:tc>
        <w:tc>
          <w:tcPr>
            <w:tcW w:w="4360" w:type="dxa"/>
            <w:vAlign w:val="bottom"/>
            <w:tcBorders>
              <w:bottom w:val="single" w:sz="8" w:color="0000FF"/>
            </w:tcBorders>
            <w:gridSpan w:val="12"/>
          </w:tcPr>
          <w:p>
            <w:pPr>
              <w:spacing w:after="0" w:line="106" w:lineRule="exact"/>
              <w:rPr>
                <w:rFonts w:ascii="Arial" w:cs="Arial" w:eastAsia="Arial" w:hAnsi="Arial"/>
                <w:sz w:val="10"/>
                <w:szCs w:val="10"/>
                <w:color w:val="0000FF"/>
                <w:w w:val="87"/>
              </w:rPr>
            </w:pPr>
            <w:hyperlink r:id="rId151">
              <w:r>
                <w:rPr>
                  <w:rFonts w:ascii="Arial" w:cs="Arial" w:eastAsia="Arial" w:hAnsi="Arial"/>
                  <w:sz w:val="10"/>
                  <w:szCs w:val="10"/>
                  <w:color w:val="0000FF"/>
                  <w:w w:val="87"/>
                </w:rPr>
                <w:t>Indenture, dated as of March 9, 2021 by and between Twilio Inc. and U.S. Bank National Association, as Trustee</w:t>
              </w:r>
            </w:hyperlink>
          </w:p>
        </w:tc>
        <w:tc>
          <w:tcPr>
            <w:tcW w:w="340" w:type="dxa"/>
            <w:vAlign w:val="bottom"/>
            <w:gridSpan w:val="5"/>
          </w:tcPr>
          <w:p>
            <w:pPr>
              <w:spacing w:after="0"/>
              <w:rPr>
                <w:sz w:val="9"/>
                <w:szCs w:val="9"/>
                <w:color w:val="auto"/>
              </w:rPr>
            </w:pPr>
          </w:p>
        </w:tc>
        <w:tc>
          <w:tcPr>
            <w:tcW w:w="1060" w:type="dxa"/>
            <w:vAlign w:val="bottom"/>
          </w:tcPr>
          <w:p>
            <w:pPr>
              <w:jc w:val="center"/>
              <w:spacing w:after="0" w:line="106" w:lineRule="exact"/>
              <w:rPr>
                <w:sz w:val="20"/>
                <w:szCs w:val="20"/>
                <w:color w:val="auto"/>
              </w:rPr>
            </w:pPr>
            <w:r>
              <w:rPr>
                <w:rFonts w:ascii="Arial" w:cs="Arial" w:eastAsia="Arial" w:hAnsi="Arial"/>
                <w:sz w:val="10"/>
                <w:szCs w:val="10"/>
                <w:color w:val="auto"/>
                <w:w w:val="89"/>
              </w:rPr>
              <w:t>8-K</w:t>
            </w:r>
          </w:p>
        </w:tc>
        <w:tc>
          <w:tcPr>
            <w:tcW w:w="980" w:type="dxa"/>
            <w:vAlign w:val="bottom"/>
          </w:tcPr>
          <w:p>
            <w:pPr>
              <w:jc w:val="center"/>
              <w:ind w:left="293"/>
              <w:spacing w:after="0" w:line="106" w:lineRule="exact"/>
              <w:rPr>
                <w:sz w:val="20"/>
                <w:szCs w:val="20"/>
                <w:color w:val="auto"/>
              </w:rPr>
            </w:pPr>
            <w:r>
              <w:rPr>
                <w:rFonts w:ascii="Arial" w:cs="Arial" w:eastAsia="Arial" w:hAnsi="Arial"/>
                <w:sz w:val="10"/>
                <w:szCs w:val="10"/>
                <w:color w:val="auto"/>
                <w:w w:val="83"/>
              </w:rPr>
              <w:t>001-37806</w:t>
            </w:r>
          </w:p>
        </w:tc>
        <w:tc>
          <w:tcPr>
            <w:tcW w:w="1740" w:type="dxa"/>
            <w:vAlign w:val="bottom"/>
          </w:tcPr>
          <w:p>
            <w:pPr>
              <w:jc w:val="right"/>
              <w:ind w:right="333"/>
              <w:spacing w:after="0" w:line="106" w:lineRule="exact"/>
              <w:rPr>
                <w:sz w:val="20"/>
                <w:szCs w:val="20"/>
                <w:color w:val="auto"/>
              </w:rPr>
            </w:pPr>
            <w:r>
              <w:rPr>
                <w:rFonts w:ascii="Arial" w:cs="Arial" w:eastAsia="Arial" w:hAnsi="Arial"/>
                <w:sz w:val="10"/>
                <w:szCs w:val="10"/>
                <w:color w:val="auto"/>
              </w:rPr>
              <w:t>4.1</w:t>
            </w:r>
          </w:p>
        </w:tc>
        <w:tc>
          <w:tcPr>
            <w:tcW w:w="1620" w:type="dxa"/>
            <w:vAlign w:val="bottom"/>
          </w:tcPr>
          <w:p>
            <w:pPr>
              <w:jc w:val="center"/>
              <w:ind w:right="193"/>
              <w:spacing w:after="0" w:line="106" w:lineRule="exact"/>
              <w:rPr>
                <w:sz w:val="20"/>
                <w:szCs w:val="20"/>
                <w:color w:val="auto"/>
              </w:rPr>
            </w:pPr>
            <w:r>
              <w:rPr>
                <w:rFonts w:ascii="Arial" w:cs="Arial" w:eastAsia="Arial" w:hAnsi="Arial"/>
                <w:sz w:val="10"/>
                <w:szCs w:val="10"/>
                <w:color w:val="auto"/>
                <w:w w:val="90"/>
              </w:rPr>
              <w:t>March 9, 2021</w:t>
            </w:r>
          </w:p>
        </w:tc>
      </w:tr>
    </w:tbl>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120" w:name="page121"/>
    <w:bookmarkEnd w:id="12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60" w:type="dxa"/>
            <w:vAlign w:val="bottom"/>
          </w:tcPr>
          <w:p>
            <w:pPr>
              <w:jc w:val="right"/>
              <w:ind w:right="92"/>
              <w:spacing w:after="0"/>
              <w:rPr>
                <w:sz w:val="20"/>
                <w:szCs w:val="20"/>
                <w:color w:val="auto"/>
              </w:rPr>
            </w:pPr>
            <w:r>
              <w:rPr>
                <w:rFonts w:ascii="Arial" w:cs="Arial" w:eastAsia="Arial" w:hAnsi="Arial"/>
                <w:sz w:val="10"/>
                <w:szCs w:val="10"/>
                <w:color w:val="auto"/>
              </w:rPr>
              <w:t>4.6</w:t>
            </w:r>
          </w:p>
        </w:tc>
        <w:tc>
          <w:tcPr>
            <w:tcW w:w="4520" w:type="dxa"/>
            <w:vAlign w:val="bottom"/>
            <w:tcBorders>
              <w:bottom w:val="single" w:sz="8" w:color="0000FF"/>
            </w:tcBorders>
            <w:gridSpan w:val="34"/>
          </w:tcPr>
          <w:p>
            <w:pPr>
              <w:spacing w:after="0"/>
              <w:rPr>
                <w:rFonts w:ascii="Arial" w:cs="Arial" w:eastAsia="Arial" w:hAnsi="Arial"/>
                <w:sz w:val="10"/>
                <w:szCs w:val="10"/>
                <w:color w:val="0000FF"/>
                <w:w w:val="86"/>
              </w:rPr>
            </w:pPr>
            <w:hyperlink r:id="rId153">
              <w:r>
                <w:rPr>
                  <w:rFonts w:ascii="Arial" w:cs="Arial" w:eastAsia="Arial" w:hAnsi="Arial"/>
                  <w:sz w:val="10"/>
                  <w:szCs w:val="10"/>
                  <w:color w:val="0000FF"/>
                  <w:w w:val="86"/>
                </w:rPr>
                <w:t>First Supplemental Indenture, dated as of March 9, 2021, between Twilio Inc. and U.S. Bank National Association, as</w:t>
              </w:r>
            </w:hyperlink>
          </w:p>
        </w:tc>
        <w:tc>
          <w:tcPr>
            <w:tcW w:w="1240" w:type="dxa"/>
            <w:vAlign w:val="bottom"/>
          </w:tcPr>
          <w:p>
            <w:pPr>
              <w:jc w:val="center"/>
              <w:ind w:left="92"/>
              <w:spacing w:after="0"/>
              <w:rPr>
                <w:sz w:val="20"/>
                <w:szCs w:val="20"/>
                <w:color w:val="auto"/>
              </w:rPr>
            </w:pPr>
            <w:r>
              <w:rPr>
                <w:rFonts w:ascii="Arial" w:cs="Arial" w:eastAsia="Arial" w:hAnsi="Arial"/>
                <w:sz w:val="10"/>
                <w:szCs w:val="10"/>
                <w:color w:val="auto"/>
                <w:w w:val="89"/>
              </w:rPr>
              <w:t>8-K</w:t>
            </w:r>
          </w:p>
        </w:tc>
        <w:tc>
          <w:tcPr>
            <w:tcW w:w="1540" w:type="dxa"/>
            <w:vAlign w:val="bottom"/>
          </w:tcPr>
          <w:p>
            <w:pPr>
              <w:jc w:val="center"/>
              <w:ind w:right="172"/>
              <w:spacing w:after="0"/>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rPr>
                <w:sz w:val="20"/>
                <w:szCs w:val="20"/>
                <w:color w:val="auto"/>
              </w:rPr>
            </w:pPr>
            <w:r>
              <w:rPr>
                <w:rFonts w:ascii="Arial" w:cs="Arial" w:eastAsia="Arial" w:hAnsi="Arial"/>
                <w:sz w:val="10"/>
                <w:szCs w:val="10"/>
                <w:color w:val="auto"/>
              </w:rPr>
              <w:t>4.2</w:t>
            </w:r>
          </w:p>
        </w:tc>
        <w:tc>
          <w:tcPr>
            <w:tcW w:w="1080" w:type="dxa"/>
            <w:vAlign w:val="bottom"/>
          </w:tcPr>
          <w:p>
            <w:pPr>
              <w:jc w:val="center"/>
              <w:ind w:left="292"/>
              <w:spacing w:after="0"/>
              <w:rPr>
                <w:sz w:val="20"/>
                <w:szCs w:val="20"/>
                <w:color w:val="auto"/>
              </w:rPr>
            </w:pPr>
            <w:r>
              <w:rPr>
                <w:rFonts w:ascii="Arial" w:cs="Arial" w:eastAsia="Arial" w:hAnsi="Arial"/>
                <w:sz w:val="10"/>
                <w:szCs w:val="10"/>
                <w:color w:val="auto"/>
                <w:w w:val="90"/>
              </w:rPr>
              <w:t>March 9, 2021</w:t>
            </w:r>
          </w:p>
        </w:tc>
      </w:tr>
      <w:tr>
        <w:trPr>
          <w:trHeight w:val="50"/>
        </w:trPr>
        <w:tc>
          <w:tcPr>
            <w:tcW w:w="460" w:type="dxa"/>
            <w:vAlign w:val="bottom"/>
          </w:tcPr>
          <w:p>
            <w:pPr>
              <w:spacing w:after="0"/>
              <w:rPr>
                <w:sz w:val="4"/>
                <w:szCs w:val="4"/>
                <w:color w:val="auto"/>
              </w:rPr>
            </w:pPr>
          </w:p>
        </w:tc>
        <w:tc>
          <w:tcPr>
            <w:tcW w:w="300" w:type="dxa"/>
            <w:vAlign w:val="bottom"/>
            <w:tcBorders>
              <w:bottom w:val="single" w:sz="8" w:color="0000FF"/>
            </w:tcBorders>
          </w:tcPr>
          <w:p>
            <w:pPr>
              <w:spacing w:after="0" w:line="50" w:lineRule="exact"/>
              <w:rPr>
                <w:rFonts w:ascii="Arial" w:cs="Arial" w:eastAsia="Arial" w:hAnsi="Arial"/>
                <w:sz w:val="5"/>
                <w:szCs w:val="5"/>
                <w:color w:val="0000FF"/>
              </w:rPr>
            </w:pPr>
            <w:hyperlink r:id="rId153">
              <w:r>
                <w:rPr>
                  <w:rFonts w:ascii="Arial" w:cs="Arial" w:eastAsia="Arial" w:hAnsi="Arial"/>
                  <w:sz w:val="5"/>
                  <w:szCs w:val="5"/>
                  <w:color w:val="0000FF"/>
                </w:rPr>
                <w:t>Trustee</w:t>
              </w:r>
            </w:hyperlink>
          </w:p>
        </w:tc>
        <w:tc>
          <w:tcPr>
            <w:tcW w:w="2680" w:type="dxa"/>
            <w:vAlign w:val="bottom"/>
            <w:gridSpan w:val="16"/>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106"/>
        </w:trPr>
        <w:tc>
          <w:tcPr>
            <w:tcW w:w="460" w:type="dxa"/>
            <w:vAlign w:val="bottom"/>
          </w:tcPr>
          <w:p>
            <w:pPr>
              <w:jc w:val="right"/>
              <w:ind w:right="92"/>
              <w:spacing w:after="0" w:line="106" w:lineRule="exact"/>
              <w:rPr>
                <w:sz w:val="20"/>
                <w:szCs w:val="20"/>
                <w:color w:val="auto"/>
              </w:rPr>
            </w:pPr>
            <w:r>
              <w:rPr>
                <w:rFonts w:ascii="Arial" w:cs="Arial" w:eastAsia="Arial" w:hAnsi="Arial"/>
                <w:sz w:val="10"/>
                <w:szCs w:val="10"/>
                <w:color w:val="auto"/>
              </w:rPr>
              <w:t>4.7</w:t>
            </w:r>
          </w:p>
        </w:tc>
        <w:tc>
          <w:tcPr>
            <w:tcW w:w="1540" w:type="dxa"/>
            <w:vAlign w:val="bottom"/>
            <w:tcBorders>
              <w:bottom w:val="single" w:sz="8" w:color="0000FF"/>
            </w:tcBorders>
            <w:gridSpan w:val="7"/>
          </w:tcPr>
          <w:p>
            <w:pPr>
              <w:spacing w:after="0" w:line="106" w:lineRule="exact"/>
              <w:rPr>
                <w:rFonts w:ascii="Arial" w:cs="Arial" w:eastAsia="Arial" w:hAnsi="Arial"/>
                <w:sz w:val="10"/>
                <w:szCs w:val="10"/>
                <w:color w:val="0000FF"/>
                <w:w w:val="86"/>
              </w:rPr>
            </w:pPr>
            <w:hyperlink r:id="rId153">
              <w:r>
                <w:rPr>
                  <w:rFonts w:ascii="Arial" w:cs="Arial" w:eastAsia="Arial" w:hAnsi="Arial"/>
                  <w:sz w:val="10"/>
                  <w:szCs w:val="10"/>
                  <w:color w:val="0000FF"/>
                  <w:w w:val="86"/>
                </w:rPr>
                <w:t>Form of 3.625% Senior Notes due 2029</w:t>
              </w:r>
            </w:hyperlink>
          </w:p>
        </w:tc>
        <w:tc>
          <w:tcPr>
            <w:tcW w:w="2980" w:type="dxa"/>
            <w:vAlign w:val="bottom"/>
            <w:gridSpan w:val="27"/>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9"/>
              </w:rPr>
              <w:t>8-K</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4.3</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90"/>
              </w:rPr>
              <w:t>March 9, 2021</w:t>
            </w:r>
          </w:p>
        </w:tc>
      </w:tr>
      <w:tr>
        <w:trPr>
          <w:trHeight w:val="106"/>
        </w:trPr>
        <w:tc>
          <w:tcPr>
            <w:tcW w:w="460" w:type="dxa"/>
            <w:vAlign w:val="bottom"/>
          </w:tcPr>
          <w:p>
            <w:pPr>
              <w:jc w:val="right"/>
              <w:ind w:right="92"/>
              <w:spacing w:after="0" w:line="106" w:lineRule="exact"/>
              <w:rPr>
                <w:sz w:val="20"/>
                <w:szCs w:val="20"/>
                <w:color w:val="auto"/>
              </w:rPr>
            </w:pPr>
            <w:r>
              <w:rPr>
                <w:rFonts w:ascii="Arial" w:cs="Arial" w:eastAsia="Arial" w:hAnsi="Arial"/>
                <w:sz w:val="10"/>
                <w:szCs w:val="10"/>
                <w:color w:val="auto"/>
              </w:rPr>
              <w:t>4.8</w:t>
            </w:r>
          </w:p>
        </w:tc>
        <w:tc>
          <w:tcPr>
            <w:tcW w:w="1540" w:type="dxa"/>
            <w:vAlign w:val="bottom"/>
            <w:tcBorders>
              <w:bottom w:val="single" w:sz="8" w:color="0000FF"/>
            </w:tcBorders>
            <w:gridSpan w:val="7"/>
          </w:tcPr>
          <w:p>
            <w:pPr>
              <w:spacing w:after="0" w:line="106" w:lineRule="exact"/>
              <w:rPr>
                <w:rFonts w:ascii="Arial" w:cs="Arial" w:eastAsia="Arial" w:hAnsi="Arial"/>
                <w:sz w:val="10"/>
                <w:szCs w:val="10"/>
                <w:color w:val="0000FF"/>
                <w:w w:val="86"/>
              </w:rPr>
            </w:pPr>
            <w:hyperlink r:id="rId153">
              <w:r>
                <w:rPr>
                  <w:rFonts w:ascii="Arial" w:cs="Arial" w:eastAsia="Arial" w:hAnsi="Arial"/>
                  <w:sz w:val="10"/>
                  <w:szCs w:val="10"/>
                  <w:color w:val="0000FF"/>
                  <w:w w:val="86"/>
                </w:rPr>
                <w:t>Form of 3.875% Senior Notes due 2031</w:t>
              </w:r>
            </w:hyperlink>
          </w:p>
        </w:tc>
        <w:tc>
          <w:tcPr>
            <w:tcW w:w="2980" w:type="dxa"/>
            <w:vAlign w:val="bottom"/>
            <w:gridSpan w:val="27"/>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9"/>
              </w:rPr>
              <w:t>8-K</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4.4</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90"/>
              </w:rPr>
              <w:t>March 9, 2021</w:t>
            </w:r>
          </w:p>
        </w:tc>
      </w:tr>
      <w:tr>
        <w:trPr>
          <w:trHeight w:val="106"/>
        </w:trPr>
        <w:tc>
          <w:tcPr>
            <w:tcW w:w="460" w:type="dxa"/>
            <w:vAlign w:val="bottom"/>
          </w:tcPr>
          <w:p>
            <w:pPr>
              <w:jc w:val="right"/>
              <w:ind w:right="92"/>
              <w:spacing w:after="0" w:line="106" w:lineRule="exact"/>
              <w:rPr>
                <w:sz w:val="20"/>
                <w:szCs w:val="20"/>
                <w:color w:val="auto"/>
              </w:rPr>
            </w:pPr>
            <w:r>
              <w:rPr>
                <w:rFonts w:ascii="Arial" w:cs="Arial" w:eastAsia="Arial" w:hAnsi="Arial"/>
                <w:sz w:val="10"/>
                <w:szCs w:val="10"/>
                <w:color w:val="auto"/>
              </w:rPr>
              <w:t>4.9</w:t>
            </w:r>
          </w:p>
        </w:tc>
        <w:tc>
          <w:tcPr>
            <w:tcW w:w="4440" w:type="dxa"/>
            <w:vAlign w:val="bottom"/>
            <w:tcBorders>
              <w:bottom w:val="single" w:sz="8" w:color="0000FF"/>
            </w:tcBorders>
            <w:gridSpan w:val="32"/>
          </w:tcPr>
          <w:p>
            <w:pPr>
              <w:spacing w:after="0" w:line="106" w:lineRule="exact"/>
              <w:rPr>
                <w:rFonts w:ascii="Arial" w:cs="Arial" w:eastAsia="Arial" w:hAnsi="Arial"/>
                <w:sz w:val="10"/>
                <w:szCs w:val="10"/>
                <w:color w:val="0000FF"/>
                <w:w w:val="86"/>
              </w:rPr>
            </w:pPr>
            <w:hyperlink r:id="rId154">
              <w:r>
                <w:rPr>
                  <w:rFonts w:ascii="Arial" w:cs="Arial" w:eastAsia="Arial" w:hAnsi="Arial"/>
                  <w:sz w:val="10"/>
                  <w:szCs w:val="10"/>
                  <w:color w:val="0000FF"/>
                  <w:w w:val="86"/>
                </w:rPr>
                <w:t>Description of the Registrant's Securities Registered Pursuant to Section 12 of the Securities Exchange Act of 1934</w:t>
              </w:r>
            </w:hyperlink>
          </w:p>
        </w:tc>
        <w:tc>
          <w:tcPr>
            <w:tcW w:w="80" w:type="dxa"/>
            <w:vAlign w:val="bottom"/>
            <w:gridSpan w:val="2"/>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4"/>
              </w:rPr>
              <w:t>10-K</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4.5</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February 26, 2021</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10.1*</w:t>
            </w:r>
          </w:p>
        </w:tc>
        <w:tc>
          <w:tcPr>
            <w:tcW w:w="4520" w:type="dxa"/>
            <w:vAlign w:val="bottom"/>
            <w:gridSpan w:val="34"/>
          </w:tcPr>
          <w:p>
            <w:pPr>
              <w:spacing w:after="0" w:line="106" w:lineRule="exact"/>
              <w:rPr>
                <w:rFonts w:ascii="Arial" w:cs="Arial" w:eastAsia="Arial" w:hAnsi="Arial"/>
                <w:sz w:val="10"/>
                <w:szCs w:val="10"/>
                <w:color w:val="0000FF"/>
              </w:rPr>
            </w:pPr>
            <w:hyperlink r:id="rId155">
              <w:r>
                <w:rPr>
                  <w:rFonts w:ascii="Arial" w:cs="Arial" w:eastAsia="Arial" w:hAnsi="Arial"/>
                  <w:sz w:val="10"/>
                  <w:szCs w:val="10"/>
                  <w:color w:val="0000FF"/>
                </w:rPr>
                <w:t>Form of Indemnification Agreement</w:t>
              </w:r>
            </w:hyperlink>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4"/>
              </w:rPr>
              <w:t>10-K</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10.1</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February 26, 2021</w:t>
            </w:r>
          </w:p>
        </w:tc>
      </w:tr>
      <w:tr>
        <w:trPr>
          <w:trHeight w:val="20"/>
        </w:trPr>
        <w:tc>
          <w:tcPr>
            <w:tcW w:w="4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10.2*</w:t>
            </w:r>
          </w:p>
        </w:tc>
        <w:tc>
          <w:tcPr>
            <w:tcW w:w="4520" w:type="dxa"/>
            <w:vAlign w:val="bottom"/>
            <w:gridSpan w:val="34"/>
          </w:tcPr>
          <w:p>
            <w:pPr>
              <w:spacing w:after="0" w:line="106" w:lineRule="exact"/>
              <w:rPr>
                <w:rFonts w:ascii="Arial" w:cs="Arial" w:eastAsia="Arial" w:hAnsi="Arial"/>
                <w:sz w:val="10"/>
                <w:szCs w:val="10"/>
                <w:color w:val="0000FF"/>
                <w:w w:val="87"/>
              </w:rPr>
            </w:pPr>
            <w:hyperlink r:id="rId156">
              <w:r>
                <w:rPr>
                  <w:rFonts w:ascii="Arial" w:cs="Arial" w:eastAsia="Arial" w:hAnsi="Arial"/>
                  <w:sz w:val="10"/>
                  <w:szCs w:val="10"/>
                  <w:color w:val="0000FF"/>
                  <w:w w:val="87"/>
                </w:rPr>
                <w:t>Twilio Inc. Amended and Restated 2008 Stock Option Plan and forms of Stock Option Agreement and form of Stock</w:t>
              </w:r>
            </w:hyperlink>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4"/>
              </w:rPr>
              <w:t>10-K</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10.2</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February 26, 2021</w:t>
            </w:r>
          </w:p>
        </w:tc>
      </w:tr>
      <w:tr>
        <w:trPr>
          <w:trHeight w:val="70"/>
        </w:trPr>
        <w:tc>
          <w:tcPr>
            <w:tcW w:w="460" w:type="dxa"/>
            <w:vAlign w:val="bottom"/>
          </w:tcPr>
          <w:p>
            <w:pPr>
              <w:spacing w:after="0"/>
              <w:rPr>
                <w:sz w:val="6"/>
                <w:szCs w:val="6"/>
                <w:color w:val="auto"/>
              </w:rPr>
            </w:pPr>
          </w:p>
        </w:tc>
        <w:tc>
          <w:tcPr>
            <w:tcW w:w="800" w:type="dxa"/>
            <w:vAlign w:val="bottom"/>
            <w:tcBorders>
              <w:top w:val="single" w:sz="8" w:color="0000FF"/>
              <w:bottom w:val="single" w:sz="8" w:color="0000FF"/>
            </w:tcBorders>
            <w:gridSpan w:val="3"/>
          </w:tcPr>
          <w:p>
            <w:pPr>
              <w:spacing w:after="0" w:line="70" w:lineRule="exact"/>
              <w:rPr>
                <w:rFonts w:ascii="Arial" w:cs="Arial" w:eastAsia="Arial" w:hAnsi="Arial"/>
                <w:sz w:val="8"/>
                <w:szCs w:val="8"/>
                <w:color w:val="0000FF"/>
              </w:rPr>
            </w:pPr>
            <w:hyperlink r:id="rId156">
              <w:r>
                <w:rPr>
                  <w:rFonts w:ascii="Arial" w:cs="Arial" w:eastAsia="Arial" w:hAnsi="Arial"/>
                  <w:sz w:val="8"/>
                  <w:szCs w:val="8"/>
                  <w:color w:val="0000FF"/>
                </w:rPr>
                <w:t>Option Grant Notice</w:t>
              </w:r>
            </w:hyperlink>
          </w:p>
        </w:tc>
        <w:tc>
          <w:tcPr>
            <w:tcW w:w="3700" w:type="dxa"/>
            <w:vAlign w:val="bottom"/>
            <w:tcBorders>
              <w:top w:val="single" w:sz="8" w:color="0000FF"/>
            </w:tcBorders>
            <w:gridSpan w:val="30"/>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10.3*</w:t>
            </w:r>
          </w:p>
        </w:tc>
        <w:tc>
          <w:tcPr>
            <w:tcW w:w="4300" w:type="dxa"/>
            <w:vAlign w:val="bottom"/>
            <w:tcBorders>
              <w:bottom w:val="single" w:sz="8" w:color="0000FF"/>
            </w:tcBorders>
            <w:gridSpan w:val="27"/>
          </w:tcPr>
          <w:p>
            <w:pPr>
              <w:spacing w:after="0" w:line="106" w:lineRule="exact"/>
              <w:rPr>
                <w:rFonts w:ascii="Arial" w:cs="Arial" w:eastAsia="Arial" w:hAnsi="Arial"/>
                <w:sz w:val="10"/>
                <w:szCs w:val="10"/>
                <w:color w:val="0000FF"/>
                <w:w w:val="87"/>
              </w:rPr>
            </w:pPr>
            <w:hyperlink r:id="rId157">
              <w:r>
                <w:rPr>
                  <w:rFonts w:ascii="Arial" w:cs="Arial" w:eastAsia="Arial" w:hAnsi="Arial"/>
                  <w:sz w:val="10"/>
                  <w:szCs w:val="10"/>
                  <w:color w:val="0000FF"/>
                  <w:w w:val="87"/>
                </w:rPr>
                <w:t>Twilio Inc. Amended and Restated 2016 Stock Option and Incentive Plan, and forms of Agreements thereunder</w:t>
              </w:r>
            </w:hyperlink>
          </w:p>
        </w:tc>
        <w:tc>
          <w:tcPr>
            <w:tcW w:w="220" w:type="dxa"/>
            <w:vAlign w:val="bottom"/>
            <w:gridSpan w:val="7"/>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4"/>
              </w:rPr>
              <w:t>10-K</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10.3</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February 26, 2021</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10.4*</w:t>
            </w:r>
          </w:p>
        </w:tc>
        <w:tc>
          <w:tcPr>
            <w:tcW w:w="4520" w:type="dxa"/>
            <w:vAlign w:val="bottom"/>
            <w:gridSpan w:val="34"/>
          </w:tcPr>
          <w:p>
            <w:pPr>
              <w:spacing w:after="0" w:line="106" w:lineRule="exact"/>
              <w:rPr>
                <w:rFonts w:ascii="Arial" w:cs="Arial" w:eastAsia="Arial" w:hAnsi="Arial"/>
                <w:sz w:val="10"/>
                <w:szCs w:val="10"/>
                <w:color w:val="0000FF"/>
              </w:rPr>
            </w:pPr>
            <w:hyperlink r:id="rId158">
              <w:r>
                <w:rPr>
                  <w:rFonts w:ascii="Arial" w:cs="Arial" w:eastAsia="Arial" w:hAnsi="Arial"/>
                  <w:sz w:val="10"/>
                  <w:szCs w:val="10"/>
                  <w:color w:val="0000FF"/>
                </w:rPr>
                <w:t>Twilio Inc. 2019 France Sub-Plan to the 2016 Stock Option and Incentive Plan</w:t>
              </w:r>
            </w:hyperlink>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0"/>
              </w:rPr>
              <w:t>10-Q</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10.2</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October 31, 2019</w:t>
            </w:r>
          </w:p>
        </w:tc>
      </w:tr>
      <w:tr>
        <w:trPr>
          <w:trHeight w:val="20"/>
        </w:trPr>
        <w:tc>
          <w:tcPr>
            <w:tcW w:w="4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10.5*</w:t>
            </w:r>
          </w:p>
        </w:tc>
        <w:tc>
          <w:tcPr>
            <w:tcW w:w="4520" w:type="dxa"/>
            <w:vAlign w:val="bottom"/>
            <w:gridSpan w:val="34"/>
          </w:tcPr>
          <w:p>
            <w:pPr>
              <w:spacing w:after="0" w:line="106" w:lineRule="exact"/>
              <w:rPr>
                <w:rFonts w:ascii="Arial" w:cs="Arial" w:eastAsia="Arial" w:hAnsi="Arial"/>
                <w:sz w:val="10"/>
                <w:szCs w:val="10"/>
                <w:color w:val="0000FF"/>
                <w:w w:val="92"/>
              </w:rPr>
            </w:pPr>
            <w:hyperlink r:id="rId159">
              <w:r>
                <w:rPr>
                  <w:rFonts w:ascii="Arial" w:cs="Arial" w:eastAsia="Arial" w:hAnsi="Arial"/>
                  <w:sz w:val="10"/>
                  <w:szCs w:val="10"/>
                  <w:color w:val="0000FF"/>
                  <w:w w:val="92"/>
                </w:rPr>
                <w:t>Segment.io, Inc. Fifth Amended and Restated 2013 Stock Option and Grant Plan and related form agreements</w:t>
              </w:r>
            </w:hyperlink>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4"/>
              </w:rPr>
              <w:t>10-K</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10.5</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February 26, 2021</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10.6*</w:t>
            </w:r>
          </w:p>
        </w:tc>
        <w:tc>
          <w:tcPr>
            <w:tcW w:w="2560" w:type="dxa"/>
            <w:vAlign w:val="bottom"/>
            <w:tcBorders>
              <w:top w:val="single" w:sz="8" w:color="0000FF"/>
              <w:bottom w:val="single" w:sz="8" w:color="0000FF"/>
            </w:tcBorders>
            <w:gridSpan w:val="14"/>
          </w:tcPr>
          <w:p>
            <w:pPr>
              <w:spacing w:after="0" w:line="106" w:lineRule="exact"/>
              <w:rPr>
                <w:rFonts w:ascii="Arial" w:cs="Arial" w:eastAsia="Arial" w:hAnsi="Arial"/>
                <w:sz w:val="10"/>
                <w:szCs w:val="10"/>
                <w:color w:val="0000FF"/>
                <w:w w:val="86"/>
              </w:rPr>
            </w:pPr>
            <w:hyperlink r:id="rId160">
              <w:r>
                <w:rPr>
                  <w:rFonts w:ascii="Arial" w:cs="Arial" w:eastAsia="Arial" w:hAnsi="Arial"/>
                  <w:sz w:val="10"/>
                  <w:szCs w:val="10"/>
                  <w:color w:val="0000FF"/>
                  <w:w w:val="86"/>
                </w:rPr>
                <w:t>SendGrid, Inc. Amended and Restated 2012 Equity Incentive Plan</w:t>
              </w:r>
            </w:hyperlink>
          </w:p>
        </w:tc>
        <w:tc>
          <w:tcPr>
            <w:tcW w:w="1660" w:type="dxa"/>
            <w:vAlign w:val="bottom"/>
            <w:tcBorders>
              <w:top w:val="single" w:sz="8" w:color="0000FF"/>
            </w:tcBorders>
            <w:gridSpan w:val="10"/>
          </w:tcPr>
          <w:p>
            <w:pPr>
              <w:spacing w:after="0"/>
              <w:rPr>
                <w:sz w:val="9"/>
                <w:szCs w:val="9"/>
                <w:color w:val="auto"/>
              </w:rPr>
            </w:pPr>
          </w:p>
        </w:tc>
        <w:tc>
          <w:tcPr>
            <w:tcW w:w="300" w:type="dxa"/>
            <w:vAlign w:val="bottom"/>
            <w:gridSpan w:val="10"/>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4"/>
              </w:rPr>
              <w:t>10-K</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10.6</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February 26, 2021</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10.7*</w:t>
            </w:r>
          </w:p>
        </w:tc>
        <w:tc>
          <w:tcPr>
            <w:tcW w:w="2560" w:type="dxa"/>
            <w:vAlign w:val="bottom"/>
            <w:tcBorders>
              <w:bottom w:val="single" w:sz="8" w:color="0000FF"/>
            </w:tcBorders>
            <w:gridSpan w:val="14"/>
          </w:tcPr>
          <w:p>
            <w:pPr>
              <w:spacing w:after="0" w:line="106" w:lineRule="exact"/>
              <w:rPr>
                <w:rFonts w:ascii="Arial" w:cs="Arial" w:eastAsia="Arial" w:hAnsi="Arial"/>
                <w:sz w:val="10"/>
                <w:szCs w:val="10"/>
                <w:color w:val="0000FF"/>
                <w:w w:val="86"/>
              </w:rPr>
            </w:pPr>
            <w:hyperlink r:id="rId161">
              <w:r>
                <w:rPr>
                  <w:rFonts w:ascii="Arial" w:cs="Arial" w:eastAsia="Arial" w:hAnsi="Arial"/>
                  <w:sz w:val="10"/>
                  <w:szCs w:val="10"/>
                  <w:color w:val="0000FF"/>
                  <w:w w:val="86"/>
                </w:rPr>
                <w:t>SendGrid, Inc. Amended and Restated 2017 Equity Incentive Plan</w:t>
              </w:r>
            </w:hyperlink>
          </w:p>
        </w:tc>
        <w:tc>
          <w:tcPr>
            <w:tcW w:w="1960" w:type="dxa"/>
            <w:vAlign w:val="bottom"/>
            <w:gridSpan w:val="20"/>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4"/>
              </w:rPr>
              <w:t>10-K</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10.7</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February 26, 2021</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10.8*</w:t>
            </w:r>
          </w:p>
        </w:tc>
        <w:tc>
          <w:tcPr>
            <w:tcW w:w="2780" w:type="dxa"/>
            <w:vAlign w:val="bottom"/>
            <w:tcBorders>
              <w:bottom w:val="single" w:sz="8" w:color="0000FF"/>
            </w:tcBorders>
            <w:gridSpan w:val="15"/>
          </w:tcPr>
          <w:p>
            <w:pPr>
              <w:spacing w:after="0" w:line="106" w:lineRule="exact"/>
              <w:rPr>
                <w:rFonts w:ascii="Arial" w:cs="Arial" w:eastAsia="Arial" w:hAnsi="Arial"/>
                <w:sz w:val="10"/>
                <w:szCs w:val="10"/>
                <w:color w:val="0000FF"/>
                <w:w w:val="86"/>
              </w:rPr>
            </w:pPr>
            <w:hyperlink r:id="rId162">
              <w:r>
                <w:rPr>
                  <w:rFonts w:ascii="Arial" w:cs="Arial" w:eastAsia="Arial" w:hAnsi="Arial"/>
                  <w:sz w:val="10"/>
                  <w:szCs w:val="10"/>
                  <w:color w:val="0000FF"/>
                  <w:w w:val="86"/>
                </w:rPr>
                <w:t>Twilio Inc. Amended and Restated 2016 Employee Stock Purchase Plan</w:t>
              </w:r>
            </w:hyperlink>
          </w:p>
        </w:tc>
        <w:tc>
          <w:tcPr>
            <w:tcW w:w="1740" w:type="dxa"/>
            <w:vAlign w:val="bottom"/>
            <w:gridSpan w:val="19"/>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0"/>
              </w:rPr>
              <w:t>10-Q</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10.1</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October 31, 2019</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10.9*</w:t>
            </w:r>
          </w:p>
        </w:tc>
        <w:tc>
          <w:tcPr>
            <w:tcW w:w="1600" w:type="dxa"/>
            <w:vAlign w:val="bottom"/>
            <w:tcBorders>
              <w:bottom w:val="single" w:sz="8" w:color="0000FF"/>
            </w:tcBorders>
            <w:gridSpan w:val="8"/>
          </w:tcPr>
          <w:p>
            <w:pPr>
              <w:spacing w:after="0" w:line="106" w:lineRule="exact"/>
              <w:rPr>
                <w:rFonts w:ascii="Arial" w:cs="Arial" w:eastAsia="Arial" w:hAnsi="Arial"/>
                <w:sz w:val="10"/>
                <w:szCs w:val="10"/>
                <w:color w:val="0000FF"/>
                <w:w w:val="89"/>
              </w:rPr>
            </w:pPr>
            <w:hyperlink r:id="rId163">
              <w:r>
                <w:rPr>
                  <w:rFonts w:ascii="Arial" w:cs="Arial" w:eastAsia="Arial" w:hAnsi="Arial"/>
                  <w:sz w:val="10"/>
                  <w:szCs w:val="10"/>
                  <w:color w:val="0000FF"/>
                  <w:w w:val="89"/>
                </w:rPr>
                <w:t>Zipwhip, Inc. 2018 Equity Incentive Plan</w:t>
              </w:r>
            </w:hyperlink>
          </w:p>
        </w:tc>
        <w:tc>
          <w:tcPr>
            <w:tcW w:w="2920" w:type="dxa"/>
            <w:vAlign w:val="bottom"/>
            <w:gridSpan w:val="26"/>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9"/>
              </w:rPr>
              <w:t>S-8</w:t>
            </w:r>
          </w:p>
        </w:tc>
        <w:tc>
          <w:tcPr>
            <w:tcW w:w="1540" w:type="dxa"/>
            <w:vAlign w:val="bottom"/>
          </w:tcPr>
          <w:p>
            <w:pPr>
              <w:jc w:val="center"/>
              <w:ind w:right="152"/>
              <w:spacing w:after="0" w:line="106" w:lineRule="exact"/>
              <w:rPr>
                <w:sz w:val="20"/>
                <w:szCs w:val="20"/>
                <w:color w:val="auto"/>
              </w:rPr>
            </w:pPr>
            <w:r>
              <w:rPr>
                <w:rFonts w:ascii="Arial" w:cs="Arial" w:eastAsia="Arial" w:hAnsi="Arial"/>
                <w:sz w:val="10"/>
                <w:szCs w:val="10"/>
                <w:color w:val="auto"/>
                <w:w w:val="86"/>
              </w:rPr>
              <w:t>333-211634</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99.1</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6"/>
              </w:rPr>
              <w:t>August 2, 2021</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10.10*</w:t>
            </w:r>
          </w:p>
        </w:tc>
        <w:tc>
          <w:tcPr>
            <w:tcW w:w="2120" w:type="dxa"/>
            <w:vAlign w:val="bottom"/>
            <w:tcBorders>
              <w:bottom w:val="single" w:sz="8" w:color="0000FF"/>
            </w:tcBorders>
            <w:gridSpan w:val="11"/>
          </w:tcPr>
          <w:p>
            <w:pPr>
              <w:spacing w:after="0" w:line="106" w:lineRule="exact"/>
              <w:rPr>
                <w:rFonts w:ascii="Arial" w:cs="Arial" w:eastAsia="Arial" w:hAnsi="Arial"/>
                <w:sz w:val="10"/>
                <w:szCs w:val="10"/>
                <w:color w:val="0000FF"/>
                <w:w w:val="87"/>
              </w:rPr>
            </w:pPr>
            <w:hyperlink r:id="rId164">
              <w:r>
                <w:rPr>
                  <w:rFonts w:ascii="Arial" w:cs="Arial" w:eastAsia="Arial" w:hAnsi="Arial"/>
                  <w:sz w:val="10"/>
                  <w:szCs w:val="10"/>
                  <w:color w:val="0000FF"/>
                  <w:w w:val="87"/>
                </w:rPr>
                <w:t>Zipwhip, Inc. Amended and Restated 2008 Stock Plan</w:t>
              </w:r>
            </w:hyperlink>
          </w:p>
        </w:tc>
        <w:tc>
          <w:tcPr>
            <w:tcW w:w="2400" w:type="dxa"/>
            <w:vAlign w:val="bottom"/>
            <w:gridSpan w:val="23"/>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9"/>
              </w:rPr>
              <w:t>S-8</w:t>
            </w:r>
          </w:p>
        </w:tc>
        <w:tc>
          <w:tcPr>
            <w:tcW w:w="1540" w:type="dxa"/>
            <w:vAlign w:val="bottom"/>
          </w:tcPr>
          <w:p>
            <w:pPr>
              <w:jc w:val="center"/>
              <w:ind w:right="152"/>
              <w:spacing w:after="0" w:line="106" w:lineRule="exact"/>
              <w:rPr>
                <w:sz w:val="20"/>
                <w:szCs w:val="20"/>
                <w:color w:val="auto"/>
              </w:rPr>
            </w:pPr>
            <w:r>
              <w:rPr>
                <w:rFonts w:ascii="Arial" w:cs="Arial" w:eastAsia="Arial" w:hAnsi="Arial"/>
                <w:sz w:val="10"/>
                <w:szCs w:val="10"/>
                <w:color w:val="auto"/>
                <w:w w:val="86"/>
              </w:rPr>
              <w:t>333-211634</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99.2</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6"/>
              </w:rPr>
              <w:t>August 2, 2021</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10.11</w:t>
            </w:r>
          </w:p>
        </w:tc>
        <w:tc>
          <w:tcPr>
            <w:tcW w:w="4520" w:type="dxa"/>
            <w:vAlign w:val="bottom"/>
            <w:gridSpan w:val="34"/>
          </w:tcPr>
          <w:p>
            <w:pPr>
              <w:spacing w:after="0" w:line="106" w:lineRule="exact"/>
              <w:rPr>
                <w:rFonts w:ascii="Arial" w:cs="Arial" w:eastAsia="Arial" w:hAnsi="Arial"/>
                <w:sz w:val="10"/>
                <w:szCs w:val="10"/>
                <w:color w:val="0000FF"/>
                <w:w w:val="87"/>
              </w:rPr>
            </w:pPr>
            <w:hyperlink r:id="rId165">
              <w:r>
                <w:rPr>
                  <w:rFonts w:ascii="Arial" w:cs="Arial" w:eastAsia="Arial" w:hAnsi="Arial"/>
                  <w:sz w:val="10"/>
                  <w:szCs w:val="10"/>
                  <w:color w:val="0000FF"/>
                  <w:w w:val="87"/>
                </w:rPr>
                <w:t>Office Lease, dated January 8, 2016, as amended January 8, 2016, between Twilio Inc. and Bay Area Headquarters</w:t>
              </w:r>
            </w:hyperlink>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9"/>
              </w:rPr>
              <w:t>S-1</w:t>
            </w:r>
          </w:p>
        </w:tc>
        <w:tc>
          <w:tcPr>
            <w:tcW w:w="1540" w:type="dxa"/>
            <w:vAlign w:val="bottom"/>
          </w:tcPr>
          <w:p>
            <w:pPr>
              <w:jc w:val="center"/>
              <w:ind w:right="152"/>
              <w:spacing w:after="0" w:line="106" w:lineRule="exact"/>
              <w:rPr>
                <w:sz w:val="20"/>
                <w:szCs w:val="20"/>
                <w:color w:val="auto"/>
              </w:rPr>
            </w:pPr>
            <w:r>
              <w:rPr>
                <w:rFonts w:ascii="Arial" w:cs="Arial" w:eastAsia="Arial" w:hAnsi="Arial"/>
                <w:sz w:val="10"/>
                <w:szCs w:val="10"/>
                <w:color w:val="auto"/>
                <w:w w:val="86"/>
              </w:rPr>
              <w:t>333-211634</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10.6</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9"/>
              </w:rPr>
              <w:t>May 26, 2016</w:t>
            </w:r>
          </w:p>
        </w:tc>
      </w:tr>
      <w:tr>
        <w:trPr>
          <w:trHeight w:val="70"/>
        </w:trPr>
        <w:tc>
          <w:tcPr>
            <w:tcW w:w="460" w:type="dxa"/>
            <w:vAlign w:val="bottom"/>
          </w:tcPr>
          <w:p>
            <w:pPr>
              <w:spacing w:after="0"/>
              <w:rPr>
                <w:sz w:val="6"/>
                <w:szCs w:val="6"/>
                <w:color w:val="auto"/>
              </w:rPr>
            </w:pPr>
          </w:p>
        </w:tc>
        <w:tc>
          <w:tcPr>
            <w:tcW w:w="380" w:type="dxa"/>
            <w:vAlign w:val="bottom"/>
            <w:tcBorders>
              <w:top w:val="single" w:sz="8" w:color="0000FF"/>
              <w:bottom w:val="single" w:sz="8" w:color="0000FF"/>
            </w:tcBorders>
            <w:gridSpan w:val="2"/>
          </w:tcPr>
          <w:p>
            <w:pPr>
              <w:spacing w:after="0" w:line="70" w:lineRule="exact"/>
              <w:rPr>
                <w:rFonts w:ascii="Arial" w:cs="Arial" w:eastAsia="Arial" w:hAnsi="Arial"/>
                <w:sz w:val="8"/>
                <w:szCs w:val="8"/>
                <w:color w:val="0000FF"/>
              </w:rPr>
            </w:pPr>
            <w:hyperlink r:id="rId165">
              <w:r>
                <w:rPr>
                  <w:rFonts w:ascii="Arial" w:cs="Arial" w:eastAsia="Arial" w:hAnsi="Arial"/>
                  <w:sz w:val="8"/>
                  <w:szCs w:val="8"/>
                  <w:color w:val="0000FF"/>
                </w:rPr>
                <w:t>Authority</w:t>
              </w:r>
            </w:hyperlink>
          </w:p>
        </w:tc>
        <w:tc>
          <w:tcPr>
            <w:tcW w:w="4040" w:type="dxa"/>
            <w:vAlign w:val="bottom"/>
            <w:tcBorders>
              <w:top w:val="single" w:sz="8" w:color="0000FF"/>
            </w:tcBorders>
            <w:gridSpan w:val="29"/>
          </w:tcPr>
          <w:p>
            <w:pPr>
              <w:spacing w:after="0"/>
              <w:rPr>
                <w:sz w:val="6"/>
                <w:szCs w:val="6"/>
                <w:color w:val="auto"/>
              </w:rPr>
            </w:pPr>
          </w:p>
        </w:tc>
        <w:tc>
          <w:tcPr>
            <w:tcW w:w="100" w:type="dxa"/>
            <w:vAlign w:val="bottom"/>
            <w:gridSpan w:val="3"/>
          </w:tcPr>
          <w:p>
            <w:pPr>
              <w:spacing w:after="0"/>
              <w:rPr>
                <w:sz w:val="6"/>
                <w:szCs w:val="6"/>
                <w:color w:val="auto"/>
              </w:rPr>
            </w:pPr>
          </w:p>
        </w:tc>
        <w:tc>
          <w:tcPr>
            <w:tcW w:w="12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06"/>
        </w:trPr>
        <w:tc>
          <w:tcPr>
            <w:tcW w:w="460" w:type="dxa"/>
            <w:vAlign w:val="bottom"/>
          </w:tcPr>
          <w:p>
            <w:pPr>
              <w:jc w:val="right"/>
              <w:ind w:right="92"/>
              <w:spacing w:after="0" w:line="106" w:lineRule="exact"/>
              <w:rPr>
                <w:sz w:val="20"/>
                <w:szCs w:val="20"/>
                <w:color w:val="auto"/>
              </w:rPr>
            </w:pPr>
            <w:r>
              <w:rPr>
                <w:rFonts w:ascii="Arial" w:cs="Arial" w:eastAsia="Arial" w:hAnsi="Arial"/>
                <w:sz w:val="10"/>
                <w:szCs w:val="10"/>
                <w:color w:val="auto"/>
              </w:rPr>
              <w:t>10.12</w:t>
            </w:r>
          </w:p>
        </w:tc>
        <w:tc>
          <w:tcPr>
            <w:tcW w:w="3540" w:type="dxa"/>
            <w:vAlign w:val="bottom"/>
            <w:tcBorders>
              <w:bottom w:val="single" w:sz="8" w:color="0000FF"/>
            </w:tcBorders>
            <w:gridSpan w:val="21"/>
          </w:tcPr>
          <w:p>
            <w:pPr>
              <w:spacing w:after="0" w:line="106" w:lineRule="exact"/>
              <w:rPr>
                <w:rFonts w:ascii="Arial" w:cs="Arial" w:eastAsia="Arial" w:hAnsi="Arial"/>
                <w:sz w:val="10"/>
                <w:szCs w:val="10"/>
                <w:color w:val="0000FF"/>
                <w:w w:val="86"/>
              </w:rPr>
            </w:pPr>
            <w:hyperlink r:id="rId166">
              <w:r>
                <w:rPr>
                  <w:rFonts w:ascii="Arial" w:cs="Arial" w:eastAsia="Arial" w:hAnsi="Arial"/>
                  <w:sz w:val="10"/>
                  <w:szCs w:val="10"/>
                  <w:color w:val="0000FF"/>
                  <w:w w:val="86"/>
                </w:rPr>
                <w:t>Sublease, dated as of August 30, 2018, by and between Salesforce.com, Inc. and Twilio Inc.</w:t>
              </w:r>
            </w:hyperlink>
          </w:p>
        </w:tc>
        <w:tc>
          <w:tcPr>
            <w:tcW w:w="980" w:type="dxa"/>
            <w:vAlign w:val="bottom"/>
            <w:gridSpan w:val="13"/>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0"/>
              </w:rPr>
              <w:t>10-Q</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10.1</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November 8, 2018</w:t>
            </w:r>
          </w:p>
        </w:tc>
      </w:tr>
      <w:tr>
        <w:trPr>
          <w:trHeight w:val="106"/>
        </w:trPr>
        <w:tc>
          <w:tcPr>
            <w:tcW w:w="460" w:type="dxa"/>
            <w:vAlign w:val="bottom"/>
          </w:tcPr>
          <w:p>
            <w:pPr>
              <w:jc w:val="right"/>
              <w:ind w:right="92"/>
              <w:spacing w:after="0" w:line="106" w:lineRule="exact"/>
              <w:rPr>
                <w:sz w:val="20"/>
                <w:szCs w:val="20"/>
                <w:color w:val="auto"/>
              </w:rPr>
            </w:pPr>
            <w:r>
              <w:rPr>
                <w:rFonts w:ascii="Arial" w:cs="Arial" w:eastAsia="Arial" w:hAnsi="Arial"/>
                <w:sz w:val="10"/>
                <w:szCs w:val="10"/>
                <w:color w:val="auto"/>
              </w:rPr>
              <w:t>10.13</w:t>
            </w:r>
          </w:p>
        </w:tc>
        <w:tc>
          <w:tcPr>
            <w:tcW w:w="4520" w:type="dxa"/>
            <w:vAlign w:val="bottom"/>
            <w:gridSpan w:val="34"/>
          </w:tcPr>
          <w:p>
            <w:pPr>
              <w:spacing w:after="0" w:line="106" w:lineRule="exact"/>
              <w:rPr>
                <w:rFonts w:ascii="Arial" w:cs="Arial" w:eastAsia="Arial" w:hAnsi="Arial"/>
                <w:sz w:val="10"/>
                <w:szCs w:val="10"/>
                <w:color w:val="0000FF"/>
                <w:w w:val="91"/>
              </w:rPr>
            </w:pPr>
            <w:hyperlink r:id="rId167">
              <w:r>
                <w:rPr>
                  <w:rFonts w:ascii="Arial" w:cs="Arial" w:eastAsia="Arial" w:hAnsi="Arial"/>
                  <w:sz w:val="10"/>
                  <w:szCs w:val="10"/>
                  <w:color w:val="0000FF"/>
                  <w:w w:val="91"/>
                </w:rPr>
                <w:t>Consent to Sublease Agreement, dated as of September 25, 2018, by and among Hudson Rincon Center, LLC,</w:t>
              </w:r>
            </w:hyperlink>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0"/>
              </w:rPr>
              <w:t>10-Q</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10.2</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November 8, 2018</w:t>
            </w:r>
          </w:p>
        </w:tc>
      </w:tr>
      <w:tr>
        <w:trPr>
          <w:trHeight w:val="70"/>
        </w:trPr>
        <w:tc>
          <w:tcPr>
            <w:tcW w:w="460" w:type="dxa"/>
            <w:vAlign w:val="bottom"/>
          </w:tcPr>
          <w:p>
            <w:pPr>
              <w:spacing w:after="0"/>
              <w:rPr>
                <w:sz w:val="6"/>
                <w:szCs w:val="6"/>
                <w:color w:val="auto"/>
              </w:rPr>
            </w:pPr>
          </w:p>
        </w:tc>
        <w:tc>
          <w:tcPr>
            <w:tcW w:w="1400" w:type="dxa"/>
            <w:vAlign w:val="bottom"/>
            <w:tcBorders>
              <w:top w:val="single" w:sz="8" w:color="0000FF"/>
              <w:bottom w:val="single" w:sz="8" w:color="0000FF"/>
            </w:tcBorders>
            <w:gridSpan w:val="5"/>
          </w:tcPr>
          <w:p>
            <w:pPr>
              <w:spacing w:after="0" w:line="70" w:lineRule="exact"/>
              <w:rPr>
                <w:rFonts w:ascii="Arial" w:cs="Arial" w:eastAsia="Arial" w:hAnsi="Arial"/>
                <w:sz w:val="8"/>
                <w:szCs w:val="8"/>
                <w:color w:val="0000FF"/>
              </w:rPr>
            </w:pPr>
            <w:hyperlink r:id="rId167">
              <w:r>
                <w:rPr>
                  <w:rFonts w:ascii="Arial" w:cs="Arial" w:eastAsia="Arial" w:hAnsi="Arial"/>
                  <w:sz w:val="8"/>
                  <w:szCs w:val="8"/>
                  <w:color w:val="0000FF"/>
                </w:rPr>
                <w:t>Salesforce.com Inc. and Twilio Inc.</w:t>
              </w:r>
            </w:hyperlink>
          </w:p>
        </w:tc>
        <w:tc>
          <w:tcPr>
            <w:tcW w:w="2840" w:type="dxa"/>
            <w:vAlign w:val="bottom"/>
            <w:tcBorders>
              <w:top w:val="single" w:sz="8" w:color="0000FF"/>
            </w:tcBorders>
            <w:gridSpan w:val="20"/>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gridSpan w:val="4"/>
          </w:tcPr>
          <w:p>
            <w:pPr>
              <w:spacing w:after="0"/>
              <w:rPr>
                <w:sz w:val="6"/>
                <w:szCs w:val="6"/>
                <w:color w:val="auto"/>
              </w:rPr>
            </w:pPr>
          </w:p>
        </w:tc>
        <w:tc>
          <w:tcPr>
            <w:tcW w:w="12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10.14*</w:t>
            </w:r>
          </w:p>
        </w:tc>
        <w:tc>
          <w:tcPr>
            <w:tcW w:w="2500" w:type="dxa"/>
            <w:vAlign w:val="bottom"/>
            <w:tcBorders>
              <w:bottom w:val="single" w:sz="8" w:color="0000FF"/>
            </w:tcBorders>
            <w:gridSpan w:val="13"/>
          </w:tcPr>
          <w:p>
            <w:pPr>
              <w:spacing w:after="0" w:line="106" w:lineRule="exact"/>
              <w:rPr>
                <w:rFonts w:ascii="Arial" w:cs="Arial" w:eastAsia="Arial" w:hAnsi="Arial"/>
                <w:sz w:val="10"/>
                <w:szCs w:val="10"/>
                <w:color w:val="0000FF"/>
                <w:w w:val="87"/>
              </w:rPr>
            </w:pPr>
            <w:hyperlink r:id="rId168">
              <w:r>
                <w:rPr>
                  <w:rFonts w:ascii="Arial" w:cs="Arial" w:eastAsia="Arial" w:hAnsi="Arial"/>
                  <w:sz w:val="10"/>
                  <w:szCs w:val="10"/>
                  <w:color w:val="0000FF"/>
                  <w:w w:val="87"/>
                </w:rPr>
                <w:t>Offer Letter with Khozema Shipchandler, dated August 20, 2018</w:t>
              </w:r>
            </w:hyperlink>
          </w:p>
        </w:tc>
        <w:tc>
          <w:tcPr>
            <w:tcW w:w="2020" w:type="dxa"/>
            <w:vAlign w:val="bottom"/>
            <w:gridSpan w:val="21"/>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9"/>
              </w:rPr>
              <w:t>8-K</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10.1</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5"/>
              </w:rPr>
              <w:t>October 25, 2018</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10.15*</w:t>
            </w:r>
          </w:p>
        </w:tc>
        <w:tc>
          <w:tcPr>
            <w:tcW w:w="2280" w:type="dxa"/>
            <w:vAlign w:val="bottom"/>
            <w:tcBorders>
              <w:bottom w:val="single" w:sz="8" w:color="0000FF"/>
            </w:tcBorders>
            <w:gridSpan w:val="12"/>
          </w:tcPr>
          <w:p>
            <w:pPr>
              <w:spacing w:after="0" w:line="106" w:lineRule="exact"/>
              <w:rPr>
                <w:rFonts w:ascii="Arial" w:cs="Arial" w:eastAsia="Arial" w:hAnsi="Arial"/>
                <w:sz w:val="10"/>
                <w:szCs w:val="10"/>
                <w:color w:val="0000FF"/>
                <w:w w:val="88"/>
              </w:rPr>
            </w:pPr>
            <w:hyperlink w:anchor="page124">
              <w:r>
                <w:rPr>
                  <w:rFonts w:ascii="Arial" w:cs="Arial" w:eastAsia="Arial" w:hAnsi="Arial"/>
                  <w:sz w:val="10"/>
                  <w:szCs w:val="10"/>
                  <w:color w:val="0000FF"/>
                  <w:w w:val="88"/>
                </w:rPr>
                <w:t>Offer Letter with Marc Boroditsky, dated October 25, 2021</w:t>
              </w:r>
            </w:hyperlink>
          </w:p>
        </w:tc>
        <w:tc>
          <w:tcPr>
            <w:tcW w:w="2240" w:type="dxa"/>
            <w:vAlign w:val="bottom"/>
            <w:gridSpan w:val="22"/>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6"/>
              </w:rPr>
              <w:t>Filed herewith</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10.16*</w:t>
            </w:r>
          </w:p>
        </w:tc>
        <w:tc>
          <w:tcPr>
            <w:tcW w:w="2100" w:type="dxa"/>
            <w:vAlign w:val="bottom"/>
            <w:tcBorders>
              <w:bottom w:val="single" w:sz="8" w:color="0000FF"/>
            </w:tcBorders>
            <w:gridSpan w:val="10"/>
          </w:tcPr>
          <w:p>
            <w:pPr>
              <w:spacing w:after="0" w:line="106" w:lineRule="exact"/>
              <w:rPr>
                <w:rFonts w:ascii="Arial" w:cs="Arial" w:eastAsia="Arial" w:hAnsi="Arial"/>
                <w:sz w:val="10"/>
                <w:szCs w:val="10"/>
                <w:color w:val="0000FF"/>
                <w:w w:val="88"/>
              </w:rPr>
            </w:pPr>
            <w:hyperlink w:anchor="page128">
              <w:r>
                <w:rPr>
                  <w:rFonts w:ascii="Arial" w:cs="Arial" w:eastAsia="Arial" w:hAnsi="Arial"/>
                  <w:sz w:val="10"/>
                  <w:szCs w:val="10"/>
                  <w:color w:val="0000FF"/>
                  <w:w w:val="88"/>
                </w:rPr>
                <w:t>Offer Letter with Eyal Manor, dated October 13, 2021</w:t>
              </w:r>
            </w:hyperlink>
          </w:p>
        </w:tc>
        <w:tc>
          <w:tcPr>
            <w:tcW w:w="2420" w:type="dxa"/>
            <w:vAlign w:val="bottom"/>
            <w:gridSpan w:val="24"/>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6"/>
              </w:rPr>
              <w:t>Filed herewith</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10.17*</w:t>
            </w:r>
          </w:p>
        </w:tc>
        <w:tc>
          <w:tcPr>
            <w:tcW w:w="4520" w:type="dxa"/>
            <w:vAlign w:val="bottom"/>
            <w:gridSpan w:val="34"/>
          </w:tcPr>
          <w:p>
            <w:pPr>
              <w:spacing w:after="0" w:line="106" w:lineRule="exact"/>
              <w:rPr>
                <w:rFonts w:ascii="Arial" w:cs="Arial" w:eastAsia="Arial" w:hAnsi="Arial"/>
                <w:sz w:val="10"/>
                <w:szCs w:val="10"/>
                <w:color w:val="0000FF"/>
              </w:rPr>
            </w:pPr>
            <w:hyperlink w:anchor="page132">
              <w:r>
                <w:rPr>
                  <w:rFonts w:ascii="Arial" w:cs="Arial" w:eastAsia="Arial" w:hAnsi="Arial"/>
                  <w:sz w:val="10"/>
                  <w:szCs w:val="10"/>
                  <w:color w:val="0000FF"/>
                </w:rPr>
                <w:t>Offer Letter with Dana Wagner dated October 7, 2021</w:t>
              </w:r>
            </w:hyperlink>
          </w:p>
        </w:tc>
        <w:tc>
          <w:tcPr>
            <w:tcW w:w="1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6"/>
              </w:rPr>
              <w:t>Filed herewith</w:t>
            </w:r>
          </w:p>
        </w:tc>
      </w:tr>
      <w:tr>
        <w:trPr>
          <w:trHeight w:val="20"/>
        </w:trPr>
        <w:tc>
          <w:tcPr>
            <w:tcW w:w="46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10.18*</w:t>
            </w:r>
          </w:p>
        </w:tc>
        <w:tc>
          <w:tcPr>
            <w:tcW w:w="3620" w:type="dxa"/>
            <w:vAlign w:val="bottom"/>
            <w:tcBorders>
              <w:bottom w:val="single" w:sz="8" w:color="0000FF"/>
            </w:tcBorders>
            <w:gridSpan w:val="22"/>
          </w:tcPr>
          <w:p>
            <w:pPr>
              <w:spacing w:after="0" w:line="106" w:lineRule="exact"/>
              <w:rPr>
                <w:rFonts w:ascii="Arial" w:cs="Arial" w:eastAsia="Arial" w:hAnsi="Arial"/>
                <w:sz w:val="10"/>
                <w:szCs w:val="10"/>
                <w:color w:val="0000FF"/>
                <w:w w:val="87"/>
              </w:rPr>
            </w:pPr>
            <w:hyperlink r:id="rId169">
              <w:r>
                <w:rPr>
                  <w:rFonts w:ascii="Arial" w:cs="Arial" w:eastAsia="Arial" w:hAnsi="Arial"/>
                  <w:sz w:val="10"/>
                  <w:szCs w:val="10"/>
                  <w:color w:val="0000FF"/>
                  <w:w w:val="87"/>
                </w:rPr>
                <w:t>Chief Executive Officer Severance Plan dated March 28, 2018 and form of participation letter</w:t>
              </w:r>
            </w:hyperlink>
          </w:p>
        </w:tc>
        <w:tc>
          <w:tcPr>
            <w:tcW w:w="900" w:type="dxa"/>
            <w:vAlign w:val="bottom"/>
            <w:gridSpan w:val="12"/>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0"/>
              </w:rPr>
              <w:t>10-Q</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10.1</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9"/>
              </w:rPr>
              <w:t>May 10, 2018</w:t>
            </w: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10.19*</w:t>
            </w:r>
          </w:p>
        </w:tc>
        <w:tc>
          <w:tcPr>
            <w:tcW w:w="4520" w:type="dxa"/>
            <w:vAlign w:val="bottom"/>
            <w:gridSpan w:val="34"/>
          </w:tcPr>
          <w:p>
            <w:pPr>
              <w:spacing w:after="0" w:line="106" w:lineRule="exact"/>
              <w:rPr>
                <w:rFonts w:ascii="Arial" w:cs="Arial" w:eastAsia="Arial" w:hAnsi="Arial"/>
                <w:sz w:val="10"/>
                <w:szCs w:val="10"/>
                <w:color w:val="0000FF"/>
              </w:rPr>
            </w:pPr>
            <w:hyperlink r:id="rId170">
              <w:r>
                <w:rPr>
                  <w:rFonts w:ascii="Arial" w:cs="Arial" w:eastAsia="Arial" w:hAnsi="Arial"/>
                  <w:sz w:val="10"/>
                  <w:szCs w:val="10"/>
                  <w:color w:val="0000FF"/>
                </w:rPr>
                <w:t>Key Executive Severance Plan, dated March 28, 2018 and Form of Participation Letter</w:t>
              </w:r>
            </w:hyperlink>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0"/>
              </w:rPr>
              <w:t>10-Q</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10.2</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9"/>
              </w:rPr>
              <w:t>May 10, 2018</w:t>
            </w:r>
          </w:p>
        </w:tc>
      </w:tr>
      <w:tr>
        <w:trPr>
          <w:trHeight w:val="106"/>
        </w:trPr>
        <w:tc>
          <w:tcPr>
            <w:tcW w:w="460" w:type="dxa"/>
            <w:vAlign w:val="bottom"/>
          </w:tcPr>
          <w:p>
            <w:pPr>
              <w:jc w:val="right"/>
              <w:ind w:right="92"/>
              <w:spacing w:after="0" w:line="106" w:lineRule="exact"/>
              <w:rPr>
                <w:sz w:val="20"/>
                <w:szCs w:val="20"/>
                <w:color w:val="auto"/>
              </w:rPr>
            </w:pPr>
            <w:r>
              <w:rPr>
                <w:rFonts w:ascii="Arial" w:cs="Arial" w:eastAsia="Arial" w:hAnsi="Arial"/>
                <w:sz w:val="10"/>
                <w:szCs w:val="10"/>
                <w:color w:val="auto"/>
              </w:rPr>
              <w:t>10.20</w:t>
            </w:r>
          </w:p>
        </w:tc>
        <w:tc>
          <w:tcPr>
            <w:tcW w:w="3340" w:type="dxa"/>
            <w:vAlign w:val="bottom"/>
            <w:tcBorders>
              <w:top w:val="single" w:sz="8" w:color="0000FF"/>
            </w:tcBorders>
            <w:gridSpan w:val="19"/>
          </w:tcPr>
          <w:p>
            <w:pPr>
              <w:spacing w:after="0" w:line="106" w:lineRule="exact"/>
              <w:rPr>
                <w:rFonts w:ascii="Arial" w:cs="Arial" w:eastAsia="Arial" w:hAnsi="Arial"/>
                <w:sz w:val="10"/>
                <w:szCs w:val="10"/>
                <w:color w:val="0000FF"/>
              </w:rPr>
            </w:pPr>
            <w:hyperlink r:id="rId171">
              <w:r>
                <w:rPr>
                  <w:rFonts w:ascii="Arial" w:cs="Arial" w:eastAsia="Arial" w:hAnsi="Arial"/>
                  <w:sz w:val="10"/>
                  <w:szCs w:val="10"/>
                  <w:color w:val="0000FF"/>
                </w:rPr>
                <w:t>Form of Capped Call Confirmation</w:t>
              </w:r>
            </w:hyperlink>
          </w:p>
        </w:tc>
        <w:tc>
          <w:tcPr>
            <w:tcW w:w="1180" w:type="dxa"/>
            <w:vAlign w:val="bottom"/>
            <w:gridSpan w:val="15"/>
          </w:tcPr>
          <w:p>
            <w:pPr>
              <w:spacing w:after="0"/>
              <w:rPr>
                <w:sz w:val="9"/>
                <w:szCs w:val="9"/>
                <w:color w:val="auto"/>
              </w:rPr>
            </w:pPr>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9"/>
              </w:rPr>
              <w:t>8-K</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10.1</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9"/>
              </w:rPr>
              <w:t>May 18, 2018</w:t>
            </w:r>
          </w:p>
        </w:tc>
      </w:tr>
      <w:tr>
        <w:trPr>
          <w:trHeight w:val="20"/>
        </w:trPr>
        <w:tc>
          <w:tcPr>
            <w:tcW w:w="46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w w:val="93"/>
              </w:rPr>
              <w:t>10.21+†</w:t>
            </w:r>
          </w:p>
        </w:tc>
        <w:tc>
          <w:tcPr>
            <w:tcW w:w="4520" w:type="dxa"/>
            <w:vAlign w:val="bottom"/>
            <w:gridSpan w:val="34"/>
          </w:tcPr>
          <w:p>
            <w:pPr>
              <w:spacing w:after="0" w:line="106" w:lineRule="exact"/>
              <w:rPr>
                <w:rFonts w:ascii="Arial" w:cs="Arial" w:eastAsia="Arial" w:hAnsi="Arial"/>
                <w:sz w:val="10"/>
                <w:szCs w:val="10"/>
                <w:color w:val="0000FF"/>
                <w:w w:val="92"/>
              </w:rPr>
            </w:pPr>
            <w:hyperlink r:id="rId172">
              <w:r>
                <w:rPr>
                  <w:rFonts w:ascii="Arial" w:cs="Arial" w:eastAsia="Arial" w:hAnsi="Arial"/>
                  <w:sz w:val="10"/>
                  <w:szCs w:val="10"/>
                  <w:color w:val="0000FF"/>
                  <w:w w:val="92"/>
                </w:rPr>
                <w:t>Framework Agreement by and among Twilio Inc., a Delaware corporation, Carlyle Partners V Holdings, L.P., a</w:t>
              </w:r>
            </w:hyperlink>
          </w:p>
        </w:tc>
        <w:tc>
          <w:tcPr>
            <w:tcW w:w="1240" w:type="dxa"/>
            <w:vAlign w:val="bottom"/>
          </w:tcPr>
          <w:p>
            <w:pPr>
              <w:jc w:val="center"/>
              <w:ind w:left="92"/>
              <w:spacing w:after="0" w:line="106" w:lineRule="exact"/>
              <w:rPr>
                <w:sz w:val="20"/>
                <w:szCs w:val="20"/>
                <w:color w:val="auto"/>
              </w:rPr>
            </w:pPr>
            <w:r>
              <w:rPr>
                <w:rFonts w:ascii="Arial" w:cs="Arial" w:eastAsia="Arial" w:hAnsi="Arial"/>
                <w:sz w:val="10"/>
                <w:szCs w:val="10"/>
                <w:color w:val="auto"/>
                <w:w w:val="80"/>
              </w:rPr>
              <w:t>10-Q</w:t>
            </w:r>
          </w:p>
        </w:tc>
        <w:tc>
          <w:tcPr>
            <w:tcW w:w="1540" w:type="dxa"/>
            <w:vAlign w:val="bottom"/>
          </w:tcPr>
          <w:p>
            <w:pPr>
              <w:jc w:val="center"/>
              <w:ind w:right="172"/>
              <w:spacing w:after="0" w:line="106" w:lineRule="exact"/>
              <w:rPr>
                <w:sz w:val="20"/>
                <w:szCs w:val="20"/>
                <w:color w:val="auto"/>
              </w:rPr>
            </w:pPr>
            <w:r>
              <w:rPr>
                <w:rFonts w:ascii="Arial" w:cs="Arial" w:eastAsia="Arial" w:hAnsi="Arial"/>
                <w:sz w:val="10"/>
                <w:szCs w:val="10"/>
                <w:color w:val="auto"/>
                <w:w w:val="83"/>
              </w:rPr>
              <w:t>001-37806</w:t>
            </w:r>
          </w:p>
        </w:tc>
        <w:tc>
          <w:tcPr>
            <w:tcW w:w="1160" w:type="dxa"/>
            <w:vAlign w:val="bottom"/>
          </w:tcPr>
          <w:p>
            <w:pPr>
              <w:jc w:val="right"/>
              <w:ind w:right="312"/>
              <w:spacing w:after="0" w:line="106" w:lineRule="exact"/>
              <w:rPr>
                <w:sz w:val="20"/>
                <w:szCs w:val="20"/>
                <w:color w:val="auto"/>
              </w:rPr>
            </w:pPr>
            <w:r>
              <w:rPr>
                <w:rFonts w:ascii="Arial" w:cs="Arial" w:eastAsia="Arial" w:hAnsi="Arial"/>
                <w:sz w:val="10"/>
                <w:szCs w:val="10"/>
                <w:color w:val="auto"/>
              </w:rPr>
              <w:t>10.1</w:t>
            </w: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90"/>
              </w:rPr>
              <w:t>May 6, 2021</w:t>
            </w:r>
          </w:p>
        </w:tc>
      </w:tr>
      <w:tr>
        <w:trPr>
          <w:trHeight w:val="20"/>
        </w:trPr>
        <w:tc>
          <w:tcPr>
            <w:tcW w:w="460" w:type="dxa"/>
            <w:vAlign w:val="bottom"/>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70"/>
        </w:trPr>
        <w:tc>
          <w:tcPr>
            <w:tcW w:w="460" w:type="dxa"/>
            <w:vAlign w:val="bottom"/>
          </w:tcPr>
          <w:p>
            <w:pPr>
              <w:spacing w:after="0"/>
              <w:rPr>
                <w:sz w:val="6"/>
                <w:szCs w:val="6"/>
                <w:color w:val="auto"/>
              </w:rPr>
            </w:pPr>
          </w:p>
        </w:tc>
        <w:tc>
          <w:tcPr>
            <w:tcW w:w="4520" w:type="dxa"/>
            <w:vAlign w:val="bottom"/>
            <w:gridSpan w:val="34"/>
          </w:tcPr>
          <w:p>
            <w:pPr>
              <w:spacing w:after="0" w:line="70" w:lineRule="exact"/>
              <w:rPr>
                <w:rFonts w:ascii="Arial" w:cs="Arial" w:eastAsia="Arial" w:hAnsi="Arial"/>
                <w:sz w:val="8"/>
                <w:szCs w:val="8"/>
                <w:color w:val="0000FF"/>
              </w:rPr>
            </w:pPr>
            <w:hyperlink r:id="rId172">
              <w:r>
                <w:rPr>
                  <w:rFonts w:ascii="Arial" w:cs="Arial" w:eastAsia="Arial" w:hAnsi="Arial"/>
                  <w:sz w:val="8"/>
                  <w:szCs w:val="8"/>
                  <w:color w:val="0000FF"/>
                </w:rPr>
                <w:t>Delaware limited partnership, and Syniverse Corporation, a Delaware corporation, dated as of February 26, 2021</w:t>
              </w:r>
            </w:hyperlink>
          </w:p>
        </w:tc>
        <w:tc>
          <w:tcPr>
            <w:tcW w:w="12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06"/>
        </w:trPr>
        <w:tc>
          <w:tcPr>
            <w:tcW w:w="460" w:type="dxa"/>
            <w:vAlign w:val="bottom"/>
          </w:tcPr>
          <w:p>
            <w:pPr>
              <w:jc w:val="right"/>
              <w:ind w:right="92"/>
              <w:spacing w:after="0" w:line="106" w:lineRule="exact"/>
              <w:rPr>
                <w:sz w:val="20"/>
                <w:szCs w:val="20"/>
                <w:color w:val="auto"/>
              </w:rPr>
            </w:pPr>
            <w:r>
              <w:rPr>
                <w:rFonts w:ascii="Arial" w:cs="Arial" w:eastAsia="Arial" w:hAnsi="Arial"/>
                <w:sz w:val="10"/>
                <w:szCs w:val="10"/>
                <w:color w:val="auto"/>
              </w:rPr>
              <w:t>21.1</w:t>
            </w:r>
          </w:p>
        </w:tc>
        <w:tc>
          <w:tcPr>
            <w:tcW w:w="1420" w:type="dxa"/>
            <w:vAlign w:val="bottom"/>
            <w:tcBorders>
              <w:top w:val="single" w:sz="8" w:color="0000FF"/>
              <w:bottom w:val="single" w:sz="8" w:color="0000FF"/>
            </w:tcBorders>
            <w:gridSpan w:val="6"/>
          </w:tcPr>
          <w:p>
            <w:pPr>
              <w:spacing w:after="0" w:line="106" w:lineRule="exact"/>
              <w:rPr>
                <w:rFonts w:ascii="Arial" w:cs="Arial" w:eastAsia="Arial" w:hAnsi="Arial"/>
                <w:sz w:val="10"/>
                <w:szCs w:val="10"/>
                <w:color w:val="0000FF"/>
                <w:w w:val="87"/>
              </w:rPr>
            </w:pPr>
            <w:hyperlink w:anchor="page136">
              <w:r>
                <w:rPr>
                  <w:rFonts w:ascii="Arial" w:cs="Arial" w:eastAsia="Arial" w:hAnsi="Arial"/>
                  <w:sz w:val="10"/>
                  <w:szCs w:val="10"/>
                  <w:color w:val="0000FF"/>
                  <w:w w:val="87"/>
                </w:rPr>
                <w:t>List of Subsidiaries of the Registrant</w:t>
              </w:r>
            </w:hyperlink>
          </w:p>
        </w:tc>
        <w:tc>
          <w:tcPr>
            <w:tcW w:w="2920" w:type="dxa"/>
            <w:vAlign w:val="bottom"/>
            <w:tcBorders>
              <w:top w:val="single" w:sz="8" w:color="0000FF"/>
            </w:tcBorders>
            <w:gridSpan w:val="22"/>
          </w:tcPr>
          <w:p>
            <w:pPr>
              <w:spacing w:after="0"/>
              <w:rPr>
                <w:sz w:val="9"/>
                <w:szCs w:val="9"/>
                <w:color w:val="auto"/>
              </w:rPr>
            </w:pPr>
          </w:p>
        </w:tc>
        <w:tc>
          <w:tcPr>
            <w:tcW w:w="180" w:type="dxa"/>
            <w:vAlign w:val="bottom"/>
            <w:gridSpan w:val="6"/>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6"/>
              </w:rPr>
              <w:t>Filed herewith</w:t>
            </w:r>
          </w:p>
        </w:tc>
      </w:tr>
      <w:tr>
        <w:trPr>
          <w:trHeight w:val="106"/>
        </w:trPr>
        <w:tc>
          <w:tcPr>
            <w:tcW w:w="460" w:type="dxa"/>
            <w:vAlign w:val="bottom"/>
          </w:tcPr>
          <w:p>
            <w:pPr>
              <w:jc w:val="right"/>
              <w:ind w:right="92"/>
              <w:spacing w:after="0" w:line="106" w:lineRule="exact"/>
              <w:rPr>
                <w:sz w:val="20"/>
                <w:szCs w:val="20"/>
                <w:color w:val="auto"/>
              </w:rPr>
            </w:pPr>
            <w:r>
              <w:rPr>
                <w:rFonts w:ascii="Arial" w:cs="Arial" w:eastAsia="Arial" w:hAnsi="Arial"/>
                <w:sz w:val="10"/>
                <w:szCs w:val="10"/>
                <w:color w:val="auto"/>
              </w:rPr>
              <w:t>23.1</w:t>
            </w:r>
          </w:p>
        </w:tc>
        <w:tc>
          <w:tcPr>
            <w:tcW w:w="4520" w:type="dxa"/>
            <w:vAlign w:val="bottom"/>
            <w:gridSpan w:val="34"/>
          </w:tcPr>
          <w:p>
            <w:pPr>
              <w:spacing w:after="0" w:line="106" w:lineRule="exact"/>
              <w:rPr>
                <w:rFonts w:ascii="Arial" w:cs="Arial" w:eastAsia="Arial" w:hAnsi="Arial"/>
                <w:sz w:val="10"/>
                <w:szCs w:val="10"/>
                <w:color w:val="0000FF"/>
              </w:rPr>
            </w:pPr>
            <w:hyperlink w:anchor="page137">
              <w:r>
                <w:rPr>
                  <w:rFonts w:ascii="Arial" w:cs="Arial" w:eastAsia="Arial" w:hAnsi="Arial"/>
                  <w:sz w:val="10"/>
                  <w:szCs w:val="10"/>
                  <w:color w:val="0000FF"/>
                </w:rPr>
                <w:t>Consent of KPMG, LLP, Independent Registered Public Accounting Firm</w:t>
              </w:r>
            </w:hyperlink>
          </w:p>
        </w:tc>
        <w:tc>
          <w:tcPr>
            <w:tcW w:w="1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6"/>
              </w:rPr>
              <w:t>Filed herewith</w:t>
            </w:r>
          </w:p>
        </w:tc>
      </w:tr>
      <w:tr>
        <w:trPr>
          <w:trHeight w:val="20"/>
        </w:trPr>
        <w:tc>
          <w:tcPr>
            <w:tcW w:w="460" w:type="dxa"/>
            <w:vAlign w:val="bottom"/>
          </w:tcPr>
          <w:p>
            <w:pPr>
              <w:spacing w:after="0" w:line="20" w:lineRule="exact"/>
              <w:rPr>
                <w:sz w:val="1"/>
                <w:szCs w:val="1"/>
                <w:color w:val="auto"/>
              </w:rPr>
            </w:pPr>
          </w:p>
        </w:tc>
        <w:tc>
          <w:tcPr>
            <w:tcW w:w="2280" w:type="dxa"/>
            <w:vAlign w:val="bottom"/>
            <w:gridSpan w:val="1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31.1</w:t>
            </w:r>
          </w:p>
        </w:tc>
        <w:tc>
          <w:tcPr>
            <w:tcW w:w="4520" w:type="dxa"/>
            <w:vAlign w:val="bottom"/>
            <w:gridSpan w:val="34"/>
          </w:tcPr>
          <w:p>
            <w:pPr>
              <w:spacing w:after="0" w:line="106" w:lineRule="exact"/>
              <w:rPr>
                <w:rFonts w:ascii="Arial" w:cs="Arial" w:eastAsia="Arial" w:hAnsi="Arial"/>
                <w:sz w:val="10"/>
                <w:szCs w:val="10"/>
                <w:color w:val="0000FF"/>
                <w:w w:val="90"/>
              </w:rPr>
            </w:pPr>
            <w:hyperlink w:anchor="page138">
              <w:r>
                <w:rPr>
                  <w:rFonts w:ascii="Arial" w:cs="Arial" w:eastAsia="Arial" w:hAnsi="Arial"/>
                  <w:sz w:val="10"/>
                  <w:szCs w:val="10"/>
                  <w:color w:val="0000FF"/>
                  <w:w w:val="90"/>
                </w:rPr>
                <w:t>Certification of the Chief Executive Officer pursuant to Exchange Act Rules 13a-14(a) and 15d-14(a), as adopted</w:t>
              </w:r>
            </w:hyperlink>
          </w:p>
        </w:tc>
        <w:tc>
          <w:tcPr>
            <w:tcW w:w="1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6"/>
              </w:rPr>
              <w:t>Filed herewith</w:t>
            </w:r>
          </w:p>
        </w:tc>
      </w:tr>
      <w:tr>
        <w:trPr>
          <w:trHeight w:val="70"/>
        </w:trPr>
        <w:tc>
          <w:tcPr>
            <w:tcW w:w="460" w:type="dxa"/>
            <w:vAlign w:val="bottom"/>
          </w:tcPr>
          <w:p>
            <w:pPr>
              <w:spacing w:after="0"/>
              <w:rPr>
                <w:sz w:val="6"/>
                <w:szCs w:val="6"/>
                <w:color w:val="auto"/>
              </w:rPr>
            </w:pPr>
          </w:p>
        </w:tc>
        <w:tc>
          <w:tcPr>
            <w:tcW w:w="2280" w:type="dxa"/>
            <w:vAlign w:val="bottom"/>
            <w:tcBorders>
              <w:top w:val="single" w:sz="8" w:color="0000FF"/>
              <w:bottom w:val="single" w:sz="8" w:color="0000FF"/>
            </w:tcBorders>
            <w:gridSpan w:val="12"/>
          </w:tcPr>
          <w:p>
            <w:pPr>
              <w:spacing w:after="0" w:line="70" w:lineRule="exact"/>
              <w:rPr>
                <w:rFonts w:ascii="Arial" w:cs="Arial" w:eastAsia="Arial" w:hAnsi="Arial"/>
                <w:sz w:val="8"/>
                <w:szCs w:val="8"/>
                <w:color w:val="0000FF"/>
              </w:rPr>
            </w:pPr>
            <w:hyperlink w:anchor="page138">
              <w:r>
                <w:rPr>
                  <w:rFonts w:ascii="Arial" w:cs="Arial" w:eastAsia="Arial" w:hAnsi="Arial"/>
                  <w:sz w:val="8"/>
                  <w:szCs w:val="8"/>
                  <w:color w:val="0000FF"/>
                </w:rPr>
                <w:t>pursuant to Section 302 of the Sarbanes-Oxley Act of 2002</w:t>
              </w:r>
            </w:hyperlink>
          </w:p>
        </w:tc>
        <w:tc>
          <w:tcPr>
            <w:tcW w:w="2100" w:type="dxa"/>
            <w:vAlign w:val="bottom"/>
            <w:tcBorders>
              <w:top w:val="single" w:sz="8" w:color="0000FF"/>
            </w:tcBorders>
            <w:gridSpan w:val="18"/>
          </w:tcPr>
          <w:p>
            <w:pPr>
              <w:spacing w:after="0"/>
              <w:rPr>
                <w:sz w:val="6"/>
                <w:szCs w:val="6"/>
                <w:color w:val="auto"/>
              </w:rPr>
            </w:pPr>
          </w:p>
        </w:tc>
        <w:tc>
          <w:tcPr>
            <w:tcW w:w="140" w:type="dxa"/>
            <w:vAlign w:val="bottom"/>
            <w:gridSpan w:val="4"/>
          </w:tcPr>
          <w:p>
            <w:pPr>
              <w:spacing w:after="0"/>
              <w:rPr>
                <w:sz w:val="6"/>
                <w:szCs w:val="6"/>
                <w:color w:val="auto"/>
              </w:rPr>
            </w:pPr>
          </w:p>
        </w:tc>
        <w:tc>
          <w:tcPr>
            <w:tcW w:w="12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31.2</w:t>
            </w:r>
          </w:p>
        </w:tc>
        <w:tc>
          <w:tcPr>
            <w:tcW w:w="4520" w:type="dxa"/>
            <w:vAlign w:val="bottom"/>
            <w:gridSpan w:val="34"/>
          </w:tcPr>
          <w:p>
            <w:pPr>
              <w:spacing w:after="0" w:line="106" w:lineRule="exact"/>
              <w:rPr>
                <w:rFonts w:ascii="Arial" w:cs="Arial" w:eastAsia="Arial" w:hAnsi="Arial"/>
                <w:sz w:val="10"/>
                <w:szCs w:val="10"/>
                <w:color w:val="0000FF"/>
                <w:w w:val="94"/>
              </w:rPr>
            </w:pPr>
            <w:hyperlink w:anchor="page139">
              <w:r>
                <w:rPr>
                  <w:rFonts w:ascii="Arial" w:cs="Arial" w:eastAsia="Arial" w:hAnsi="Arial"/>
                  <w:sz w:val="10"/>
                  <w:szCs w:val="10"/>
                  <w:color w:val="0000FF"/>
                  <w:w w:val="94"/>
                </w:rPr>
                <w:t>Certification of the Chief Operating Officer (Principal Financial Officer) pursuant to Exchange Act Rules 13a-</w:t>
              </w:r>
            </w:hyperlink>
          </w:p>
        </w:tc>
        <w:tc>
          <w:tcPr>
            <w:tcW w:w="1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6"/>
              </w:rPr>
              <w:t>Filed herewith</w:t>
            </w:r>
          </w:p>
        </w:tc>
      </w:tr>
      <w:tr>
        <w:trPr>
          <w:trHeight w:val="70"/>
        </w:trPr>
        <w:tc>
          <w:tcPr>
            <w:tcW w:w="460" w:type="dxa"/>
            <w:vAlign w:val="bottom"/>
          </w:tcPr>
          <w:p>
            <w:pPr>
              <w:spacing w:after="0"/>
              <w:rPr>
                <w:sz w:val="6"/>
                <w:szCs w:val="6"/>
                <w:color w:val="auto"/>
              </w:rPr>
            </w:pPr>
          </w:p>
        </w:tc>
        <w:tc>
          <w:tcPr>
            <w:tcW w:w="4280" w:type="dxa"/>
            <w:vAlign w:val="bottom"/>
            <w:tcBorders>
              <w:top w:val="single" w:sz="8" w:color="0000FF"/>
            </w:tcBorders>
            <w:gridSpan w:val="26"/>
          </w:tcPr>
          <w:p>
            <w:pPr>
              <w:spacing w:after="0" w:line="70" w:lineRule="exact"/>
              <w:rPr>
                <w:rFonts w:ascii="Arial" w:cs="Arial" w:eastAsia="Arial" w:hAnsi="Arial"/>
                <w:sz w:val="8"/>
                <w:szCs w:val="8"/>
                <w:color w:val="0000FF"/>
              </w:rPr>
            </w:pPr>
            <w:hyperlink w:anchor="page139">
              <w:r>
                <w:rPr>
                  <w:rFonts w:ascii="Arial" w:cs="Arial" w:eastAsia="Arial" w:hAnsi="Arial"/>
                  <w:sz w:val="8"/>
                  <w:szCs w:val="8"/>
                  <w:color w:val="0000FF"/>
                </w:rPr>
                <w:t>14(a) and 15d-14(a), as adopted pursuant to Section 302 of the Sarbanes-Oxley Act of 2002</w:t>
              </w:r>
            </w:hyperlink>
          </w:p>
        </w:tc>
        <w:tc>
          <w:tcPr>
            <w:tcW w:w="80" w:type="dxa"/>
            <w:vAlign w:val="bottom"/>
            <w:gridSpan w:val="3"/>
          </w:tcPr>
          <w:p>
            <w:pPr>
              <w:spacing w:after="0"/>
              <w:rPr>
                <w:sz w:val="6"/>
                <w:szCs w:val="6"/>
                <w:color w:val="auto"/>
              </w:rPr>
            </w:pPr>
          </w:p>
        </w:tc>
        <w:tc>
          <w:tcPr>
            <w:tcW w:w="160" w:type="dxa"/>
            <w:vAlign w:val="bottom"/>
            <w:gridSpan w:val="5"/>
          </w:tcPr>
          <w:p>
            <w:pPr>
              <w:spacing w:after="0"/>
              <w:rPr>
                <w:sz w:val="6"/>
                <w:szCs w:val="6"/>
                <w:color w:val="auto"/>
              </w:rPr>
            </w:pPr>
          </w:p>
        </w:tc>
        <w:tc>
          <w:tcPr>
            <w:tcW w:w="12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0"/>
        </w:trPr>
        <w:tc>
          <w:tcPr>
            <w:tcW w:w="460" w:type="dxa"/>
            <w:vAlign w:val="bottom"/>
          </w:tcPr>
          <w:p>
            <w:pPr>
              <w:spacing w:after="0" w:line="20" w:lineRule="exact"/>
              <w:rPr>
                <w:sz w:val="1"/>
                <w:szCs w:val="1"/>
                <w:color w:val="auto"/>
              </w:rPr>
            </w:pPr>
          </w:p>
        </w:tc>
        <w:tc>
          <w:tcPr>
            <w:tcW w:w="3520" w:type="dxa"/>
            <w:vAlign w:val="bottom"/>
            <w:gridSpan w:val="20"/>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06"/>
        </w:trPr>
        <w:tc>
          <w:tcPr>
            <w:tcW w:w="460" w:type="dxa"/>
            <w:vAlign w:val="bottom"/>
          </w:tcPr>
          <w:p>
            <w:pPr>
              <w:jc w:val="right"/>
              <w:ind w:right="52"/>
              <w:spacing w:after="0" w:line="106" w:lineRule="exact"/>
              <w:rPr>
                <w:sz w:val="20"/>
                <w:szCs w:val="20"/>
                <w:color w:val="auto"/>
              </w:rPr>
            </w:pPr>
            <w:r>
              <w:rPr>
                <w:rFonts w:ascii="Arial" w:cs="Arial" w:eastAsia="Arial" w:hAnsi="Arial"/>
                <w:sz w:val="10"/>
                <w:szCs w:val="10"/>
                <w:color w:val="auto"/>
              </w:rPr>
              <w:t>32.1**</w:t>
            </w:r>
          </w:p>
        </w:tc>
        <w:tc>
          <w:tcPr>
            <w:tcW w:w="4520" w:type="dxa"/>
            <w:vAlign w:val="bottom"/>
            <w:gridSpan w:val="34"/>
          </w:tcPr>
          <w:p>
            <w:pPr>
              <w:spacing w:after="0" w:line="106" w:lineRule="exact"/>
              <w:rPr>
                <w:rFonts w:ascii="Arial" w:cs="Arial" w:eastAsia="Arial" w:hAnsi="Arial"/>
                <w:sz w:val="10"/>
                <w:szCs w:val="10"/>
                <w:color w:val="0000FF"/>
                <w:w w:val="92"/>
              </w:rPr>
            </w:pPr>
            <w:hyperlink w:anchor="page140">
              <w:r>
                <w:rPr>
                  <w:rFonts w:ascii="Arial" w:cs="Arial" w:eastAsia="Arial" w:hAnsi="Arial"/>
                  <w:sz w:val="10"/>
                  <w:szCs w:val="10"/>
                  <w:color w:val="0000FF"/>
                  <w:w w:val="92"/>
                </w:rPr>
                <w:t>Certification of the Chief Executive Officer and Chief Operating Officer (Principal Financial Officer) pursuant to</w:t>
              </w:r>
            </w:hyperlink>
          </w:p>
        </w:tc>
        <w:tc>
          <w:tcPr>
            <w:tcW w:w="1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jc w:val="center"/>
              <w:ind w:left="292"/>
              <w:spacing w:after="0" w:line="106" w:lineRule="exact"/>
              <w:rPr>
                <w:sz w:val="20"/>
                <w:szCs w:val="20"/>
                <w:color w:val="auto"/>
              </w:rPr>
            </w:pPr>
            <w:r>
              <w:rPr>
                <w:rFonts w:ascii="Arial" w:cs="Arial" w:eastAsia="Arial" w:hAnsi="Arial"/>
                <w:sz w:val="10"/>
                <w:szCs w:val="10"/>
                <w:color w:val="auto"/>
                <w:w w:val="86"/>
              </w:rPr>
              <w:t>Furnished herewith</w:t>
            </w:r>
          </w:p>
        </w:tc>
      </w:tr>
      <w:tr>
        <w:trPr>
          <w:trHeight w:val="70"/>
        </w:trPr>
        <w:tc>
          <w:tcPr>
            <w:tcW w:w="460" w:type="dxa"/>
            <w:vAlign w:val="bottom"/>
          </w:tcPr>
          <w:p>
            <w:pPr>
              <w:spacing w:after="0"/>
              <w:rPr>
                <w:sz w:val="6"/>
                <w:szCs w:val="6"/>
                <w:color w:val="auto"/>
              </w:rPr>
            </w:pPr>
          </w:p>
        </w:tc>
        <w:tc>
          <w:tcPr>
            <w:tcW w:w="4360" w:type="dxa"/>
            <w:vAlign w:val="bottom"/>
            <w:tcBorders>
              <w:top w:val="single" w:sz="8" w:color="0000FF"/>
            </w:tcBorders>
            <w:gridSpan w:val="29"/>
          </w:tcPr>
          <w:p>
            <w:pPr>
              <w:spacing w:after="0" w:line="70" w:lineRule="exact"/>
              <w:rPr>
                <w:rFonts w:ascii="Arial" w:cs="Arial" w:eastAsia="Arial" w:hAnsi="Arial"/>
                <w:sz w:val="8"/>
                <w:szCs w:val="8"/>
                <w:color w:val="0000FF"/>
              </w:rPr>
            </w:pPr>
            <w:hyperlink w:anchor="page140">
              <w:r>
                <w:rPr>
                  <w:rFonts w:ascii="Arial" w:cs="Arial" w:eastAsia="Arial" w:hAnsi="Arial"/>
                  <w:sz w:val="8"/>
                  <w:szCs w:val="8"/>
                  <w:color w:val="0000FF"/>
                </w:rPr>
                <w:t>18 U.S.C. Section 1350, as adopted pursuant to Section 906 of the Sarbanes-Oxley Act of 2002</w:t>
              </w:r>
            </w:hyperlink>
          </w:p>
        </w:tc>
        <w:tc>
          <w:tcPr>
            <w:tcW w:w="160" w:type="dxa"/>
            <w:vAlign w:val="bottom"/>
            <w:gridSpan w:val="5"/>
          </w:tcPr>
          <w:p>
            <w:pPr>
              <w:spacing w:after="0"/>
              <w:rPr>
                <w:sz w:val="6"/>
                <w:szCs w:val="6"/>
                <w:color w:val="auto"/>
              </w:rPr>
            </w:pPr>
          </w:p>
        </w:tc>
        <w:tc>
          <w:tcPr>
            <w:tcW w:w="12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0"/>
        </w:trPr>
        <w:tc>
          <w:tcPr>
            <w:tcW w:w="460" w:type="dxa"/>
            <w:vAlign w:val="bottom"/>
          </w:tcPr>
          <w:p>
            <w:pPr>
              <w:spacing w:after="0" w:line="20" w:lineRule="exact"/>
              <w:rPr>
                <w:sz w:val="1"/>
                <w:szCs w:val="1"/>
                <w:color w:val="auto"/>
              </w:rPr>
            </w:pPr>
          </w:p>
        </w:tc>
        <w:tc>
          <w:tcPr>
            <w:tcW w:w="3660" w:type="dxa"/>
            <w:vAlign w:val="bottom"/>
            <w:gridSpan w:val="23"/>
            <w:shd w:val="clear" w:color="auto" w:fill="0000FF"/>
          </w:tcPr>
          <w:p>
            <w:pPr>
              <w:spacing w:after="0" w:line="20" w:lineRule="exact"/>
              <w:rPr>
                <w:sz w:val="1"/>
                <w:szCs w:val="1"/>
                <w:color w:val="auto"/>
              </w:rPr>
            </w:pPr>
          </w:p>
        </w:tc>
        <w:tc>
          <w:tcPr>
            <w:tcW w:w="860" w:type="dxa"/>
            <w:vAlign w:val="bottom"/>
            <w:gridSpan w:val="11"/>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97"/>
        </w:trPr>
        <w:tc>
          <w:tcPr>
            <w:tcW w:w="460" w:type="dxa"/>
            <w:vAlign w:val="bottom"/>
          </w:tcPr>
          <w:p>
            <w:pPr>
              <w:jc w:val="right"/>
              <w:ind w:right="52"/>
              <w:spacing w:after="0" w:line="97" w:lineRule="exact"/>
              <w:rPr>
                <w:sz w:val="20"/>
                <w:szCs w:val="20"/>
                <w:color w:val="auto"/>
              </w:rPr>
            </w:pPr>
            <w:r>
              <w:rPr>
                <w:rFonts w:ascii="Arial" w:cs="Arial" w:eastAsia="Arial" w:hAnsi="Arial"/>
                <w:sz w:val="10"/>
                <w:szCs w:val="10"/>
                <w:color w:val="auto"/>
                <w:w w:val="93"/>
              </w:rPr>
              <w:t>101.INS</w:t>
            </w:r>
          </w:p>
        </w:tc>
        <w:tc>
          <w:tcPr>
            <w:tcW w:w="4520" w:type="dxa"/>
            <w:vAlign w:val="bottom"/>
            <w:gridSpan w:val="34"/>
          </w:tcPr>
          <w:p>
            <w:pPr>
              <w:spacing w:after="0" w:line="97" w:lineRule="exact"/>
              <w:rPr>
                <w:sz w:val="20"/>
                <w:szCs w:val="20"/>
                <w:color w:val="auto"/>
              </w:rPr>
            </w:pPr>
            <w:r>
              <w:rPr>
                <w:rFonts w:ascii="Arial" w:cs="Arial" w:eastAsia="Arial" w:hAnsi="Arial"/>
                <w:sz w:val="10"/>
                <w:szCs w:val="10"/>
                <w:color w:val="auto"/>
                <w:w w:val="90"/>
              </w:rPr>
              <w:t>Inline XBRL Instance Document - the instance document does not appear in the Interactive Data File because its</w:t>
            </w:r>
          </w:p>
        </w:tc>
        <w:tc>
          <w:tcPr>
            <w:tcW w:w="1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jc w:val="center"/>
              <w:ind w:left="292"/>
              <w:spacing w:after="0" w:line="97" w:lineRule="exact"/>
              <w:rPr>
                <w:sz w:val="20"/>
                <w:szCs w:val="20"/>
                <w:color w:val="auto"/>
              </w:rPr>
            </w:pPr>
            <w:r>
              <w:rPr>
                <w:rFonts w:ascii="Arial" w:cs="Arial" w:eastAsia="Arial" w:hAnsi="Arial"/>
                <w:sz w:val="10"/>
                <w:szCs w:val="10"/>
                <w:color w:val="auto"/>
                <w:w w:val="86"/>
              </w:rPr>
              <w:t>Filed herewith</w:t>
            </w:r>
          </w:p>
        </w:tc>
      </w:tr>
      <w:tr>
        <w:trPr>
          <w:trHeight w:val="121"/>
        </w:trPr>
        <w:tc>
          <w:tcPr>
            <w:tcW w:w="460" w:type="dxa"/>
            <w:vAlign w:val="bottom"/>
          </w:tcPr>
          <w:p>
            <w:pPr>
              <w:spacing w:after="0"/>
              <w:rPr>
                <w:sz w:val="10"/>
                <w:szCs w:val="10"/>
                <w:color w:val="auto"/>
              </w:rPr>
            </w:pPr>
          </w:p>
        </w:tc>
        <w:tc>
          <w:tcPr>
            <w:tcW w:w="4520" w:type="dxa"/>
            <w:vAlign w:val="bottom"/>
            <w:gridSpan w:val="34"/>
          </w:tcPr>
          <w:p>
            <w:pPr>
              <w:spacing w:after="0"/>
              <w:rPr>
                <w:sz w:val="20"/>
                <w:szCs w:val="20"/>
                <w:color w:val="auto"/>
              </w:rPr>
            </w:pPr>
            <w:r>
              <w:rPr>
                <w:rFonts w:ascii="Arial" w:cs="Arial" w:eastAsia="Arial" w:hAnsi="Arial"/>
                <w:sz w:val="10"/>
                <w:szCs w:val="10"/>
                <w:color w:val="auto"/>
              </w:rPr>
              <w:t>XBRL tags are embedded within the Inline XBRL document</w:t>
            </w:r>
          </w:p>
        </w:tc>
        <w:tc>
          <w:tcPr>
            <w:tcW w:w="1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23"/>
        </w:trPr>
        <w:tc>
          <w:tcPr>
            <w:tcW w:w="460" w:type="dxa"/>
            <w:vAlign w:val="bottom"/>
          </w:tcPr>
          <w:p>
            <w:pPr>
              <w:jc w:val="right"/>
              <w:ind w:right="52"/>
              <w:spacing w:after="0"/>
              <w:rPr>
                <w:sz w:val="20"/>
                <w:szCs w:val="20"/>
                <w:color w:val="auto"/>
              </w:rPr>
            </w:pPr>
            <w:r>
              <w:rPr>
                <w:rFonts w:ascii="Arial" w:cs="Arial" w:eastAsia="Arial" w:hAnsi="Arial"/>
                <w:sz w:val="10"/>
                <w:szCs w:val="10"/>
                <w:color w:val="auto"/>
                <w:w w:val="83"/>
              </w:rPr>
              <w:t>101.SCH</w:t>
            </w:r>
          </w:p>
        </w:tc>
        <w:tc>
          <w:tcPr>
            <w:tcW w:w="4520" w:type="dxa"/>
            <w:vAlign w:val="bottom"/>
            <w:gridSpan w:val="34"/>
          </w:tcPr>
          <w:p>
            <w:pPr>
              <w:spacing w:after="0"/>
              <w:rPr>
                <w:sz w:val="20"/>
                <w:szCs w:val="20"/>
                <w:color w:val="auto"/>
              </w:rPr>
            </w:pPr>
            <w:r>
              <w:rPr>
                <w:rFonts w:ascii="Arial" w:cs="Arial" w:eastAsia="Arial" w:hAnsi="Arial"/>
                <w:sz w:val="10"/>
                <w:szCs w:val="10"/>
                <w:color w:val="auto"/>
              </w:rPr>
              <w:t>Inline XBRL Taxonomy Extension Schema Document.</w:t>
            </w:r>
          </w:p>
        </w:tc>
        <w:tc>
          <w:tcPr>
            <w:tcW w:w="1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jc w:val="center"/>
              <w:ind w:left="292"/>
              <w:spacing w:after="0"/>
              <w:rPr>
                <w:sz w:val="20"/>
                <w:szCs w:val="20"/>
                <w:color w:val="auto"/>
              </w:rPr>
            </w:pPr>
            <w:r>
              <w:rPr>
                <w:rFonts w:ascii="Arial" w:cs="Arial" w:eastAsia="Arial" w:hAnsi="Arial"/>
                <w:sz w:val="10"/>
                <w:szCs w:val="10"/>
                <w:color w:val="auto"/>
                <w:w w:val="86"/>
              </w:rPr>
              <w:t>Filed herewith</w:t>
            </w:r>
          </w:p>
        </w:tc>
      </w:tr>
      <w:tr>
        <w:trPr>
          <w:trHeight w:val="126"/>
        </w:trPr>
        <w:tc>
          <w:tcPr>
            <w:tcW w:w="460" w:type="dxa"/>
            <w:vAlign w:val="bottom"/>
          </w:tcPr>
          <w:p>
            <w:pPr>
              <w:jc w:val="right"/>
              <w:ind w:right="52"/>
              <w:spacing w:after="0"/>
              <w:rPr>
                <w:sz w:val="20"/>
                <w:szCs w:val="20"/>
                <w:color w:val="auto"/>
              </w:rPr>
            </w:pPr>
            <w:r>
              <w:rPr>
                <w:rFonts w:ascii="Arial" w:cs="Arial" w:eastAsia="Arial" w:hAnsi="Arial"/>
                <w:sz w:val="10"/>
                <w:szCs w:val="10"/>
                <w:color w:val="auto"/>
                <w:w w:val="87"/>
              </w:rPr>
              <w:t>101.CAL</w:t>
            </w:r>
          </w:p>
        </w:tc>
        <w:tc>
          <w:tcPr>
            <w:tcW w:w="4520" w:type="dxa"/>
            <w:vAlign w:val="bottom"/>
            <w:gridSpan w:val="34"/>
          </w:tcPr>
          <w:p>
            <w:pPr>
              <w:spacing w:after="0"/>
              <w:rPr>
                <w:sz w:val="20"/>
                <w:szCs w:val="20"/>
                <w:color w:val="auto"/>
              </w:rPr>
            </w:pPr>
            <w:r>
              <w:rPr>
                <w:rFonts w:ascii="Arial" w:cs="Arial" w:eastAsia="Arial" w:hAnsi="Arial"/>
                <w:sz w:val="10"/>
                <w:szCs w:val="10"/>
                <w:color w:val="auto"/>
              </w:rPr>
              <w:t>Inline XBRL Taxonomy Extension Calculation Linkbase Document.</w:t>
            </w:r>
          </w:p>
        </w:tc>
        <w:tc>
          <w:tcPr>
            <w:tcW w:w="1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jc w:val="center"/>
              <w:ind w:left="292"/>
              <w:spacing w:after="0"/>
              <w:rPr>
                <w:sz w:val="20"/>
                <w:szCs w:val="20"/>
                <w:color w:val="auto"/>
              </w:rPr>
            </w:pPr>
            <w:r>
              <w:rPr>
                <w:rFonts w:ascii="Arial" w:cs="Arial" w:eastAsia="Arial" w:hAnsi="Arial"/>
                <w:sz w:val="10"/>
                <w:szCs w:val="10"/>
                <w:color w:val="auto"/>
                <w:w w:val="86"/>
              </w:rPr>
              <w:t>Filed herewith</w:t>
            </w:r>
          </w:p>
        </w:tc>
      </w:tr>
      <w:tr>
        <w:trPr>
          <w:trHeight w:val="126"/>
        </w:trPr>
        <w:tc>
          <w:tcPr>
            <w:tcW w:w="460" w:type="dxa"/>
            <w:vAlign w:val="bottom"/>
          </w:tcPr>
          <w:p>
            <w:pPr>
              <w:jc w:val="right"/>
              <w:ind w:right="52"/>
              <w:spacing w:after="0"/>
              <w:rPr>
                <w:sz w:val="20"/>
                <w:szCs w:val="20"/>
                <w:color w:val="auto"/>
              </w:rPr>
            </w:pPr>
            <w:r>
              <w:rPr>
                <w:rFonts w:ascii="Arial" w:cs="Arial" w:eastAsia="Arial" w:hAnsi="Arial"/>
                <w:sz w:val="10"/>
                <w:szCs w:val="10"/>
                <w:color w:val="auto"/>
                <w:w w:val="86"/>
              </w:rPr>
              <w:t>101.DEF</w:t>
            </w:r>
          </w:p>
        </w:tc>
        <w:tc>
          <w:tcPr>
            <w:tcW w:w="4520" w:type="dxa"/>
            <w:vAlign w:val="bottom"/>
            <w:gridSpan w:val="34"/>
          </w:tcPr>
          <w:p>
            <w:pPr>
              <w:spacing w:after="0"/>
              <w:rPr>
                <w:sz w:val="20"/>
                <w:szCs w:val="20"/>
                <w:color w:val="auto"/>
              </w:rPr>
            </w:pPr>
            <w:r>
              <w:rPr>
                <w:rFonts w:ascii="Arial" w:cs="Arial" w:eastAsia="Arial" w:hAnsi="Arial"/>
                <w:sz w:val="10"/>
                <w:szCs w:val="10"/>
                <w:color w:val="auto"/>
              </w:rPr>
              <w:t>Inline XBRL Taxonomy Extension Definition Linkbase Document.</w:t>
            </w:r>
          </w:p>
        </w:tc>
        <w:tc>
          <w:tcPr>
            <w:tcW w:w="1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jc w:val="center"/>
              <w:ind w:left="292"/>
              <w:spacing w:after="0"/>
              <w:rPr>
                <w:sz w:val="20"/>
                <w:szCs w:val="20"/>
                <w:color w:val="auto"/>
              </w:rPr>
            </w:pPr>
            <w:r>
              <w:rPr>
                <w:rFonts w:ascii="Arial" w:cs="Arial" w:eastAsia="Arial" w:hAnsi="Arial"/>
                <w:sz w:val="10"/>
                <w:szCs w:val="10"/>
                <w:color w:val="auto"/>
                <w:w w:val="86"/>
              </w:rPr>
              <w:t>Filed herewith</w:t>
            </w:r>
          </w:p>
        </w:tc>
      </w:tr>
      <w:tr>
        <w:trPr>
          <w:trHeight w:val="126"/>
        </w:trPr>
        <w:tc>
          <w:tcPr>
            <w:tcW w:w="460" w:type="dxa"/>
            <w:vAlign w:val="bottom"/>
          </w:tcPr>
          <w:p>
            <w:pPr>
              <w:jc w:val="right"/>
              <w:ind w:right="52"/>
              <w:spacing w:after="0"/>
              <w:rPr>
                <w:sz w:val="20"/>
                <w:szCs w:val="20"/>
                <w:color w:val="auto"/>
              </w:rPr>
            </w:pPr>
            <w:r>
              <w:rPr>
                <w:rFonts w:ascii="Arial" w:cs="Arial" w:eastAsia="Arial" w:hAnsi="Arial"/>
                <w:sz w:val="10"/>
                <w:szCs w:val="10"/>
                <w:color w:val="auto"/>
                <w:w w:val="88"/>
              </w:rPr>
              <w:t>101.LAB</w:t>
            </w:r>
          </w:p>
        </w:tc>
        <w:tc>
          <w:tcPr>
            <w:tcW w:w="4520" w:type="dxa"/>
            <w:vAlign w:val="bottom"/>
            <w:gridSpan w:val="34"/>
          </w:tcPr>
          <w:p>
            <w:pPr>
              <w:spacing w:after="0"/>
              <w:rPr>
                <w:sz w:val="20"/>
                <w:szCs w:val="20"/>
                <w:color w:val="auto"/>
              </w:rPr>
            </w:pPr>
            <w:r>
              <w:rPr>
                <w:rFonts w:ascii="Arial" w:cs="Arial" w:eastAsia="Arial" w:hAnsi="Arial"/>
                <w:sz w:val="10"/>
                <w:szCs w:val="10"/>
                <w:color w:val="auto"/>
              </w:rPr>
              <w:t>XBRL Taxonomy Extension Label Linkbase Document.</w:t>
            </w:r>
          </w:p>
        </w:tc>
        <w:tc>
          <w:tcPr>
            <w:tcW w:w="1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jc w:val="center"/>
              <w:ind w:left="292"/>
              <w:spacing w:after="0"/>
              <w:rPr>
                <w:sz w:val="20"/>
                <w:szCs w:val="20"/>
                <w:color w:val="auto"/>
              </w:rPr>
            </w:pPr>
            <w:r>
              <w:rPr>
                <w:rFonts w:ascii="Arial" w:cs="Arial" w:eastAsia="Arial" w:hAnsi="Arial"/>
                <w:sz w:val="10"/>
                <w:szCs w:val="10"/>
                <w:color w:val="auto"/>
                <w:w w:val="86"/>
              </w:rPr>
              <w:t>Filed herewith</w:t>
            </w:r>
          </w:p>
        </w:tc>
      </w:tr>
    </w:tbl>
    <w:p>
      <w:pPr>
        <w:spacing w:after="0" w:line="2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80"/>
          </w:cols>
          <w:pgMar w:left="300" w:top="131" w:right="919" w:bottom="1440" w:gutter="0" w:footer="0" w:header="0"/>
        </w:sectPr>
      </w:pPr>
    </w:p>
    <w:bookmarkStart w:id="121" w:name="page122"/>
    <w:bookmarkEnd w:id="121"/>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88"/>
        <w:spacing w:after="0"/>
        <w:tabs>
          <w:tab w:leader="none" w:pos="1128" w:val="left"/>
          <w:tab w:leader="none" w:pos="10028" w:val="left"/>
        </w:tabs>
        <w:rPr>
          <w:sz w:val="20"/>
          <w:szCs w:val="20"/>
          <w:color w:val="auto"/>
        </w:rPr>
      </w:pPr>
      <w:r>
        <w:rPr>
          <w:rFonts w:ascii="Arial" w:cs="Arial" w:eastAsia="Arial" w:hAnsi="Arial"/>
          <w:sz w:val="10"/>
          <w:szCs w:val="10"/>
          <w:color w:val="auto"/>
        </w:rPr>
        <w:t>101.PRE</w:t>
        <w:tab/>
        <w:t>Inline XBRL Taxonomy Extension Presentation Linkbase Document.</w:t>
      </w:r>
      <w:r>
        <w:rPr>
          <w:sz w:val="20"/>
          <w:szCs w:val="20"/>
          <w:color w:val="auto"/>
        </w:rPr>
        <w:tab/>
      </w:r>
      <w:r>
        <w:rPr>
          <w:rFonts w:ascii="Arial" w:cs="Arial" w:eastAsia="Arial" w:hAnsi="Arial"/>
          <w:sz w:val="8"/>
          <w:szCs w:val="8"/>
          <w:color w:val="auto"/>
        </w:rPr>
        <w:t>Filed herewith</w:t>
      </w:r>
    </w:p>
    <w:p>
      <w:pPr>
        <w:spacing w:after="0" w:line="11" w:lineRule="exact"/>
        <w:rPr>
          <w:sz w:val="20"/>
          <w:szCs w:val="20"/>
          <w:color w:val="auto"/>
        </w:rPr>
      </w:pPr>
    </w:p>
    <w:p>
      <w:pPr>
        <w:ind w:left="1148" w:right="5700" w:hanging="251"/>
        <w:spacing w:after="0" w:line="220" w:lineRule="auto"/>
        <w:tabs>
          <w:tab w:leader="none" w:pos="1148" w:val="left"/>
        </w:tabs>
        <w:numPr>
          <w:ilvl w:val="0"/>
          <w:numId w:val="90"/>
        </w:numPr>
        <w:rPr>
          <w:rFonts w:ascii="Arial" w:cs="Arial" w:eastAsia="Arial" w:hAnsi="Arial"/>
          <w:sz w:val="10"/>
          <w:szCs w:val="10"/>
          <w:color w:val="auto"/>
        </w:rPr>
      </w:pPr>
      <w:r>
        <w:rPr>
          <w:rFonts w:ascii="Arial" w:cs="Arial" w:eastAsia="Arial" w:hAnsi="Arial"/>
          <w:sz w:val="10"/>
          <w:szCs w:val="10"/>
          <w:color w:val="auto"/>
        </w:rPr>
        <w:t>Cover Page with Interactive Data File (formatted as Inline XBRL with applicable taxonomy extension information contained in Exhibits 101).</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__________________________________________</w:t>
      </w:r>
    </w:p>
    <w:p>
      <w:pPr>
        <w:spacing w:after="0" w:line="33" w:lineRule="exact"/>
        <w:rPr>
          <w:sz w:val="20"/>
          <w:szCs w:val="20"/>
          <w:color w:val="auto"/>
        </w:rPr>
      </w:pPr>
    </w:p>
    <w:p>
      <w:pPr>
        <w:ind w:left="428" w:right="380" w:hanging="428"/>
        <w:spacing w:after="0" w:line="226" w:lineRule="auto"/>
        <w:tabs>
          <w:tab w:leader="none" w:pos="184" w:val="left"/>
        </w:tabs>
        <w:numPr>
          <w:ilvl w:val="0"/>
          <w:numId w:val="91"/>
        </w:numPr>
        <w:rPr>
          <w:rFonts w:ascii="Arial" w:cs="Arial" w:eastAsia="Arial" w:hAnsi="Arial"/>
          <w:sz w:val="12"/>
          <w:szCs w:val="12"/>
          <w:color w:val="auto"/>
        </w:rPr>
      </w:pPr>
      <w:r>
        <w:rPr>
          <w:rFonts w:ascii="Arial" w:cs="Arial" w:eastAsia="Arial" w:hAnsi="Arial"/>
          <w:sz w:val="10"/>
          <w:szCs w:val="10"/>
          <w:color w:val="auto"/>
        </w:rPr>
        <w:t>Schedules and other similar attachments have been omitted pursuant to Item 601(b)(2) of Regulation S-K. The registrant hereby undertakes to furnish supplemental copies of any of the omitted schedules and other similar attachments upon request by the Securities and Exchange Commission.</w:t>
      </w:r>
    </w:p>
    <w:p>
      <w:pPr>
        <w:spacing w:after="0" w:line="113" w:lineRule="exact"/>
        <w:rPr>
          <w:sz w:val="20"/>
          <w:szCs w:val="20"/>
          <w:color w:val="auto"/>
        </w:rPr>
      </w:pPr>
    </w:p>
    <w:p>
      <w:pPr>
        <w:ind w:left="8" w:right="4720" w:hanging="8"/>
        <w:spacing w:after="0" w:line="469" w:lineRule="auto"/>
        <w:tabs>
          <w:tab w:leader="none" w:pos="152" w:val="left"/>
        </w:tabs>
        <w:numPr>
          <w:ilvl w:val="0"/>
          <w:numId w:val="92"/>
        </w:numPr>
        <w:rPr>
          <w:rFonts w:ascii="Arial" w:cs="Arial" w:eastAsia="Arial" w:hAnsi="Arial"/>
          <w:sz w:val="10"/>
          <w:szCs w:val="10"/>
          <w:color w:val="auto"/>
        </w:rPr>
      </w:pPr>
      <w:r>
        <w:rPr>
          <w:rFonts w:ascii="Arial" w:cs="Arial" w:eastAsia="Arial" w:hAnsi="Arial"/>
          <w:sz w:val="10"/>
          <w:szCs w:val="10"/>
          <w:color w:val="auto"/>
        </w:rPr>
        <w:t>Certain portions of this exhibit have been omitted because they are not material and they are the type of information that the registrant treats as private or confidential. * Indicates a management contract or compensatory plan or arrangement.</w:t>
      </w:r>
    </w:p>
    <w:p>
      <w:pPr>
        <w:spacing w:after="0" w:line="1" w:lineRule="exact"/>
        <w:rPr>
          <w:sz w:val="20"/>
          <w:szCs w:val="20"/>
          <w:color w:val="auto"/>
        </w:rPr>
      </w:pPr>
    </w:p>
    <w:p>
      <w:pPr>
        <w:ind w:left="428" w:hanging="428"/>
        <w:spacing w:after="0" w:line="239" w:lineRule="auto"/>
        <w:tabs>
          <w:tab w:leader="none" w:pos="186" w:val="left"/>
        </w:tabs>
        <w:numPr>
          <w:ilvl w:val="0"/>
          <w:numId w:val="93"/>
        </w:numPr>
        <w:rPr>
          <w:rFonts w:ascii="Arial" w:cs="Arial" w:eastAsia="Arial" w:hAnsi="Arial"/>
          <w:sz w:val="10"/>
          <w:szCs w:val="10"/>
          <w:color w:val="auto"/>
        </w:rPr>
      </w:pPr>
      <w:r>
        <w:rPr>
          <w:rFonts w:ascii="Arial" w:cs="Arial" w:eastAsia="Arial" w:hAnsi="Arial"/>
          <w:sz w:val="10"/>
          <w:szCs w:val="10"/>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Item 16. </w:t>
      </w:r>
      <w:r>
        <w:rPr>
          <w:rFonts w:ascii="Arial" w:cs="Arial" w:eastAsia="Arial" w:hAnsi="Arial"/>
          <w:sz w:val="12"/>
          <w:szCs w:val="12"/>
          <w:b w:val="1"/>
          <w:bCs w:val="1"/>
          <w:i w:val="1"/>
          <w:iCs w:val="1"/>
          <w:color w:val="auto"/>
        </w:rPr>
        <w:t>Form 10-K Summary</w:t>
      </w:r>
    </w:p>
    <w:p>
      <w:pPr>
        <w:spacing w:after="0" w:line="15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None.</w:t>
      </w:r>
    </w:p>
    <w:p>
      <w:pPr>
        <w:spacing w:after="0" w:line="213"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31" w:right="359" w:bottom="1440" w:gutter="0" w:footer="0" w:header="0"/>
        </w:sectPr>
      </w:pPr>
    </w:p>
    <w:bookmarkStart w:id="122" w:name="page123"/>
    <w:bookmarkEnd w:id="12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jc w:val="center"/>
        <w:ind w:right="-559"/>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0"/>
          <w:szCs w:val="10"/>
          <w:color w:val="auto"/>
        </w:rPr>
        <w:t>Pursuant to the requirements of Section 13 or 15(d)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ind w:left="4760"/>
        <w:spacing w:after="0"/>
        <w:rPr>
          <w:sz w:val="20"/>
          <w:szCs w:val="20"/>
          <w:color w:val="auto"/>
        </w:rPr>
      </w:pPr>
      <w:r>
        <w:rPr>
          <w:rFonts w:ascii="Arial" w:cs="Arial" w:eastAsia="Arial" w:hAnsi="Arial"/>
          <w:sz w:val="12"/>
          <w:szCs w:val="12"/>
          <w:color w:val="auto"/>
        </w:rPr>
        <w:t>Twilio Inc.</w:t>
      </w:r>
    </w:p>
    <w:p>
      <w:pPr>
        <w:sectPr>
          <w:pgSz w:w="11900" w:h="16838" w:orient="portrait"/>
          <w:cols w:equalWidth="0" w:num="1">
            <w:col w:w="10740"/>
          </w:cols>
          <w:pgMar w:left="300" w:top="131" w:right="859" w:bottom="1440" w:gutter="0" w:footer="0" w:header="0"/>
        </w:sectPr>
      </w:pPr>
    </w:p>
    <w:p>
      <w:pPr>
        <w:spacing w:after="0" w:line="15" w:lineRule="exact"/>
        <w:rPr>
          <w:sz w:val="20"/>
          <w:szCs w:val="20"/>
          <w:color w:val="auto"/>
        </w:rPr>
      </w:pPr>
    </w:p>
    <w:p>
      <w:pPr>
        <w:ind w:left="680"/>
        <w:spacing w:after="0"/>
        <w:rPr>
          <w:sz w:val="20"/>
          <w:szCs w:val="20"/>
          <w:color w:val="auto"/>
        </w:rPr>
      </w:pPr>
      <w:r>
        <w:rPr>
          <w:rFonts w:ascii="Arial" w:cs="Arial" w:eastAsia="Arial" w:hAnsi="Arial"/>
          <w:sz w:val="10"/>
          <w:szCs w:val="10"/>
          <w:color w:val="auto"/>
        </w:rPr>
        <w:t>February 22,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/s/ JEFF LAWSON</w:t>
      </w:r>
    </w:p>
    <w:p>
      <w:pPr>
        <w:spacing w:after="0" w:line="16" w:lineRule="exact"/>
        <w:rPr>
          <w:sz w:val="20"/>
          <w:szCs w:val="20"/>
          <w:color w:val="auto"/>
        </w:rPr>
      </w:pPr>
    </w:p>
    <w:p>
      <w:pPr>
        <w:sectPr>
          <w:pgSz w:w="11900" w:h="16838" w:orient="portrait"/>
          <w:cols w:equalWidth="0" w:num="2">
            <w:col w:w="4040" w:space="720"/>
            <w:col w:w="5980"/>
          </w:cols>
          <w:pgMar w:left="300" w:top="131" w:right="859" w:bottom="1440" w:gutter="0" w:footer="0" w:header="0"/>
          <w:type w:val="continuous"/>
        </w:sectPr>
      </w:pPr>
    </w:p>
    <w:p>
      <w:pPr>
        <w:ind w:left="4760"/>
        <w:spacing w:after="0"/>
        <w:rPr>
          <w:sz w:val="20"/>
          <w:szCs w:val="20"/>
          <w:color w:val="auto"/>
        </w:rPr>
      </w:pPr>
      <w:r>
        <w:rPr>
          <w:rFonts w:ascii="Arial" w:cs="Arial" w:eastAsia="Arial" w:hAnsi="Arial"/>
          <w:sz w:val="12"/>
          <w:szCs w:val="12"/>
          <w:color w:val="auto"/>
        </w:rPr>
        <w:t>Jeff Lawson</w:t>
      </w:r>
    </w:p>
    <w:p>
      <w:pPr>
        <w:ind w:left="4500"/>
        <w:spacing w:after="0"/>
        <w:rPr>
          <w:sz w:val="20"/>
          <w:szCs w:val="20"/>
          <w:color w:val="auto"/>
        </w:rPr>
      </w:pPr>
      <w:r>
        <w:rPr>
          <w:rFonts w:ascii="Arial" w:cs="Arial" w:eastAsia="Arial" w:hAnsi="Arial"/>
          <w:sz w:val="11"/>
          <w:szCs w:val="11"/>
          <w:color w:val="auto"/>
        </w:rPr>
        <w:t>Director and Chief Executive Officer (Principal Executive Officer)</w:t>
      </w:r>
    </w:p>
    <w:p>
      <w:pPr>
        <w:sectPr>
          <w:pgSz w:w="11900" w:h="16838" w:orient="portrait"/>
          <w:cols w:equalWidth="0" w:num="1">
            <w:col w:w="10740"/>
          </w:cols>
          <w:pgMar w:left="300" w:top="131" w:right="859" w:bottom="1440" w:gutter="0" w:footer="0" w:header="0"/>
          <w:type w:val="continuous"/>
        </w:sectPr>
      </w:pPr>
    </w:p>
    <w:p>
      <w:pPr>
        <w:spacing w:after="0" w:line="161" w:lineRule="exact"/>
        <w:rPr>
          <w:sz w:val="20"/>
          <w:szCs w:val="20"/>
          <w:color w:val="auto"/>
        </w:rPr>
      </w:pPr>
    </w:p>
    <w:p>
      <w:pPr>
        <w:ind w:left="680"/>
        <w:spacing w:after="0"/>
        <w:rPr>
          <w:sz w:val="20"/>
          <w:szCs w:val="20"/>
          <w:color w:val="auto"/>
        </w:rPr>
      </w:pPr>
      <w:r>
        <w:rPr>
          <w:rFonts w:ascii="Arial" w:cs="Arial" w:eastAsia="Arial" w:hAnsi="Arial"/>
          <w:sz w:val="10"/>
          <w:szCs w:val="10"/>
          <w:color w:val="auto"/>
        </w:rPr>
        <w:t>February 22, 2022</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/s/ KHOZEMA Z. SHIPCHANDLER</w:t>
      </w:r>
    </w:p>
    <w:p>
      <w:pPr>
        <w:spacing w:after="0" w:line="16" w:lineRule="exact"/>
        <w:rPr>
          <w:sz w:val="20"/>
          <w:szCs w:val="20"/>
          <w:color w:val="auto"/>
        </w:rPr>
      </w:pPr>
    </w:p>
    <w:p>
      <w:pPr>
        <w:sectPr>
          <w:pgSz w:w="11900" w:h="16838" w:orient="portrait"/>
          <w:cols w:equalWidth="0" w:num="2">
            <w:col w:w="4040" w:space="720"/>
            <w:col w:w="5980"/>
          </w:cols>
          <w:pgMar w:left="300" w:top="131" w:right="859" w:bottom="1440" w:gutter="0" w:footer="0" w:header="0"/>
          <w:type w:val="continuous"/>
        </w:sectPr>
      </w:pPr>
    </w:p>
    <w:p>
      <w:pPr>
        <w:ind w:left="4760"/>
        <w:spacing w:after="0"/>
        <w:rPr>
          <w:sz w:val="20"/>
          <w:szCs w:val="20"/>
          <w:color w:val="auto"/>
        </w:rPr>
      </w:pPr>
      <w:r>
        <w:rPr>
          <w:rFonts w:ascii="Arial" w:cs="Arial" w:eastAsia="Arial" w:hAnsi="Arial"/>
          <w:sz w:val="12"/>
          <w:szCs w:val="12"/>
          <w:color w:val="auto"/>
        </w:rPr>
        <w:t>Khozema Z. Shipchandler</w:t>
      </w:r>
    </w:p>
    <w:p>
      <w:pPr>
        <w:ind w:left="4500"/>
        <w:spacing w:after="0"/>
        <w:rPr>
          <w:sz w:val="20"/>
          <w:szCs w:val="20"/>
          <w:color w:val="auto"/>
        </w:rPr>
      </w:pPr>
      <w:r>
        <w:rPr>
          <w:rFonts w:ascii="Arial" w:cs="Arial" w:eastAsia="Arial" w:hAnsi="Arial"/>
          <w:sz w:val="11"/>
          <w:szCs w:val="11"/>
          <w:color w:val="auto"/>
        </w:rPr>
        <w:t>Chief Operating Officer (Principal Accounting and Financial Officer)</w:t>
      </w:r>
    </w:p>
    <w:p>
      <w:pPr>
        <w:sectPr>
          <w:pgSz w:w="11900" w:h="16838" w:orient="portrait"/>
          <w:cols w:equalWidth="0" w:num="1">
            <w:col w:w="10740"/>
          </w:cols>
          <w:pgMar w:left="300" w:top="131" w:right="859" w:bottom="1440" w:gutter="0" w:footer="0" w:header="0"/>
          <w:type w:val="continuous"/>
        </w:sectPr>
      </w:pPr>
    </w:p>
    <w:p>
      <w:pPr>
        <w:spacing w:after="0" w:line="161" w:lineRule="exact"/>
        <w:rPr>
          <w:sz w:val="20"/>
          <w:szCs w:val="20"/>
          <w:color w:val="auto"/>
        </w:rPr>
      </w:pPr>
    </w:p>
    <w:p>
      <w:pPr>
        <w:ind w:left="680"/>
        <w:spacing w:after="0"/>
        <w:rPr>
          <w:sz w:val="20"/>
          <w:szCs w:val="20"/>
          <w:color w:val="auto"/>
        </w:rPr>
      </w:pPr>
      <w:r>
        <w:rPr>
          <w:rFonts w:ascii="Arial" w:cs="Arial" w:eastAsia="Arial" w:hAnsi="Arial"/>
          <w:sz w:val="10"/>
          <w:szCs w:val="10"/>
          <w:color w:val="auto"/>
        </w:rPr>
        <w:t>February 22, 2022</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/s/ RICHARD L. DALZELL</w:t>
      </w:r>
    </w:p>
    <w:p>
      <w:pPr>
        <w:spacing w:after="0" w:line="27" w:lineRule="exact"/>
        <w:rPr>
          <w:sz w:val="20"/>
          <w:szCs w:val="20"/>
          <w:color w:val="auto"/>
        </w:rPr>
      </w:pPr>
    </w:p>
    <w:p>
      <w:pPr>
        <w:sectPr>
          <w:pgSz w:w="11900" w:h="16838" w:orient="portrait"/>
          <w:cols w:equalWidth="0" w:num="2">
            <w:col w:w="4040" w:space="720"/>
            <w:col w:w="5980"/>
          </w:cols>
          <w:pgMar w:left="300" w:top="131" w:right="859" w:bottom="1440" w:gutter="0" w:footer="0" w:header="0"/>
          <w:type w:val="continuous"/>
        </w:sectPr>
      </w:pPr>
    </w:p>
    <w:p>
      <w:pPr>
        <w:ind w:left="4760"/>
        <w:spacing w:after="0"/>
        <w:rPr>
          <w:sz w:val="20"/>
          <w:szCs w:val="20"/>
          <w:color w:val="auto"/>
        </w:rPr>
      </w:pPr>
      <w:r>
        <w:rPr>
          <w:rFonts w:ascii="Arial" w:cs="Arial" w:eastAsia="Arial" w:hAnsi="Arial"/>
          <w:sz w:val="11"/>
          <w:szCs w:val="11"/>
          <w:color w:val="auto"/>
        </w:rPr>
        <w:t>Richard L. Dalzell</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Director</w:t>
      </w:r>
    </w:p>
    <w:p>
      <w:pPr>
        <w:sectPr>
          <w:pgSz w:w="11900" w:h="16838" w:orient="portrait"/>
          <w:cols w:equalWidth="0" w:num="1">
            <w:col w:w="10740"/>
          </w:cols>
          <w:pgMar w:left="300" w:top="131" w:right="859" w:bottom="1440" w:gutter="0" w:footer="0" w:header="0"/>
          <w:type w:val="continuous"/>
        </w:sectPr>
      </w:pPr>
    </w:p>
    <w:p>
      <w:pPr>
        <w:spacing w:after="0" w:line="149" w:lineRule="exact"/>
        <w:rPr>
          <w:sz w:val="20"/>
          <w:szCs w:val="20"/>
          <w:color w:val="auto"/>
        </w:rPr>
      </w:pPr>
    </w:p>
    <w:p>
      <w:pPr>
        <w:ind w:left="680"/>
        <w:spacing w:after="0"/>
        <w:rPr>
          <w:sz w:val="20"/>
          <w:szCs w:val="20"/>
          <w:color w:val="auto"/>
        </w:rPr>
      </w:pPr>
      <w:r>
        <w:rPr>
          <w:rFonts w:ascii="Arial" w:cs="Arial" w:eastAsia="Arial" w:hAnsi="Arial"/>
          <w:sz w:val="10"/>
          <w:szCs w:val="10"/>
          <w:color w:val="auto"/>
        </w:rPr>
        <w:t>February 22, 2022</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/s/ BYRON B. DEETER</w:t>
      </w:r>
    </w:p>
    <w:p>
      <w:pPr>
        <w:spacing w:after="0" w:line="27" w:lineRule="exact"/>
        <w:rPr>
          <w:sz w:val="20"/>
          <w:szCs w:val="20"/>
          <w:color w:val="auto"/>
        </w:rPr>
      </w:pPr>
    </w:p>
    <w:p>
      <w:pPr>
        <w:sectPr>
          <w:pgSz w:w="11900" w:h="16838" w:orient="portrait"/>
          <w:cols w:equalWidth="0" w:num="2">
            <w:col w:w="4040" w:space="720"/>
            <w:col w:w="5980"/>
          </w:cols>
          <w:pgMar w:left="300" w:top="131" w:right="859" w:bottom="1440" w:gutter="0" w:footer="0" w:header="0"/>
          <w:type w:val="continuous"/>
        </w:sectPr>
      </w:pPr>
    </w:p>
    <w:p>
      <w:pPr>
        <w:ind w:left="4760"/>
        <w:spacing w:after="0"/>
        <w:rPr>
          <w:sz w:val="20"/>
          <w:szCs w:val="20"/>
          <w:color w:val="auto"/>
        </w:rPr>
      </w:pPr>
      <w:r>
        <w:rPr>
          <w:rFonts w:ascii="Arial" w:cs="Arial" w:eastAsia="Arial" w:hAnsi="Arial"/>
          <w:sz w:val="11"/>
          <w:szCs w:val="11"/>
          <w:color w:val="auto"/>
        </w:rPr>
        <w:t>Byron B. Deeter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Director</w:t>
      </w:r>
    </w:p>
    <w:p>
      <w:pPr>
        <w:sectPr>
          <w:pgSz w:w="11900" w:h="16838" w:orient="portrait"/>
          <w:cols w:equalWidth="0" w:num="1">
            <w:col w:w="10740"/>
          </w:cols>
          <w:pgMar w:left="300" w:top="131" w:right="859" w:bottom="1440" w:gutter="0" w:footer="0" w:header="0"/>
          <w:type w:val="continuous"/>
        </w:sectPr>
      </w:pPr>
    </w:p>
    <w:p>
      <w:pPr>
        <w:spacing w:after="0" w:line="149" w:lineRule="exact"/>
        <w:rPr>
          <w:sz w:val="20"/>
          <w:szCs w:val="20"/>
          <w:color w:val="auto"/>
        </w:rPr>
      </w:pPr>
    </w:p>
    <w:p>
      <w:pPr>
        <w:ind w:left="680"/>
        <w:spacing w:after="0"/>
        <w:rPr>
          <w:sz w:val="20"/>
          <w:szCs w:val="20"/>
          <w:color w:val="auto"/>
        </w:rPr>
      </w:pPr>
      <w:r>
        <w:rPr>
          <w:rFonts w:ascii="Arial" w:cs="Arial" w:eastAsia="Arial" w:hAnsi="Arial"/>
          <w:sz w:val="10"/>
          <w:szCs w:val="10"/>
          <w:color w:val="auto"/>
        </w:rPr>
        <w:t>February 22, 2022</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/s/ ELENA A. DONIO</w:t>
      </w:r>
    </w:p>
    <w:p>
      <w:pPr>
        <w:spacing w:after="0" w:line="27" w:lineRule="exact"/>
        <w:rPr>
          <w:sz w:val="20"/>
          <w:szCs w:val="20"/>
          <w:color w:val="auto"/>
        </w:rPr>
      </w:pPr>
    </w:p>
    <w:p>
      <w:pPr>
        <w:sectPr>
          <w:pgSz w:w="11900" w:h="16838" w:orient="portrait"/>
          <w:cols w:equalWidth="0" w:num="2">
            <w:col w:w="4040" w:space="720"/>
            <w:col w:w="5980"/>
          </w:cols>
          <w:pgMar w:left="300" w:top="131" w:right="859" w:bottom="1440" w:gutter="0" w:footer="0" w:header="0"/>
          <w:type w:val="continuous"/>
        </w:sectPr>
      </w:pPr>
    </w:p>
    <w:p>
      <w:pPr>
        <w:ind w:left="4760"/>
        <w:spacing w:after="0"/>
        <w:rPr>
          <w:sz w:val="20"/>
          <w:szCs w:val="20"/>
          <w:color w:val="auto"/>
        </w:rPr>
      </w:pPr>
      <w:r>
        <w:rPr>
          <w:rFonts w:ascii="Arial" w:cs="Arial" w:eastAsia="Arial" w:hAnsi="Arial"/>
          <w:sz w:val="11"/>
          <w:szCs w:val="11"/>
          <w:color w:val="auto"/>
        </w:rPr>
        <w:t>Elena A. Donio</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Director</w:t>
      </w:r>
    </w:p>
    <w:p>
      <w:pPr>
        <w:sectPr>
          <w:pgSz w:w="11900" w:h="16838" w:orient="portrait"/>
          <w:cols w:equalWidth="0" w:num="1">
            <w:col w:w="10740"/>
          </w:cols>
          <w:pgMar w:left="300" w:top="131" w:right="859" w:bottom="1440" w:gutter="0" w:footer="0" w:header="0"/>
          <w:type w:val="continuous"/>
        </w:sectPr>
      </w:pPr>
    </w:p>
    <w:p>
      <w:pPr>
        <w:spacing w:after="0" w:line="149" w:lineRule="exact"/>
        <w:rPr>
          <w:sz w:val="20"/>
          <w:szCs w:val="20"/>
          <w:color w:val="auto"/>
        </w:rPr>
      </w:pPr>
    </w:p>
    <w:p>
      <w:pPr>
        <w:ind w:left="680"/>
        <w:spacing w:after="0"/>
        <w:rPr>
          <w:sz w:val="20"/>
          <w:szCs w:val="20"/>
          <w:color w:val="auto"/>
        </w:rPr>
      </w:pPr>
      <w:r>
        <w:rPr>
          <w:rFonts w:ascii="Arial" w:cs="Arial" w:eastAsia="Arial" w:hAnsi="Arial"/>
          <w:sz w:val="10"/>
          <w:szCs w:val="10"/>
          <w:color w:val="auto"/>
        </w:rPr>
        <w:t>February 22, 2022</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/s/ DONNA L. DUBINSKY</w:t>
      </w:r>
    </w:p>
    <w:p>
      <w:pPr>
        <w:spacing w:after="0" w:line="27" w:lineRule="exact"/>
        <w:rPr>
          <w:sz w:val="20"/>
          <w:szCs w:val="20"/>
          <w:color w:val="auto"/>
        </w:rPr>
      </w:pPr>
    </w:p>
    <w:p>
      <w:pPr>
        <w:sectPr>
          <w:pgSz w:w="11900" w:h="16838" w:orient="portrait"/>
          <w:cols w:equalWidth="0" w:num="2">
            <w:col w:w="4040" w:space="720"/>
            <w:col w:w="5980"/>
          </w:cols>
          <w:pgMar w:left="300" w:top="131" w:right="859" w:bottom="1440" w:gutter="0" w:footer="0" w:header="0"/>
          <w:type w:val="continuous"/>
        </w:sectPr>
      </w:pPr>
    </w:p>
    <w:p>
      <w:pPr>
        <w:ind w:left="4760"/>
        <w:spacing w:after="0"/>
        <w:rPr>
          <w:sz w:val="20"/>
          <w:szCs w:val="20"/>
          <w:color w:val="auto"/>
        </w:rPr>
      </w:pPr>
      <w:r>
        <w:rPr>
          <w:rFonts w:ascii="Arial" w:cs="Arial" w:eastAsia="Arial" w:hAnsi="Arial"/>
          <w:sz w:val="11"/>
          <w:szCs w:val="11"/>
          <w:color w:val="auto"/>
        </w:rPr>
        <w:t>Donna L. Dubinsky</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Director</w:t>
      </w:r>
    </w:p>
    <w:p>
      <w:pPr>
        <w:sectPr>
          <w:pgSz w:w="11900" w:h="16838" w:orient="portrait"/>
          <w:cols w:equalWidth="0" w:num="1">
            <w:col w:w="10740"/>
          </w:cols>
          <w:pgMar w:left="300" w:top="131" w:right="859" w:bottom="1440" w:gutter="0" w:footer="0" w:header="0"/>
          <w:type w:val="continuous"/>
        </w:sectPr>
      </w:pPr>
    </w:p>
    <w:p>
      <w:pPr>
        <w:spacing w:after="0" w:line="149" w:lineRule="exact"/>
        <w:rPr>
          <w:sz w:val="20"/>
          <w:szCs w:val="20"/>
          <w:color w:val="auto"/>
        </w:rPr>
      </w:pPr>
    </w:p>
    <w:p>
      <w:pPr>
        <w:ind w:left="680"/>
        <w:spacing w:after="0"/>
        <w:rPr>
          <w:sz w:val="20"/>
          <w:szCs w:val="20"/>
          <w:color w:val="auto"/>
        </w:rPr>
      </w:pPr>
      <w:r>
        <w:rPr>
          <w:rFonts w:ascii="Arial" w:cs="Arial" w:eastAsia="Arial" w:hAnsi="Arial"/>
          <w:sz w:val="10"/>
          <w:szCs w:val="10"/>
          <w:color w:val="auto"/>
        </w:rPr>
        <w:t>February 22, 2022</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0"/>
          <w:szCs w:val="10"/>
          <w:color w:val="auto"/>
        </w:rPr>
        <w:t>/s/ JEFF EPSTEIN</w:t>
      </w:r>
    </w:p>
    <w:p>
      <w:pPr>
        <w:spacing w:after="0" w:line="38" w:lineRule="exact"/>
        <w:rPr>
          <w:sz w:val="20"/>
          <w:szCs w:val="20"/>
          <w:color w:val="auto"/>
        </w:rPr>
      </w:pPr>
    </w:p>
    <w:p>
      <w:pPr>
        <w:sectPr>
          <w:pgSz w:w="11900" w:h="16838" w:orient="portrait"/>
          <w:cols w:equalWidth="0" w:num="2">
            <w:col w:w="4040" w:space="720"/>
            <w:col w:w="5980"/>
          </w:cols>
          <w:pgMar w:left="300" w:top="131" w:right="859" w:bottom="1440" w:gutter="0" w:footer="0" w:header="0"/>
          <w:type w:val="continuous"/>
        </w:sectPr>
      </w:pPr>
    </w:p>
    <w:p>
      <w:pPr>
        <w:ind w:left="4760"/>
        <w:spacing w:after="0"/>
        <w:rPr>
          <w:sz w:val="20"/>
          <w:szCs w:val="20"/>
          <w:color w:val="auto"/>
        </w:rPr>
      </w:pPr>
      <w:r>
        <w:rPr>
          <w:rFonts w:ascii="Arial" w:cs="Arial" w:eastAsia="Arial" w:hAnsi="Arial"/>
          <w:sz w:val="10"/>
          <w:szCs w:val="10"/>
          <w:color w:val="auto"/>
        </w:rPr>
        <w:t>Jeff Epstein</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Director</w:t>
      </w:r>
    </w:p>
    <w:p>
      <w:pPr>
        <w:sectPr>
          <w:pgSz w:w="11900" w:h="16838" w:orient="portrait"/>
          <w:cols w:equalWidth="0" w:num="1">
            <w:col w:w="10740"/>
          </w:cols>
          <w:pgMar w:left="300" w:top="131" w:right="859" w:bottom="1440" w:gutter="0" w:footer="0" w:header="0"/>
          <w:type w:val="continuous"/>
        </w:sectPr>
      </w:pPr>
    </w:p>
    <w:p>
      <w:pPr>
        <w:spacing w:after="0" w:line="149" w:lineRule="exact"/>
        <w:rPr>
          <w:sz w:val="20"/>
          <w:szCs w:val="20"/>
          <w:color w:val="auto"/>
        </w:rPr>
      </w:pPr>
    </w:p>
    <w:p>
      <w:pPr>
        <w:ind w:left="680"/>
        <w:spacing w:after="0"/>
        <w:rPr>
          <w:sz w:val="20"/>
          <w:szCs w:val="20"/>
          <w:color w:val="auto"/>
        </w:rPr>
      </w:pPr>
      <w:r>
        <w:rPr>
          <w:rFonts w:ascii="Arial" w:cs="Arial" w:eastAsia="Arial" w:hAnsi="Arial"/>
          <w:sz w:val="10"/>
          <w:szCs w:val="10"/>
          <w:color w:val="auto"/>
        </w:rPr>
        <w:t>February 22, 2022</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/s/ JEFFREY R. IMMELT</w:t>
      </w:r>
    </w:p>
    <w:p>
      <w:pPr>
        <w:spacing w:after="0" w:line="27" w:lineRule="exact"/>
        <w:rPr>
          <w:sz w:val="20"/>
          <w:szCs w:val="20"/>
          <w:color w:val="auto"/>
        </w:rPr>
      </w:pPr>
    </w:p>
    <w:p>
      <w:pPr>
        <w:sectPr>
          <w:pgSz w:w="11900" w:h="16838" w:orient="portrait"/>
          <w:cols w:equalWidth="0" w:num="2">
            <w:col w:w="4040" w:space="720"/>
            <w:col w:w="5980"/>
          </w:cols>
          <w:pgMar w:left="300" w:top="131" w:right="859" w:bottom="1440" w:gutter="0" w:footer="0" w:header="0"/>
          <w:type w:val="continuous"/>
        </w:sectPr>
      </w:pPr>
    </w:p>
    <w:p>
      <w:pPr>
        <w:ind w:left="4760"/>
        <w:spacing w:after="0"/>
        <w:rPr>
          <w:sz w:val="20"/>
          <w:szCs w:val="20"/>
          <w:color w:val="auto"/>
        </w:rPr>
      </w:pPr>
      <w:r>
        <w:rPr>
          <w:rFonts w:ascii="Arial" w:cs="Arial" w:eastAsia="Arial" w:hAnsi="Arial"/>
          <w:sz w:val="11"/>
          <w:szCs w:val="11"/>
          <w:color w:val="auto"/>
        </w:rPr>
        <w:t>Jeffrey R. Immelt</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Director</w:t>
      </w:r>
    </w:p>
    <w:p>
      <w:pPr>
        <w:sectPr>
          <w:pgSz w:w="11900" w:h="16838" w:orient="portrait"/>
          <w:cols w:equalWidth="0" w:num="1">
            <w:col w:w="10740"/>
          </w:cols>
          <w:pgMar w:left="300" w:top="131" w:right="859" w:bottom="1440" w:gutter="0" w:footer="0" w:header="0"/>
          <w:type w:val="continuous"/>
        </w:sectPr>
      </w:pPr>
    </w:p>
    <w:p>
      <w:pPr>
        <w:spacing w:after="0" w:line="149" w:lineRule="exact"/>
        <w:rPr>
          <w:sz w:val="20"/>
          <w:szCs w:val="20"/>
          <w:color w:val="auto"/>
        </w:rPr>
      </w:pPr>
    </w:p>
    <w:p>
      <w:pPr>
        <w:ind w:left="680"/>
        <w:spacing w:after="0"/>
        <w:rPr>
          <w:sz w:val="20"/>
          <w:szCs w:val="20"/>
          <w:color w:val="auto"/>
        </w:rPr>
      </w:pPr>
      <w:r>
        <w:rPr>
          <w:rFonts w:ascii="Arial" w:cs="Arial" w:eastAsia="Arial" w:hAnsi="Arial"/>
          <w:sz w:val="10"/>
          <w:szCs w:val="10"/>
          <w:color w:val="auto"/>
        </w:rPr>
        <w:t>February 22, 2022</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/s/ DEVAL L. PATRICK</w:t>
      </w:r>
    </w:p>
    <w:p>
      <w:pPr>
        <w:spacing w:after="0" w:line="27" w:lineRule="exact"/>
        <w:rPr>
          <w:sz w:val="20"/>
          <w:szCs w:val="20"/>
          <w:color w:val="auto"/>
        </w:rPr>
      </w:pPr>
    </w:p>
    <w:p>
      <w:pPr>
        <w:sectPr>
          <w:pgSz w:w="11900" w:h="16838" w:orient="portrait"/>
          <w:cols w:equalWidth="0" w:num="2">
            <w:col w:w="4040" w:space="720"/>
            <w:col w:w="5980"/>
          </w:cols>
          <w:pgMar w:left="300" w:top="131" w:right="859" w:bottom="1440" w:gutter="0" w:footer="0" w:header="0"/>
          <w:type w:val="continuous"/>
        </w:sectPr>
      </w:pPr>
    </w:p>
    <w:p>
      <w:pPr>
        <w:ind w:left="4760"/>
        <w:spacing w:after="0"/>
        <w:rPr>
          <w:sz w:val="20"/>
          <w:szCs w:val="20"/>
          <w:color w:val="auto"/>
        </w:rPr>
      </w:pPr>
      <w:r>
        <w:rPr>
          <w:rFonts w:ascii="Arial" w:cs="Arial" w:eastAsia="Arial" w:hAnsi="Arial"/>
          <w:sz w:val="11"/>
          <w:szCs w:val="11"/>
          <w:color w:val="auto"/>
        </w:rPr>
        <w:t>Deval L. Patrick</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Director</w:t>
      </w:r>
    </w:p>
    <w:p>
      <w:pPr>
        <w:sectPr>
          <w:pgSz w:w="11900" w:h="16838" w:orient="portrait"/>
          <w:cols w:equalWidth="0" w:num="1">
            <w:col w:w="10740"/>
          </w:cols>
          <w:pgMar w:left="300" w:top="131" w:right="859" w:bottom="1440" w:gutter="0" w:footer="0" w:header="0"/>
          <w:type w:val="continuous"/>
        </w:sectPr>
      </w:pPr>
    </w:p>
    <w:p>
      <w:pPr>
        <w:spacing w:after="0" w:line="149" w:lineRule="exact"/>
        <w:rPr>
          <w:sz w:val="20"/>
          <w:szCs w:val="20"/>
          <w:color w:val="auto"/>
        </w:rPr>
      </w:pPr>
    </w:p>
    <w:p>
      <w:pPr>
        <w:ind w:left="680"/>
        <w:spacing w:after="0"/>
        <w:rPr>
          <w:sz w:val="20"/>
          <w:szCs w:val="20"/>
          <w:color w:val="auto"/>
        </w:rPr>
      </w:pPr>
      <w:r>
        <w:rPr>
          <w:rFonts w:ascii="Arial" w:cs="Arial" w:eastAsia="Arial" w:hAnsi="Arial"/>
          <w:sz w:val="10"/>
          <w:szCs w:val="10"/>
          <w:color w:val="auto"/>
        </w:rPr>
        <w:t>February 22, 2022</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color w:val="auto"/>
        </w:rPr>
        <w:t>/s/ ERIKA ROTTENBERG</w:t>
      </w:r>
    </w:p>
    <w:p>
      <w:pPr>
        <w:spacing w:after="0" w:line="16" w:lineRule="exact"/>
        <w:rPr>
          <w:sz w:val="20"/>
          <w:szCs w:val="20"/>
          <w:color w:val="auto"/>
        </w:rPr>
      </w:pPr>
    </w:p>
    <w:p>
      <w:pPr>
        <w:sectPr>
          <w:pgSz w:w="11900" w:h="16838" w:orient="portrait"/>
          <w:cols w:equalWidth="0" w:num="2">
            <w:col w:w="4040" w:space="720"/>
            <w:col w:w="5980"/>
          </w:cols>
          <w:pgMar w:left="300" w:top="131" w:right="859" w:bottom="1440" w:gutter="0" w:footer="0" w:header="0"/>
          <w:type w:val="continuous"/>
        </w:sectPr>
      </w:pPr>
    </w:p>
    <w:p>
      <w:pPr>
        <w:ind w:left="4760"/>
        <w:spacing w:after="0"/>
        <w:rPr>
          <w:sz w:val="20"/>
          <w:szCs w:val="20"/>
          <w:color w:val="auto"/>
        </w:rPr>
      </w:pPr>
      <w:r>
        <w:rPr>
          <w:rFonts w:ascii="Arial" w:cs="Arial" w:eastAsia="Arial" w:hAnsi="Arial"/>
          <w:sz w:val="12"/>
          <w:szCs w:val="12"/>
          <w:color w:val="auto"/>
        </w:rPr>
        <w:t>Erika Rottenberg</w:t>
      </w:r>
    </w:p>
    <w:p>
      <w:pPr>
        <w:ind w:left="4500"/>
        <w:spacing w:after="0"/>
        <w:rPr>
          <w:sz w:val="20"/>
          <w:szCs w:val="20"/>
          <w:color w:val="auto"/>
        </w:rPr>
      </w:pPr>
      <w:r>
        <w:rPr>
          <w:rFonts w:ascii="Arial" w:cs="Arial" w:eastAsia="Arial" w:hAnsi="Arial"/>
          <w:sz w:val="12"/>
          <w:szCs w:val="12"/>
          <w:color w:val="auto"/>
        </w:rPr>
        <w:t>Director</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0"/>
          <w:szCs w:val="10"/>
          <w:color w:val="auto"/>
        </w:rPr>
        <w:t>122</w:t>
      </w:r>
    </w:p>
    <w:p>
      <w:pPr>
        <w:sectPr>
          <w:pgSz w:w="11900" w:h="16838" w:orient="portrait"/>
          <w:cols w:equalWidth="0" w:num="1">
            <w:col w:w="10740"/>
          </w:cols>
          <w:pgMar w:left="300" w:top="131" w:right="859" w:bottom="1440" w:gutter="0" w:footer="0" w:header="0"/>
          <w:type w:val="continuous"/>
        </w:sectPr>
      </w:pPr>
    </w:p>
    <w:bookmarkStart w:id="123" w:name="page124"/>
    <w:bookmarkEnd w:id="123"/>
    <w:p>
      <w:pPr>
        <w:ind w:left="10620"/>
        <w:spacing w:after="0"/>
        <w:rPr>
          <w:sz w:val="20"/>
          <w:szCs w:val="20"/>
          <w:color w:val="auto"/>
        </w:rPr>
      </w:pPr>
      <w:r>
        <w:rPr>
          <w:rFonts w:ascii="Arial" w:cs="Arial" w:eastAsia="Arial" w:hAnsi="Arial"/>
          <w:sz w:val="11"/>
          <w:szCs w:val="11"/>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1120140" cy="3371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sectPr>
          <w:pgSz w:w="11900" w:h="16838" w:orient="portrait"/>
          <w:cols w:equalWidth="0" w:num="1">
            <w:col w:w="11300"/>
          </w:cols>
          <w:pgMar w:left="300" w:top="28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color w:val="auto"/>
        </w:rPr>
        <w:t>October 25, 2021</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Dear Marc,</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behalf of Twilio Inc., a Delaware corporation (the “</w:t>
      </w:r>
      <w:r>
        <w:rPr>
          <w:rFonts w:ascii="Arial" w:cs="Arial" w:eastAsia="Arial" w:hAnsi="Arial"/>
          <w:sz w:val="11"/>
          <w:szCs w:val="11"/>
          <w:i w:val="1"/>
          <w:iCs w:val="1"/>
          <w:u w:val="single" w:color="auto"/>
          <w:color w:val="auto"/>
        </w:rPr>
        <w:t>Company</w:t>
      </w:r>
      <w:r>
        <w:rPr>
          <w:rFonts w:ascii="Arial" w:cs="Arial" w:eastAsia="Arial" w:hAnsi="Arial"/>
          <w:sz w:val="11"/>
          <w:szCs w:val="11"/>
          <w:color w:val="auto"/>
        </w:rPr>
        <w:t xml:space="preserve">”), I am pleased to offer you an expanded position of </w:t>
      </w:r>
      <w:r>
        <w:rPr>
          <w:rFonts w:ascii="Arial" w:cs="Arial" w:eastAsia="Arial" w:hAnsi="Arial"/>
          <w:sz w:val="11"/>
          <w:szCs w:val="11"/>
          <w:b w:val="1"/>
          <w:bCs w:val="1"/>
          <w:color w:val="auto"/>
        </w:rPr>
        <w:t>Chief Revenue Officer</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CRO</w:t>
      </w:r>
      <w:r>
        <w:rPr>
          <w:rFonts w:ascii="Arial" w:cs="Arial" w:eastAsia="Arial" w:hAnsi="Arial"/>
          <w:sz w:val="11"/>
          <w:szCs w:val="11"/>
          <w:color w:val="auto"/>
        </w:rPr>
        <w:t>”) with the Company, reporting to the Company’s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We are very excited to work with you and look forward to your continued success. The terms of your new position with the Company are as set forth below.</w:t>
      </w:r>
    </w:p>
    <w:p>
      <w:pPr>
        <w:spacing w:after="0" w:line="100" w:lineRule="exact"/>
        <w:rPr>
          <w:sz w:val="20"/>
          <w:szCs w:val="20"/>
          <w:color w:val="auto"/>
        </w:rPr>
      </w:pPr>
    </w:p>
    <w:p>
      <w:pPr>
        <w:ind w:firstLine="424"/>
        <w:spacing w:after="0" w:line="238" w:lineRule="auto"/>
        <w:tabs>
          <w:tab w:leader="none" w:pos="856"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Position</w:t>
      </w:r>
      <w:r>
        <w:rPr>
          <w:rFonts w:ascii="Arial" w:cs="Arial" w:eastAsia="Arial" w:hAnsi="Arial"/>
          <w:sz w:val="12"/>
          <w:szCs w:val="12"/>
          <w:color w:val="auto"/>
        </w:rPr>
        <w:t>. As CRO, you will continue to make yourself available to work in the Company’s</w:t>
      </w:r>
      <w:r>
        <w:rPr>
          <w:rFonts w:ascii="Arial" w:cs="Arial" w:eastAsia="Arial" w:hAnsi="Arial"/>
          <w:sz w:val="12"/>
          <w:szCs w:val="12"/>
          <w:b w:val="1"/>
          <w:bCs w:val="1"/>
          <w:color w:val="auto"/>
        </w:rPr>
        <w:t xml:space="preserve"> San Francisco </w:t>
      </w:r>
      <w:r>
        <w:rPr>
          <w:rFonts w:ascii="Arial" w:cs="Arial" w:eastAsia="Arial" w:hAnsi="Arial"/>
          <w:sz w:val="12"/>
          <w:szCs w:val="12"/>
          <w:color w:val="auto"/>
        </w:rPr>
        <w:t>office on a full-time basis. This role is classified as exempt from overtime rules. The Company reserves the</w:t>
      </w:r>
      <w:r>
        <w:rPr>
          <w:rFonts w:ascii="Arial" w:cs="Arial" w:eastAsia="Arial" w:hAnsi="Arial"/>
          <w:sz w:val="12"/>
          <w:szCs w:val="12"/>
          <w:b w:val="1"/>
          <w:bCs w:val="1"/>
          <w:color w:val="auto"/>
        </w:rPr>
        <w:t xml:space="preserve"> </w:t>
      </w:r>
      <w:r>
        <w:rPr>
          <w:rFonts w:ascii="Arial" w:cs="Arial" w:eastAsia="Arial" w:hAnsi="Arial"/>
          <w:sz w:val="12"/>
          <w:szCs w:val="12"/>
          <w:color w:val="auto"/>
        </w:rPr>
        <w:t>right to modify your job duties from time to time in its sole discretion.</w:t>
      </w:r>
    </w:p>
    <w:p>
      <w:pPr>
        <w:spacing w:after="0" w:line="122" w:lineRule="exact"/>
        <w:rPr>
          <w:rFonts w:ascii="Arial" w:cs="Arial" w:eastAsia="Arial" w:hAnsi="Arial"/>
          <w:sz w:val="12"/>
          <w:szCs w:val="12"/>
          <w:b w:val="1"/>
          <w:bCs w:val="1"/>
          <w:color w:val="auto"/>
        </w:rPr>
      </w:pPr>
    </w:p>
    <w:p>
      <w:pPr>
        <w:ind w:left="880" w:hanging="456"/>
        <w:spacing w:after="0"/>
        <w:tabs>
          <w:tab w:leader="none" w:pos="880"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Start Date</w:t>
      </w:r>
      <w:r>
        <w:rPr>
          <w:rFonts w:ascii="Arial" w:cs="Arial" w:eastAsia="Arial" w:hAnsi="Arial"/>
          <w:sz w:val="12"/>
          <w:szCs w:val="12"/>
          <w:color w:val="auto"/>
        </w:rPr>
        <w:t>. You will be transferring into your new position effective on</w:t>
      </w:r>
      <w:r>
        <w:rPr>
          <w:rFonts w:ascii="Arial" w:cs="Arial" w:eastAsia="Arial" w:hAnsi="Arial"/>
          <w:sz w:val="12"/>
          <w:szCs w:val="12"/>
          <w:b w:val="1"/>
          <w:bCs w:val="1"/>
          <w:color w:val="auto"/>
        </w:rPr>
        <w:t xml:space="preserve"> October 27, 2021 </w:t>
      </w:r>
      <w:r>
        <w:rPr>
          <w:rFonts w:ascii="Arial" w:cs="Arial" w:eastAsia="Arial" w:hAnsi="Arial"/>
          <w:sz w:val="12"/>
          <w:szCs w:val="12"/>
          <w:color w:val="auto"/>
        </w:rPr>
        <w:t>(the “</w:t>
      </w:r>
      <w:r>
        <w:rPr>
          <w:rFonts w:ascii="Arial" w:cs="Arial" w:eastAsia="Arial" w:hAnsi="Arial"/>
          <w:sz w:val="12"/>
          <w:szCs w:val="12"/>
          <w:i w:val="1"/>
          <w:iCs w:val="1"/>
          <w:u w:val="single" w:color="auto"/>
          <w:color w:val="auto"/>
        </w:rPr>
        <w:t>Start Date</w:t>
      </w:r>
      <w:r>
        <w:rPr>
          <w:rFonts w:ascii="Arial" w:cs="Arial" w:eastAsia="Arial" w:hAnsi="Arial"/>
          <w:sz w:val="12"/>
          <w:szCs w:val="12"/>
          <w:color w:val="auto"/>
        </w:rPr>
        <w:t>”).</w:t>
      </w:r>
    </w:p>
    <w:p>
      <w:pPr>
        <w:spacing w:after="0" w:line="105" w:lineRule="exact"/>
        <w:rPr>
          <w:rFonts w:ascii="Arial" w:cs="Arial" w:eastAsia="Arial" w:hAnsi="Arial"/>
          <w:sz w:val="12"/>
          <w:szCs w:val="12"/>
          <w:b w:val="1"/>
          <w:bCs w:val="1"/>
          <w:color w:val="auto"/>
        </w:rPr>
      </w:pPr>
    </w:p>
    <w:p>
      <w:pPr>
        <w:ind w:left="840" w:hanging="416"/>
        <w:spacing w:after="0"/>
        <w:tabs>
          <w:tab w:leader="none" w:pos="840"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Compensation</w:t>
      </w:r>
      <w:r>
        <w:rPr>
          <w:rFonts w:ascii="Arial" w:cs="Arial" w:eastAsia="Arial" w:hAnsi="Arial"/>
          <w:sz w:val="12"/>
          <w:szCs w:val="12"/>
          <w:color w:val="auto"/>
        </w:rPr>
        <w:t>.</w:t>
      </w:r>
    </w:p>
    <w:p>
      <w:pPr>
        <w:spacing w:after="0" w:line="123" w:lineRule="exact"/>
        <w:rPr>
          <w:rFonts w:ascii="Arial" w:cs="Arial" w:eastAsia="Arial" w:hAnsi="Arial"/>
          <w:sz w:val="12"/>
          <w:szCs w:val="12"/>
          <w:b w:val="1"/>
          <w:bCs w:val="1"/>
          <w:color w:val="auto"/>
        </w:rPr>
      </w:pPr>
    </w:p>
    <w:p>
      <w:pPr>
        <w:ind w:firstLine="691"/>
        <w:spacing w:after="0" w:line="238" w:lineRule="auto"/>
        <w:tabs>
          <w:tab w:leader="none" w:pos="864" w:val="left"/>
        </w:tabs>
        <w:numPr>
          <w:ilvl w:val="1"/>
          <w:numId w:val="94"/>
        </w:numPr>
        <w:rPr>
          <w:rFonts w:ascii="Arial" w:cs="Arial" w:eastAsia="Arial" w:hAnsi="Arial"/>
          <w:sz w:val="12"/>
          <w:szCs w:val="12"/>
          <w:color w:val="auto"/>
        </w:rPr>
      </w:pPr>
      <w:r>
        <w:rPr>
          <w:rFonts w:ascii="Arial" w:cs="Arial" w:eastAsia="Arial" w:hAnsi="Arial"/>
          <w:sz w:val="12"/>
          <w:szCs w:val="12"/>
          <w:b w:val="1"/>
          <w:bCs w:val="1"/>
          <w:color w:val="auto"/>
        </w:rPr>
        <w:t>Base Salary</w:t>
      </w:r>
      <w:r>
        <w:rPr>
          <w:rFonts w:ascii="Arial" w:cs="Arial" w:eastAsia="Arial" w:hAnsi="Arial"/>
          <w:sz w:val="12"/>
          <w:szCs w:val="12"/>
          <w:color w:val="auto"/>
        </w:rPr>
        <w:t>. You will receive a gross base annual salary rate, subject to applicable deduction and withholding, of</w:t>
      </w:r>
      <w:r>
        <w:rPr>
          <w:rFonts w:ascii="Arial" w:cs="Arial" w:eastAsia="Arial" w:hAnsi="Arial"/>
          <w:sz w:val="12"/>
          <w:szCs w:val="12"/>
          <w:b w:val="1"/>
          <w:bCs w:val="1"/>
          <w:color w:val="auto"/>
        </w:rPr>
        <w:t xml:space="preserve"> $500,000.00 USD</w:t>
      </w:r>
      <w:r>
        <w:rPr>
          <w:rFonts w:ascii="Arial" w:cs="Arial" w:eastAsia="Arial" w:hAnsi="Arial"/>
          <w:sz w:val="12"/>
          <w:szCs w:val="12"/>
          <w:color w:val="auto"/>
        </w:rPr>
        <w:t>. Your salary will be payable on a bi-weekly basis pursuant to the Company's</w:t>
      </w:r>
      <w:r>
        <w:rPr>
          <w:rFonts w:ascii="Arial" w:cs="Arial" w:eastAsia="Arial" w:hAnsi="Arial"/>
          <w:sz w:val="12"/>
          <w:szCs w:val="12"/>
          <w:b w:val="1"/>
          <w:bCs w:val="1"/>
          <w:color w:val="auto"/>
        </w:rPr>
        <w:t xml:space="preserve"> </w:t>
      </w:r>
      <w:r>
        <w:rPr>
          <w:rFonts w:ascii="Arial" w:cs="Arial" w:eastAsia="Arial" w:hAnsi="Arial"/>
          <w:sz w:val="12"/>
          <w:szCs w:val="12"/>
          <w:color w:val="auto"/>
        </w:rPr>
        <w:t>regular payroll policy. As an exempt employee, you are not eligible for overtime pay, and your compensation will not fluctuate according to the quantity of work performed.</w:t>
      </w:r>
    </w:p>
    <w:p>
      <w:pPr>
        <w:spacing w:after="0" w:line="95" w:lineRule="exact"/>
        <w:rPr>
          <w:rFonts w:ascii="Arial" w:cs="Arial" w:eastAsia="Arial" w:hAnsi="Arial"/>
          <w:sz w:val="12"/>
          <w:szCs w:val="12"/>
          <w:color w:val="auto"/>
        </w:rPr>
      </w:pPr>
    </w:p>
    <w:p>
      <w:pPr>
        <w:jc w:val="both"/>
        <w:ind w:firstLine="691"/>
        <w:spacing w:after="0" w:line="226" w:lineRule="auto"/>
        <w:tabs>
          <w:tab w:leader="none" w:pos="861" w:val="left"/>
        </w:tabs>
        <w:numPr>
          <w:ilvl w:val="1"/>
          <w:numId w:val="94"/>
        </w:numPr>
        <w:rPr>
          <w:rFonts w:ascii="Arial" w:cs="Arial" w:eastAsia="Arial" w:hAnsi="Arial"/>
          <w:sz w:val="12"/>
          <w:szCs w:val="12"/>
          <w:color w:val="auto"/>
        </w:rPr>
      </w:pPr>
      <w:r>
        <w:rPr>
          <w:rFonts w:ascii="Arial" w:cs="Arial" w:eastAsia="Arial" w:hAnsi="Arial"/>
          <w:sz w:val="12"/>
          <w:szCs w:val="12"/>
          <w:b w:val="1"/>
          <w:bCs w:val="1"/>
          <w:color w:val="auto"/>
        </w:rPr>
        <w:t>Variable Compensation</w:t>
      </w:r>
      <w:r>
        <w:rPr>
          <w:rFonts w:ascii="Arial" w:cs="Arial" w:eastAsia="Arial" w:hAnsi="Arial"/>
          <w:sz w:val="12"/>
          <w:szCs w:val="12"/>
          <w:color w:val="auto"/>
        </w:rPr>
        <w:t>. Additionally, you will be eligible to earn incentive compensation and your annual target incentive compensation opportunity will be</w:t>
      </w:r>
      <w:r>
        <w:rPr>
          <w:rFonts w:ascii="Arial" w:cs="Arial" w:eastAsia="Arial" w:hAnsi="Arial"/>
          <w:sz w:val="12"/>
          <w:szCs w:val="12"/>
          <w:b w:val="1"/>
          <w:bCs w:val="1"/>
          <w:color w:val="auto"/>
        </w:rPr>
        <w:t xml:space="preserve"> $500,000.00 USD</w:t>
      </w:r>
      <w:r>
        <w:rPr>
          <w:rFonts w:ascii="Arial" w:cs="Arial" w:eastAsia="Arial" w:hAnsi="Arial"/>
          <w:sz w:val="12"/>
          <w:szCs w:val="12"/>
          <w:color w:val="auto"/>
        </w:rPr>
        <w:t>. The actual amount that you will earn,</w:t>
      </w:r>
      <w:r>
        <w:rPr>
          <w:rFonts w:ascii="Arial" w:cs="Arial" w:eastAsia="Arial" w:hAnsi="Arial"/>
          <w:sz w:val="12"/>
          <w:szCs w:val="12"/>
          <w:b w:val="1"/>
          <w:bCs w:val="1"/>
          <w:color w:val="auto"/>
        </w:rPr>
        <w:t xml:space="preserve"> </w:t>
      </w:r>
      <w:r>
        <w:rPr>
          <w:rFonts w:ascii="Arial" w:cs="Arial" w:eastAsia="Arial" w:hAnsi="Arial"/>
          <w:sz w:val="12"/>
          <w:szCs w:val="12"/>
          <w:color w:val="auto"/>
        </w:rPr>
        <w:t>specific terms and conditions of your commission eligibility, goals, incentives, pay-out timing and other provisions will be set forth in a written Sales Commission Plan to be provided by the Company, and as it may be revised by the Company from time to time, in its sole discretion.</w:t>
      </w:r>
    </w:p>
    <w:p>
      <w:pPr>
        <w:spacing w:after="0" w:line="96" w:lineRule="exact"/>
        <w:rPr>
          <w:rFonts w:ascii="Arial" w:cs="Arial" w:eastAsia="Arial" w:hAnsi="Arial"/>
          <w:sz w:val="12"/>
          <w:szCs w:val="12"/>
          <w:color w:val="auto"/>
        </w:rPr>
      </w:pPr>
    </w:p>
    <w:p>
      <w:pPr>
        <w:jc w:val="both"/>
        <w:ind w:firstLine="691"/>
        <w:spacing w:after="0" w:line="234" w:lineRule="auto"/>
        <w:tabs>
          <w:tab w:leader="none" w:pos="864" w:val="left"/>
        </w:tabs>
        <w:numPr>
          <w:ilvl w:val="1"/>
          <w:numId w:val="94"/>
        </w:numPr>
        <w:rPr>
          <w:rFonts w:ascii="Arial" w:cs="Arial" w:eastAsia="Arial" w:hAnsi="Arial"/>
          <w:sz w:val="11"/>
          <w:szCs w:val="11"/>
          <w:color w:val="auto"/>
        </w:rPr>
      </w:pPr>
      <w:r>
        <w:rPr>
          <w:rFonts w:ascii="Arial" w:cs="Arial" w:eastAsia="Arial" w:hAnsi="Arial"/>
          <w:sz w:val="11"/>
          <w:szCs w:val="11"/>
          <w:b w:val="1"/>
          <w:bCs w:val="1"/>
          <w:color w:val="auto"/>
        </w:rPr>
        <w:t>Restricted Stock Units</w:t>
      </w:r>
      <w:r>
        <w:rPr>
          <w:rFonts w:ascii="Arial" w:cs="Arial" w:eastAsia="Arial" w:hAnsi="Arial"/>
          <w:sz w:val="11"/>
          <w:szCs w:val="11"/>
          <w:color w:val="auto"/>
        </w:rPr>
        <w:t>. Subject to approval by the Company’s Board of Directors (the “</w:t>
      </w:r>
      <w:r>
        <w:rPr>
          <w:rFonts w:ascii="Arial" w:cs="Arial" w:eastAsia="Arial" w:hAnsi="Arial"/>
          <w:sz w:val="11"/>
          <w:szCs w:val="11"/>
          <w:i w:val="1"/>
          <w:iCs w:val="1"/>
          <w:u w:val="single" w:color="auto"/>
          <w:color w:val="auto"/>
        </w:rPr>
        <w:t>Board</w:t>
      </w:r>
      <w:r>
        <w:rPr>
          <w:rFonts w:ascii="Arial" w:cs="Arial" w:eastAsia="Arial" w:hAnsi="Arial"/>
          <w:sz w:val="11"/>
          <w:szCs w:val="11"/>
          <w:color w:val="auto"/>
        </w:rPr>
        <w:t>”) following your Start Date, you will be granted restricted stock units (the “</w:t>
      </w:r>
      <w:r>
        <w:rPr>
          <w:rFonts w:ascii="Arial" w:cs="Arial" w:eastAsia="Arial" w:hAnsi="Arial"/>
          <w:sz w:val="11"/>
          <w:szCs w:val="11"/>
          <w:i w:val="1"/>
          <w:iCs w:val="1"/>
          <w:u w:val="single" w:color="auto"/>
          <w:color w:val="auto"/>
        </w:rPr>
        <w:t>RSUs</w:t>
      </w:r>
      <w:r>
        <w:rPr>
          <w:rFonts w:ascii="Arial" w:cs="Arial" w:eastAsia="Arial" w:hAnsi="Arial"/>
          <w:sz w:val="11"/>
          <w:szCs w:val="11"/>
          <w:color w:val="auto"/>
        </w:rPr>
        <w:t>”) with a total value of approximately</w:t>
      </w:r>
      <w:r>
        <w:rPr>
          <w:rFonts w:ascii="Arial" w:cs="Arial" w:eastAsia="Arial" w:hAnsi="Arial"/>
          <w:sz w:val="11"/>
          <w:szCs w:val="11"/>
          <w:b w:val="1"/>
          <w:bCs w:val="1"/>
          <w:color w:val="auto"/>
        </w:rPr>
        <w:t xml:space="preserve"> $5,750,000.00 USD</w:t>
      </w:r>
      <w:r>
        <w:rPr>
          <w:rFonts w:ascii="Arial" w:cs="Arial" w:eastAsia="Arial" w:hAnsi="Arial"/>
          <w:sz w:val="11"/>
          <w:szCs w:val="11"/>
          <w:color w:val="auto"/>
        </w:rPr>
        <w:t>. The number of RSUs subject to such grant will be determined by dividing $5,750,000.00 by the average closing market price on the New York Stock Exchange of one share of the Company’s Class A common</w:t>
      </w:r>
      <w:r>
        <w:rPr>
          <w:rFonts w:ascii="Arial" w:cs="Arial" w:eastAsia="Arial" w:hAnsi="Arial"/>
          <w:sz w:val="11"/>
          <w:szCs w:val="11"/>
          <w:b w:val="1"/>
          <w:bCs w:val="1"/>
          <w:color w:val="auto"/>
        </w:rPr>
        <w:t xml:space="preserve"> </w:t>
      </w:r>
      <w:r>
        <w:rPr>
          <w:rFonts w:ascii="Arial" w:cs="Arial" w:eastAsia="Arial" w:hAnsi="Arial"/>
          <w:sz w:val="11"/>
          <w:szCs w:val="11"/>
          <w:color w:val="auto"/>
        </w:rPr>
        <w:t>stock over the 30-day period ending five business days before the effective date of grant (the “Grant Date”). Each RSU entitles you to one share of the Company’s Class A Common Stock if and when the RSU vests. The RSUs will vest in 8 equal quarterly installments over two years beginning on the first to occur of February 15, May 15, August 15 or November 15 (or the first business day after such date if such date is not a business day) following the Grant Date, subject to your continued employment with the Company through each vesting date. The grant outlined is subject to the terms and conditions of the equity incentive plan under which they are granted and the RSU agreement thereunder, which you will be required to sign as a condition to receiving the RSUs. Please expect to receive these documents via your Charles Schwab account within two weeks of the effective date of the grant.</w:t>
      </w:r>
    </w:p>
    <w:p>
      <w:pPr>
        <w:spacing w:after="0" w:line="88" w:lineRule="exact"/>
        <w:rPr>
          <w:rFonts w:ascii="Arial" w:cs="Arial" w:eastAsia="Arial" w:hAnsi="Arial"/>
          <w:sz w:val="11"/>
          <w:szCs w:val="11"/>
          <w:color w:val="auto"/>
        </w:rPr>
      </w:pPr>
    </w:p>
    <w:p>
      <w:pPr>
        <w:jc w:val="both"/>
        <w:ind w:firstLine="691"/>
        <w:spacing w:after="0" w:line="234" w:lineRule="auto"/>
        <w:tabs>
          <w:tab w:leader="none" w:pos="859" w:val="left"/>
        </w:tabs>
        <w:numPr>
          <w:ilvl w:val="1"/>
          <w:numId w:val="94"/>
        </w:numPr>
        <w:rPr>
          <w:rFonts w:ascii="Arial" w:cs="Arial" w:eastAsia="Arial" w:hAnsi="Arial"/>
          <w:sz w:val="11"/>
          <w:szCs w:val="11"/>
          <w:b w:val="1"/>
          <w:bCs w:val="1"/>
          <w:color w:val="auto"/>
        </w:rPr>
      </w:pPr>
      <w:r>
        <w:rPr>
          <w:rFonts w:ascii="Arial" w:cs="Arial" w:eastAsia="Arial" w:hAnsi="Arial"/>
          <w:sz w:val="11"/>
          <w:szCs w:val="11"/>
          <w:b w:val="1"/>
          <w:bCs w:val="1"/>
          <w:color w:val="auto"/>
        </w:rPr>
        <w:t>Options</w:t>
      </w:r>
      <w:r>
        <w:rPr>
          <w:rFonts w:ascii="Arial" w:cs="Arial" w:eastAsia="Arial" w:hAnsi="Arial"/>
          <w:sz w:val="11"/>
          <w:szCs w:val="11"/>
          <w:color w:val="auto"/>
        </w:rPr>
        <w:t>. Subject to approval by the Board, following your Start Date, you will be granted an option, with the award value of</w:t>
      </w:r>
      <w:r>
        <w:rPr>
          <w:rFonts w:ascii="Arial" w:cs="Arial" w:eastAsia="Arial" w:hAnsi="Arial"/>
          <w:sz w:val="11"/>
          <w:szCs w:val="11"/>
          <w:b w:val="1"/>
          <w:bCs w:val="1"/>
          <w:color w:val="auto"/>
        </w:rPr>
        <w:t xml:space="preserve"> $5,750,000.00 USD</w:t>
      </w:r>
      <w:r>
        <w:rPr>
          <w:rFonts w:ascii="Arial" w:cs="Arial" w:eastAsia="Arial" w:hAnsi="Arial"/>
          <w:sz w:val="11"/>
          <w:szCs w:val="11"/>
          <w:color w:val="auto"/>
        </w:rPr>
        <w:t>, to purchase shares of the Company’s Class A Common Stock (the</w:t>
      </w:r>
      <w:r>
        <w:rPr>
          <w:rFonts w:ascii="Arial" w:cs="Arial" w:eastAsia="Arial" w:hAnsi="Arial"/>
          <w:sz w:val="11"/>
          <w:szCs w:val="11"/>
          <w:b w:val="1"/>
          <w:bCs w:val="1"/>
          <w:color w:val="auto"/>
        </w:rPr>
        <w:t xml:space="preserve"> </w:t>
      </w:r>
      <w:r>
        <w:rPr>
          <w:rFonts w:ascii="Arial" w:cs="Arial" w:eastAsia="Arial" w:hAnsi="Arial"/>
          <w:sz w:val="11"/>
          <w:szCs w:val="11"/>
          <w:color w:val="auto"/>
        </w:rPr>
        <w:t>“Options”), at an exercise price equal to the fair market value of a share of the Company’s Class A Common Stock on the date that your Options are granted. The Options value will be converted to a number of options in accordance with Twilio’s current equity award grant policies. Starting one month following your Grant Date, the Options shall vest in 24 equal monthly installments over the following two years, subject to your continued employment through each vesting date. The Options will be subject to the terms and conditions of the equity incentive plan under which it is granted (the “Plan”) and the stock option agreement thereunder, which you will be required to sign as a condition to receiving your Options. The Options granted pursuant to this paragraph will include a term specifying that the deadline to exercise the Options is three years from the date of your separation from service due to your termination by the Company without Cause or by you for Good Reason or 10 years from the date of the grant, whichever comes first. Upon any other separation from service, the terms of the Plan and the stock option agreement will apply.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280" w:right="299" w:bottom="1440" w:gutter="0" w:footer="0" w:header="0"/>
          <w:type w:val="continuous"/>
        </w:sectPr>
      </w:pPr>
    </w:p>
    <w:bookmarkStart w:id="124" w:name="page125"/>
    <w:bookmarkEnd w:id="124"/>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120140" cy="3371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jc w:val="both"/>
        <w:ind w:firstLine="691"/>
        <w:spacing w:after="0" w:line="206" w:lineRule="auto"/>
        <w:tabs>
          <w:tab w:leader="none" w:pos="864" w:val="left"/>
        </w:tabs>
        <w:numPr>
          <w:ilvl w:val="1"/>
          <w:numId w:val="95"/>
        </w:numPr>
        <w:rPr>
          <w:rFonts w:ascii="Arial" w:cs="Arial" w:eastAsia="Arial" w:hAnsi="Arial"/>
          <w:sz w:val="12"/>
          <w:szCs w:val="12"/>
          <w:color w:val="auto"/>
        </w:rPr>
      </w:pPr>
      <w:r>
        <w:rPr>
          <w:rFonts w:ascii="Arial" w:cs="Arial" w:eastAsia="Arial" w:hAnsi="Arial"/>
          <w:sz w:val="12"/>
          <w:szCs w:val="12"/>
          <w:b w:val="1"/>
          <w:bCs w:val="1"/>
          <w:color w:val="auto"/>
        </w:rPr>
        <w:t>Accelerated Vesting</w:t>
      </w:r>
      <w:r>
        <w:rPr>
          <w:rFonts w:ascii="Arial" w:cs="Arial" w:eastAsia="Arial" w:hAnsi="Arial"/>
          <w:sz w:val="12"/>
          <w:szCs w:val="12"/>
          <w:color w:val="auto"/>
        </w:rPr>
        <w:t>. As part of this offer letter agreement, you are being offered RSUs and Options (together, the “</w:t>
      </w:r>
      <w:r>
        <w:rPr>
          <w:rFonts w:ascii="Arial" w:cs="Arial" w:eastAsia="Arial" w:hAnsi="Arial"/>
          <w:sz w:val="12"/>
          <w:szCs w:val="12"/>
          <w:i w:val="1"/>
          <w:iCs w:val="1"/>
          <w:u w:val="single" w:color="auto"/>
          <w:color w:val="auto"/>
        </w:rPr>
        <w:t>Unvested Shares</w:t>
      </w:r>
      <w:r>
        <w:rPr>
          <w:rFonts w:ascii="Arial" w:cs="Arial" w:eastAsia="Arial" w:hAnsi="Arial"/>
          <w:sz w:val="12"/>
          <w:szCs w:val="12"/>
          <w:color w:val="auto"/>
        </w:rPr>
        <w:t>”). If, on or prior to the last vesting date of the Unvested Shares,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terminates your employment without Cause (other than as a result of your death or disability) or you resign your employment for Good Reason (either such termination referred to as a “</w:t>
      </w:r>
      <w:r>
        <w:rPr>
          <w:rFonts w:ascii="Arial" w:cs="Arial" w:eastAsia="Arial" w:hAnsi="Arial"/>
          <w:sz w:val="12"/>
          <w:szCs w:val="12"/>
          <w:i w:val="1"/>
          <w:iCs w:val="1"/>
          <w:u w:val="single" w:color="auto"/>
          <w:color w:val="auto"/>
        </w:rPr>
        <w:t>Qualifying Termination</w:t>
      </w:r>
      <w:r>
        <w:rPr>
          <w:rFonts w:ascii="Arial" w:cs="Arial" w:eastAsia="Arial" w:hAnsi="Arial"/>
          <w:sz w:val="12"/>
          <w:szCs w:val="12"/>
          <w:color w:val="auto"/>
        </w:rPr>
        <w:t>, then subject to (i) your execution and non-revocation (such that it becomes effective by its terms) of a separation agreement containing, among other provisions, a release of claims in favor of the Company and its affiliates (and its and their successors) and nondisparagement, in the form and manner satisfactory to the Company (the “</w:t>
      </w:r>
      <w:r>
        <w:rPr>
          <w:rFonts w:ascii="Arial" w:cs="Arial" w:eastAsia="Arial" w:hAnsi="Arial"/>
          <w:sz w:val="12"/>
          <w:szCs w:val="12"/>
          <w:i w:val="1"/>
          <w:iCs w:val="1"/>
          <w:u w:val="single" w:color="auto"/>
          <w:color w:val="auto"/>
        </w:rPr>
        <w:t>Separation Agreement</w:t>
      </w:r>
      <w:r>
        <w:rPr>
          <w:rFonts w:ascii="Arial" w:cs="Arial" w:eastAsia="Arial" w:hAnsi="Arial"/>
          <w:sz w:val="12"/>
          <w:szCs w:val="12"/>
          <w:color w:val="auto"/>
        </w:rPr>
        <w:t>”), all within sixty (60) days of the date of termination, and (ii) your continued compliance with the terms of this offer letter agreement, the Company shall accelerate the vesting of the Unvested Shares such that one hundred percent (100%) of such shares shall be deemed immediately vested and exercisable as of the date of your Qualifying Termination (the “</w:t>
      </w:r>
      <w:r>
        <w:rPr>
          <w:rFonts w:ascii="Arial" w:cs="Arial" w:eastAsia="Arial" w:hAnsi="Arial"/>
          <w:sz w:val="12"/>
          <w:szCs w:val="12"/>
          <w:i w:val="1"/>
          <w:iCs w:val="1"/>
          <w:u w:val="single" w:color="auto"/>
          <w:color w:val="auto"/>
        </w:rPr>
        <w:t>Accelerated Vesting</w:t>
      </w:r>
      <w:r>
        <w:rPr>
          <w:rFonts w:ascii="Arial" w:cs="Arial" w:eastAsia="Arial" w:hAnsi="Arial"/>
          <w:sz w:val="12"/>
          <w:szCs w:val="12"/>
          <w:color w:val="auto"/>
        </w:rPr>
        <w:t>”). For the avoidance of doubt, the Accelerated Vesting treatment will not apply to any other options or equity awards you may hold at the time of such Qualifying Termination, regardless of whether such grants were made prior to or following the date of this letter agreement.</w:t>
      </w:r>
    </w:p>
    <w:p>
      <w:pPr>
        <w:spacing w:after="0" w:line="3" w:lineRule="exact"/>
        <w:rPr>
          <w:rFonts w:ascii="Arial" w:cs="Arial" w:eastAsia="Arial" w:hAnsi="Arial"/>
          <w:sz w:val="12"/>
          <w:szCs w:val="12"/>
          <w:color w:val="auto"/>
        </w:rPr>
      </w:pPr>
    </w:p>
    <w:p>
      <w:pPr>
        <w:ind w:left="840" w:hanging="416"/>
        <w:spacing w:after="0"/>
        <w:tabs>
          <w:tab w:leader="none" w:pos="840"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Definitions</w:t>
      </w:r>
      <w:r>
        <w:rPr>
          <w:rFonts w:ascii="Arial" w:cs="Arial" w:eastAsia="Arial" w:hAnsi="Arial"/>
          <w:sz w:val="12"/>
          <w:szCs w:val="12"/>
          <w:color w:val="auto"/>
        </w:rPr>
        <w:t>. For purposes of this offer letter agreement, the following terms shall have the following meanings:</w:t>
      </w:r>
    </w:p>
    <w:p>
      <w:pPr>
        <w:spacing w:after="0" w:line="104" w:lineRule="exact"/>
        <w:rPr>
          <w:rFonts w:ascii="Arial" w:cs="Arial" w:eastAsia="Arial" w:hAnsi="Arial"/>
          <w:sz w:val="12"/>
          <w:szCs w:val="12"/>
          <w:b w:val="1"/>
          <w:bCs w:val="1"/>
          <w:color w:val="auto"/>
        </w:rPr>
      </w:pPr>
    </w:p>
    <w:p>
      <w:pPr>
        <w:jc w:val="both"/>
        <w:ind w:firstLine="694"/>
        <w:spacing w:after="0" w:line="228" w:lineRule="auto"/>
        <w:tabs>
          <w:tab w:leader="none" w:pos="857" w:val="left"/>
        </w:tabs>
        <w:numPr>
          <w:ilvl w:val="1"/>
          <w:numId w:val="9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i w:val="1"/>
          <w:iCs w:val="1"/>
          <w:u w:val="single" w:color="auto"/>
          <w:color w:val="auto"/>
        </w:rPr>
        <w:t>Cause</w:t>
      </w:r>
      <w:r>
        <w:rPr>
          <w:rFonts w:ascii="Arial" w:cs="Arial" w:eastAsia="Arial" w:hAnsi="Arial"/>
          <w:sz w:val="11"/>
          <w:szCs w:val="11"/>
          <w:color w:val="auto"/>
        </w:rPr>
        <w:t>”. For purposes of this offer letter agreement, “</w:t>
      </w:r>
      <w:r>
        <w:rPr>
          <w:rFonts w:ascii="Arial" w:cs="Arial" w:eastAsia="Arial" w:hAnsi="Arial"/>
          <w:sz w:val="11"/>
          <w:szCs w:val="11"/>
          <w:i w:val="1"/>
          <w:iCs w:val="1"/>
          <w:u w:val="single" w:color="auto"/>
          <w:color w:val="auto"/>
        </w:rPr>
        <w:t>Cause</w:t>
      </w:r>
      <w:r>
        <w:rPr>
          <w:rFonts w:ascii="Arial" w:cs="Arial" w:eastAsia="Arial" w:hAnsi="Arial"/>
          <w:sz w:val="11"/>
          <w:szCs w:val="11"/>
          <w:color w:val="auto"/>
        </w:rPr>
        <w:t>” shall mean, and shall be limited to, the occurrence of any one or more of the following events: (i) willful conduct by you constituting a material act of misconduct in connection with the performance of your duties, including, without limitation, misappropriation of funds or property of the Company or any of its subsidiaries or affiliates other than the occasional, customary and de minimis use of Company property for personal purposes; (ii) the commission of, or plea of guilty or no contest to, any felony or any crime involving moral turpitude, deceit, dishonesty or fraud, or any conduct by you that would reasonably be expected to result in material injury or reputational harm to the Company or any of its subsidiaries and affiliates if you were retained in your position; (iii) continued non-performance by you of your duties to the Company (other than by reason of your physical or mental illness, incapacity or disability) which has continued for 30 days following written notice of such non-performance from the Company; (iv) a material breach by you of any of the provisions contained in the Proprietary Information, Inventions, Non-Competition and Non- Solicitation Agreement entered into between you and the Company or any other confidentiality, invention assignment or similar agreement with the Company that would reasonably be expected to result in material injury to the Company and, if curable, has continued for 30 days following written notice of violation; (v) a material violation by you of the Company’s written employment policies or the Company’s Code of Conduct that would reasonably be expected to result in material injury to the Company and, if curable, has continued for 30 days following written notice of violation; or (vi) your failure to cooperate with a bona fide internal investigation or an investigation by regulatory or law enforcement authorities, after being instructed by the Company to cooperate, or your willful destruction or willful failure to preserve documents or other materials known to be relevant to such investigation or the inducement of others to fail to cooperate or to produce documents or other materials in connection with such investigation.</w:t>
      </w:r>
    </w:p>
    <w:p>
      <w:pPr>
        <w:spacing w:after="0" w:line="94" w:lineRule="exact"/>
        <w:rPr>
          <w:rFonts w:ascii="Arial" w:cs="Arial" w:eastAsia="Arial" w:hAnsi="Arial"/>
          <w:sz w:val="11"/>
          <w:szCs w:val="11"/>
          <w:color w:val="auto"/>
        </w:rPr>
      </w:pPr>
    </w:p>
    <w:p>
      <w:pPr>
        <w:jc w:val="both"/>
        <w:ind w:firstLine="694"/>
        <w:spacing w:after="0" w:line="239" w:lineRule="auto"/>
        <w:tabs>
          <w:tab w:leader="none" w:pos="864" w:val="left"/>
        </w:tabs>
        <w:numPr>
          <w:ilvl w:val="1"/>
          <w:numId w:val="96"/>
        </w:numPr>
        <w:rPr>
          <w:rFonts w:ascii="Arial" w:cs="Arial" w:eastAsia="Arial" w:hAnsi="Arial"/>
          <w:sz w:val="11"/>
          <w:szCs w:val="11"/>
          <w:color w:val="auto"/>
        </w:rPr>
      </w:pPr>
      <w:r>
        <w:rPr>
          <w:rFonts w:ascii="Arial" w:cs="Arial" w:eastAsia="Arial" w:hAnsi="Arial"/>
          <w:sz w:val="11"/>
          <w:szCs w:val="11"/>
          <w:color w:val="auto"/>
        </w:rPr>
        <w:t>“</w:t>
      </w:r>
      <w:r>
        <w:rPr>
          <w:rFonts w:ascii="Arial" w:cs="Arial" w:eastAsia="Arial" w:hAnsi="Arial"/>
          <w:sz w:val="11"/>
          <w:szCs w:val="11"/>
          <w:i w:val="1"/>
          <w:iCs w:val="1"/>
          <w:u w:val="single" w:color="auto"/>
          <w:color w:val="auto"/>
        </w:rPr>
        <w:t>Good Reason</w:t>
      </w:r>
      <w:r>
        <w:rPr>
          <w:rFonts w:ascii="Arial" w:cs="Arial" w:eastAsia="Arial" w:hAnsi="Arial"/>
          <w:sz w:val="11"/>
          <w:szCs w:val="11"/>
          <w:color w:val="auto"/>
        </w:rPr>
        <w:t xml:space="preserve">”. For purposes of this offer letter agreement, you shall have </w:t>
      </w:r>
      <w:r>
        <w:rPr>
          <w:rFonts w:ascii="Arial" w:cs="Arial" w:eastAsia="Arial" w:hAnsi="Arial"/>
          <w:sz w:val="11"/>
          <w:szCs w:val="11"/>
          <w:i w:val="1"/>
          <w:iCs w:val="1"/>
          <w:u w:val="single" w:color="auto"/>
          <w:color w:val="auto"/>
        </w:rPr>
        <w:t>“Good Reason</w:t>
      </w:r>
      <w:r>
        <w:rPr>
          <w:rFonts w:ascii="Arial" w:cs="Arial" w:eastAsia="Arial" w:hAnsi="Arial"/>
          <w:sz w:val="11"/>
          <w:szCs w:val="11"/>
          <w:color w:val="auto"/>
        </w:rPr>
        <w:t>” for resignation from employment with the Company if any of the following actions are taken by the Company without your prior written consent and you have complied with the “</w:t>
      </w:r>
      <w:r>
        <w:rPr>
          <w:rFonts w:ascii="Arial" w:cs="Arial" w:eastAsia="Arial" w:hAnsi="Arial"/>
          <w:sz w:val="11"/>
          <w:szCs w:val="11"/>
          <w:i w:val="1"/>
          <w:iCs w:val="1"/>
          <w:u w:val="single" w:color="auto"/>
          <w:color w:val="auto"/>
        </w:rPr>
        <w:t>Good Reason Process</w:t>
      </w:r>
      <w:r>
        <w:rPr>
          <w:rFonts w:ascii="Arial" w:cs="Arial" w:eastAsia="Arial" w:hAnsi="Arial"/>
          <w:sz w:val="11"/>
          <w:szCs w:val="11"/>
          <w:color w:val="auto"/>
        </w:rPr>
        <w:t>” following the occurrence of any of the following actions: (i) a material diminution in your responsibilities, authority or duties; (ii) a material reduction in your base salary except for across-the-board salary reductions similarly affecting all or substantially all management employees; (iii) the relocation of the Company office at which you are principally employed to a location more than 35 miles from such office; or (iv) a material change in your reporting relationship such that you no longer report to the person serving as the Company's Chief Executive Officer.</w:t>
      </w:r>
    </w:p>
    <w:p>
      <w:pPr>
        <w:spacing w:after="0" w:line="99" w:lineRule="exact"/>
        <w:rPr>
          <w:rFonts w:ascii="Arial" w:cs="Arial" w:eastAsia="Arial" w:hAnsi="Arial"/>
          <w:sz w:val="11"/>
          <w:szCs w:val="11"/>
          <w:color w:val="auto"/>
        </w:rPr>
      </w:pPr>
    </w:p>
    <w:p>
      <w:pPr>
        <w:jc w:val="both"/>
        <w:ind w:firstLine="694"/>
        <w:spacing w:after="0" w:line="213" w:lineRule="auto"/>
        <w:tabs>
          <w:tab w:leader="none" w:pos="857" w:val="left"/>
        </w:tabs>
        <w:numPr>
          <w:ilvl w:val="1"/>
          <w:numId w:val="9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u w:val="single" w:color="auto"/>
          <w:color w:val="auto"/>
        </w:rPr>
        <w:t>Good Reason Process</w:t>
      </w:r>
      <w:r>
        <w:rPr>
          <w:rFonts w:ascii="Arial" w:cs="Arial" w:eastAsia="Arial" w:hAnsi="Arial"/>
          <w:sz w:val="12"/>
          <w:szCs w:val="12"/>
          <w:color w:val="auto"/>
        </w:rPr>
        <w:t>”. For the purposes of this offer letter agreement, “</w:t>
      </w:r>
      <w:r>
        <w:rPr>
          <w:rFonts w:ascii="Arial" w:cs="Arial" w:eastAsia="Arial" w:hAnsi="Arial"/>
          <w:sz w:val="12"/>
          <w:szCs w:val="12"/>
          <w:i w:val="1"/>
          <w:iCs w:val="1"/>
          <w:u w:val="single" w:color="auto"/>
          <w:color w:val="auto"/>
        </w:rPr>
        <w:t>Good Reason Process</w:t>
      </w:r>
      <w:r>
        <w:rPr>
          <w:rFonts w:ascii="Arial" w:cs="Arial" w:eastAsia="Arial" w:hAnsi="Arial"/>
          <w:sz w:val="12"/>
          <w:szCs w:val="12"/>
          <w:color w:val="auto"/>
        </w:rPr>
        <w:t>” shall mean: (i) you reasonably determine in good faith that a “Good Reason” condition has occurred; (ii) you notify the Company in writing of the occurrence of the Good Reason condition within 30 days of the occurrence of such condition; (iii) you cooperate in good faith with the Company’s efforts, for a period of 30 days following such notice (the “</w:t>
      </w:r>
      <w:r>
        <w:rPr>
          <w:rFonts w:ascii="Arial" w:cs="Arial" w:eastAsia="Arial" w:hAnsi="Arial"/>
          <w:sz w:val="12"/>
          <w:szCs w:val="12"/>
          <w:i w:val="1"/>
          <w:iCs w:val="1"/>
          <w:u w:val="single" w:color="auto"/>
          <w:color w:val="auto"/>
        </w:rPr>
        <w:t>Cure Period</w:t>
      </w:r>
      <w:r>
        <w:rPr>
          <w:rFonts w:ascii="Arial" w:cs="Arial" w:eastAsia="Arial" w:hAnsi="Arial"/>
          <w:sz w:val="12"/>
          <w:szCs w:val="12"/>
          <w:color w:val="auto"/>
        </w:rPr>
        <w:t>”), to remedy the condition; (iv) notwithstanding such efforts, the Good Reason condition continues to exist following the Cure Period; and (v) you terminate your employment and provide the Company with a Notice of Termination with respect to such termination, each within 30 days after the end of the Cure Period. If the “</w:t>
      </w:r>
      <w:r>
        <w:rPr>
          <w:rFonts w:ascii="Arial" w:cs="Arial" w:eastAsia="Arial" w:hAnsi="Arial"/>
          <w:sz w:val="12"/>
          <w:szCs w:val="12"/>
          <w:i w:val="1"/>
          <w:iCs w:val="1"/>
          <w:color w:val="auto"/>
        </w:rPr>
        <w:t>Good Reason</w:t>
      </w:r>
      <w:r>
        <w:rPr>
          <w:rFonts w:ascii="Arial" w:cs="Arial" w:eastAsia="Arial" w:hAnsi="Arial"/>
          <w:sz w:val="12"/>
          <w:szCs w:val="12"/>
          <w:color w:val="auto"/>
        </w:rPr>
        <w:t>” event is a material diminution of your responsibilities, authority or duties resulting from the Company employing your successor as CRO, you shall not need to comply with subpart (v) of the “</w:t>
      </w:r>
      <w:r>
        <w:rPr>
          <w:rFonts w:ascii="Arial" w:cs="Arial" w:eastAsia="Arial" w:hAnsi="Arial"/>
          <w:sz w:val="12"/>
          <w:szCs w:val="12"/>
          <w:i w:val="1"/>
          <w:iCs w:val="1"/>
          <w:color w:val="auto"/>
        </w:rPr>
        <w:t>Good Reason Process</w:t>
      </w:r>
      <w:r>
        <w:rPr>
          <w:rFonts w:ascii="Arial" w:cs="Arial" w:eastAsia="Arial" w:hAnsi="Arial"/>
          <w:sz w:val="12"/>
          <w:szCs w:val="12"/>
          <w:color w:val="auto"/>
        </w:rPr>
        <w:t>” to qualify for the Accelerated Vesting. If the Company cures the Good Reason condition during the Cure Period, Good Reason shall be deemed not to have occurred.</w:t>
      </w:r>
    </w:p>
    <w:p>
      <w:pPr>
        <w:spacing w:after="0" w:line="98" w:lineRule="exact"/>
        <w:rPr>
          <w:rFonts w:ascii="Arial" w:cs="Arial" w:eastAsia="Arial" w:hAnsi="Arial"/>
          <w:sz w:val="12"/>
          <w:szCs w:val="12"/>
          <w:color w:val="auto"/>
        </w:rPr>
      </w:pPr>
    </w:p>
    <w:p>
      <w:pPr>
        <w:ind w:left="840" w:hanging="416"/>
        <w:spacing w:after="0"/>
        <w:tabs>
          <w:tab w:leader="none" w:pos="840" w:val="left"/>
        </w:tabs>
        <w:numPr>
          <w:ilvl w:val="0"/>
          <w:numId w:val="96"/>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Compliance with Section 409A</w:t>
      </w:r>
      <w:r>
        <w:rPr>
          <w:rFonts w:ascii="Arial" w:cs="Arial" w:eastAsia="Arial" w:hAnsi="Arial"/>
          <w:sz w:val="11"/>
          <w:szCs w:val="11"/>
          <w:b w:val="1"/>
          <w:bCs w:val="1"/>
          <w:color w:val="auto"/>
        </w:rPr>
        <w:t xml:space="preserve">. </w:t>
      </w:r>
      <w:r>
        <w:rPr>
          <w:rFonts w:ascii="Arial" w:cs="Arial" w:eastAsia="Arial" w:hAnsi="Arial"/>
          <w:sz w:val="11"/>
          <w:szCs w:val="11"/>
          <w:color w:val="auto"/>
        </w:rPr>
        <w:t>It is intended that the Accelerated Vesting set forth in this offer letter agreement satisfy, to the greatest extent possible, the exemptions from the application of Section 409A of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440" w:right="299" w:bottom="1440" w:gutter="0" w:footer="0" w:header="0"/>
        </w:sectPr>
      </w:pPr>
    </w:p>
    <w:bookmarkStart w:id="125" w:name="page126"/>
    <w:bookmarkEnd w:id="125"/>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120140" cy="3371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jc w:val="both"/>
        <w:spacing w:after="0" w:line="226" w:lineRule="auto"/>
        <w:rPr>
          <w:sz w:val="20"/>
          <w:szCs w:val="20"/>
          <w:color w:val="auto"/>
        </w:rPr>
      </w:pPr>
      <w:r>
        <w:rPr>
          <w:rFonts w:ascii="Arial" w:cs="Arial" w:eastAsia="Arial" w:hAnsi="Arial"/>
          <w:sz w:val="11"/>
          <w:szCs w:val="11"/>
          <w:color w:val="auto"/>
        </w:rPr>
        <w:t>Internal Revenue Code of 1986, as amended, (the “</w:t>
      </w:r>
      <w:r>
        <w:rPr>
          <w:rFonts w:ascii="Arial" w:cs="Arial" w:eastAsia="Arial" w:hAnsi="Arial"/>
          <w:sz w:val="11"/>
          <w:szCs w:val="11"/>
          <w:i w:val="1"/>
          <w:iCs w:val="1"/>
          <w:u w:val="single" w:color="auto"/>
          <w:color w:val="auto"/>
        </w:rPr>
        <w:t>Code</w:t>
      </w:r>
      <w:r>
        <w:rPr>
          <w:rFonts w:ascii="Arial" w:cs="Arial" w:eastAsia="Arial" w:hAnsi="Arial"/>
          <w:sz w:val="11"/>
          <w:szCs w:val="11"/>
          <w:color w:val="auto"/>
        </w:rPr>
        <w:t>”) (Section 409A, together with any state law of similar effect, “</w:t>
      </w:r>
      <w:r>
        <w:rPr>
          <w:rFonts w:ascii="Arial" w:cs="Arial" w:eastAsia="Arial" w:hAnsi="Arial"/>
          <w:sz w:val="11"/>
          <w:szCs w:val="11"/>
          <w:i w:val="1"/>
          <w:iCs w:val="1"/>
          <w:u w:val="single" w:color="auto"/>
          <w:color w:val="auto"/>
        </w:rPr>
        <w:t>Section 409A</w:t>
      </w:r>
      <w:r>
        <w:rPr>
          <w:rFonts w:ascii="Arial" w:cs="Arial" w:eastAsia="Arial" w:hAnsi="Arial"/>
          <w:sz w:val="11"/>
          <w:szCs w:val="11"/>
          <w:color w:val="auto"/>
        </w:rPr>
        <w:t>”) provided under Treasury Regulations 1.409A-1(b)(4), 1.409A-1(b)(5) and 1.409A-1(b)(9). For purposes of Section 409A (including, without limitation, for purposes of Treasury Regulations 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the Accelerated Vesting constitute “deferred compensation” under Section 409A and you are, on the date of your Qualifying Termination a “specified employee” of the Company or any successor entity thereto, as such term is defined in Section 409A(a)(2)(B)(i) of the Code (a “</w:t>
      </w:r>
      <w:r>
        <w:rPr>
          <w:rFonts w:ascii="Arial" w:cs="Arial" w:eastAsia="Arial" w:hAnsi="Arial"/>
          <w:sz w:val="11"/>
          <w:szCs w:val="11"/>
          <w:i w:val="1"/>
          <w:iCs w:val="1"/>
          <w:u w:val="single" w:color="auto"/>
          <w:color w:val="auto"/>
        </w:rPr>
        <w:t>Specified Employee</w:t>
      </w:r>
      <w:r>
        <w:rPr>
          <w:rFonts w:ascii="Arial" w:cs="Arial" w:eastAsia="Arial" w:hAnsi="Arial"/>
          <w:sz w:val="11"/>
          <w:szCs w:val="11"/>
          <w:color w:val="auto"/>
        </w:rPr>
        <w:t>”), then, solely to the extent necessary to avoid the incurrence of adverse personal tax consequences under Section 409A, the timing of the Accelerated Vesting shall be delayed until the earliest of: (i) the date that is six (6) months and one (1) day after your Qualifying Termination date, (ii) the date of your death, or (iii) such earlier date as permitted under Section 409A without the imposition of adverse taxation. Upon the first business day following the expiration of such applicable Code Section 409A(a)(2)(B)(i) period, all payments or benefits deferred pursuant to this section shall be paid in a lump sum or provided in full by the Company (or the successor entity thereto, as applicable), and any remaining payments due shall be paid as otherwise provided herein. No interest shall be due on any amounts so deferred. If the Accelerated Vesting benefits are not covered by one or more exemptions from the application of Section 409A and the Separation Agreement could become effective in the calendar year following the calendar year in which you have a Qualifying Termination, the Separation Agreement will not be deemed effective any earlier than the deadline set forth in the Separation Agreement for such agreement to become effective by its terms. The Accelerated Vesting benefits are intended to qualify for an exemption from application of Section 409A or, if not so exempt, to comply with its requirements to the extent necessary to avoid adverse personal tax consequences under Section 409A, and any ambiguities herein shall be interpreted accordingly.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Section 409A.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95" w:lineRule="exact"/>
        <w:rPr>
          <w:sz w:val="20"/>
          <w:szCs w:val="20"/>
          <w:color w:val="auto"/>
        </w:rPr>
      </w:pPr>
    </w:p>
    <w:p>
      <w:pPr>
        <w:jc w:val="both"/>
        <w:ind w:firstLine="424"/>
        <w:spacing w:after="0" w:line="217" w:lineRule="auto"/>
        <w:tabs>
          <w:tab w:leader="none" w:pos="856" w:val="left"/>
        </w:tabs>
        <w:numPr>
          <w:ilvl w:val="0"/>
          <w:numId w:val="9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Miscellaneous</w:t>
      </w:r>
      <w:r>
        <w:rPr>
          <w:rFonts w:ascii="Arial" w:cs="Arial" w:eastAsia="Arial" w:hAnsi="Arial"/>
          <w:sz w:val="12"/>
          <w:szCs w:val="12"/>
          <w:color w:val="auto"/>
        </w:rPr>
        <w:t>. This offer letter agreement, any applicable severance participation letters, and the Employment, Confidential Information, Invention Assignment, and Arbitration Agreement you signed on February 20,</w:t>
      </w:r>
      <w:r>
        <w:rPr>
          <w:rFonts w:ascii="Arial" w:cs="Arial" w:eastAsia="Arial" w:hAnsi="Arial"/>
          <w:sz w:val="12"/>
          <w:szCs w:val="12"/>
          <w:b w:val="1"/>
          <w:bCs w:val="1"/>
          <w:color w:val="auto"/>
        </w:rPr>
        <w:t xml:space="preserve"> </w:t>
      </w:r>
      <w:r>
        <w:rPr>
          <w:rFonts w:ascii="Arial" w:cs="Arial" w:eastAsia="Arial" w:hAnsi="Arial"/>
          <w:sz w:val="12"/>
          <w:szCs w:val="12"/>
          <w:color w:val="auto"/>
        </w:rPr>
        <w:t>2015 constitute the entire agreement between you and the Company regarding the terms and conditions of your employment. You agree that no agreements or representations, verbal or written, with respect to the subject matter of this offer have been made to you other than those set forth in this letter agreement. To the extent any such agreements or representations were made, this agreement supersedes any and all previous offers, statements, agreements and representations that you made with the company in the course of discussions and negotiations for this offer. Changes to the terms of this agreement, other than the changes to employment terms reserved to the Company’s discretion, require a written modification signed by an authorized officer of the Company.</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We are all delighted to be able to extend you this offer and look forward to working with you. To indicate your acceptance of the Company’s offer as set forth above, please sign and date this letter in the space provided below.</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This letter may not be modified or amended except by a written agreement, signed by the Company and by you.</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color w:val="auto"/>
        </w:rPr>
        <w:t>Very truly yours,</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TWILIO INC.</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/s/ Christy Lake</w:t>
      </w:r>
    </w:p>
    <w:p>
      <w:pPr>
        <w:spacing w:after="0"/>
        <w:rPr>
          <w:sz w:val="20"/>
          <w:szCs w:val="20"/>
          <w:color w:val="auto"/>
        </w:rPr>
      </w:pPr>
      <w:r>
        <w:rPr>
          <w:rFonts w:ascii="Arial" w:cs="Arial" w:eastAsia="Arial" w:hAnsi="Arial"/>
          <w:sz w:val="12"/>
          <w:szCs w:val="12"/>
          <w:color w:val="auto"/>
        </w:rPr>
        <w:t>__________________________</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440" w:right="299" w:bottom="1440" w:gutter="0" w:footer="0" w:header="0"/>
        </w:sectPr>
      </w:pPr>
    </w:p>
    <w:bookmarkStart w:id="126" w:name="page127"/>
    <w:bookmarkEnd w:id="126"/>
    <w:p>
      <w:pPr>
        <w:spacing w:after="0" w:line="3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120140" cy="3371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Christy Lake</w:t>
      </w:r>
    </w:p>
    <w:p>
      <w:pPr>
        <w:spacing w:after="0"/>
        <w:rPr>
          <w:sz w:val="20"/>
          <w:szCs w:val="20"/>
          <w:color w:val="auto"/>
        </w:rPr>
      </w:pPr>
      <w:r>
        <w:rPr>
          <w:rFonts w:ascii="Arial" w:cs="Arial" w:eastAsia="Arial" w:hAnsi="Arial"/>
          <w:sz w:val="12"/>
          <w:szCs w:val="12"/>
          <w:color w:val="auto"/>
        </w:rPr>
        <w:t>Chief People Officer</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222222"/>
        </w:rPr>
        <w:t>10-25-21</w:t>
      </w:r>
    </w:p>
    <w:p>
      <w:pPr>
        <w:spacing w:after="0"/>
        <w:rPr>
          <w:sz w:val="20"/>
          <w:szCs w:val="20"/>
          <w:color w:val="auto"/>
        </w:rPr>
      </w:pPr>
      <w:r>
        <w:rPr>
          <w:rFonts w:ascii="Arial" w:cs="Arial" w:eastAsia="Arial" w:hAnsi="Arial"/>
          <w:sz w:val="12"/>
          <w:szCs w:val="12"/>
          <w:color w:val="auto"/>
        </w:rPr>
        <w:t>___________________________</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color w:val="auto"/>
        </w:rPr>
        <w:t>ACCEPTED AND AGREED:</w:t>
      </w:r>
    </w:p>
    <w:p>
      <w:pPr>
        <w:spacing w:after="0" w:line="114" w:lineRule="exact"/>
        <w:rPr>
          <w:sz w:val="20"/>
          <w:szCs w:val="20"/>
          <w:color w:val="auto"/>
        </w:rPr>
      </w:pPr>
    </w:p>
    <w:p>
      <w:pPr>
        <w:spacing w:after="0" w:line="234" w:lineRule="auto"/>
        <w:rPr>
          <w:sz w:val="20"/>
          <w:szCs w:val="20"/>
          <w:color w:val="auto"/>
        </w:rPr>
      </w:pPr>
      <w:r>
        <w:rPr>
          <w:rFonts w:ascii="Arial" w:cs="Arial" w:eastAsia="Arial" w:hAnsi="Arial"/>
          <w:sz w:val="12"/>
          <w:szCs w:val="12"/>
          <w:color w:val="auto"/>
        </w:rPr>
        <w:t>I agree to and accept employment with the Company on the terms and conditions set forth in this letter agreement. I understand and agree that my employment with the Company is “at will” and may be terminated by me or the Company at any time, with or without cause or notice.</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/s/ Marc Boroditsky</w:t>
      </w:r>
    </w:p>
    <w:p>
      <w:pPr>
        <w:spacing w:after="0"/>
        <w:rPr>
          <w:sz w:val="20"/>
          <w:szCs w:val="20"/>
          <w:color w:val="auto"/>
        </w:rPr>
      </w:pPr>
      <w:r>
        <w:rPr>
          <w:rFonts w:ascii="Arial" w:cs="Arial" w:eastAsia="Arial" w:hAnsi="Arial"/>
          <w:sz w:val="12"/>
          <w:szCs w:val="12"/>
          <w:color w:val="auto"/>
        </w:rPr>
        <w:t>___________________________</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MARC BORODITSKY</w:t>
      </w:r>
    </w:p>
    <w:p>
      <w:pPr>
        <w:spacing w:after="0" w:line="292" w:lineRule="exact"/>
        <w:rPr>
          <w:sz w:val="20"/>
          <w:szCs w:val="20"/>
          <w:color w:val="auto"/>
        </w:rPr>
      </w:pPr>
    </w:p>
    <w:p>
      <w:pPr>
        <w:spacing w:after="0"/>
        <w:rPr>
          <w:sz w:val="20"/>
          <w:szCs w:val="20"/>
          <w:color w:val="auto"/>
        </w:rPr>
      </w:pPr>
      <w:r>
        <w:rPr>
          <w:rFonts w:ascii="Arial" w:cs="Arial" w:eastAsia="Arial" w:hAnsi="Arial"/>
          <w:sz w:val="12"/>
          <w:szCs w:val="12"/>
          <w:color w:val="auto"/>
        </w:rPr>
        <w:t>10-25-21</w:t>
      </w:r>
    </w:p>
    <w:p>
      <w:pPr>
        <w:spacing w:after="0"/>
        <w:rPr>
          <w:sz w:val="20"/>
          <w:szCs w:val="20"/>
          <w:color w:val="auto"/>
        </w:rPr>
      </w:pPr>
      <w:r>
        <w:rPr>
          <w:rFonts w:ascii="Arial" w:cs="Arial" w:eastAsia="Arial" w:hAnsi="Arial"/>
          <w:sz w:val="12"/>
          <w:szCs w:val="12"/>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840"/>
          </w:cols>
          <w:pgMar w:left="300" w:top="1440" w:right="759" w:bottom="1440" w:gutter="0" w:footer="0" w:header="0"/>
        </w:sectPr>
      </w:pPr>
    </w:p>
    <w:bookmarkStart w:id="127" w:name="page128"/>
    <w:bookmarkEnd w:id="127"/>
    <w:p>
      <w:pPr>
        <w:ind w:left="10620"/>
        <w:spacing w:after="0"/>
        <w:rPr>
          <w:sz w:val="20"/>
          <w:szCs w:val="20"/>
          <w:color w:val="auto"/>
        </w:rPr>
      </w:pPr>
      <w:r>
        <w:rPr>
          <w:rFonts w:ascii="Arial" w:cs="Arial" w:eastAsia="Arial" w:hAnsi="Arial"/>
          <w:sz w:val="11"/>
          <w:szCs w:val="11"/>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1120140" cy="3371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color w:val="auto"/>
        </w:rPr>
        <w:t>October 8</w:t>
      </w:r>
      <w:r>
        <w:rPr>
          <w:rFonts w:ascii="Arial" w:cs="Arial" w:eastAsia="Arial" w:hAnsi="Arial"/>
          <w:sz w:val="15"/>
          <w:szCs w:val="15"/>
          <w:color w:val="auto"/>
          <w:vertAlign w:val="superscript"/>
        </w:rPr>
        <w:t>th</w:t>
      </w:r>
      <w:r>
        <w:rPr>
          <w:rFonts w:ascii="Arial" w:cs="Arial" w:eastAsia="Arial" w:hAnsi="Arial"/>
          <w:sz w:val="12"/>
          <w:szCs w:val="12"/>
          <w:color w:val="auto"/>
        </w:rPr>
        <w:t>, 2021</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Dear Eyal,</w:t>
      </w:r>
    </w:p>
    <w:p>
      <w:pPr>
        <w:spacing w:after="0" w:line="137"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On behalf of Twilio Inc., a Delaware corporation (the “</w:t>
      </w:r>
      <w:r>
        <w:rPr>
          <w:rFonts w:ascii="Arial" w:cs="Arial" w:eastAsia="Arial" w:hAnsi="Arial"/>
          <w:sz w:val="12"/>
          <w:szCs w:val="12"/>
          <w:i w:val="1"/>
          <w:iCs w:val="1"/>
          <w:u w:val="single" w:color="auto"/>
          <w:color w:val="auto"/>
        </w:rPr>
        <w:t>Company</w:t>
      </w:r>
      <w:r>
        <w:rPr>
          <w:rFonts w:ascii="Arial" w:cs="Arial" w:eastAsia="Arial" w:hAnsi="Arial"/>
          <w:sz w:val="12"/>
          <w:szCs w:val="12"/>
          <w:color w:val="auto"/>
        </w:rPr>
        <w:t xml:space="preserve">”), I am pleased to offer you the position of </w:t>
      </w:r>
      <w:r>
        <w:rPr>
          <w:rFonts w:ascii="Arial" w:cs="Arial" w:eastAsia="Arial" w:hAnsi="Arial"/>
          <w:sz w:val="12"/>
          <w:szCs w:val="12"/>
          <w:b w:val="1"/>
          <w:bCs w:val="1"/>
          <w:color w:val="auto"/>
        </w:rPr>
        <w:t>Chief Product Officer</w:t>
      </w:r>
      <w:r>
        <w:rPr>
          <w:rFonts w:ascii="Arial" w:cs="Arial" w:eastAsia="Arial" w:hAnsi="Arial"/>
          <w:sz w:val="12"/>
          <w:szCs w:val="12"/>
          <w:color w:val="auto"/>
        </w:rPr>
        <w:t xml:space="preserve"> with the Company, conditional upon your passing a background check pursuant to applicable law and upon your ability to demonstrate your authorization to work in the United States. The terms of your new position with the Company are as set forth below.</w:t>
      </w:r>
    </w:p>
    <w:p>
      <w:pPr>
        <w:spacing w:after="0" w:line="86" w:lineRule="exact"/>
        <w:rPr>
          <w:sz w:val="20"/>
          <w:szCs w:val="20"/>
          <w:color w:val="auto"/>
        </w:rPr>
      </w:pPr>
    </w:p>
    <w:p>
      <w:pPr>
        <w:ind w:firstLine="424"/>
        <w:spacing w:after="0" w:line="238" w:lineRule="auto"/>
        <w:tabs>
          <w:tab w:leader="none" w:pos="856"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Position</w:t>
      </w:r>
      <w:r>
        <w:rPr>
          <w:rFonts w:ascii="Arial" w:cs="Arial" w:eastAsia="Arial" w:hAnsi="Arial"/>
          <w:sz w:val="12"/>
          <w:szCs w:val="12"/>
          <w:color w:val="auto"/>
        </w:rPr>
        <w:t>. As</w:t>
      </w:r>
      <w:r>
        <w:rPr>
          <w:rFonts w:ascii="Arial" w:cs="Arial" w:eastAsia="Arial" w:hAnsi="Arial"/>
          <w:sz w:val="12"/>
          <w:szCs w:val="12"/>
          <w:b w:val="1"/>
          <w:bCs w:val="1"/>
          <w:color w:val="auto"/>
        </w:rPr>
        <w:t xml:space="preserve"> Chief Product Officer</w:t>
      </w:r>
      <w:r>
        <w:rPr>
          <w:rFonts w:ascii="Arial" w:cs="Arial" w:eastAsia="Arial" w:hAnsi="Arial"/>
          <w:sz w:val="12"/>
          <w:szCs w:val="12"/>
          <w:color w:val="auto"/>
        </w:rPr>
        <w:t>, you will make yourself available to work in the Company’s</w:t>
      </w:r>
      <w:r>
        <w:rPr>
          <w:rFonts w:ascii="Arial" w:cs="Arial" w:eastAsia="Arial" w:hAnsi="Arial"/>
          <w:sz w:val="12"/>
          <w:szCs w:val="12"/>
          <w:b w:val="1"/>
          <w:bCs w:val="1"/>
          <w:color w:val="auto"/>
        </w:rPr>
        <w:t xml:space="preserve"> San Francisco </w:t>
      </w:r>
      <w:r>
        <w:rPr>
          <w:rFonts w:ascii="Arial" w:cs="Arial" w:eastAsia="Arial" w:hAnsi="Arial"/>
          <w:sz w:val="12"/>
          <w:szCs w:val="12"/>
          <w:color w:val="auto"/>
        </w:rPr>
        <w:t>office on a full-time basis. This role is classified as exempt from overtime rules. The Company reserves</w:t>
      </w:r>
      <w:r>
        <w:rPr>
          <w:rFonts w:ascii="Arial" w:cs="Arial" w:eastAsia="Arial" w:hAnsi="Arial"/>
          <w:sz w:val="12"/>
          <w:szCs w:val="12"/>
          <w:b w:val="1"/>
          <w:bCs w:val="1"/>
          <w:color w:val="auto"/>
        </w:rPr>
        <w:t xml:space="preserve"> </w:t>
      </w:r>
      <w:r>
        <w:rPr>
          <w:rFonts w:ascii="Arial" w:cs="Arial" w:eastAsia="Arial" w:hAnsi="Arial"/>
          <w:sz w:val="12"/>
          <w:szCs w:val="12"/>
          <w:color w:val="auto"/>
        </w:rPr>
        <w:t>the right to modify your job duties from time to time at its sole discretion.</w:t>
      </w:r>
    </w:p>
    <w:p>
      <w:pPr>
        <w:spacing w:after="0" w:line="92" w:lineRule="exact"/>
        <w:rPr>
          <w:rFonts w:ascii="Arial" w:cs="Arial" w:eastAsia="Arial" w:hAnsi="Arial"/>
          <w:sz w:val="12"/>
          <w:szCs w:val="12"/>
          <w:b w:val="1"/>
          <w:bCs w:val="1"/>
          <w:color w:val="auto"/>
        </w:rPr>
      </w:pPr>
    </w:p>
    <w:p>
      <w:pPr>
        <w:ind w:left="840" w:hanging="416"/>
        <w:spacing w:after="0"/>
        <w:tabs>
          <w:tab w:leader="none" w:pos="840" w:val="left"/>
        </w:tabs>
        <w:numPr>
          <w:ilvl w:val="0"/>
          <w:numId w:val="98"/>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Start Date</w:t>
      </w:r>
      <w:r>
        <w:rPr>
          <w:rFonts w:ascii="Arial" w:cs="Arial" w:eastAsia="Arial" w:hAnsi="Arial"/>
          <w:sz w:val="11"/>
          <w:szCs w:val="11"/>
          <w:color w:val="auto"/>
        </w:rPr>
        <w:t>. Subject to the fulfillment of any conditions imposed by this letter agreement and unless otherwise agreed upon, your employment with the Company is anticipated to start on</w:t>
      </w:r>
      <w:r>
        <w:rPr>
          <w:rFonts w:ascii="Arial" w:cs="Arial" w:eastAsia="Arial" w:hAnsi="Arial"/>
          <w:sz w:val="11"/>
          <w:szCs w:val="11"/>
          <w:b w:val="1"/>
          <w:bCs w:val="1"/>
          <w:color w:val="auto"/>
        </w:rPr>
        <w:t xml:space="preserve"> November 15</w:t>
      </w:r>
      <w:r>
        <w:rPr>
          <w:rFonts w:ascii="Arial" w:cs="Arial" w:eastAsia="Arial" w:hAnsi="Arial"/>
          <w:sz w:val="14"/>
          <w:szCs w:val="14"/>
          <w:b w:val="1"/>
          <w:bCs w:val="1"/>
          <w:color w:val="auto"/>
          <w:vertAlign w:val="superscript"/>
        </w:rPr>
        <w:t>th</w:t>
      </w:r>
      <w:r>
        <w:rPr>
          <w:rFonts w:ascii="Arial" w:cs="Arial" w:eastAsia="Arial" w:hAnsi="Arial"/>
          <w:sz w:val="11"/>
          <w:szCs w:val="11"/>
          <w:b w:val="1"/>
          <w:bCs w:val="1"/>
          <w:color w:val="auto"/>
        </w:rPr>
        <w:t xml:space="preserve">, 2021 </w:t>
      </w:r>
      <w:r>
        <w:rPr>
          <w:rFonts w:ascii="Arial" w:cs="Arial" w:eastAsia="Arial" w:hAnsi="Arial"/>
          <w:sz w:val="11"/>
          <w:szCs w:val="11"/>
          <w:color w:val="auto"/>
        </w:rPr>
        <w:t>(the</w:t>
      </w:r>
    </w:p>
    <w:p>
      <w:pPr>
        <w:spacing w:after="0"/>
        <w:rPr>
          <w:rFonts w:ascii="Arial" w:cs="Arial" w:eastAsia="Arial" w:hAnsi="Arial"/>
          <w:sz w:val="11"/>
          <w:szCs w:val="11"/>
          <w:b w:val="1"/>
          <w:bCs w:val="1"/>
          <w:color w:val="auto"/>
        </w:rPr>
      </w:pPr>
      <w:r>
        <w:rPr>
          <w:rFonts w:ascii="Arial" w:cs="Arial" w:eastAsia="Arial" w:hAnsi="Arial"/>
          <w:sz w:val="12"/>
          <w:szCs w:val="12"/>
          <w:color w:val="auto"/>
        </w:rPr>
        <w:t>“</w:t>
      </w:r>
      <w:r>
        <w:rPr>
          <w:rFonts w:ascii="Arial" w:cs="Arial" w:eastAsia="Arial" w:hAnsi="Arial"/>
          <w:sz w:val="12"/>
          <w:szCs w:val="12"/>
          <w:i w:val="1"/>
          <w:iCs w:val="1"/>
          <w:u w:val="single" w:color="auto"/>
          <w:color w:val="auto"/>
        </w:rPr>
        <w:t>Start Date</w:t>
      </w:r>
      <w:r>
        <w:rPr>
          <w:rFonts w:ascii="Arial" w:cs="Arial" w:eastAsia="Arial" w:hAnsi="Arial"/>
          <w:sz w:val="12"/>
          <w:szCs w:val="12"/>
          <w:color w:val="auto"/>
        </w:rPr>
        <w:t>”).</w:t>
      </w:r>
    </w:p>
    <w:p>
      <w:pPr>
        <w:spacing w:after="0" w:line="100" w:lineRule="exact"/>
        <w:rPr>
          <w:rFonts w:ascii="Arial" w:cs="Arial" w:eastAsia="Arial" w:hAnsi="Arial"/>
          <w:sz w:val="11"/>
          <w:szCs w:val="11"/>
          <w:b w:val="1"/>
          <w:bCs w:val="1"/>
          <w:color w:val="auto"/>
        </w:rPr>
      </w:pPr>
    </w:p>
    <w:p>
      <w:pPr>
        <w:ind w:firstLine="424"/>
        <w:spacing w:after="0" w:line="238" w:lineRule="auto"/>
        <w:tabs>
          <w:tab w:leader="none" w:pos="856"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Proof of Right to Work</w:t>
      </w:r>
      <w:r>
        <w:rPr>
          <w:rFonts w:ascii="Arial" w:cs="Arial" w:eastAsia="Arial" w:hAnsi="Arial"/>
          <w:sz w:val="12"/>
          <w:szCs w:val="12"/>
          <w:color w:val="auto"/>
        </w:rPr>
        <w:t>. For purposes of federal immigration law, you will be required to provide to the Company documentary evidence of your identity and eligibility for employment in the United States. Such</w:t>
      </w:r>
      <w:r>
        <w:rPr>
          <w:rFonts w:ascii="Arial" w:cs="Arial" w:eastAsia="Arial" w:hAnsi="Arial"/>
          <w:sz w:val="12"/>
          <w:szCs w:val="12"/>
          <w:b w:val="1"/>
          <w:bCs w:val="1"/>
          <w:color w:val="auto"/>
        </w:rPr>
        <w:t xml:space="preserve"> </w:t>
      </w:r>
      <w:r>
        <w:rPr>
          <w:rFonts w:ascii="Arial" w:cs="Arial" w:eastAsia="Arial" w:hAnsi="Arial"/>
          <w:sz w:val="12"/>
          <w:szCs w:val="12"/>
          <w:color w:val="auto"/>
        </w:rPr>
        <w:t>documentation must be provided to us within three (3) business days of your Start Date or our employment relationship with you may be terminated.</w:t>
      </w:r>
    </w:p>
    <w:p>
      <w:pPr>
        <w:spacing w:after="0" w:line="95" w:lineRule="exact"/>
        <w:rPr>
          <w:rFonts w:ascii="Arial" w:cs="Arial" w:eastAsia="Arial" w:hAnsi="Arial"/>
          <w:sz w:val="12"/>
          <w:szCs w:val="12"/>
          <w:b w:val="1"/>
          <w:bCs w:val="1"/>
          <w:color w:val="auto"/>
        </w:rPr>
      </w:pPr>
    </w:p>
    <w:p>
      <w:pPr>
        <w:ind w:left="840" w:hanging="416"/>
        <w:spacing w:after="0"/>
        <w:tabs>
          <w:tab w:leader="none" w:pos="840"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Compensation.</w:t>
      </w:r>
    </w:p>
    <w:p>
      <w:pPr>
        <w:spacing w:after="0" w:line="105" w:lineRule="exact"/>
        <w:rPr>
          <w:rFonts w:ascii="Arial" w:cs="Arial" w:eastAsia="Arial" w:hAnsi="Arial"/>
          <w:sz w:val="12"/>
          <w:szCs w:val="12"/>
          <w:b w:val="1"/>
          <w:bCs w:val="1"/>
          <w:color w:val="auto"/>
        </w:rPr>
      </w:pPr>
    </w:p>
    <w:p>
      <w:pPr>
        <w:ind w:firstLine="691"/>
        <w:spacing w:after="0" w:line="238" w:lineRule="auto"/>
        <w:tabs>
          <w:tab w:leader="none" w:pos="864" w:val="left"/>
        </w:tabs>
        <w:numPr>
          <w:ilvl w:val="1"/>
          <w:numId w:val="98"/>
        </w:numPr>
        <w:rPr>
          <w:rFonts w:ascii="Arial" w:cs="Arial" w:eastAsia="Arial" w:hAnsi="Arial"/>
          <w:sz w:val="12"/>
          <w:szCs w:val="12"/>
          <w:color w:val="auto"/>
        </w:rPr>
      </w:pPr>
      <w:r>
        <w:rPr>
          <w:rFonts w:ascii="Arial" w:cs="Arial" w:eastAsia="Arial" w:hAnsi="Arial"/>
          <w:sz w:val="12"/>
          <w:szCs w:val="12"/>
          <w:b w:val="1"/>
          <w:bCs w:val="1"/>
          <w:color w:val="auto"/>
        </w:rPr>
        <w:t xml:space="preserve">Base Salary. </w:t>
      </w:r>
      <w:r>
        <w:rPr>
          <w:rFonts w:ascii="Arial" w:cs="Arial" w:eastAsia="Arial" w:hAnsi="Arial"/>
          <w:sz w:val="12"/>
          <w:szCs w:val="12"/>
          <w:color w:val="auto"/>
        </w:rPr>
        <w:t>You will receive a gross base yearly salary, subject to applicable deduction and withholding, of</w:t>
      </w:r>
      <w:r>
        <w:rPr>
          <w:rFonts w:ascii="Arial" w:cs="Arial" w:eastAsia="Arial" w:hAnsi="Arial"/>
          <w:sz w:val="12"/>
          <w:szCs w:val="12"/>
          <w:b w:val="1"/>
          <w:bCs w:val="1"/>
          <w:color w:val="auto"/>
        </w:rPr>
        <w:t xml:space="preserve"> $900,000.00</w:t>
      </w:r>
      <w:r>
        <w:rPr>
          <w:rFonts w:ascii="Arial" w:cs="Arial" w:eastAsia="Arial" w:hAnsi="Arial"/>
          <w:sz w:val="12"/>
          <w:szCs w:val="12"/>
          <w:color w:val="auto"/>
        </w:rPr>
        <w:t>. Your salary will be payable on a bi-weekly basis pursuant to the Company's regular payroll</w:t>
      </w:r>
      <w:r>
        <w:rPr>
          <w:rFonts w:ascii="Arial" w:cs="Arial" w:eastAsia="Arial" w:hAnsi="Arial"/>
          <w:sz w:val="12"/>
          <w:szCs w:val="12"/>
          <w:b w:val="1"/>
          <w:bCs w:val="1"/>
          <w:color w:val="auto"/>
        </w:rPr>
        <w:t xml:space="preserve"> </w:t>
      </w:r>
      <w:r>
        <w:rPr>
          <w:rFonts w:ascii="Arial" w:cs="Arial" w:eastAsia="Arial" w:hAnsi="Arial"/>
          <w:sz w:val="12"/>
          <w:szCs w:val="12"/>
          <w:color w:val="auto"/>
        </w:rPr>
        <w:t>policy. As an exempt employee, you are not eligible for overtime pay, and your compensation will not fluctuate according to the quantity of work performed.</w:t>
      </w:r>
    </w:p>
    <w:p>
      <w:pPr>
        <w:spacing w:after="0" w:line="257" w:lineRule="exact"/>
        <w:rPr>
          <w:rFonts w:ascii="Arial" w:cs="Arial" w:eastAsia="Arial" w:hAnsi="Arial"/>
          <w:sz w:val="12"/>
          <w:szCs w:val="12"/>
          <w:color w:val="auto"/>
        </w:rPr>
      </w:pPr>
    </w:p>
    <w:p>
      <w:pPr>
        <w:jc w:val="both"/>
        <w:ind w:firstLine="691"/>
        <w:spacing w:after="0" w:line="232" w:lineRule="auto"/>
        <w:tabs>
          <w:tab w:leader="none" w:pos="861" w:val="left"/>
        </w:tabs>
        <w:numPr>
          <w:ilvl w:val="1"/>
          <w:numId w:val="98"/>
        </w:numPr>
        <w:rPr>
          <w:rFonts w:ascii="Arial" w:cs="Arial" w:eastAsia="Arial" w:hAnsi="Arial"/>
          <w:sz w:val="11"/>
          <w:szCs w:val="11"/>
          <w:color w:val="auto"/>
        </w:rPr>
      </w:pPr>
      <w:r>
        <w:rPr>
          <w:rFonts w:ascii="Arial" w:cs="Arial" w:eastAsia="Arial" w:hAnsi="Arial"/>
          <w:sz w:val="11"/>
          <w:szCs w:val="11"/>
          <w:b w:val="1"/>
          <w:bCs w:val="1"/>
          <w:color w:val="auto"/>
        </w:rPr>
        <w:t xml:space="preserve">Restricted Stock Units. </w:t>
      </w:r>
      <w:r>
        <w:rPr>
          <w:rFonts w:ascii="Arial" w:cs="Arial" w:eastAsia="Arial" w:hAnsi="Arial"/>
          <w:sz w:val="11"/>
          <w:szCs w:val="11"/>
          <w:color w:val="auto"/>
        </w:rPr>
        <w:t>Subject to approval by the Company’s Board of Directors (the “</w:t>
      </w:r>
      <w:r>
        <w:rPr>
          <w:rFonts w:ascii="Arial" w:cs="Arial" w:eastAsia="Arial" w:hAnsi="Arial"/>
          <w:sz w:val="11"/>
          <w:szCs w:val="11"/>
          <w:i w:val="1"/>
          <w:iCs w:val="1"/>
          <w:u w:val="single" w:color="auto"/>
          <w:color w:val="auto"/>
        </w:rPr>
        <w:t>Board</w:t>
      </w:r>
      <w:r>
        <w:rPr>
          <w:rFonts w:ascii="Arial" w:cs="Arial" w:eastAsia="Arial" w:hAnsi="Arial"/>
          <w:sz w:val="11"/>
          <w:szCs w:val="11"/>
          <w:color w:val="auto"/>
        </w:rPr>
        <w:t>”), following your Start Date, you will be granted restricted stock units (the “</w:t>
      </w:r>
      <w:r>
        <w:rPr>
          <w:rFonts w:ascii="Arial" w:cs="Arial" w:eastAsia="Arial" w:hAnsi="Arial"/>
          <w:sz w:val="11"/>
          <w:szCs w:val="11"/>
          <w:i w:val="1"/>
          <w:iCs w:val="1"/>
          <w:u w:val="single" w:color="auto"/>
          <w:color w:val="auto"/>
        </w:rPr>
        <w:t>RSUs</w:t>
      </w:r>
      <w:r>
        <w:rPr>
          <w:rFonts w:ascii="Arial" w:cs="Arial" w:eastAsia="Arial" w:hAnsi="Arial"/>
          <w:sz w:val="11"/>
          <w:szCs w:val="11"/>
          <w:color w:val="auto"/>
        </w:rPr>
        <w:t>”) with a total value of approximately</w:t>
      </w:r>
      <w:r>
        <w:rPr>
          <w:rFonts w:ascii="Arial" w:cs="Arial" w:eastAsia="Arial" w:hAnsi="Arial"/>
          <w:sz w:val="11"/>
          <w:szCs w:val="11"/>
          <w:b w:val="1"/>
          <w:bCs w:val="1"/>
          <w:color w:val="auto"/>
        </w:rPr>
        <w:t xml:space="preserve"> $35,000,000.00</w:t>
      </w:r>
      <w:r>
        <w:rPr>
          <w:rFonts w:ascii="Arial" w:cs="Arial" w:eastAsia="Arial" w:hAnsi="Arial"/>
          <w:sz w:val="11"/>
          <w:szCs w:val="11"/>
          <w:color w:val="auto"/>
        </w:rPr>
        <w:t>. The number of RSUs subject to such grant will be determined by dividing</w:t>
      </w:r>
      <w:r>
        <w:rPr>
          <w:rFonts w:ascii="Arial" w:cs="Arial" w:eastAsia="Arial" w:hAnsi="Arial"/>
          <w:sz w:val="11"/>
          <w:szCs w:val="11"/>
          <w:b w:val="1"/>
          <w:bCs w:val="1"/>
          <w:color w:val="auto"/>
        </w:rPr>
        <w:t xml:space="preserve"> $35,000,000.00 </w:t>
      </w:r>
      <w:r>
        <w:rPr>
          <w:rFonts w:ascii="Arial" w:cs="Arial" w:eastAsia="Arial" w:hAnsi="Arial"/>
          <w:sz w:val="11"/>
          <w:szCs w:val="11"/>
          <w:color w:val="auto"/>
        </w:rPr>
        <w:t>by the average closing market price on the New York Stock Exchange of one share of the Company’s Class A common stock</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over the 30-day period ending five business days before the effective date of grant. Each RSU entitles you to one share of the Company’s Class A Common Stock if and when the RSU vests. The RSUs will vest over four years in accordance with the schedule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depending upon your Start Date. In general, 25% of the RSUs will vest on the first to occur of February 15, May 15, August 15 or November 15 (or the first business day after such date if such date is not a business day) on or following the first anniversary of the vesting commencement date (as set forth in the applicable RSU agreement), and the balance will vest in quarterly installments over the next three years, subject to your continued employment with the Company through each vesting date. Please carefully review the attached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for details relating to your specific vesting schedule. The RSUs will be subject to the terms and conditions of the equity incentive plan under which they are granted (the “</w:t>
      </w:r>
      <w:r>
        <w:rPr>
          <w:rFonts w:ascii="Arial" w:cs="Arial" w:eastAsia="Arial" w:hAnsi="Arial"/>
          <w:sz w:val="11"/>
          <w:szCs w:val="11"/>
          <w:i w:val="1"/>
          <w:iCs w:val="1"/>
          <w:u w:val="single" w:color="auto"/>
          <w:color w:val="auto"/>
        </w:rPr>
        <w:t>Plan</w:t>
      </w:r>
      <w:r>
        <w:rPr>
          <w:rFonts w:ascii="Arial" w:cs="Arial" w:eastAsia="Arial" w:hAnsi="Arial"/>
          <w:sz w:val="11"/>
          <w:szCs w:val="11"/>
          <w:color w:val="auto"/>
        </w:rPr>
        <w:t>”) and the RSU agreement thereunder, which you will be required to sign as a condition to receiving your RSUs.</w:t>
      </w:r>
    </w:p>
    <w:p>
      <w:pPr>
        <w:spacing w:after="0" w:line="98" w:lineRule="exact"/>
        <w:rPr>
          <w:rFonts w:ascii="Arial" w:cs="Arial" w:eastAsia="Arial" w:hAnsi="Arial"/>
          <w:sz w:val="11"/>
          <w:szCs w:val="11"/>
          <w:color w:val="auto"/>
        </w:rPr>
      </w:pPr>
    </w:p>
    <w:p>
      <w:pPr>
        <w:jc w:val="both"/>
        <w:ind w:firstLine="691"/>
        <w:spacing w:after="0" w:line="237" w:lineRule="auto"/>
        <w:tabs>
          <w:tab w:leader="none" w:pos="864" w:val="left"/>
        </w:tabs>
        <w:numPr>
          <w:ilvl w:val="1"/>
          <w:numId w:val="98"/>
        </w:numPr>
        <w:rPr>
          <w:rFonts w:ascii="Arial" w:cs="Arial" w:eastAsia="Arial" w:hAnsi="Arial"/>
          <w:sz w:val="11"/>
          <w:szCs w:val="11"/>
          <w:color w:val="auto"/>
        </w:rPr>
      </w:pPr>
      <w:r>
        <w:rPr>
          <w:rFonts w:ascii="Arial" w:cs="Arial" w:eastAsia="Arial" w:hAnsi="Arial"/>
          <w:sz w:val="11"/>
          <w:szCs w:val="11"/>
          <w:b w:val="1"/>
          <w:bCs w:val="1"/>
          <w:color w:val="auto"/>
        </w:rPr>
        <w:t>Options</w:t>
      </w:r>
      <w:r>
        <w:rPr>
          <w:rFonts w:ascii="Arial" w:cs="Arial" w:eastAsia="Arial" w:hAnsi="Arial"/>
          <w:sz w:val="11"/>
          <w:szCs w:val="11"/>
          <w:color w:val="auto"/>
        </w:rPr>
        <w:t>. Subject to approval by the Company’s Board of Directors (the “</w:t>
      </w:r>
      <w:r>
        <w:rPr>
          <w:rFonts w:ascii="Arial" w:cs="Arial" w:eastAsia="Arial" w:hAnsi="Arial"/>
          <w:sz w:val="11"/>
          <w:szCs w:val="11"/>
          <w:i w:val="1"/>
          <w:iCs w:val="1"/>
          <w:u w:val="single" w:color="auto"/>
          <w:color w:val="auto"/>
        </w:rPr>
        <w:t>Board</w:t>
      </w:r>
      <w:r>
        <w:rPr>
          <w:rFonts w:ascii="Arial" w:cs="Arial" w:eastAsia="Arial" w:hAnsi="Arial"/>
          <w:sz w:val="11"/>
          <w:szCs w:val="11"/>
          <w:color w:val="auto"/>
        </w:rPr>
        <w:t>”), following your Start Date, you will be granted an option to purchase</w:t>
      </w:r>
      <w:r>
        <w:rPr>
          <w:rFonts w:ascii="Arial" w:cs="Arial" w:eastAsia="Arial" w:hAnsi="Arial"/>
          <w:sz w:val="11"/>
          <w:szCs w:val="11"/>
          <w:b w:val="1"/>
          <w:bCs w:val="1"/>
          <w:color w:val="auto"/>
        </w:rPr>
        <w:t xml:space="preserve"> 54,428 </w:t>
      </w:r>
      <w:r>
        <w:rPr>
          <w:rFonts w:ascii="Arial" w:cs="Arial" w:eastAsia="Arial" w:hAnsi="Arial"/>
          <w:sz w:val="11"/>
          <w:szCs w:val="11"/>
          <w:color w:val="auto"/>
        </w:rPr>
        <w:t>shares of the Company’s Class A Common Stock (the</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u w:val="single" w:color="auto"/>
          <w:color w:val="auto"/>
        </w:rPr>
        <w:t>Option</w:t>
      </w:r>
      <w:r>
        <w:rPr>
          <w:rFonts w:ascii="Arial" w:cs="Arial" w:eastAsia="Arial" w:hAnsi="Arial"/>
          <w:sz w:val="11"/>
          <w:szCs w:val="11"/>
          <w:color w:val="auto"/>
        </w:rPr>
        <w:t>”), at an exercise price equal to the fair market value of a share of the Company’s Class A Common Stock on the date that your Option is granted. Twenty-five percent (25%) of the Option shall vest on the first anniversary of your Start Date and the remaining portion of the Option shall vest in equal monthly installments over the following three years, subject to your continued service through each vesting date. We will recommend to the Board that your Option be classified as an “incentive stock option” within the meaning of Section 422 of the U.S. Internal Revenue Code of 1986 (the “</w:t>
      </w:r>
      <w:r>
        <w:rPr>
          <w:rFonts w:ascii="Arial" w:cs="Arial" w:eastAsia="Arial" w:hAnsi="Arial"/>
          <w:sz w:val="11"/>
          <w:szCs w:val="11"/>
          <w:i w:val="1"/>
          <w:iCs w:val="1"/>
          <w:u w:val="single" w:color="auto"/>
          <w:color w:val="auto"/>
        </w:rPr>
        <w:t>Code</w:t>
      </w:r>
      <w:r>
        <w:rPr>
          <w:rFonts w:ascii="Arial" w:cs="Arial" w:eastAsia="Arial" w:hAnsi="Arial"/>
          <w:sz w:val="11"/>
          <w:szCs w:val="11"/>
          <w:color w:val="auto"/>
        </w:rPr>
        <w:t>”), to the maximum extent permissible under the Code. The Option will be subject to the terms and conditions of the equity incentive plan under which it is granted (the “</w:t>
      </w:r>
      <w:r>
        <w:rPr>
          <w:rFonts w:ascii="Arial" w:cs="Arial" w:eastAsia="Arial" w:hAnsi="Arial"/>
          <w:sz w:val="11"/>
          <w:szCs w:val="11"/>
          <w:i w:val="1"/>
          <w:iCs w:val="1"/>
          <w:u w:val="single" w:color="auto"/>
          <w:color w:val="auto"/>
        </w:rPr>
        <w:t>Plan</w:t>
      </w:r>
      <w:r>
        <w:rPr>
          <w:rFonts w:ascii="Arial" w:cs="Arial" w:eastAsia="Arial" w:hAnsi="Arial"/>
          <w:sz w:val="11"/>
          <w:szCs w:val="11"/>
          <w:color w:val="auto"/>
        </w:rPr>
        <w:t>”) and the stock option agreement thereunder, which you will be required to sign as a condition to receiving your Option.</w:t>
      </w:r>
    </w:p>
    <w:p>
      <w:pPr>
        <w:spacing w:after="0" w:line="248" w:lineRule="exact"/>
        <w:rPr>
          <w:rFonts w:ascii="Arial" w:cs="Arial" w:eastAsia="Arial" w:hAnsi="Arial"/>
          <w:sz w:val="11"/>
          <w:szCs w:val="11"/>
          <w:color w:val="auto"/>
        </w:rPr>
      </w:pPr>
    </w:p>
    <w:p>
      <w:pPr>
        <w:ind w:firstLine="424"/>
        <w:spacing w:after="0" w:line="238" w:lineRule="auto"/>
        <w:tabs>
          <w:tab w:leader="none" w:pos="856"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Benefits.</w:t>
      </w:r>
      <w:r>
        <w:rPr>
          <w:rFonts w:ascii="Arial" w:cs="Arial" w:eastAsia="Arial" w:hAnsi="Arial"/>
          <w:sz w:val="12"/>
          <w:szCs w:val="12"/>
          <w:b w:val="1"/>
          <w:bCs w:val="1"/>
          <w:color w:val="auto"/>
        </w:rPr>
        <w:t xml:space="preserve"> </w:t>
      </w:r>
      <w:r>
        <w:rPr>
          <w:rFonts w:ascii="Arial" w:cs="Arial" w:eastAsia="Arial" w:hAnsi="Arial"/>
          <w:sz w:val="12"/>
          <w:szCs w:val="12"/>
          <w:color w:val="auto"/>
        </w:rPr>
        <w:t>While employed with the Company, you will be eligible to participate in the Company’s benefits plans as outlined in Twilio’s benefits summary, which will be provided to you separately. Your benefits</w:t>
      </w:r>
      <w:r>
        <w:rPr>
          <w:rFonts w:ascii="Arial" w:cs="Arial" w:eastAsia="Arial" w:hAnsi="Arial"/>
          <w:sz w:val="12"/>
          <w:szCs w:val="12"/>
          <w:b w:val="1"/>
          <w:bCs w:val="1"/>
          <w:color w:val="auto"/>
        </w:rPr>
        <w:t xml:space="preserve"> </w:t>
      </w:r>
      <w:r>
        <w:rPr>
          <w:rFonts w:ascii="Arial" w:cs="Arial" w:eastAsia="Arial" w:hAnsi="Arial"/>
          <w:sz w:val="12"/>
          <w:szCs w:val="12"/>
          <w:color w:val="auto"/>
        </w:rPr>
        <w:t>include participation in the Company’s flexible time off program. All benefits will be administered pursuant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404040"/>
        </w:rPr>
        <w:t>1</w:t>
      </w:r>
    </w:p>
    <w:p>
      <w:pPr>
        <w:sectPr>
          <w:pgSz w:w="11900" w:h="16838" w:orient="portrait"/>
          <w:cols w:equalWidth="0" w:num="1">
            <w:col w:w="11300"/>
          </w:cols>
          <w:pgMar w:left="300" w:top="289" w:right="299" w:bottom="1440" w:gutter="0" w:footer="0" w:header="0"/>
          <w:type w:val="continuous"/>
        </w:sectPr>
      </w:pPr>
    </w:p>
    <w:bookmarkStart w:id="128" w:name="page129"/>
    <w:bookmarkEnd w:id="128"/>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1120140" cy="3371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ind w:right="20"/>
        <w:spacing w:after="0" w:line="234" w:lineRule="auto"/>
        <w:rPr>
          <w:sz w:val="20"/>
          <w:szCs w:val="20"/>
          <w:color w:val="auto"/>
        </w:rPr>
      </w:pPr>
      <w:r>
        <w:rPr>
          <w:rFonts w:ascii="Arial" w:cs="Arial" w:eastAsia="Arial" w:hAnsi="Arial"/>
          <w:sz w:val="12"/>
          <w:szCs w:val="12"/>
          <w:color w:val="auto"/>
        </w:rPr>
        <w:t>Company policy and any applicable law. Eligibility and coverage under Company benefit programs will be subject to the terms and conditions of the applicable plans or programs, which may change from time to time. The benefit plans and packages offered by the Company may be modified at any time, with or without advance notice, at the Company’s sole discretion.</w:t>
      </w:r>
    </w:p>
    <w:p>
      <w:pPr>
        <w:spacing w:after="0" w:line="87" w:lineRule="exact"/>
        <w:rPr>
          <w:sz w:val="20"/>
          <w:szCs w:val="20"/>
          <w:color w:val="auto"/>
        </w:rPr>
      </w:pPr>
    </w:p>
    <w:p>
      <w:pPr>
        <w:ind w:firstLine="424"/>
        <w:spacing w:after="0" w:line="238" w:lineRule="auto"/>
        <w:tabs>
          <w:tab w:leader="none" w:pos="856"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Confidentiality and Inventions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Your acceptance of this offer and commencement of employment with the Company is contingent upon the execution and delivery to the Company of the Company’s</w:t>
      </w:r>
      <w:r>
        <w:rPr>
          <w:rFonts w:ascii="Arial" w:cs="Arial" w:eastAsia="Arial" w:hAnsi="Arial"/>
          <w:sz w:val="12"/>
          <w:szCs w:val="12"/>
          <w:b w:val="1"/>
          <w:bCs w:val="1"/>
          <w:color w:val="auto"/>
        </w:rPr>
        <w:t xml:space="preserve"> </w:t>
      </w:r>
      <w:r>
        <w:rPr>
          <w:rFonts w:ascii="Arial" w:cs="Arial" w:eastAsia="Arial" w:hAnsi="Arial"/>
          <w:sz w:val="12"/>
          <w:szCs w:val="12"/>
          <w:color w:val="auto"/>
        </w:rPr>
        <w:t>Proprietary Information and Inventions Agreement (“</w:t>
      </w:r>
      <w:r>
        <w:rPr>
          <w:rFonts w:ascii="Arial" w:cs="Arial" w:eastAsia="Arial" w:hAnsi="Arial"/>
          <w:sz w:val="12"/>
          <w:szCs w:val="12"/>
          <w:i w:val="1"/>
          <w:iCs w:val="1"/>
          <w:u w:val="single" w:color="auto"/>
          <w:color w:val="auto"/>
        </w:rPr>
        <w:t>PIIA</w:t>
      </w:r>
      <w:r>
        <w:rPr>
          <w:rFonts w:ascii="Arial" w:cs="Arial" w:eastAsia="Arial" w:hAnsi="Arial"/>
          <w:sz w:val="12"/>
          <w:szCs w:val="12"/>
          <w:color w:val="auto"/>
        </w:rPr>
        <w:t>”) and Arbitration Agreement, which shall be sent separately for your review and execution.</w:t>
      </w:r>
    </w:p>
    <w:p>
      <w:pPr>
        <w:spacing w:after="0" w:line="104" w:lineRule="exact"/>
        <w:rPr>
          <w:rFonts w:ascii="Arial" w:cs="Arial" w:eastAsia="Arial" w:hAnsi="Arial"/>
          <w:sz w:val="12"/>
          <w:szCs w:val="12"/>
          <w:b w:val="1"/>
          <w:bCs w:val="1"/>
          <w:color w:val="auto"/>
        </w:rPr>
      </w:pPr>
    </w:p>
    <w:p>
      <w:pPr>
        <w:jc w:val="both"/>
        <w:ind w:firstLine="424"/>
        <w:spacing w:after="0" w:line="220" w:lineRule="auto"/>
        <w:tabs>
          <w:tab w:leader="none" w:pos="856"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At-Will Employment</w:t>
      </w:r>
      <w:r>
        <w:rPr>
          <w:rFonts w:ascii="Arial" w:cs="Arial" w:eastAsia="Arial" w:hAnsi="Arial"/>
          <w:sz w:val="12"/>
          <w:szCs w:val="12"/>
          <w:color w:val="auto"/>
        </w:rPr>
        <w:t>. Your employment with the Company will be on an “at will” basis, meaning that either you or the Company may terminate your employment at any time with or without cause or advance notice.</w:t>
      </w:r>
      <w:r>
        <w:rPr>
          <w:rFonts w:ascii="Arial" w:cs="Arial" w:eastAsia="Arial" w:hAnsi="Arial"/>
          <w:sz w:val="12"/>
          <w:szCs w:val="12"/>
          <w:b w:val="1"/>
          <w:bCs w:val="1"/>
          <w:color w:val="auto"/>
        </w:rPr>
        <w:t xml:space="preserve"> </w:t>
      </w:r>
      <w:r>
        <w:rPr>
          <w:rFonts w:ascii="Arial" w:cs="Arial" w:eastAsia="Arial" w:hAnsi="Arial"/>
          <w:sz w:val="12"/>
          <w:szCs w:val="12"/>
          <w:color w:val="auto"/>
        </w:rPr>
        <w:t>This is the full and complete agreement between you and the Company on this term and nothing in this agreement or in any document or statement, and nothing implied from any course of conduct shall limit the Company’s or your right to terminate at-will employment. Although your job duties, title, reporting relationship,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97" w:lineRule="exact"/>
        <w:rPr>
          <w:rFonts w:ascii="Arial" w:cs="Arial" w:eastAsia="Arial" w:hAnsi="Arial"/>
          <w:sz w:val="12"/>
          <w:szCs w:val="12"/>
          <w:b w:val="1"/>
          <w:bCs w:val="1"/>
          <w:color w:val="auto"/>
        </w:rPr>
      </w:pPr>
    </w:p>
    <w:p>
      <w:pPr>
        <w:ind w:left="840" w:hanging="416"/>
        <w:spacing w:after="0"/>
        <w:tabs>
          <w:tab w:leader="none" w:pos="84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Obligations to the Company</w:t>
      </w:r>
      <w:r>
        <w:rPr>
          <w:rFonts w:ascii="Arial" w:cs="Arial" w:eastAsia="Arial" w:hAnsi="Arial"/>
          <w:sz w:val="12"/>
          <w:szCs w:val="12"/>
          <w:b w:val="1"/>
          <w:bCs w:val="1"/>
          <w:color w:val="auto"/>
        </w:rPr>
        <w:t>.</w:t>
      </w:r>
    </w:p>
    <w:p>
      <w:pPr>
        <w:spacing w:after="0" w:line="118" w:lineRule="exact"/>
        <w:rPr>
          <w:rFonts w:ascii="Arial" w:cs="Arial" w:eastAsia="Arial" w:hAnsi="Arial"/>
          <w:sz w:val="12"/>
          <w:szCs w:val="12"/>
          <w:b w:val="1"/>
          <w:bCs w:val="1"/>
          <w:color w:val="auto"/>
        </w:rPr>
      </w:pPr>
    </w:p>
    <w:p>
      <w:pPr>
        <w:jc w:val="both"/>
        <w:ind w:firstLine="691"/>
        <w:spacing w:after="0" w:line="215" w:lineRule="auto"/>
        <w:tabs>
          <w:tab w:leader="none" w:pos="864" w:val="left"/>
        </w:tabs>
        <w:numPr>
          <w:ilvl w:val="1"/>
          <w:numId w:val="99"/>
        </w:numPr>
        <w:rPr>
          <w:rFonts w:ascii="Arial" w:cs="Arial" w:eastAsia="Arial" w:hAnsi="Arial"/>
          <w:sz w:val="12"/>
          <w:szCs w:val="12"/>
          <w:color w:val="auto"/>
        </w:rPr>
      </w:pPr>
      <w:r>
        <w:rPr>
          <w:rFonts w:ascii="Arial" w:cs="Arial" w:eastAsia="Arial" w:hAnsi="Arial"/>
          <w:sz w:val="12"/>
          <w:szCs w:val="12"/>
          <w:color w:val="auto"/>
        </w:rPr>
        <w:t>You agree that to the best of your ability and experience you will at all times loyally and conscientiously perform all of the duties and obligations required of you pursuant to the express and implicit terms hereof, and to the reasonable satisfaction of the Company. During your employment, and in return for the compensation paid to you in connection with such employment, you agree to devote all of your business time, best efforts, skill, knowledge, attention and energy to the business of the Company, the advancement of the Company’s business and interests, and to the performance of your duties and responsibilities as an employee of the Company. The Company will be entitled to all of the benefits and profits arising from or incident to all such work services and advice. You further agree that you will not directly or indirectly engage or participate in any business or outside activities that are competitive in any manner with the business of the Company or which conflict with the performance of your duties to the Company.</w:t>
      </w:r>
    </w:p>
    <w:p>
      <w:pPr>
        <w:spacing w:after="0" w:line="92" w:lineRule="exact"/>
        <w:rPr>
          <w:rFonts w:ascii="Arial" w:cs="Arial" w:eastAsia="Arial" w:hAnsi="Arial"/>
          <w:sz w:val="12"/>
          <w:szCs w:val="12"/>
          <w:color w:val="auto"/>
        </w:rPr>
      </w:pPr>
    </w:p>
    <w:p>
      <w:pPr>
        <w:jc w:val="both"/>
        <w:ind w:right="20" w:firstLine="691"/>
        <w:spacing w:after="0" w:line="224" w:lineRule="auto"/>
        <w:tabs>
          <w:tab w:leader="none" w:pos="861" w:val="left"/>
        </w:tabs>
        <w:numPr>
          <w:ilvl w:val="1"/>
          <w:numId w:val="99"/>
        </w:numPr>
        <w:rPr>
          <w:rFonts w:ascii="Arial" w:cs="Arial" w:eastAsia="Arial" w:hAnsi="Arial"/>
          <w:sz w:val="12"/>
          <w:szCs w:val="12"/>
          <w:color w:val="auto"/>
        </w:rPr>
      </w:pPr>
      <w:r>
        <w:rPr>
          <w:rFonts w:ascii="Arial" w:cs="Arial" w:eastAsia="Arial" w:hAnsi="Arial"/>
          <w:sz w:val="12"/>
          <w:szCs w:val="12"/>
          <w:color w:val="auto"/>
        </w:rPr>
        <w:t>As an employee of Twilio, you must read and comply with Twilio's data protection and information security policies, each as updated from time to time. You must only process personal data relating to Twilio staff, customers, end-users, suppliers and other third parties as necessary for the performance of your role and must protect the confidentiality of that personal data at all times. Failure to comply with Twilio's data protection and information security policies is subject to discipline up to and including termination.</w:t>
      </w:r>
    </w:p>
    <w:p>
      <w:pPr>
        <w:spacing w:after="0" w:line="95" w:lineRule="exact"/>
        <w:rPr>
          <w:rFonts w:ascii="Arial" w:cs="Arial" w:eastAsia="Arial" w:hAnsi="Arial"/>
          <w:sz w:val="12"/>
          <w:szCs w:val="12"/>
          <w:color w:val="auto"/>
        </w:rPr>
      </w:pPr>
    </w:p>
    <w:p>
      <w:pPr>
        <w:ind w:firstLine="424"/>
        <w:spacing w:after="0" w:line="238" w:lineRule="auto"/>
        <w:tabs>
          <w:tab w:leader="none" w:pos="856"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Standards of Conduct.</w:t>
      </w:r>
      <w:r>
        <w:rPr>
          <w:rFonts w:ascii="Arial" w:cs="Arial" w:eastAsia="Arial" w:hAnsi="Arial"/>
          <w:sz w:val="12"/>
          <w:szCs w:val="12"/>
          <w:b w:val="1"/>
          <w:bCs w:val="1"/>
          <w:color w:val="auto"/>
        </w:rPr>
        <w:t xml:space="preserve"> </w:t>
      </w:r>
      <w:r>
        <w:rPr>
          <w:rFonts w:ascii="Arial" w:cs="Arial" w:eastAsia="Arial" w:hAnsi="Arial"/>
          <w:sz w:val="12"/>
          <w:szCs w:val="12"/>
          <w:color w:val="auto"/>
        </w:rPr>
        <w:t>As a Company employee, you must abide by Company rules and standards of conduct now existing or established from time to time by the Company. As a condition of employment, you must</w:t>
      </w:r>
      <w:r>
        <w:rPr>
          <w:rFonts w:ascii="Arial" w:cs="Arial" w:eastAsia="Arial" w:hAnsi="Arial"/>
          <w:sz w:val="12"/>
          <w:szCs w:val="12"/>
          <w:b w:val="1"/>
          <w:bCs w:val="1"/>
          <w:color w:val="auto"/>
        </w:rPr>
        <w:t xml:space="preserve"> </w:t>
      </w:r>
      <w:r>
        <w:rPr>
          <w:rFonts w:ascii="Arial" w:cs="Arial" w:eastAsia="Arial" w:hAnsi="Arial"/>
          <w:sz w:val="12"/>
          <w:szCs w:val="12"/>
          <w:color w:val="auto"/>
        </w:rPr>
        <w:t>read and abide by the policies contained in the Company’s Employee Handbook and Code of Conduct, as adopted or modified by the Company from time to time.</w:t>
      </w:r>
    </w:p>
    <w:p>
      <w:pPr>
        <w:spacing w:after="0" w:line="95" w:lineRule="exact"/>
        <w:rPr>
          <w:rFonts w:ascii="Arial" w:cs="Arial" w:eastAsia="Arial" w:hAnsi="Arial"/>
          <w:sz w:val="12"/>
          <w:szCs w:val="12"/>
          <w:b w:val="1"/>
          <w:bCs w:val="1"/>
          <w:color w:val="auto"/>
        </w:rPr>
      </w:pPr>
    </w:p>
    <w:p>
      <w:pPr>
        <w:ind w:left="860" w:hanging="436"/>
        <w:spacing w:after="0"/>
        <w:tabs>
          <w:tab w:leader="none" w:pos="86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Miscellaneous</w:t>
      </w:r>
      <w:r>
        <w:rPr>
          <w:rFonts w:ascii="Arial" w:cs="Arial" w:eastAsia="Arial" w:hAnsi="Arial"/>
          <w:sz w:val="12"/>
          <w:szCs w:val="12"/>
          <w:color w:val="auto"/>
        </w:rPr>
        <w:t>.</w:t>
      </w:r>
    </w:p>
    <w:p>
      <w:pPr>
        <w:spacing w:after="0" w:line="109" w:lineRule="exact"/>
        <w:rPr>
          <w:rFonts w:ascii="Arial" w:cs="Arial" w:eastAsia="Arial" w:hAnsi="Arial"/>
          <w:sz w:val="12"/>
          <w:szCs w:val="12"/>
          <w:b w:val="1"/>
          <w:bCs w:val="1"/>
          <w:color w:val="auto"/>
        </w:rPr>
      </w:pPr>
    </w:p>
    <w:p>
      <w:pPr>
        <w:jc w:val="both"/>
        <w:ind w:firstLine="691"/>
        <w:spacing w:after="0" w:line="224" w:lineRule="auto"/>
        <w:tabs>
          <w:tab w:leader="none" w:pos="864" w:val="left"/>
        </w:tabs>
        <w:numPr>
          <w:ilvl w:val="1"/>
          <w:numId w:val="99"/>
        </w:numPr>
        <w:rPr>
          <w:rFonts w:ascii="Arial" w:cs="Arial" w:eastAsia="Arial" w:hAnsi="Arial"/>
          <w:sz w:val="12"/>
          <w:szCs w:val="12"/>
          <w:color w:val="auto"/>
        </w:rPr>
      </w:pPr>
      <w:r>
        <w:rPr>
          <w:rFonts w:ascii="Arial" w:cs="Arial" w:eastAsia="Arial" w:hAnsi="Arial"/>
          <w:sz w:val="12"/>
          <w:szCs w:val="12"/>
          <w:color w:val="auto"/>
        </w:rPr>
        <w:t>You acknowledge that Company has directed you not to bring with you any confidential or proprietary material of any former employer or to violate any other obligations you may have to any former employer. You represent and warrant that you are not subject to any agreement or understanding with any current or prior employer or business (or any other entity or person) which would, in any manner, preclude you from fulfilling any of the duties or obligations you may have with the Company or which would result in any additional payment from the Company.</w:t>
      </w:r>
    </w:p>
    <w:p>
      <w:pPr>
        <w:spacing w:after="0" w:line="99" w:lineRule="exact"/>
        <w:rPr>
          <w:rFonts w:ascii="Arial" w:cs="Arial" w:eastAsia="Arial" w:hAnsi="Arial"/>
          <w:sz w:val="12"/>
          <w:szCs w:val="12"/>
          <w:color w:val="auto"/>
        </w:rPr>
      </w:pPr>
    </w:p>
    <w:p>
      <w:pPr>
        <w:jc w:val="both"/>
        <w:ind w:firstLine="694"/>
        <w:spacing w:after="0" w:line="239" w:lineRule="auto"/>
        <w:tabs>
          <w:tab w:leader="none" w:pos="864" w:val="left"/>
        </w:tabs>
        <w:numPr>
          <w:ilvl w:val="1"/>
          <w:numId w:val="99"/>
        </w:numPr>
        <w:rPr>
          <w:rFonts w:ascii="Arial" w:cs="Arial" w:eastAsia="Arial" w:hAnsi="Arial"/>
          <w:sz w:val="11"/>
          <w:szCs w:val="11"/>
          <w:color w:val="auto"/>
        </w:rPr>
      </w:pPr>
      <w:r>
        <w:rPr>
          <w:rFonts w:ascii="Arial" w:cs="Arial" w:eastAsia="Arial" w:hAnsi="Arial"/>
          <w:sz w:val="11"/>
          <w:szCs w:val="11"/>
          <w:color w:val="auto"/>
        </w:rPr>
        <w:t>This agreement, the PIIA and the Arbitration Agreement constitute the entire agreement between you and the Company regarding the terms and conditions of your employment. You agree that no agreements or representations, verbal or written, with respect to the subject matter of our offer have been made to you other than those set forth in this letter agreement. To the extent any such agreements or representations were made, this agreement supersedes any and all previous offers, statements, agreements and representations made in the course of discussions and negotiations for this offer. Changes to the terms of this agreement, other than the changes to employment terms reserved to the Company’s discretion, require a written modification signed by an authorized officer of the Company. If any provision of this offer letter agreement is determined to be invalid or unenforceable, 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color w:val="404040"/>
        </w:rPr>
        <w:t>2</w:t>
      </w:r>
    </w:p>
    <w:p>
      <w:pPr>
        <w:sectPr>
          <w:pgSz w:w="11900" w:h="16838" w:orient="portrait"/>
          <w:cols w:equalWidth="0" w:num="1">
            <w:col w:w="11300"/>
          </w:cols>
          <w:pgMar w:left="300" w:top="1440" w:right="299" w:bottom="1440" w:gutter="0" w:footer="0" w:header="0"/>
        </w:sectPr>
      </w:pPr>
    </w:p>
    <w:bookmarkStart w:id="129" w:name="page130"/>
    <w:bookmarkEnd w:id="129"/>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1120140" cy="3371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jc w:val="both"/>
        <w:ind w:left="8"/>
        <w:spacing w:after="0" w:line="247" w:lineRule="auto"/>
        <w:rPr>
          <w:sz w:val="20"/>
          <w:szCs w:val="20"/>
          <w:color w:val="auto"/>
        </w:rPr>
      </w:pPr>
      <w:r>
        <w:rPr>
          <w:rFonts w:ascii="Arial" w:cs="Arial" w:eastAsia="Arial" w:hAnsi="Arial"/>
          <w:sz w:val="11"/>
          <w:szCs w:val="11"/>
          <w:color w:val="auto"/>
        </w:rPr>
        <w:t>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86" w:lineRule="exact"/>
        <w:rPr>
          <w:sz w:val="20"/>
          <w:szCs w:val="20"/>
          <w:color w:val="auto"/>
        </w:rPr>
      </w:pPr>
    </w:p>
    <w:p>
      <w:pPr>
        <w:ind w:left="8" w:firstLine="694"/>
        <w:spacing w:after="0" w:line="234" w:lineRule="auto"/>
        <w:tabs>
          <w:tab w:leader="none" w:pos="865" w:val="left"/>
        </w:tabs>
        <w:numPr>
          <w:ilvl w:val="0"/>
          <w:numId w:val="100"/>
        </w:numPr>
        <w:rPr>
          <w:rFonts w:ascii="Arial" w:cs="Arial" w:eastAsia="Arial" w:hAnsi="Arial"/>
          <w:sz w:val="12"/>
          <w:szCs w:val="12"/>
          <w:color w:val="auto"/>
        </w:rPr>
      </w:pPr>
      <w:r>
        <w:rPr>
          <w:rFonts w:ascii="Arial" w:cs="Arial" w:eastAsia="Arial" w:hAnsi="Arial"/>
          <w:sz w:val="12"/>
          <w:szCs w:val="12"/>
          <w:color w:val="auto"/>
        </w:rPr>
        <w:t>You represent and warrant that the information you provided to us during the hiring process is true and accurate, and you acknowledge that this offer is contingent on your consent to, and the successful completion of reference and background checks.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0"/>
          <w:szCs w:val="10"/>
          <w:color w:val="auto"/>
        </w:rPr>
        <w:t xml:space="preserve">We are all delighted to be able to extend you this offer which will remain open for 10 </w:t>
      </w:r>
      <w:r>
        <w:rPr>
          <w:rFonts w:ascii="Arial" w:cs="Arial" w:eastAsia="Arial" w:hAnsi="Arial"/>
          <w:sz w:val="10"/>
          <w:szCs w:val="10"/>
          <w:b w:val="1"/>
          <w:bCs w:val="1"/>
          <w:i w:val="1"/>
          <w:iCs w:val="1"/>
          <w:color w:val="auto"/>
        </w:rPr>
        <w:t>calendar</w:t>
      </w:r>
      <w:r>
        <w:rPr>
          <w:rFonts w:ascii="Arial" w:cs="Arial" w:eastAsia="Arial" w:hAnsi="Arial"/>
          <w:sz w:val="10"/>
          <w:szCs w:val="10"/>
          <w:color w:val="auto"/>
        </w:rPr>
        <w:t xml:space="preserve"> days from the </w:t>
      </w:r>
      <w:r>
        <w:rPr>
          <w:rFonts w:ascii="Arial" w:cs="Arial" w:eastAsia="Arial" w:hAnsi="Arial"/>
          <w:sz w:val="10"/>
          <w:szCs w:val="10"/>
          <w:b w:val="1"/>
          <w:bCs w:val="1"/>
          <w:color w:val="auto"/>
        </w:rPr>
        <w:t>Company's</w:t>
      </w:r>
      <w:r>
        <w:rPr>
          <w:rFonts w:ascii="Arial" w:cs="Arial" w:eastAsia="Arial" w:hAnsi="Arial"/>
          <w:sz w:val="10"/>
          <w:szCs w:val="10"/>
          <w:color w:val="auto"/>
        </w:rPr>
        <w:t xml:space="preserve"> signing date below. To indicate your acceptance of the Company’s offer as set forth above, please sign and date</w:t>
      </w:r>
    </w:p>
    <w:p>
      <w:pPr>
        <w:spacing w:after="0" w:line="16" w:lineRule="exact"/>
        <w:rPr>
          <w:sz w:val="20"/>
          <w:szCs w:val="20"/>
          <w:color w:val="auto"/>
        </w:rPr>
      </w:pPr>
    </w:p>
    <w:p>
      <w:pPr>
        <w:ind w:left="5008" w:right="1500" w:hanging="5008"/>
        <w:spacing w:after="0" w:line="728" w:lineRule="auto"/>
        <w:tabs>
          <w:tab w:leader="none" w:pos="147"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this letter in the space provided below, (ii) the PIIA, and (iii) the Arbitration Agreement. This letter may not be modified or amended except by a written agreement, signed by the Company and by you. [Signature Page to Follow]</w:t>
      </w:r>
    </w:p>
    <w:p>
      <w:pPr>
        <w:spacing w:after="0" w:line="200" w:lineRule="exact"/>
        <w:rPr>
          <w:sz w:val="20"/>
          <w:szCs w:val="20"/>
          <w:color w:val="auto"/>
        </w:rPr>
      </w:pP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404040"/>
        </w:rPr>
        <w:t>3</w:t>
      </w:r>
    </w:p>
    <w:p>
      <w:pPr>
        <w:sectPr>
          <w:pgSz w:w="11900" w:h="16838" w:orient="portrait"/>
          <w:cols w:equalWidth="0" w:num="1">
            <w:col w:w="11308"/>
          </w:cols>
          <w:pgMar w:left="292" w:top="1440" w:right="299" w:bottom="1440" w:gutter="0" w:footer="0" w:header="0"/>
        </w:sectPr>
      </w:pPr>
    </w:p>
    <w:bookmarkStart w:id="130" w:name="page131"/>
    <w:bookmarkEnd w:id="13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1120140" cy="3371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Very truly yours,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TWILIO INC.</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/s/ Christy Lake</w:t>
      </w:r>
    </w:p>
    <w:p>
      <w:pPr>
        <w:spacing w:after="0"/>
        <w:rPr>
          <w:sz w:val="20"/>
          <w:szCs w:val="20"/>
          <w:color w:val="auto"/>
        </w:rPr>
      </w:pPr>
      <w:r>
        <w:rPr>
          <w:rFonts w:ascii="Arial" w:cs="Arial" w:eastAsia="Arial" w:hAnsi="Arial"/>
          <w:sz w:val="12"/>
          <w:szCs w:val="12"/>
          <w:color w:val="auto"/>
        </w:rPr>
        <w:t>__________________________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Christy Lake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Chief People Officer</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222222"/>
        </w:rPr>
        <w:t>10-8-21</w:t>
      </w:r>
    </w:p>
    <w:p>
      <w:pPr>
        <w:spacing w:after="0"/>
        <w:rPr>
          <w:sz w:val="20"/>
          <w:szCs w:val="20"/>
          <w:color w:val="auto"/>
        </w:rPr>
      </w:pPr>
      <w:r>
        <w:rPr>
          <w:rFonts w:ascii="Arial" w:cs="Arial" w:eastAsia="Arial" w:hAnsi="Arial"/>
          <w:sz w:val="12"/>
          <w:szCs w:val="12"/>
          <w:color w:val="auto"/>
        </w:rPr>
        <w:t>___________________________</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color w:val="auto"/>
        </w:rPr>
        <w:t>ACCEPTED AND AGREED:</w:t>
      </w:r>
    </w:p>
    <w:p>
      <w:pPr>
        <w:spacing w:after="0" w:line="114" w:lineRule="exact"/>
        <w:rPr>
          <w:sz w:val="20"/>
          <w:szCs w:val="20"/>
          <w:color w:val="auto"/>
        </w:rPr>
      </w:pPr>
    </w:p>
    <w:p>
      <w:pPr>
        <w:spacing w:after="0" w:line="234" w:lineRule="auto"/>
        <w:rPr>
          <w:sz w:val="20"/>
          <w:szCs w:val="20"/>
          <w:color w:val="auto"/>
        </w:rPr>
      </w:pPr>
      <w:r>
        <w:rPr>
          <w:rFonts w:ascii="Arial" w:cs="Arial" w:eastAsia="Arial" w:hAnsi="Arial"/>
          <w:sz w:val="12"/>
          <w:szCs w:val="12"/>
          <w:color w:val="auto"/>
        </w:rPr>
        <w:t>I agree to and accept employment with the Company on the terms and conditions set forth in this letter agreement. I understand and agree that my employment with the Company is “at will” and may be terminated by me or the Company at any time, with or without cause or notice.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/s/ Eyal Manor</w:t>
      </w:r>
    </w:p>
    <w:p>
      <w:pPr>
        <w:spacing w:after="0"/>
        <w:rPr>
          <w:sz w:val="20"/>
          <w:szCs w:val="20"/>
          <w:color w:val="auto"/>
        </w:rPr>
      </w:pPr>
      <w:r>
        <w:rPr>
          <w:rFonts w:ascii="Arial" w:cs="Arial" w:eastAsia="Arial" w:hAnsi="Arial"/>
          <w:sz w:val="12"/>
          <w:szCs w:val="12"/>
          <w:color w:val="auto"/>
        </w:rPr>
        <w:t>___________________________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EYAL MANOR</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10-13-21</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404040"/>
        </w:rPr>
        <w:t>4</w:t>
      </w:r>
    </w:p>
    <w:p>
      <w:pPr>
        <w:sectPr>
          <w:pgSz w:w="11900" w:h="16838" w:orient="portrait"/>
          <w:cols w:equalWidth="0" w:num="1">
            <w:col w:w="10840"/>
          </w:cols>
          <w:pgMar w:left="300" w:top="1440" w:right="759" w:bottom="1440" w:gutter="0" w:footer="0" w:header="0"/>
        </w:sectPr>
      </w:pPr>
    </w:p>
    <w:bookmarkStart w:id="131" w:name="page132"/>
    <w:bookmarkEnd w:id="131"/>
    <w:p>
      <w:pPr>
        <w:ind w:left="10620"/>
        <w:spacing w:after="0"/>
        <w:rPr>
          <w:sz w:val="20"/>
          <w:szCs w:val="20"/>
          <w:color w:val="auto"/>
        </w:rPr>
      </w:pPr>
      <w:r>
        <w:rPr>
          <w:rFonts w:ascii="Arial" w:cs="Arial" w:eastAsia="Arial" w:hAnsi="Arial"/>
          <w:sz w:val="11"/>
          <w:szCs w:val="11"/>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20140" cy="3371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sectPr>
          <w:pgSz w:w="11900" w:h="16838" w:orient="portrait"/>
          <w:cols w:equalWidth="0" w:num="1">
            <w:col w:w="11300"/>
          </w:cols>
          <w:pgMar w:left="300" w:top="28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color w:val="auto"/>
        </w:rPr>
        <w:t>October 5, 2021</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Dear Dana,</w:t>
      </w:r>
    </w:p>
    <w:p>
      <w:pPr>
        <w:spacing w:after="0" w:line="137" w:lineRule="exact"/>
        <w:rPr>
          <w:sz w:val="20"/>
          <w:szCs w:val="20"/>
          <w:color w:val="auto"/>
        </w:rPr>
      </w:pPr>
    </w:p>
    <w:p>
      <w:pPr>
        <w:ind w:firstLine="432"/>
        <w:spacing w:after="0" w:line="238" w:lineRule="auto"/>
        <w:rPr>
          <w:sz w:val="20"/>
          <w:szCs w:val="20"/>
          <w:color w:val="auto"/>
        </w:rPr>
      </w:pPr>
      <w:r>
        <w:rPr>
          <w:rFonts w:ascii="Arial" w:cs="Arial" w:eastAsia="Arial" w:hAnsi="Arial"/>
          <w:sz w:val="12"/>
          <w:szCs w:val="12"/>
          <w:color w:val="auto"/>
        </w:rPr>
        <w:t>On behalf of Twilio Inc., a Delaware corporation (the “</w:t>
      </w:r>
      <w:r>
        <w:rPr>
          <w:rFonts w:ascii="Arial" w:cs="Arial" w:eastAsia="Arial" w:hAnsi="Arial"/>
          <w:sz w:val="12"/>
          <w:szCs w:val="12"/>
          <w:i w:val="1"/>
          <w:iCs w:val="1"/>
          <w:u w:val="single" w:color="auto"/>
          <w:color w:val="auto"/>
        </w:rPr>
        <w:t>Company</w:t>
      </w:r>
      <w:r>
        <w:rPr>
          <w:rFonts w:ascii="Arial" w:cs="Arial" w:eastAsia="Arial" w:hAnsi="Arial"/>
          <w:sz w:val="12"/>
          <w:szCs w:val="12"/>
          <w:color w:val="auto"/>
        </w:rPr>
        <w:t xml:space="preserve">”), I am pleased to offer you the position of </w:t>
      </w:r>
      <w:r>
        <w:rPr>
          <w:rFonts w:ascii="Arial" w:cs="Arial" w:eastAsia="Arial" w:hAnsi="Arial"/>
          <w:sz w:val="12"/>
          <w:szCs w:val="12"/>
          <w:b w:val="1"/>
          <w:bCs w:val="1"/>
          <w:color w:val="auto"/>
        </w:rPr>
        <w:t>Chief Legal Officer</w:t>
      </w:r>
      <w:r>
        <w:rPr>
          <w:rFonts w:ascii="Arial" w:cs="Arial" w:eastAsia="Arial" w:hAnsi="Arial"/>
          <w:sz w:val="12"/>
          <w:szCs w:val="12"/>
          <w:color w:val="auto"/>
        </w:rPr>
        <w:t xml:space="preserve"> with the Company, conditional upon your passing a background check pursuant to applicable law and upon your ability to demonstrate your authorization to work in the United States. The terms of your new position with the Company are as set forth below.</w:t>
      </w:r>
    </w:p>
    <w:p>
      <w:pPr>
        <w:spacing w:after="0" w:line="86" w:lineRule="exact"/>
        <w:rPr>
          <w:sz w:val="20"/>
          <w:szCs w:val="20"/>
          <w:color w:val="auto"/>
        </w:rPr>
      </w:pPr>
    </w:p>
    <w:p>
      <w:pPr>
        <w:ind w:firstLine="424"/>
        <w:spacing w:after="0" w:line="238" w:lineRule="auto"/>
        <w:tabs>
          <w:tab w:leader="none" w:pos="856"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Position</w:t>
      </w:r>
      <w:r>
        <w:rPr>
          <w:rFonts w:ascii="Arial" w:cs="Arial" w:eastAsia="Arial" w:hAnsi="Arial"/>
          <w:sz w:val="12"/>
          <w:szCs w:val="12"/>
          <w:color w:val="auto"/>
        </w:rPr>
        <w:t>. As Chief Legal Officer, you will make yourself available to work in the Company’s USA - San Francisco office on a full-time basis. This role is classified as exempt from overtime rules.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reserves the right to modify your job duties from time to time at its sole discretion.</w:t>
      </w:r>
    </w:p>
    <w:p>
      <w:pPr>
        <w:spacing w:after="0" w:line="122" w:lineRule="exact"/>
        <w:rPr>
          <w:rFonts w:ascii="Arial" w:cs="Arial" w:eastAsia="Arial" w:hAnsi="Arial"/>
          <w:sz w:val="12"/>
          <w:szCs w:val="12"/>
          <w:b w:val="1"/>
          <w:bCs w:val="1"/>
          <w:color w:val="auto"/>
        </w:rPr>
      </w:pPr>
    </w:p>
    <w:p>
      <w:pPr>
        <w:ind w:left="840" w:hanging="416"/>
        <w:spacing w:after="0"/>
        <w:tabs>
          <w:tab w:leader="none" w:pos="840" w:val="left"/>
        </w:tabs>
        <w:numPr>
          <w:ilvl w:val="0"/>
          <w:numId w:val="102"/>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Start Date</w:t>
      </w:r>
      <w:r>
        <w:rPr>
          <w:rFonts w:ascii="Arial" w:cs="Arial" w:eastAsia="Arial" w:hAnsi="Arial"/>
          <w:sz w:val="10"/>
          <w:szCs w:val="10"/>
          <w:color w:val="auto"/>
        </w:rPr>
        <w:t>. Subject to the fulfillment of any conditions imposed by this letter agreement and unless otherwise agreed upon, your employment with the Company is anticipated to start on</w:t>
      </w:r>
      <w:r>
        <w:rPr>
          <w:rFonts w:ascii="Arial" w:cs="Arial" w:eastAsia="Arial" w:hAnsi="Arial"/>
          <w:sz w:val="10"/>
          <w:szCs w:val="10"/>
          <w:b w:val="1"/>
          <w:bCs w:val="1"/>
          <w:color w:val="auto"/>
        </w:rPr>
        <w:t xml:space="preserve"> December 13, 2021 </w:t>
      </w:r>
      <w:r>
        <w:rPr>
          <w:rFonts w:ascii="Arial" w:cs="Arial" w:eastAsia="Arial" w:hAnsi="Arial"/>
          <w:sz w:val="10"/>
          <w:szCs w:val="10"/>
          <w:color w:val="auto"/>
        </w:rPr>
        <w:t>(the “</w:t>
      </w:r>
      <w:r>
        <w:rPr>
          <w:rFonts w:ascii="Arial" w:cs="Arial" w:eastAsia="Arial" w:hAnsi="Arial"/>
          <w:sz w:val="10"/>
          <w:szCs w:val="10"/>
          <w:i w:val="1"/>
          <w:iCs w:val="1"/>
          <w:u w:val="single" w:color="auto"/>
          <w:color w:val="auto"/>
        </w:rPr>
        <w:t>Start</w:t>
      </w:r>
    </w:p>
    <w:p>
      <w:pPr>
        <w:spacing w:after="0" w:line="16" w:lineRule="exact"/>
        <w:rPr>
          <w:rFonts w:ascii="Arial" w:cs="Arial" w:eastAsia="Arial" w:hAnsi="Arial"/>
          <w:sz w:val="10"/>
          <w:szCs w:val="10"/>
          <w:b w:val="1"/>
          <w:bCs w:val="1"/>
          <w:color w:val="auto"/>
        </w:rPr>
      </w:pPr>
    </w:p>
    <w:p>
      <w:pPr>
        <w:spacing w:after="0"/>
        <w:rPr>
          <w:rFonts w:ascii="Arial" w:cs="Arial" w:eastAsia="Arial" w:hAnsi="Arial"/>
          <w:sz w:val="10"/>
          <w:szCs w:val="10"/>
          <w:b w:val="1"/>
          <w:bCs w:val="1"/>
          <w:color w:val="auto"/>
        </w:rPr>
      </w:pPr>
      <w:r>
        <w:rPr>
          <w:rFonts w:ascii="Arial" w:cs="Arial" w:eastAsia="Arial" w:hAnsi="Arial"/>
          <w:sz w:val="12"/>
          <w:szCs w:val="12"/>
          <w:i w:val="1"/>
          <w:iCs w:val="1"/>
          <w:u w:val="single" w:color="auto"/>
          <w:color w:val="auto"/>
        </w:rPr>
        <w:t>Date</w:t>
      </w:r>
      <w:r>
        <w:rPr>
          <w:rFonts w:ascii="Arial" w:cs="Arial" w:eastAsia="Arial" w:hAnsi="Arial"/>
          <w:sz w:val="12"/>
          <w:szCs w:val="12"/>
          <w:color w:val="auto"/>
        </w:rPr>
        <w:t>”).</w:t>
      </w:r>
    </w:p>
    <w:p>
      <w:pPr>
        <w:spacing w:after="0" w:line="100" w:lineRule="exact"/>
        <w:rPr>
          <w:rFonts w:ascii="Arial" w:cs="Arial" w:eastAsia="Arial" w:hAnsi="Arial"/>
          <w:sz w:val="10"/>
          <w:szCs w:val="10"/>
          <w:b w:val="1"/>
          <w:bCs w:val="1"/>
          <w:color w:val="auto"/>
        </w:rPr>
      </w:pPr>
    </w:p>
    <w:p>
      <w:pPr>
        <w:ind w:firstLine="424"/>
        <w:spacing w:after="0" w:line="238" w:lineRule="auto"/>
        <w:tabs>
          <w:tab w:leader="none" w:pos="856"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Proof of Right to Work</w:t>
      </w:r>
      <w:r>
        <w:rPr>
          <w:rFonts w:ascii="Arial" w:cs="Arial" w:eastAsia="Arial" w:hAnsi="Arial"/>
          <w:sz w:val="12"/>
          <w:szCs w:val="12"/>
          <w:color w:val="auto"/>
        </w:rPr>
        <w:t>. For purposes of federal immigration law, you will be required to provide to the Company documentary evidence of your identity and eligibility for employment in the United States. Such</w:t>
      </w:r>
      <w:r>
        <w:rPr>
          <w:rFonts w:ascii="Arial" w:cs="Arial" w:eastAsia="Arial" w:hAnsi="Arial"/>
          <w:sz w:val="12"/>
          <w:szCs w:val="12"/>
          <w:b w:val="1"/>
          <w:bCs w:val="1"/>
          <w:color w:val="auto"/>
        </w:rPr>
        <w:t xml:space="preserve"> </w:t>
      </w:r>
      <w:r>
        <w:rPr>
          <w:rFonts w:ascii="Arial" w:cs="Arial" w:eastAsia="Arial" w:hAnsi="Arial"/>
          <w:sz w:val="12"/>
          <w:szCs w:val="12"/>
          <w:color w:val="auto"/>
        </w:rPr>
        <w:t>documentation must be provided to us within three (3) business days of your Start Date or our employment relationship with you may be terminated.</w:t>
      </w:r>
    </w:p>
    <w:p>
      <w:pPr>
        <w:spacing w:after="0" w:line="95" w:lineRule="exact"/>
        <w:rPr>
          <w:rFonts w:ascii="Arial" w:cs="Arial" w:eastAsia="Arial" w:hAnsi="Arial"/>
          <w:sz w:val="12"/>
          <w:szCs w:val="12"/>
          <w:b w:val="1"/>
          <w:bCs w:val="1"/>
          <w:color w:val="auto"/>
        </w:rPr>
      </w:pPr>
    </w:p>
    <w:p>
      <w:pPr>
        <w:ind w:left="840" w:hanging="416"/>
        <w:spacing w:after="0"/>
        <w:tabs>
          <w:tab w:leader="none" w:pos="840"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Compensation.</w:t>
      </w:r>
    </w:p>
    <w:p>
      <w:pPr>
        <w:spacing w:after="0" w:line="105" w:lineRule="exact"/>
        <w:rPr>
          <w:sz w:val="20"/>
          <w:szCs w:val="20"/>
          <w:color w:val="auto"/>
        </w:rPr>
      </w:pPr>
    </w:p>
    <w:p>
      <w:pPr>
        <w:jc w:val="both"/>
        <w:ind w:right="20"/>
        <w:spacing w:after="0" w:line="238" w:lineRule="auto"/>
        <w:rPr>
          <w:sz w:val="20"/>
          <w:szCs w:val="20"/>
          <w:color w:val="auto"/>
        </w:rPr>
      </w:pPr>
      <w:r>
        <w:rPr>
          <w:rFonts w:ascii="Arial" w:cs="Arial" w:eastAsia="Arial" w:hAnsi="Arial"/>
          <w:sz w:val="12"/>
          <w:szCs w:val="12"/>
          <w:b w:val="1"/>
          <w:bCs w:val="1"/>
          <w:color w:val="auto"/>
        </w:rPr>
        <w:t xml:space="preserve">Base Salary. </w:t>
      </w:r>
      <w:r>
        <w:rPr>
          <w:rFonts w:ascii="Arial" w:cs="Arial" w:eastAsia="Arial" w:hAnsi="Arial"/>
          <w:sz w:val="12"/>
          <w:szCs w:val="12"/>
          <w:color w:val="auto"/>
        </w:rPr>
        <w:t>You will receive a gross base yearly salary rate, subject to applicable deduction and withholding, of</w:t>
      </w:r>
      <w:r>
        <w:rPr>
          <w:rFonts w:ascii="Arial" w:cs="Arial" w:eastAsia="Arial" w:hAnsi="Arial"/>
          <w:sz w:val="12"/>
          <w:szCs w:val="12"/>
          <w:b w:val="1"/>
          <w:bCs w:val="1"/>
          <w:color w:val="auto"/>
        </w:rPr>
        <w:t xml:space="preserve"> $600,000.00</w:t>
      </w:r>
      <w:r>
        <w:rPr>
          <w:rFonts w:ascii="Arial" w:cs="Arial" w:eastAsia="Arial" w:hAnsi="Arial"/>
          <w:sz w:val="12"/>
          <w:szCs w:val="12"/>
          <w:color w:val="auto"/>
        </w:rPr>
        <w:t>. Your salary will be payable on a bi-weekly basis pursuant to the Company's regular payroll policy. As an</w:t>
      </w:r>
      <w:r>
        <w:rPr>
          <w:rFonts w:ascii="Arial" w:cs="Arial" w:eastAsia="Arial" w:hAnsi="Arial"/>
          <w:sz w:val="12"/>
          <w:szCs w:val="12"/>
          <w:b w:val="1"/>
          <w:bCs w:val="1"/>
          <w:color w:val="auto"/>
        </w:rPr>
        <w:t xml:space="preserve"> </w:t>
      </w:r>
      <w:r>
        <w:rPr>
          <w:rFonts w:ascii="Arial" w:cs="Arial" w:eastAsia="Arial" w:hAnsi="Arial"/>
          <w:sz w:val="12"/>
          <w:szCs w:val="12"/>
          <w:color w:val="auto"/>
        </w:rPr>
        <w:t>exempt employee, you are not eligible for overtime pay, and your compensation will not fluctuate according to the quantity of work performed.</w:t>
      </w:r>
    </w:p>
    <w:p>
      <w:pPr>
        <w:spacing w:after="0" w:line="95" w:lineRule="exact"/>
        <w:rPr>
          <w:sz w:val="20"/>
          <w:szCs w:val="20"/>
          <w:color w:val="auto"/>
        </w:rPr>
      </w:pPr>
    </w:p>
    <w:p>
      <w:pPr>
        <w:jc w:val="both"/>
        <w:spacing w:after="0" w:line="241" w:lineRule="auto"/>
        <w:rPr>
          <w:sz w:val="20"/>
          <w:szCs w:val="20"/>
          <w:color w:val="auto"/>
        </w:rPr>
      </w:pPr>
      <w:r>
        <w:rPr>
          <w:rFonts w:ascii="Arial" w:cs="Arial" w:eastAsia="Arial" w:hAnsi="Arial"/>
          <w:sz w:val="11"/>
          <w:szCs w:val="11"/>
          <w:b w:val="1"/>
          <w:bCs w:val="1"/>
          <w:color w:val="auto"/>
        </w:rPr>
        <w:t>Sign-On Bonus</w:t>
      </w:r>
      <w:r>
        <w:rPr>
          <w:rFonts w:ascii="Arial" w:cs="Arial" w:eastAsia="Arial" w:hAnsi="Arial"/>
          <w:sz w:val="11"/>
          <w:szCs w:val="11"/>
          <w:color w:val="auto"/>
        </w:rPr>
        <w:t>. On the first payroll following your hire date, you will be advanced a one-time sign-on bonus of</w:t>
      </w:r>
      <w:r>
        <w:rPr>
          <w:rFonts w:ascii="Arial" w:cs="Arial" w:eastAsia="Arial" w:hAnsi="Arial"/>
          <w:sz w:val="11"/>
          <w:szCs w:val="11"/>
          <w:b w:val="1"/>
          <w:bCs w:val="1"/>
          <w:color w:val="auto"/>
        </w:rPr>
        <w:t xml:space="preserve"> $250,000.00 </w:t>
      </w:r>
      <w:r>
        <w:rPr>
          <w:rFonts w:ascii="Arial" w:cs="Arial" w:eastAsia="Arial" w:hAnsi="Arial"/>
          <w:sz w:val="11"/>
          <w:szCs w:val="11"/>
          <w:color w:val="auto"/>
        </w:rPr>
        <w:t>("Sign-On Bonus"), less customary withholdings, which you shall vest monthly in equal installments on a</w:t>
      </w:r>
      <w:r>
        <w:rPr>
          <w:rFonts w:ascii="Arial" w:cs="Arial" w:eastAsia="Arial" w:hAnsi="Arial"/>
          <w:sz w:val="11"/>
          <w:szCs w:val="11"/>
          <w:b w:val="1"/>
          <w:bCs w:val="1"/>
          <w:color w:val="auto"/>
        </w:rPr>
        <w:t xml:space="preserve"> </w:t>
      </w:r>
      <w:r>
        <w:rPr>
          <w:rFonts w:ascii="Arial" w:cs="Arial" w:eastAsia="Arial" w:hAnsi="Arial"/>
          <w:sz w:val="11"/>
          <w:szCs w:val="11"/>
          <w:color w:val="auto"/>
        </w:rPr>
        <w:t>pro-rata basis over the course of the first year of your employment and which shall be fully earned on the first anniversary of the Start Date. In the event that you resign from the Company or the Company terminates your employment for misconduct prior to completing your first year of employment with the Company, you agree to the fullest extent permitted by applicable law to refund the unvested portion of your Sign-On Bonus to the Company within 15 calendar days of your separation date. In the event of any claim or litigation relating to such refund of the Sign-On Bonus and to the extent permitted by applicable law, the prevailing party shall recover its reasonable attorneys' fees.</w:t>
      </w:r>
    </w:p>
    <w:p>
      <w:pPr>
        <w:spacing w:after="0" w:line="95" w:lineRule="exact"/>
        <w:rPr>
          <w:sz w:val="20"/>
          <w:szCs w:val="20"/>
          <w:color w:val="auto"/>
        </w:rPr>
      </w:pPr>
    </w:p>
    <w:p>
      <w:pPr>
        <w:jc w:val="both"/>
        <w:spacing w:after="0" w:line="232" w:lineRule="auto"/>
        <w:rPr>
          <w:sz w:val="20"/>
          <w:szCs w:val="20"/>
          <w:color w:val="auto"/>
        </w:rPr>
      </w:pPr>
      <w:r>
        <w:rPr>
          <w:rFonts w:ascii="Arial" w:cs="Arial" w:eastAsia="Arial" w:hAnsi="Arial"/>
          <w:sz w:val="11"/>
          <w:szCs w:val="11"/>
          <w:b w:val="1"/>
          <w:bCs w:val="1"/>
          <w:color w:val="auto"/>
        </w:rPr>
        <w:t>Restricted Stock Units</w:t>
      </w:r>
      <w:r>
        <w:rPr>
          <w:rFonts w:ascii="Arial" w:cs="Arial" w:eastAsia="Arial" w:hAnsi="Arial"/>
          <w:sz w:val="11"/>
          <w:szCs w:val="11"/>
          <w:color w:val="auto"/>
        </w:rPr>
        <w:t>. Subject to approval by the Company’s Board of Directors (the “</w:t>
      </w:r>
      <w:r>
        <w:rPr>
          <w:rFonts w:ascii="Arial" w:cs="Arial" w:eastAsia="Arial" w:hAnsi="Arial"/>
          <w:sz w:val="11"/>
          <w:szCs w:val="11"/>
          <w:i w:val="1"/>
          <w:iCs w:val="1"/>
          <w:u w:val="single" w:color="auto"/>
          <w:color w:val="auto"/>
        </w:rPr>
        <w:t>Board</w:t>
      </w:r>
      <w:r>
        <w:rPr>
          <w:rFonts w:ascii="Arial" w:cs="Arial" w:eastAsia="Arial" w:hAnsi="Arial"/>
          <w:sz w:val="11"/>
          <w:szCs w:val="11"/>
          <w:color w:val="auto"/>
        </w:rPr>
        <w:t>”), following your Start Date, you will be granted restricted stock units (the “</w:t>
      </w:r>
      <w:r>
        <w:rPr>
          <w:rFonts w:ascii="Arial" w:cs="Arial" w:eastAsia="Arial" w:hAnsi="Arial"/>
          <w:sz w:val="11"/>
          <w:szCs w:val="11"/>
          <w:i w:val="1"/>
          <w:iCs w:val="1"/>
          <w:u w:val="single" w:color="auto"/>
          <w:color w:val="auto"/>
        </w:rPr>
        <w:t>RSUs</w:t>
      </w:r>
      <w:r>
        <w:rPr>
          <w:rFonts w:ascii="Arial" w:cs="Arial" w:eastAsia="Arial" w:hAnsi="Arial"/>
          <w:sz w:val="11"/>
          <w:szCs w:val="11"/>
          <w:color w:val="auto"/>
        </w:rPr>
        <w:t>”) with a total value of approximately</w:t>
      </w:r>
      <w:r>
        <w:rPr>
          <w:rFonts w:ascii="Arial" w:cs="Arial" w:eastAsia="Arial" w:hAnsi="Arial"/>
          <w:sz w:val="11"/>
          <w:szCs w:val="11"/>
          <w:b w:val="1"/>
          <w:bCs w:val="1"/>
          <w:color w:val="auto"/>
        </w:rPr>
        <w:t xml:space="preserve"> $16,000,000.00</w:t>
      </w:r>
      <w:r>
        <w:rPr>
          <w:rFonts w:ascii="Arial" w:cs="Arial" w:eastAsia="Arial" w:hAnsi="Arial"/>
          <w:sz w:val="11"/>
          <w:szCs w:val="11"/>
          <w:color w:val="auto"/>
        </w:rPr>
        <w:t>. The number of RSUs subject to such grant will be determined by dividing</w:t>
      </w:r>
      <w:r>
        <w:rPr>
          <w:rFonts w:ascii="Arial" w:cs="Arial" w:eastAsia="Arial" w:hAnsi="Arial"/>
          <w:sz w:val="11"/>
          <w:szCs w:val="11"/>
          <w:b w:val="1"/>
          <w:bCs w:val="1"/>
          <w:color w:val="auto"/>
        </w:rPr>
        <w:t xml:space="preserve"> $16,000,000.00 </w:t>
      </w:r>
      <w:r>
        <w:rPr>
          <w:rFonts w:ascii="Arial" w:cs="Arial" w:eastAsia="Arial" w:hAnsi="Arial"/>
          <w:sz w:val="11"/>
          <w:szCs w:val="11"/>
          <w:color w:val="auto"/>
        </w:rPr>
        <w:t>by the average closing market price on the New York Stock Exchange of one share of the Company’s Class A common stock</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over the 30-day period ending five business days before the effective date of grant. Each RSU entitles you to one share of the Company’s Class A Common Stock if and when the RSU vests. The RSUs will vest over four years in accordance with the schedule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depending upon your Start Date. In general, 25% of the RSUs will vest on the first to occur of February 15, May 15, August 15 or November 15 (or the first business day after such date if such date is not a business day) on or following the first anniversary of the vesting commencement date (as set forth in the applicable RSU agreement), and the balance will vest in quarterly installments over the next three years, subject to your continued employment with the Company through each vesting date. Please carefully review the attached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for details relating to your specific vesting schedule. The RSUs will be subject to the terms and conditions of the equity incentive plan under which they are granted (the “</w:t>
      </w:r>
      <w:r>
        <w:rPr>
          <w:rFonts w:ascii="Arial" w:cs="Arial" w:eastAsia="Arial" w:hAnsi="Arial"/>
          <w:sz w:val="11"/>
          <w:szCs w:val="11"/>
          <w:i w:val="1"/>
          <w:iCs w:val="1"/>
          <w:u w:val="single" w:color="auto"/>
          <w:color w:val="auto"/>
        </w:rPr>
        <w:t>Plan</w:t>
      </w:r>
      <w:r>
        <w:rPr>
          <w:rFonts w:ascii="Arial" w:cs="Arial" w:eastAsia="Arial" w:hAnsi="Arial"/>
          <w:sz w:val="11"/>
          <w:szCs w:val="11"/>
          <w:color w:val="auto"/>
        </w:rPr>
        <w:t>”) and the RSU agreement thereunder, which you will be required to sign as a condition to receiving your RSUs.</w:t>
      </w:r>
    </w:p>
    <w:p>
      <w:pPr>
        <w:spacing w:after="0" w:line="89" w:lineRule="exact"/>
        <w:rPr>
          <w:sz w:val="20"/>
          <w:szCs w:val="20"/>
          <w:color w:val="auto"/>
        </w:rPr>
      </w:pPr>
    </w:p>
    <w:p>
      <w:pPr>
        <w:ind w:firstLine="424"/>
        <w:spacing w:after="0" w:line="279" w:lineRule="auto"/>
        <w:tabs>
          <w:tab w:leader="none" w:pos="856" w:val="left"/>
        </w:tabs>
        <w:numPr>
          <w:ilvl w:val="0"/>
          <w:numId w:val="103"/>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Benefits.</w:t>
      </w:r>
      <w:r>
        <w:rPr>
          <w:rFonts w:ascii="Arial" w:cs="Arial" w:eastAsia="Arial" w:hAnsi="Arial"/>
          <w:sz w:val="11"/>
          <w:szCs w:val="11"/>
          <w:b w:val="1"/>
          <w:bCs w:val="1"/>
          <w:color w:val="auto"/>
        </w:rPr>
        <w:t xml:space="preserve"> </w:t>
      </w:r>
      <w:r>
        <w:rPr>
          <w:rFonts w:ascii="Arial" w:cs="Arial" w:eastAsia="Arial" w:hAnsi="Arial"/>
          <w:sz w:val="11"/>
          <w:szCs w:val="11"/>
          <w:color w:val="auto"/>
        </w:rPr>
        <w:t>While employed with the Company, you will be eligible to participate in the Company’s benefits plans as outlined in Twilio’s benefits summary, which will be provided to you separately. Your benefits</w:t>
      </w:r>
      <w:r>
        <w:rPr>
          <w:rFonts w:ascii="Arial" w:cs="Arial" w:eastAsia="Arial" w:hAnsi="Arial"/>
          <w:sz w:val="11"/>
          <w:szCs w:val="11"/>
          <w:b w:val="1"/>
          <w:bCs w:val="1"/>
          <w:color w:val="auto"/>
        </w:rPr>
        <w:t xml:space="preserve"> </w:t>
      </w:r>
      <w:r>
        <w:rPr>
          <w:rFonts w:ascii="Arial" w:cs="Arial" w:eastAsia="Arial" w:hAnsi="Arial"/>
          <w:sz w:val="11"/>
          <w:szCs w:val="11"/>
          <w:color w:val="auto"/>
        </w:rPr>
        <w:t>include participation in the Company’s flexible time off program. All benefits will be administered pursuant to Company policy and any applicable law. Eligibility and coverage under Company benefit programs will be subject to</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404040"/>
        </w:rPr>
        <w:t>1</w:t>
      </w:r>
    </w:p>
    <w:p>
      <w:pPr>
        <w:sectPr>
          <w:pgSz w:w="11900" w:h="16838" w:orient="portrait"/>
          <w:cols w:equalWidth="0" w:num="1">
            <w:col w:w="11300"/>
          </w:cols>
          <w:pgMar w:left="300" w:top="280" w:right="299" w:bottom="1440" w:gutter="0" w:footer="0" w:header="0"/>
          <w:type w:val="continuous"/>
        </w:sectPr>
      </w:pPr>
    </w:p>
    <w:bookmarkStart w:id="132" w:name="page133"/>
    <w:bookmarkEnd w:id="132"/>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1120140" cy="3371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2"/>
          <w:szCs w:val="12"/>
          <w:color w:val="auto"/>
        </w:rPr>
        <w:t>the terms and conditions of the applicable plans or programs, which may change from time to time. The benefit plans and packages offered by the Company may be modified at any time, with or without advance notice, at the Company’s sole discretion.</w:t>
      </w:r>
    </w:p>
    <w:p>
      <w:pPr>
        <w:spacing w:after="0" w:line="87" w:lineRule="exact"/>
        <w:rPr>
          <w:sz w:val="20"/>
          <w:szCs w:val="20"/>
          <w:color w:val="auto"/>
        </w:rPr>
      </w:pPr>
    </w:p>
    <w:p>
      <w:pPr>
        <w:ind w:firstLine="424"/>
        <w:spacing w:after="0" w:line="238" w:lineRule="auto"/>
        <w:tabs>
          <w:tab w:leader="none" w:pos="856"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Confidentiality and Inventions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Your acceptance of this offer and commencement of employment with the Company is contingent upon the execution and delivery to the Company of the Company’s</w:t>
      </w:r>
      <w:r>
        <w:rPr>
          <w:rFonts w:ascii="Arial" w:cs="Arial" w:eastAsia="Arial" w:hAnsi="Arial"/>
          <w:sz w:val="12"/>
          <w:szCs w:val="12"/>
          <w:b w:val="1"/>
          <w:bCs w:val="1"/>
          <w:color w:val="auto"/>
        </w:rPr>
        <w:t xml:space="preserve"> </w:t>
      </w:r>
      <w:r>
        <w:rPr>
          <w:rFonts w:ascii="Arial" w:cs="Arial" w:eastAsia="Arial" w:hAnsi="Arial"/>
          <w:sz w:val="12"/>
          <w:szCs w:val="12"/>
          <w:color w:val="auto"/>
        </w:rPr>
        <w:t>Proprietary Information and Inventions Agreement (“</w:t>
      </w:r>
      <w:r>
        <w:rPr>
          <w:rFonts w:ascii="Arial" w:cs="Arial" w:eastAsia="Arial" w:hAnsi="Arial"/>
          <w:sz w:val="12"/>
          <w:szCs w:val="12"/>
          <w:i w:val="1"/>
          <w:iCs w:val="1"/>
          <w:u w:val="single" w:color="auto"/>
          <w:color w:val="auto"/>
        </w:rPr>
        <w:t>PIIA</w:t>
      </w:r>
      <w:r>
        <w:rPr>
          <w:rFonts w:ascii="Arial" w:cs="Arial" w:eastAsia="Arial" w:hAnsi="Arial"/>
          <w:sz w:val="12"/>
          <w:szCs w:val="12"/>
          <w:color w:val="auto"/>
        </w:rPr>
        <w:t>”) and Arbitration Agreement, which shall be sent separately for your review and execution.</w:t>
      </w:r>
    </w:p>
    <w:p>
      <w:pPr>
        <w:spacing w:after="0" w:line="104" w:lineRule="exact"/>
        <w:rPr>
          <w:rFonts w:ascii="Arial" w:cs="Arial" w:eastAsia="Arial" w:hAnsi="Arial"/>
          <w:sz w:val="12"/>
          <w:szCs w:val="12"/>
          <w:b w:val="1"/>
          <w:bCs w:val="1"/>
          <w:color w:val="auto"/>
        </w:rPr>
      </w:pPr>
    </w:p>
    <w:p>
      <w:pPr>
        <w:jc w:val="both"/>
        <w:ind w:firstLine="424"/>
        <w:spacing w:after="0" w:line="220" w:lineRule="auto"/>
        <w:tabs>
          <w:tab w:leader="none" w:pos="856"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At-Will Employment</w:t>
      </w:r>
      <w:r>
        <w:rPr>
          <w:rFonts w:ascii="Arial" w:cs="Arial" w:eastAsia="Arial" w:hAnsi="Arial"/>
          <w:sz w:val="12"/>
          <w:szCs w:val="12"/>
          <w:color w:val="auto"/>
        </w:rPr>
        <w:t>. Your employment with the Company will be on an “at will” basis, meaning that either you or the Company may terminate your employment at any time with or without cause or advance notice.</w:t>
      </w:r>
      <w:r>
        <w:rPr>
          <w:rFonts w:ascii="Arial" w:cs="Arial" w:eastAsia="Arial" w:hAnsi="Arial"/>
          <w:sz w:val="12"/>
          <w:szCs w:val="12"/>
          <w:b w:val="1"/>
          <w:bCs w:val="1"/>
          <w:color w:val="auto"/>
        </w:rPr>
        <w:t xml:space="preserve"> </w:t>
      </w:r>
      <w:r>
        <w:rPr>
          <w:rFonts w:ascii="Arial" w:cs="Arial" w:eastAsia="Arial" w:hAnsi="Arial"/>
          <w:sz w:val="12"/>
          <w:szCs w:val="12"/>
          <w:color w:val="auto"/>
        </w:rPr>
        <w:t>This is the full and complete agreement between you and the Company on this term and nothing in this agreement or in any document or statement, and nothing implied from any course of conduct shall limit the Company’s or your right to terminate at-will employment. Although your job duties, title, reporting relationship, compensation and benefits, as well as the Company’s personnel policies and procedures, may change from time to time, the “at will” nature of your employment may only be changed in an express written agreement signed by you and a duly authorized officer of the Company.</w:t>
      </w:r>
    </w:p>
    <w:p>
      <w:pPr>
        <w:spacing w:after="0" w:line="97" w:lineRule="exact"/>
        <w:rPr>
          <w:rFonts w:ascii="Arial" w:cs="Arial" w:eastAsia="Arial" w:hAnsi="Arial"/>
          <w:sz w:val="12"/>
          <w:szCs w:val="12"/>
          <w:b w:val="1"/>
          <w:bCs w:val="1"/>
          <w:color w:val="auto"/>
        </w:rPr>
      </w:pPr>
    </w:p>
    <w:p>
      <w:pPr>
        <w:ind w:left="840" w:hanging="416"/>
        <w:spacing w:after="0"/>
        <w:tabs>
          <w:tab w:leader="none" w:pos="840"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Obligations to the Company</w:t>
      </w:r>
      <w:r>
        <w:rPr>
          <w:rFonts w:ascii="Arial" w:cs="Arial" w:eastAsia="Arial" w:hAnsi="Arial"/>
          <w:sz w:val="12"/>
          <w:szCs w:val="12"/>
          <w:b w:val="1"/>
          <w:bCs w:val="1"/>
          <w:color w:val="auto"/>
        </w:rPr>
        <w:t>.</w:t>
      </w:r>
    </w:p>
    <w:p>
      <w:pPr>
        <w:spacing w:after="0" w:line="118" w:lineRule="exact"/>
        <w:rPr>
          <w:rFonts w:ascii="Arial" w:cs="Arial" w:eastAsia="Arial" w:hAnsi="Arial"/>
          <w:sz w:val="12"/>
          <w:szCs w:val="12"/>
          <w:b w:val="1"/>
          <w:bCs w:val="1"/>
          <w:color w:val="auto"/>
        </w:rPr>
      </w:pPr>
    </w:p>
    <w:p>
      <w:pPr>
        <w:jc w:val="both"/>
        <w:ind w:firstLine="691"/>
        <w:spacing w:after="0" w:line="215" w:lineRule="auto"/>
        <w:tabs>
          <w:tab w:leader="none" w:pos="864" w:val="left"/>
        </w:tabs>
        <w:numPr>
          <w:ilvl w:val="1"/>
          <w:numId w:val="104"/>
        </w:numPr>
        <w:rPr>
          <w:rFonts w:ascii="Arial" w:cs="Arial" w:eastAsia="Arial" w:hAnsi="Arial"/>
          <w:sz w:val="12"/>
          <w:szCs w:val="12"/>
          <w:color w:val="auto"/>
        </w:rPr>
      </w:pPr>
      <w:r>
        <w:rPr>
          <w:rFonts w:ascii="Arial" w:cs="Arial" w:eastAsia="Arial" w:hAnsi="Arial"/>
          <w:sz w:val="12"/>
          <w:szCs w:val="12"/>
          <w:color w:val="auto"/>
        </w:rPr>
        <w:t>You agree that to the best of your ability and experience you will at all times loyally and conscientiously perform all of the duties and obligations required of you pursuant to the express and implicit terms hereof, and to the reasonable satisfaction of the Company. During your employment, and in return for the compensation paid to you in connection with such employment, you agree to devote all of your business time, best efforts, skill, knowledge, attention and energy to the business of the Company, the advancement of the Company’s business and interests, and to the performance of your duties and responsibilities as an employee of the Company. The Company will be entitled to all of the benefits and profits arising from or incident to all such work services and advice. You further agree that you will not directly or indirectly engage or participate in any business or outside activities that are competitive in any manner with the business of the Company or which conflict with the performance of your duties to the Company.</w:t>
      </w:r>
    </w:p>
    <w:p>
      <w:pPr>
        <w:spacing w:after="0" w:line="92" w:lineRule="exact"/>
        <w:rPr>
          <w:rFonts w:ascii="Arial" w:cs="Arial" w:eastAsia="Arial" w:hAnsi="Arial"/>
          <w:sz w:val="12"/>
          <w:szCs w:val="12"/>
          <w:color w:val="auto"/>
        </w:rPr>
      </w:pPr>
    </w:p>
    <w:p>
      <w:pPr>
        <w:jc w:val="both"/>
        <w:ind w:right="20" w:firstLine="691"/>
        <w:spacing w:after="0" w:line="224" w:lineRule="auto"/>
        <w:tabs>
          <w:tab w:leader="none" w:pos="861" w:val="left"/>
        </w:tabs>
        <w:numPr>
          <w:ilvl w:val="1"/>
          <w:numId w:val="104"/>
        </w:numPr>
        <w:rPr>
          <w:rFonts w:ascii="Arial" w:cs="Arial" w:eastAsia="Arial" w:hAnsi="Arial"/>
          <w:sz w:val="12"/>
          <w:szCs w:val="12"/>
          <w:color w:val="auto"/>
        </w:rPr>
      </w:pPr>
      <w:r>
        <w:rPr>
          <w:rFonts w:ascii="Arial" w:cs="Arial" w:eastAsia="Arial" w:hAnsi="Arial"/>
          <w:sz w:val="12"/>
          <w:szCs w:val="12"/>
          <w:color w:val="auto"/>
        </w:rPr>
        <w:t>As an employee of Twilio, you must read and comply with Twilio's data protection and information security policies, each as updated from time to time. You must only process personal data relating to Twilio staff, customers, end-users, suppliers and other third parties as necessary for the performance of your role and must protect the confidentiality of that personal data at all times. Failure to comply with Twilio's data protection and information security policies is subject to discipline up to and including termination.</w:t>
      </w:r>
    </w:p>
    <w:p>
      <w:pPr>
        <w:spacing w:after="0" w:line="95" w:lineRule="exact"/>
        <w:rPr>
          <w:rFonts w:ascii="Arial" w:cs="Arial" w:eastAsia="Arial" w:hAnsi="Arial"/>
          <w:sz w:val="12"/>
          <w:szCs w:val="12"/>
          <w:color w:val="auto"/>
        </w:rPr>
      </w:pPr>
    </w:p>
    <w:p>
      <w:pPr>
        <w:ind w:firstLine="424"/>
        <w:spacing w:after="0" w:line="238" w:lineRule="auto"/>
        <w:tabs>
          <w:tab w:leader="none" w:pos="856"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Standards of Conduct.</w:t>
      </w:r>
      <w:r>
        <w:rPr>
          <w:rFonts w:ascii="Arial" w:cs="Arial" w:eastAsia="Arial" w:hAnsi="Arial"/>
          <w:sz w:val="12"/>
          <w:szCs w:val="12"/>
          <w:b w:val="1"/>
          <w:bCs w:val="1"/>
          <w:color w:val="auto"/>
        </w:rPr>
        <w:t xml:space="preserve"> </w:t>
      </w:r>
      <w:r>
        <w:rPr>
          <w:rFonts w:ascii="Arial" w:cs="Arial" w:eastAsia="Arial" w:hAnsi="Arial"/>
          <w:sz w:val="12"/>
          <w:szCs w:val="12"/>
          <w:color w:val="auto"/>
        </w:rPr>
        <w:t>As a Company employee, you must abide by Company rules and standards of conduct now existing or established from time to time by the Company. As a condition of employment, you must</w:t>
      </w:r>
      <w:r>
        <w:rPr>
          <w:rFonts w:ascii="Arial" w:cs="Arial" w:eastAsia="Arial" w:hAnsi="Arial"/>
          <w:sz w:val="12"/>
          <w:szCs w:val="12"/>
          <w:b w:val="1"/>
          <w:bCs w:val="1"/>
          <w:color w:val="auto"/>
        </w:rPr>
        <w:t xml:space="preserve"> </w:t>
      </w:r>
      <w:r>
        <w:rPr>
          <w:rFonts w:ascii="Arial" w:cs="Arial" w:eastAsia="Arial" w:hAnsi="Arial"/>
          <w:sz w:val="12"/>
          <w:szCs w:val="12"/>
          <w:color w:val="auto"/>
        </w:rPr>
        <w:t>read and abide by the policies contained in the Company’s Employee Handbook and Code of Conduct, as adopted or modified by the Company from time to time.</w:t>
      </w:r>
    </w:p>
    <w:p>
      <w:pPr>
        <w:spacing w:after="0" w:line="95" w:lineRule="exact"/>
        <w:rPr>
          <w:rFonts w:ascii="Arial" w:cs="Arial" w:eastAsia="Arial" w:hAnsi="Arial"/>
          <w:sz w:val="12"/>
          <w:szCs w:val="12"/>
          <w:b w:val="1"/>
          <w:bCs w:val="1"/>
          <w:color w:val="auto"/>
        </w:rPr>
      </w:pPr>
    </w:p>
    <w:p>
      <w:pPr>
        <w:ind w:left="860" w:hanging="436"/>
        <w:spacing w:after="0"/>
        <w:tabs>
          <w:tab w:leader="none" w:pos="860"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Miscellaneous</w:t>
      </w:r>
      <w:r>
        <w:rPr>
          <w:rFonts w:ascii="Arial" w:cs="Arial" w:eastAsia="Arial" w:hAnsi="Arial"/>
          <w:sz w:val="12"/>
          <w:szCs w:val="12"/>
          <w:color w:val="auto"/>
        </w:rPr>
        <w:t>.</w:t>
      </w:r>
    </w:p>
    <w:p>
      <w:pPr>
        <w:spacing w:after="0" w:line="109" w:lineRule="exact"/>
        <w:rPr>
          <w:rFonts w:ascii="Arial" w:cs="Arial" w:eastAsia="Arial" w:hAnsi="Arial"/>
          <w:sz w:val="12"/>
          <w:szCs w:val="12"/>
          <w:b w:val="1"/>
          <w:bCs w:val="1"/>
          <w:color w:val="auto"/>
        </w:rPr>
      </w:pPr>
    </w:p>
    <w:p>
      <w:pPr>
        <w:jc w:val="both"/>
        <w:ind w:firstLine="691"/>
        <w:spacing w:after="0" w:line="224" w:lineRule="auto"/>
        <w:tabs>
          <w:tab w:leader="none" w:pos="864" w:val="left"/>
        </w:tabs>
        <w:numPr>
          <w:ilvl w:val="1"/>
          <w:numId w:val="104"/>
        </w:numPr>
        <w:rPr>
          <w:rFonts w:ascii="Arial" w:cs="Arial" w:eastAsia="Arial" w:hAnsi="Arial"/>
          <w:sz w:val="12"/>
          <w:szCs w:val="12"/>
          <w:color w:val="auto"/>
        </w:rPr>
      </w:pPr>
      <w:r>
        <w:rPr>
          <w:rFonts w:ascii="Arial" w:cs="Arial" w:eastAsia="Arial" w:hAnsi="Arial"/>
          <w:sz w:val="12"/>
          <w:szCs w:val="12"/>
          <w:color w:val="auto"/>
        </w:rPr>
        <w:t>You acknowledge that Company has directed you not to bring with you any confidential or proprietary material of any former employer or to violate any other obligations you may have to any former employer. You represent and warrant that you are not subject to any agreement or understanding with any current or prior employer or business (or any other entity or person) which would, in any manner, preclude you from fulfilling any of the duties or obligations you may have with the Company or which would result in any additional payment from the Company.</w:t>
      </w:r>
    </w:p>
    <w:p>
      <w:pPr>
        <w:spacing w:after="0" w:line="99" w:lineRule="exact"/>
        <w:rPr>
          <w:rFonts w:ascii="Arial" w:cs="Arial" w:eastAsia="Arial" w:hAnsi="Arial"/>
          <w:sz w:val="12"/>
          <w:szCs w:val="12"/>
          <w:color w:val="auto"/>
        </w:rPr>
      </w:pPr>
    </w:p>
    <w:p>
      <w:pPr>
        <w:jc w:val="both"/>
        <w:ind w:firstLine="694"/>
        <w:spacing w:after="0" w:line="215" w:lineRule="auto"/>
        <w:tabs>
          <w:tab w:leader="none" w:pos="864" w:val="left"/>
        </w:tabs>
        <w:numPr>
          <w:ilvl w:val="1"/>
          <w:numId w:val="104"/>
        </w:numPr>
        <w:rPr>
          <w:rFonts w:ascii="Arial" w:cs="Arial" w:eastAsia="Arial" w:hAnsi="Arial"/>
          <w:sz w:val="12"/>
          <w:szCs w:val="12"/>
          <w:color w:val="auto"/>
        </w:rPr>
      </w:pPr>
      <w:r>
        <w:rPr>
          <w:rFonts w:ascii="Arial" w:cs="Arial" w:eastAsia="Arial" w:hAnsi="Arial"/>
          <w:sz w:val="12"/>
          <w:szCs w:val="12"/>
          <w:color w:val="auto"/>
        </w:rPr>
        <w:t>This agreement, the PIIA and the Arbitration Agreement constitute the entire agreement between you and the Company regarding the terms and conditions of your employment. You agree that no agreements or representations, verbal or written, with respect to the subject matter of our offer have been made to you other than those set forth in this letter agreement. To the extent any such agreements or representations were made, this agreement supersedes any and all previous offers, statements, agreements and representations made in the course of discussions and negotiations for this offer. Changes to the terms of this agreement, other than the changes to employment terms reserved to the Company’s discretion, require a written modification signed by an authorized officer of the Company. If any provision of this offer letter agreement is determined to be invalid or unenforceable, in whole or in part, this determination shall not affect any other provision of this offer letter agreement and the provision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404040"/>
        </w:rPr>
        <w:t>2</w:t>
      </w:r>
    </w:p>
    <w:p>
      <w:pPr>
        <w:sectPr>
          <w:pgSz w:w="11900" w:h="16838" w:orient="portrait"/>
          <w:cols w:equalWidth="0" w:num="1">
            <w:col w:w="11300"/>
          </w:cols>
          <w:pgMar w:left="300" w:top="1440" w:right="299" w:bottom="1440" w:gutter="0" w:footer="0" w:header="0"/>
        </w:sectPr>
      </w:pPr>
    </w:p>
    <w:bookmarkStart w:id="133" w:name="page134"/>
    <w:bookmarkEnd w:id="133"/>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1120140" cy="3371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jc w:val="both"/>
        <w:spacing w:after="0" w:line="224" w:lineRule="auto"/>
        <w:rPr>
          <w:sz w:val="20"/>
          <w:szCs w:val="20"/>
          <w:color w:val="auto"/>
        </w:rPr>
      </w:pPr>
      <w:r>
        <w:rPr>
          <w:rFonts w:ascii="Arial" w:cs="Arial" w:eastAsia="Arial" w:hAnsi="Arial"/>
          <w:sz w:val="12"/>
          <w:szCs w:val="12"/>
          <w:color w:val="auto"/>
        </w:rPr>
        <w:t>in question shall be modified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91" w:lineRule="exact"/>
        <w:rPr>
          <w:sz w:val="20"/>
          <w:szCs w:val="20"/>
          <w:color w:val="auto"/>
        </w:rPr>
      </w:pPr>
    </w:p>
    <w:p>
      <w:pPr>
        <w:ind w:firstLine="694"/>
        <w:spacing w:after="0" w:line="234" w:lineRule="auto"/>
        <w:tabs>
          <w:tab w:leader="none" w:pos="857" w:val="left"/>
        </w:tabs>
        <w:numPr>
          <w:ilvl w:val="0"/>
          <w:numId w:val="105"/>
        </w:numPr>
        <w:rPr>
          <w:rFonts w:ascii="Arial" w:cs="Arial" w:eastAsia="Arial" w:hAnsi="Arial"/>
          <w:sz w:val="12"/>
          <w:szCs w:val="12"/>
          <w:color w:val="auto"/>
        </w:rPr>
      </w:pPr>
      <w:r>
        <w:rPr>
          <w:rFonts w:ascii="Arial" w:cs="Arial" w:eastAsia="Arial" w:hAnsi="Arial"/>
          <w:sz w:val="12"/>
          <w:szCs w:val="12"/>
          <w:color w:val="auto"/>
        </w:rPr>
        <w:t>You represent and warrant that the information you provided to us during the hiring process is true and accurate, and you acknowledge that this offer is contingent on your consent to, and the successful completion of reference and background checks.</w:t>
      </w:r>
    </w:p>
    <w:p>
      <w:pPr>
        <w:spacing w:after="0" w:line="96" w:lineRule="exact"/>
        <w:rPr>
          <w:sz w:val="20"/>
          <w:szCs w:val="20"/>
          <w:color w:val="auto"/>
        </w:rPr>
      </w:pPr>
    </w:p>
    <w:p>
      <w:pPr>
        <w:ind w:right="200" w:firstLine="118"/>
        <w:spacing w:after="0" w:line="279" w:lineRule="auto"/>
        <w:rPr>
          <w:sz w:val="20"/>
          <w:szCs w:val="20"/>
          <w:color w:val="auto"/>
        </w:rPr>
      </w:pPr>
      <w:r>
        <w:rPr>
          <w:rFonts w:ascii="Arial" w:cs="Arial" w:eastAsia="Arial" w:hAnsi="Arial"/>
          <w:sz w:val="11"/>
          <w:szCs w:val="11"/>
          <w:color w:val="auto"/>
        </w:rPr>
        <w:t xml:space="preserve">We are all delighted to be able to extend you this offer which will remain open for 10 </w:t>
      </w:r>
      <w:r>
        <w:rPr>
          <w:rFonts w:ascii="Arial" w:cs="Arial" w:eastAsia="Arial" w:hAnsi="Arial"/>
          <w:sz w:val="11"/>
          <w:szCs w:val="11"/>
          <w:b w:val="1"/>
          <w:bCs w:val="1"/>
          <w:i w:val="1"/>
          <w:iCs w:val="1"/>
          <w:color w:val="auto"/>
        </w:rPr>
        <w:t>calendar</w:t>
      </w:r>
      <w:r>
        <w:rPr>
          <w:rFonts w:ascii="Arial" w:cs="Arial" w:eastAsia="Arial" w:hAnsi="Arial"/>
          <w:sz w:val="11"/>
          <w:szCs w:val="11"/>
          <w:color w:val="auto"/>
        </w:rPr>
        <w:t xml:space="preserve"> days from the </w:t>
      </w:r>
      <w:r>
        <w:rPr>
          <w:rFonts w:ascii="Arial" w:cs="Arial" w:eastAsia="Arial" w:hAnsi="Arial"/>
          <w:sz w:val="11"/>
          <w:szCs w:val="11"/>
          <w:b w:val="1"/>
          <w:bCs w:val="1"/>
          <w:color w:val="auto"/>
        </w:rPr>
        <w:t>Company's</w:t>
      </w:r>
      <w:r>
        <w:rPr>
          <w:rFonts w:ascii="Arial" w:cs="Arial" w:eastAsia="Arial" w:hAnsi="Arial"/>
          <w:sz w:val="11"/>
          <w:szCs w:val="11"/>
          <w:color w:val="auto"/>
        </w:rPr>
        <w:t xml:space="preserve"> signing date below. To indicate your acceptance of the Company’s offer as set forth above, please sign and date (i) this letter in the space provided below, (ii) the PIIA, and (iii) the Arbitration Agreement. This letter may not be modified or amended except by a written agreement, signed by the Company and by you.</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404040"/>
        </w:rPr>
        <w:t>3</w:t>
      </w:r>
    </w:p>
    <w:p>
      <w:pPr>
        <w:sectPr>
          <w:pgSz w:w="11900" w:h="16838" w:orient="portrait"/>
          <w:cols w:equalWidth="0" w:num="1">
            <w:col w:w="11300"/>
          </w:cols>
          <w:pgMar w:left="300" w:top="1440" w:right="299" w:bottom="1440" w:gutter="0" w:footer="0" w:header="0"/>
        </w:sectPr>
      </w:pPr>
    </w:p>
    <w:bookmarkStart w:id="134" w:name="page135"/>
    <w:bookmarkEnd w:id="13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1120140" cy="3371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120140" cy="33718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Very truly yours,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TWILIO INC.</w:t>
      </w: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color w:val="auto"/>
        </w:rPr>
        <w:t>/s/ Christy Lake</w:t>
      </w:r>
    </w:p>
    <w:p>
      <w:pPr>
        <w:spacing w:after="0"/>
        <w:rPr>
          <w:sz w:val="20"/>
          <w:szCs w:val="20"/>
          <w:color w:val="auto"/>
        </w:rPr>
      </w:pPr>
      <w:r>
        <w:rPr>
          <w:rFonts w:ascii="Arial" w:cs="Arial" w:eastAsia="Arial" w:hAnsi="Arial"/>
          <w:sz w:val="12"/>
          <w:szCs w:val="12"/>
          <w:color w:val="auto"/>
        </w:rPr>
        <w:t>__________________________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Christy Lake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Chief People Officer</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222222"/>
        </w:rPr>
        <w:t>10-5-21</w:t>
      </w:r>
    </w:p>
    <w:p>
      <w:pPr>
        <w:spacing w:after="0"/>
        <w:rPr>
          <w:sz w:val="20"/>
          <w:szCs w:val="20"/>
          <w:color w:val="auto"/>
        </w:rPr>
      </w:pPr>
      <w:r>
        <w:rPr>
          <w:rFonts w:ascii="Arial" w:cs="Arial" w:eastAsia="Arial" w:hAnsi="Arial"/>
          <w:sz w:val="12"/>
          <w:szCs w:val="12"/>
          <w:color w:val="auto"/>
        </w:rPr>
        <w:t>___________________________</w:t>
      </w:r>
    </w:p>
    <w:p>
      <w:pPr>
        <w:spacing w:after="0" w:line="293" w:lineRule="exact"/>
        <w:rPr>
          <w:sz w:val="20"/>
          <w:szCs w:val="20"/>
          <w:color w:val="auto"/>
        </w:rPr>
      </w:pPr>
    </w:p>
    <w:p>
      <w:pPr>
        <w:spacing w:after="0"/>
        <w:rPr>
          <w:sz w:val="20"/>
          <w:szCs w:val="20"/>
          <w:color w:val="auto"/>
        </w:rPr>
      </w:pPr>
      <w:r>
        <w:rPr>
          <w:rFonts w:ascii="Arial" w:cs="Arial" w:eastAsia="Arial" w:hAnsi="Arial"/>
          <w:sz w:val="12"/>
          <w:szCs w:val="12"/>
          <w:color w:val="auto"/>
        </w:rPr>
        <w:t>ACCEPTED AND AGREED:</w:t>
      </w:r>
    </w:p>
    <w:p>
      <w:pPr>
        <w:spacing w:after="0" w:line="114" w:lineRule="exact"/>
        <w:rPr>
          <w:sz w:val="20"/>
          <w:szCs w:val="20"/>
          <w:color w:val="auto"/>
        </w:rPr>
      </w:pPr>
    </w:p>
    <w:p>
      <w:pPr>
        <w:spacing w:after="0" w:line="234" w:lineRule="auto"/>
        <w:rPr>
          <w:sz w:val="20"/>
          <w:szCs w:val="20"/>
          <w:color w:val="auto"/>
        </w:rPr>
      </w:pPr>
      <w:r>
        <w:rPr>
          <w:rFonts w:ascii="Arial" w:cs="Arial" w:eastAsia="Arial" w:hAnsi="Arial"/>
          <w:sz w:val="12"/>
          <w:szCs w:val="12"/>
          <w:color w:val="auto"/>
        </w:rPr>
        <w:t>I agree to and accept employment with the Company on the terms and conditions set forth in this letter agreement. I understand and agree that my employment with the Company is “at will” and may be terminated by me or the Company at any time, with or without cause or notice.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/s/ Dana Wagner</w:t>
      </w:r>
    </w:p>
    <w:p>
      <w:pPr>
        <w:spacing w:after="0"/>
        <w:rPr>
          <w:sz w:val="20"/>
          <w:szCs w:val="20"/>
          <w:color w:val="auto"/>
        </w:rPr>
      </w:pPr>
      <w:r>
        <w:rPr>
          <w:rFonts w:ascii="Arial" w:cs="Arial" w:eastAsia="Arial" w:hAnsi="Arial"/>
          <w:sz w:val="12"/>
          <w:szCs w:val="12"/>
          <w:color w:val="auto"/>
        </w:rPr>
        <w:t>___________________________</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Dana Wagner</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10-7-21</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404040"/>
        </w:rPr>
        <w:t>4</w:t>
      </w:r>
    </w:p>
    <w:p>
      <w:pPr>
        <w:sectPr>
          <w:pgSz w:w="11900" w:h="16838" w:orient="portrait"/>
          <w:cols w:equalWidth="0" w:num="1">
            <w:col w:w="10840"/>
          </w:cols>
          <w:pgMar w:left="300" w:top="1440" w:right="7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2"/>
          <w:szCs w:val="12"/>
          <w:b w:val="1"/>
          <w:bCs w:val="1"/>
          <w:color w:val="auto"/>
        </w:rPr>
        <w:t>Exhibit 21.1</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List of Significant Subsidiaries of Twilio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Subsidiary</w:t>
            </w:r>
          </w:p>
        </w:tc>
        <w:tc>
          <w:tcPr>
            <w:tcW w:w="5960" w:type="dxa"/>
            <w:vAlign w:val="bottom"/>
            <w:tcBorders>
              <w:bottom w:val="single" w:sz="8" w:color="auto"/>
            </w:tcBorders>
          </w:tcPr>
          <w:p>
            <w:pPr>
              <w:ind w:left="3340"/>
              <w:spacing w:after="0"/>
              <w:rPr>
                <w:sz w:val="20"/>
                <w:szCs w:val="20"/>
                <w:color w:val="auto"/>
              </w:rPr>
            </w:pPr>
            <w:r>
              <w:rPr>
                <w:rFonts w:ascii="Arial" w:cs="Arial" w:eastAsia="Arial" w:hAnsi="Arial"/>
                <w:sz w:val="13"/>
                <w:szCs w:val="13"/>
                <w:b w:val="1"/>
                <w:bCs w:val="1"/>
                <w:color w:val="auto"/>
              </w:rPr>
              <w:t>Country</w:t>
            </w:r>
          </w:p>
        </w:tc>
      </w:tr>
      <w:tr>
        <w:trPr>
          <w:trHeight w:val="142"/>
        </w:trPr>
        <w:tc>
          <w:tcPr>
            <w:tcW w:w="5340" w:type="dxa"/>
            <w:vAlign w:val="bottom"/>
          </w:tcPr>
          <w:p>
            <w:pPr>
              <w:spacing w:after="0"/>
              <w:rPr>
                <w:sz w:val="20"/>
                <w:szCs w:val="20"/>
                <w:color w:val="auto"/>
              </w:rPr>
            </w:pPr>
            <w:r>
              <w:rPr>
                <w:rFonts w:ascii="Arial" w:cs="Arial" w:eastAsia="Arial" w:hAnsi="Arial"/>
                <w:sz w:val="12"/>
                <w:szCs w:val="12"/>
                <w:color w:val="auto"/>
              </w:rPr>
              <w:t>Ionic Security Inc.</w:t>
            </w:r>
          </w:p>
        </w:tc>
        <w:tc>
          <w:tcPr>
            <w:tcW w:w="5960" w:type="dxa"/>
            <w:vAlign w:val="bottom"/>
          </w:tcPr>
          <w:p>
            <w:pPr>
              <w:ind w:left="3340"/>
              <w:spacing w:after="0"/>
              <w:rPr>
                <w:sz w:val="20"/>
                <w:szCs w:val="20"/>
                <w:color w:val="auto"/>
              </w:rPr>
            </w:pPr>
            <w:r>
              <w:rPr>
                <w:rFonts w:ascii="Arial" w:cs="Arial" w:eastAsia="Arial" w:hAnsi="Arial"/>
                <w:sz w:val="12"/>
                <w:szCs w:val="12"/>
                <w:color w:val="auto"/>
              </w:rPr>
              <w:t>United States</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Segment.io, Inc.</w:t>
            </w:r>
          </w:p>
        </w:tc>
        <w:tc>
          <w:tcPr>
            <w:tcW w:w="5960" w:type="dxa"/>
            <w:vAlign w:val="bottom"/>
          </w:tcPr>
          <w:p>
            <w:pPr>
              <w:ind w:left="3340"/>
              <w:spacing w:after="0"/>
              <w:rPr>
                <w:sz w:val="20"/>
                <w:szCs w:val="20"/>
                <w:color w:val="auto"/>
              </w:rPr>
            </w:pPr>
            <w:r>
              <w:rPr>
                <w:rFonts w:ascii="Arial" w:cs="Arial" w:eastAsia="Arial" w:hAnsi="Arial"/>
                <w:sz w:val="12"/>
                <w:szCs w:val="12"/>
                <w:color w:val="auto"/>
              </w:rPr>
              <w:t>United States</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Zipwhip, LLC</w:t>
            </w:r>
          </w:p>
        </w:tc>
        <w:tc>
          <w:tcPr>
            <w:tcW w:w="5960" w:type="dxa"/>
            <w:vAlign w:val="bottom"/>
          </w:tcPr>
          <w:p>
            <w:pPr>
              <w:ind w:left="3340"/>
              <w:spacing w:after="0"/>
              <w:rPr>
                <w:sz w:val="20"/>
                <w:szCs w:val="20"/>
                <w:color w:val="auto"/>
              </w:rPr>
            </w:pPr>
            <w:r>
              <w:rPr>
                <w:rFonts w:ascii="Arial" w:cs="Arial" w:eastAsia="Arial" w:hAnsi="Arial"/>
                <w:sz w:val="12"/>
                <w:szCs w:val="12"/>
                <w:color w:val="auto"/>
              </w:rPr>
              <w:t>United States</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Australia Pty Ltd</w:t>
            </w:r>
          </w:p>
        </w:tc>
        <w:tc>
          <w:tcPr>
            <w:tcW w:w="5960" w:type="dxa"/>
            <w:vAlign w:val="bottom"/>
          </w:tcPr>
          <w:p>
            <w:pPr>
              <w:ind w:left="3340"/>
              <w:spacing w:after="0"/>
              <w:rPr>
                <w:sz w:val="20"/>
                <w:szCs w:val="20"/>
                <w:color w:val="auto"/>
              </w:rPr>
            </w:pPr>
            <w:r>
              <w:rPr>
                <w:rFonts w:ascii="Arial" w:cs="Arial" w:eastAsia="Arial" w:hAnsi="Arial"/>
                <w:sz w:val="12"/>
                <w:szCs w:val="12"/>
                <w:color w:val="auto"/>
              </w:rPr>
              <w:t>Australia</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Teravoz Telecom Telecomunicacoes Ltda.</w:t>
            </w:r>
          </w:p>
        </w:tc>
        <w:tc>
          <w:tcPr>
            <w:tcW w:w="5960" w:type="dxa"/>
            <w:vAlign w:val="bottom"/>
          </w:tcPr>
          <w:p>
            <w:pPr>
              <w:ind w:left="3340"/>
              <w:spacing w:after="0"/>
              <w:rPr>
                <w:sz w:val="20"/>
                <w:szCs w:val="20"/>
                <w:color w:val="auto"/>
              </w:rPr>
            </w:pPr>
            <w:r>
              <w:rPr>
                <w:rFonts w:ascii="Arial" w:cs="Arial" w:eastAsia="Arial" w:hAnsi="Arial"/>
                <w:sz w:val="12"/>
                <w:szCs w:val="12"/>
                <w:color w:val="auto"/>
              </w:rPr>
              <w:t>Brazil</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Segment Technologies Canada Inc</w:t>
            </w:r>
          </w:p>
        </w:tc>
        <w:tc>
          <w:tcPr>
            <w:tcW w:w="5960" w:type="dxa"/>
            <w:vAlign w:val="bottom"/>
          </w:tcPr>
          <w:p>
            <w:pPr>
              <w:ind w:left="3340"/>
              <w:spacing w:after="0"/>
              <w:rPr>
                <w:sz w:val="20"/>
                <w:szCs w:val="20"/>
                <w:color w:val="auto"/>
              </w:rPr>
            </w:pPr>
            <w:r>
              <w:rPr>
                <w:rFonts w:ascii="Arial" w:cs="Arial" w:eastAsia="Arial" w:hAnsi="Arial"/>
                <w:sz w:val="12"/>
                <w:szCs w:val="12"/>
                <w:color w:val="auto"/>
              </w:rPr>
              <w:t>Canada</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Canada Corp.</w:t>
            </w:r>
          </w:p>
        </w:tc>
        <w:tc>
          <w:tcPr>
            <w:tcW w:w="5960" w:type="dxa"/>
            <w:vAlign w:val="bottom"/>
          </w:tcPr>
          <w:p>
            <w:pPr>
              <w:ind w:left="3340"/>
              <w:spacing w:after="0"/>
              <w:rPr>
                <w:sz w:val="20"/>
                <w:szCs w:val="20"/>
                <w:color w:val="auto"/>
              </w:rPr>
            </w:pPr>
            <w:r>
              <w:rPr>
                <w:rFonts w:ascii="Arial" w:cs="Arial" w:eastAsia="Arial" w:hAnsi="Arial"/>
                <w:sz w:val="12"/>
                <w:szCs w:val="12"/>
                <w:color w:val="auto"/>
              </w:rPr>
              <w:t>Canada</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Zipwhip Canada, Inc.</w:t>
            </w:r>
          </w:p>
        </w:tc>
        <w:tc>
          <w:tcPr>
            <w:tcW w:w="5960" w:type="dxa"/>
            <w:vAlign w:val="bottom"/>
          </w:tcPr>
          <w:p>
            <w:pPr>
              <w:ind w:left="3340"/>
              <w:spacing w:after="0"/>
              <w:rPr>
                <w:sz w:val="20"/>
                <w:szCs w:val="20"/>
                <w:color w:val="auto"/>
              </w:rPr>
            </w:pPr>
            <w:r>
              <w:rPr>
                <w:rFonts w:ascii="Arial" w:cs="Arial" w:eastAsia="Arial" w:hAnsi="Arial"/>
                <w:sz w:val="12"/>
                <w:szCs w:val="12"/>
                <w:color w:val="auto"/>
              </w:rPr>
              <w:t>Canada</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Colombia S.A.S.</w:t>
            </w:r>
          </w:p>
        </w:tc>
        <w:tc>
          <w:tcPr>
            <w:tcW w:w="5960" w:type="dxa"/>
            <w:vAlign w:val="bottom"/>
          </w:tcPr>
          <w:p>
            <w:pPr>
              <w:ind w:left="3340"/>
              <w:spacing w:after="0"/>
              <w:rPr>
                <w:sz w:val="20"/>
                <w:szCs w:val="20"/>
                <w:color w:val="auto"/>
              </w:rPr>
            </w:pPr>
            <w:r>
              <w:rPr>
                <w:rFonts w:ascii="Arial" w:cs="Arial" w:eastAsia="Arial" w:hAnsi="Arial"/>
                <w:sz w:val="12"/>
                <w:szCs w:val="12"/>
                <w:color w:val="auto"/>
              </w:rPr>
              <w:t>Colombia</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Quiubas Networks Colombia S.A.S</w:t>
            </w:r>
          </w:p>
        </w:tc>
        <w:tc>
          <w:tcPr>
            <w:tcW w:w="5960" w:type="dxa"/>
            <w:vAlign w:val="bottom"/>
          </w:tcPr>
          <w:p>
            <w:pPr>
              <w:ind w:left="3340"/>
              <w:spacing w:after="0"/>
              <w:rPr>
                <w:sz w:val="20"/>
                <w:szCs w:val="20"/>
                <w:color w:val="auto"/>
              </w:rPr>
            </w:pPr>
            <w:r>
              <w:rPr>
                <w:rFonts w:ascii="Arial" w:cs="Arial" w:eastAsia="Arial" w:hAnsi="Arial"/>
                <w:sz w:val="12"/>
                <w:szCs w:val="12"/>
                <w:color w:val="auto"/>
              </w:rPr>
              <w:t>Colombia</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Czechia</w:t>
            </w:r>
          </w:p>
        </w:tc>
        <w:tc>
          <w:tcPr>
            <w:tcW w:w="5960" w:type="dxa"/>
            <w:vAlign w:val="bottom"/>
          </w:tcPr>
          <w:p>
            <w:pPr>
              <w:ind w:left="3340"/>
              <w:spacing w:after="0"/>
              <w:rPr>
                <w:sz w:val="20"/>
                <w:szCs w:val="20"/>
                <w:color w:val="auto"/>
              </w:rPr>
            </w:pPr>
            <w:r>
              <w:rPr>
                <w:rFonts w:ascii="Arial" w:cs="Arial" w:eastAsia="Arial" w:hAnsi="Arial"/>
                <w:sz w:val="12"/>
                <w:szCs w:val="12"/>
                <w:color w:val="auto"/>
              </w:rPr>
              <w:t>Czechia</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Estonia OÜ</w:t>
            </w:r>
          </w:p>
        </w:tc>
        <w:tc>
          <w:tcPr>
            <w:tcW w:w="5960" w:type="dxa"/>
            <w:vAlign w:val="bottom"/>
          </w:tcPr>
          <w:p>
            <w:pPr>
              <w:ind w:left="3340"/>
              <w:spacing w:after="0"/>
              <w:rPr>
                <w:sz w:val="20"/>
                <w:szCs w:val="20"/>
                <w:color w:val="auto"/>
              </w:rPr>
            </w:pPr>
            <w:r>
              <w:rPr>
                <w:rFonts w:ascii="Arial" w:cs="Arial" w:eastAsia="Arial" w:hAnsi="Arial"/>
                <w:sz w:val="12"/>
                <w:szCs w:val="12"/>
                <w:color w:val="auto"/>
              </w:rPr>
              <w:t>Estonia</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France SARL</w:t>
            </w:r>
          </w:p>
        </w:tc>
        <w:tc>
          <w:tcPr>
            <w:tcW w:w="5960" w:type="dxa"/>
            <w:vAlign w:val="bottom"/>
          </w:tcPr>
          <w:p>
            <w:pPr>
              <w:ind w:left="3340"/>
              <w:spacing w:after="0"/>
              <w:rPr>
                <w:sz w:val="20"/>
                <w:szCs w:val="20"/>
                <w:color w:val="auto"/>
              </w:rPr>
            </w:pPr>
            <w:r>
              <w:rPr>
                <w:rFonts w:ascii="Arial" w:cs="Arial" w:eastAsia="Arial" w:hAnsi="Arial"/>
                <w:sz w:val="12"/>
                <w:szCs w:val="12"/>
                <w:color w:val="auto"/>
              </w:rPr>
              <w:t>France</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Berlin GmbH</w:t>
            </w:r>
          </w:p>
        </w:tc>
        <w:tc>
          <w:tcPr>
            <w:tcW w:w="5960" w:type="dxa"/>
            <w:vAlign w:val="bottom"/>
          </w:tcPr>
          <w:p>
            <w:pPr>
              <w:ind w:left="3340"/>
              <w:spacing w:after="0"/>
              <w:rPr>
                <w:sz w:val="20"/>
                <w:szCs w:val="20"/>
                <w:color w:val="auto"/>
              </w:rPr>
            </w:pPr>
            <w:r>
              <w:rPr>
                <w:rFonts w:ascii="Arial" w:cs="Arial" w:eastAsia="Arial" w:hAnsi="Arial"/>
                <w:sz w:val="12"/>
                <w:szCs w:val="12"/>
                <w:color w:val="auto"/>
              </w:rPr>
              <w:t>Germany</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Germany GmbH</w:t>
            </w:r>
          </w:p>
        </w:tc>
        <w:tc>
          <w:tcPr>
            <w:tcW w:w="5960" w:type="dxa"/>
            <w:vAlign w:val="bottom"/>
          </w:tcPr>
          <w:p>
            <w:pPr>
              <w:ind w:left="3340"/>
              <w:spacing w:after="0"/>
              <w:rPr>
                <w:sz w:val="20"/>
                <w:szCs w:val="20"/>
                <w:color w:val="auto"/>
              </w:rPr>
            </w:pPr>
            <w:r>
              <w:rPr>
                <w:rFonts w:ascii="Arial" w:cs="Arial" w:eastAsia="Arial" w:hAnsi="Arial"/>
                <w:sz w:val="12"/>
                <w:szCs w:val="12"/>
                <w:color w:val="auto"/>
              </w:rPr>
              <w:t>Germany</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Hong Kong Limited</w:t>
            </w:r>
          </w:p>
        </w:tc>
        <w:tc>
          <w:tcPr>
            <w:tcW w:w="5960" w:type="dxa"/>
            <w:vAlign w:val="bottom"/>
          </w:tcPr>
          <w:p>
            <w:pPr>
              <w:ind w:left="3340"/>
              <w:spacing w:after="0"/>
              <w:rPr>
                <w:sz w:val="20"/>
                <w:szCs w:val="20"/>
                <w:color w:val="auto"/>
              </w:rPr>
            </w:pPr>
            <w:r>
              <w:rPr>
                <w:rFonts w:ascii="Arial" w:cs="Arial" w:eastAsia="Arial" w:hAnsi="Arial"/>
                <w:sz w:val="12"/>
                <w:szCs w:val="12"/>
                <w:color w:val="auto"/>
              </w:rPr>
              <w:t>Hong Kong</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Technology India Private Limited</w:t>
            </w:r>
          </w:p>
        </w:tc>
        <w:tc>
          <w:tcPr>
            <w:tcW w:w="5960" w:type="dxa"/>
            <w:vAlign w:val="bottom"/>
          </w:tcPr>
          <w:p>
            <w:pPr>
              <w:ind w:left="3340"/>
              <w:spacing w:after="0"/>
              <w:rPr>
                <w:sz w:val="20"/>
                <w:szCs w:val="20"/>
                <w:color w:val="auto"/>
              </w:rPr>
            </w:pPr>
            <w:r>
              <w:rPr>
                <w:rFonts w:ascii="Arial" w:cs="Arial" w:eastAsia="Arial" w:hAnsi="Arial"/>
                <w:sz w:val="12"/>
                <w:szCs w:val="12"/>
                <w:color w:val="auto"/>
              </w:rPr>
              <w:t>India</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ValueFirst Digital Media Private Limited</w:t>
            </w:r>
          </w:p>
        </w:tc>
        <w:tc>
          <w:tcPr>
            <w:tcW w:w="5960" w:type="dxa"/>
            <w:vAlign w:val="bottom"/>
          </w:tcPr>
          <w:p>
            <w:pPr>
              <w:ind w:left="3340"/>
              <w:spacing w:after="0"/>
              <w:rPr>
                <w:sz w:val="20"/>
                <w:szCs w:val="20"/>
                <w:color w:val="auto"/>
              </w:rPr>
            </w:pPr>
            <w:r>
              <w:rPr>
                <w:rFonts w:ascii="Arial" w:cs="Arial" w:eastAsia="Arial" w:hAnsi="Arial"/>
                <w:sz w:val="12"/>
                <w:szCs w:val="12"/>
                <w:color w:val="auto"/>
              </w:rPr>
              <w:t>India</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Segment Technologies Ireland Ltd.</w:t>
            </w:r>
          </w:p>
        </w:tc>
        <w:tc>
          <w:tcPr>
            <w:tcW w:w="5960" w:type="dxa"/>
            <w:vAlign w:val="bottom"/>
          </w:tcPr>
          <w:p>
            <w:pPr>
              <w:ind w:left="3340"/>
              <w:spacing w:after="0"/>
              <w:rPr>
                <w:sz w:val="20"/>
                <w:szCs w:val="20"/>
                <w:color w:val="auto"/>
              </w:rPr>
            </w:pPr>
            <w:r>
              <w:rPr>
                <w:rFonts w:ascii="Arial" w:cs="Arial" w:eastAsia="Arial" w:hAnsi="Arial"/>
                <w:sz w:val="12"/>
                <w:szCs w:val="12"/>
                <w:color w:val="auto"/>
              </w:rPr>
              <w:t>Ireland</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Ireland Limited</w:t>
            </w:r>
          </w:p>
        </w:tc>
        <w:tc>
          <w:tcPr>
            <w:tcW w:w="5960" w:type="dxa"/>
            <w:vAlign w:val="bottom"/>
          </w:tcPr>
          <w:p>
            <w:pPr>
              <w:ind w:left="3340"/>
              <w:spacing w:after="0"/>
              <w:rPr>
                <w:sz w:val="20"/>
                <w:szCs w:val="20"/>
                <w:color w:val="auto"/>
              </w:rPr>
            </w:pPr>
            <w:r>
              <w:rPr>
                <w:rFonts w:ascii="Arial" w:cs="Arial" w:eastAsia="Arial" w:hAnsi="Arial"/>
                <w:sz w:val="12"/>
                <w:szCs w:val="12"/>
                <w:color w:val="auto"/>
              </w:rPr>
              <w:t>Ireland</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Japan GK</w:t>
            </w:r>
          </w:p>
        </w:tc>
        <w:tc>
          <w:tcPr>
            <w:tcW w:w="5960" w:type="dxa"/>
            <w:vAlign w:val="bottom"/>
          </w:tcPr>
          <w:p>
            <w:pPr>
              <w:ind w:left="3340"/>
              <w:spacing w:after="0"/>
              <w:rPr>
                <w:sz w:val="20"/>
                <w:szCs w:val="20"/>
                <w:color w:val="auto"/>
              </w:rPr>
            </w:pPr>
            <w:r>
              <w:rPr>
                <w:rFonts w:ascii="Arial" w:cs="Arial" w:eastAsia="Arial" w:hAnsi="Arial"/>
                <w:sz w:val="12"/>
                <w:szCs w:val="12"/>
                <w:color w:val="auto"/>
              </w:rPr>
              <w:t>Japan</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CISA Telecomunicaciones, S.C.</w:t>
            </w:r>
          </w:p>
        </w:tc>
        <w:tc>
          <w:tcPr>
            <w:tcW w:w="5960" w:type="dxa"/>
            <w:vAlign w:val="bottom"/>
          </w:tcPr>
          <w:p>
            <w:pPr>
              <w:ind w:left="3340"/>
              <w:spacing w:after="0"/>
              <w:rPr>
                <w:sz w:val="20"/>
                <w:szCs w:val="20"/>
                <w:color w:val="auto"/>
              </w:rPr>
            </w:pPr>
            <w:r>
              <w:rPr>
                <w:rFonts w:ascii="Arial" w:cs="Arial" w:eastAsia="Arial" w:hAnsi="Arial"/>
                <w:sz w:val="12"/>
                <w:szCs w:val="12"/>
                <w:color w:val="auto"/>
              </w:rPr>
              <w:t>Mexico</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Netherlands B.V.</w:t>
            </w:r>
          </w:p>
        </w:tc>
        <w:tc>
          <w:tcPr>
            <w:tcW w:w="5960" w:type="dxa"/>
            <w:vAlign w:val="bottom"/>
          </w:tcPr>
          <w:p>
            <w:pPr>
              <w:ind w:left="3340"/>
              <w:spacing w:after="0"/>
              <w:rPr>
                <w:sz w:val="20"/>
                <w:szCs w:val="20"/>
                <w:color w:val="auto"/>
              </w:rPr>
            </w:pPr>
            <w:r>
              <w:rPr>
                <w:rFonts w:ascii="Arial" w:cs="Arial" w:eastAsia="Arial" w:hAnsi="Arial"/>
                <w:sz w:val="12"/>
                <w:szCs w:val="12"/>
                <w:color w:val="auto"/>
              </w:rPr>
              <w:t>The Netherlands</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Poland sp. z o.o.</w:t>
            </w:r>
          </w:p>
        </w:tc>
        <w:tc>
          <w:tcPr>
            <w:tcW w:w="5960" w:type="dxa"/>
            <w:vAlign w:val="bottom"/>
          </w:tcPr>
          <w:p>
            <w:pPr>
              <w:ind w:left="3340"/>
              <w:spacing w:after="0"/>
              <w:rPr>
                <w:sz w:val="20"/>
                <w:szCs w:val="20"/>
                <w:color w:val="auto"/>
              </w:rPr>
            </w:pPr>
            <w:r>
              <w:rPr>
                <w:rFonts w:ascii="Arial" w:cs="Arial" w:eastAsia="Arial" w:hAnsi="Arial"/>
                <w:sz w:val="12"/>
                <w:szCs w:val="12"/>
                <w:color w:val="auto"/>
              </w:rPr>
              <w:t>Poland</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Quiubas Mobile Ltd.</w:t>
            </w:r>
          </w:p>
        </w:tc>
        <w:tc>
          <w:tcPr>
            <w:tcW w:w="5960" w:type="dxa"/>
            <w:vAlign w:val="bottom"/>
          </w:tcPr>
          <w:p>
            <w:pPr>
              <w:ind w:left="3340"/>
              <w:spacing w:after="0"/>
              <w:rPr>
                <w:sz w:val="20"/>
                <w:szCs w:val="20"/>
                <w:color w:val="auto"/>
              </w:rPr>
            </w:pPr>
            <w:r>
              <w:rPr>
                <w:rFonts w:ascii="Arial" w:cs="Arial" w:eastAsia="Arial" w:hAnsi="Arial"/>
                <w:sz w:val="12"/>
                <w:szCs w:val="12"/>
                <w:color w:val="auto"/>
              </w:rPr>
              <w:t>Serbia</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Singapore Pte. Ltd.</w:t>
            </w:r>
          </w:p>
        </w:tc>
        <w:tc>
          <w:tcPr>
            <w:tcW w:w="5960" w:type="dxa"/>
            <w:vAlign w:val="bottom"/>
          </w:tcPr>
          <w:p>
            <w:pPr>
              <w:ind w:left="3340"/>
              <w:spacing w:after="0"/>
              <w:rPr>
                <w:sz w:val="20"/>
                <w:szCs w:val="20"/>
                <w:color w:val="auto"/>
              </w:rPr>
            </w:pPr>
            <w:r>
              <w:rPr>
                <w:rFonts w:ascii="Arial" w:cs="Arial" w:eastAsia="Arial" w:hAnsi="Arial"/>
                <w:sz w:val="12"/>
                <w:szCs w:val="12"/>
                <w:color w:val="auto"/>
              </w:rPr>
              <w:t>Singapore</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SVG Pte. Ltd.</w:t>
            </w:r>
          </w:p>
        </w:tc>
        <w:tc>
          <w:tcPr>
            <w:tcW w:w="5960" w:type="dxa"/>
            <w:vAlign w:val="bottom"/>
          </w:tcPr>
          <w:p>
            <w:pPr>
              <w:ind w:left="3340"/>
              <w:spacing w:after="0"/>
              <w:rPr>
                <w:sz w:val="20"/>
                <w:szCs w:val="20"/>
                <w:color w:val="auto"/>
              </w:rPr>
            </w:pPr>
            <w:r>
              <w:rPr>
                <w:rFonts w:ascii="Arial" w:cs="Arial" w:eastAsia="Arial" w:hAnsi="Arial"/>
                <w:sz w:val="12"/>
                <w:szCs w:val="12"/>
                <w:color w:val="auto"/>
              </w:rPr>
              <w:t>Singapore</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Spain, S.L.</w:t>
            </w:r>
          </w:p>
        </w:tc>
        <w:tc>
          <w:tcPr>
            <w:tcW w:w="5960" w:type="dxa"/>
            <w:vAlign w:val="bottom"/>
          </w:tcPr>
          <w:p>
            <w:pPr>
              <w:ind w:left="3340"/>
              <w:spacing w:after="0"/>
              <w:rPr>
                <w:sz w:val="20"/>
                <w:szCs w:val="20"/>
                <w:color w:val="auto"/>
              </w:rPr>
            </w:pPr>
            <w:r>
              <w:rPr>
                <w:rFonts w:ascii="Arial" w:cs="Arial" w:eastAsia="Arial" w:hAnsi="Arial"/>
                <w:sz w:val="12"/>
                <w:szCs w:val="12"/>
                <w:color w:val="auto"/>
              </w:rPr>
              <w:t>Spain</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Sweden AB</w:t>
            </w:r>
          </w:p>
        </w:tc>
        <w:tc>
          <w:tcPr>
            <w:tcW w:w="5960" w:type="dxa"/>
            <w:vAlign w:val="bottom"/>
          </w:tcPr>
          <w:p>
            <w:pPr>
              <w:ind w:left="3340"/>
              <w:spacing w:after="0"/>
              <w:rPr>
                <w:sz w:val="20"/>
                <w:szCs w:val="20"/>
                <w:color w:val="auto"/>
              </w:rPr>
            </w:pPr>
            <w:r>
              <w:rPr>
                <w:rFonts w:ascii="Arial" w:cs="Arial" w:eastAsia="Arial" w:hAnsi="Arial"/>
                <w:sz w:val="12"/>
                <w:szCs w:val="12"/>
                <w:color w:val="auto"/>
              </w:rPr>
              <w:t>Sweden</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Twilio UK Limited</w:t>
            </w:r>
          </w:p>
        </w:tc>
        <w:tc>
          <w:tcPr>
            <w:tcW w:w="5960" w:type="dxa"/>
            <w:vAlign w:val="bottom"/>
          </w:tcPr>
          <w:p>
            <w:pPr>
              <w:ind w:left="3340"/>
              <w:spacing w:after="0"/>
              <w:rPr>
                <w:sz w:val="20"/>
                <w:szCs w:val="20"/>
                <w:color w:val="auto"/>
              </w:rPr>
            </w:pPr>
            <w:r>
              <w:rPr>
                <w:rFonts w:ascii="Arial" w:cs="Arial" w:eastAsia="Arial" w:hAnsi="Arial"/>
                <w:sz w:val="12"/>
                <w:szCs w:val="12"/>
                <w:color w:val="auto"/>
              </w:rPr>
              <w:t>England and Wales</w:t>
            </w:r>
          </w:p>
        </w:tc>
      </w:tr>
    </w:tbl>
    <w:p>
      <w:pPr>
        <w:sectPr>
          <w:pgSz w:w="11900" w:h="16838" w:orient="portrait"/>
          <w:cols w:equalWidth="0" w:num="1">
            <w:col w:w="11300"/>
          </w:cols>
          <w:pgMar w:left="300" w:top="784" w:right="299" w:bottom="1440" w:gutter="0" w:footer="0" w:header="0"/>
        </w:sectPr>
      </w:pPr>
    </w:p>
    <w:bookmarkStart w:id="136" w:name="page137"/>
    <w:bookmarkEnd w:id="136"/>
    <w:p>
      <w:pPr>
        <w:jc w:val="right"/>
        <w:spacing w:after="0"/>
        <w:rPr>
          <w:sz w:val="20"/>
          <w:szCs w:val="20"/>
          <w:color w:val="auto"/>
        </w:rPr>
      </w:pPr>
      <w:r>
        <w:rPr>
          <w:rFonts w:ascii="Arial" w:cs="Arial" w:eastAsia="Arial" w:hAnsi="Arial"/>
          <w:sz w:val="12"/>
          <w:szCs w:val="12"/>
          <w:b w:val="1"/>
          <w:bCs w:val="1"/>
          <w:color w:val="auto"/>
        </w:rPr>
        <w:t>Exhibit 23.1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72" w:lineRule="exact"/>
        <w:rPr>
          <w:sz w:val="20"/>
          <w:szCs w:val="20"/>
          <w:color w:val="auto"/>
        </w:rPr>
      </w:pPr>
    </w:p>
    <w:p>
      <w:pPr>
        <w:ind w:left="20" w:right="340" w:firstLine="324"/>
        <w:spacing w:after="0" w:line="323" w:lineRule="auto"/>
        <w:rPr>
          <w:sz w:val="20"/>
          <w:szCs w:val="20"/>
          <w:color w:val="auto"/>
        </w:rPr>
      </w:pPr>
      <w:r>
        <w:rPr>
          <w:rFonts w:ascii="Arial" w:cs="Arial" w:eastAsia="Arial" w:hAnsi="Arial"/>
          <w:sz w:val="11"/>
          <w:szCs w:val="11"/>
          <w:color w:val="auto"/>
        </w:rPr>
        <w:t>We consent to the incorporation by reference in the registration statements (No. 333-212191, 333-224812, 333-229580, 333-236819, 333-250032 and 333-258368) on Form S-8 and (No. 333-231794, 333-249889 and 333-258364) on Form S-3 of Twilio Inc. of our report dated February 22, 2022, with respect to the consolidated financial statements of Twilio Inc. and the effectiveness of internal control over financial reporting.</w:t>
      </w:r>
    </w:p>
    <w:p>
      <w:pPr>
        <w:spacing w:after="0" w:line="110" w:lineRule="exact"/>
        <w:rPr>
          <w:sz w:val="20"/>
          <w:szCs w:val="20"/>
          <w:color w:val="auto"/>
        </w:rPr>
      </w:pPr>
    </w:p>
    <w:p>
      <w:pPr>
        <w:ind w:left="20" w:right="140" w:firstLine="324"/>
        <w:spacing w:after="0" w:line="263" w:lineRule="auto"/>
        <w:rPr>
          <w:sz w:val="20"/>
          <w:szCs w:val="20"/>
          <w:color w:val="auto"/>
        </w:rPr>
      </w:pPr>
      <w:r>
        <w:rPr>
          <w:rFonts w:ascii="Arial" w:cs="Arial" w:eastAsia="Arial" w:hAnsi="Arial"/>
          <w:sz w:val="12"/>
          <w:szCs w:val="12"/>
          <w:color w:val="auto"/>
        </w:rPr>
        <w:t>The Company acquired Zipwhip, Inc. (Zipwhip) during fiscal 2021, and management excluded from its assessment of the effectiveness of the Company’s internal control over financial reporting as of December 31, 2021, Zipwhip’s internal control over financial reporting associated with $51.9 million of the Company’s total assets and $55.4 million of revenue included in the consolidated financial statements as of and for the year ended December 31, 2021. Our audit of internal control over financial reporting of the Company also excluded an evaluation of the internal control over financial reporting of Zipwhip.</w:t>
      </w:r>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Santa Clara,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22, 2022</w:t>
      </w:r>
    </w:p>
    <w:p>
      <w:pPr>
        <w:sectPr>
          <w:pgSz w:w="11900" w:h="16838" w:orient="portrait"/>
          <w:cols w:equalWidth="0" w:num="1">
            <w:col w:w="11300"/>
          </w:cols>
          <w:pgMar w:left="300" w:top="667" w:right="299" w:bottom="1440" w:gutter="0" w:footer="0" w:header="0"/>
        </w:sectPr>
      </w:pPr>
    </w:p>
    <w:bookmarkStart w:id="137" w:name="page138"/>
    <w:bookmarkEnd w:id="137"/>
    <w:p>
      <w:pPr>
        <w:jc w:val="right"/>
        <w:spacing w:after="0"/>
        <w:rPr>
          <w:sz w:val="20"/>
          <w:szCs w:val="20"/>
          <w:color w:val="auto"/>
        </w:rPr>
      </w:pPr>
      <w:r>
        <w:rPr>
          <w:rFonts w:ascii="Arial" w:cs="Arial" w:eastAsia="Arial" w:hAnsi="Arial"/>
          <w:sz w:val="11"/>
          <w:szCs w:val="11"/>
          <w:b w:val="1"/>
          <w:bCs w:val="1"/>
          <w:color w:val="auto"/>
        </w:rPr>
        <w:t>Exhibit 31.1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 PURSUANT TO RULE 13a-14(a) OR 15d-14(a)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THE SECURITIES EXCHANGE ACT OF 1934,</w:t>
      </w:r>
    </w:p>
    <w:p>
      <w:pPr>
        <w:jc w:val="center"/>
        <w:spacing w:after="0"/>
        <w:rPr>
          <w:sz w:val="20"/>
          <w:szCs w:val="20"/>
          <w:color w:val="auto"/>
        </w:rPr>
      </w:pPr>
      <w:r>
        <w:rPr>
          <w:rFonts w:ascii="Arial" w:cs="Arial" w:eastAsia="Arial" w:hAnsi="Arial"/>
          <w:sz w:val="11"/>
          <w:szCs w:val="11"/>
          <w:b w:val="1"/>
          <w:bCs w:val="1"/>
          <w:color w:val="auto"/>
        </w:rPr>
        <w:t>AS ADOPTED PURSUANT TO SECTION 302 OF</w:t>
      </w:r>
    </w:p>
    <w:p>
      <w:pPr>
        <w:jc w:val="center"/>
        <w:spacing w:after="0"/>
        <w:rPr>
          <w:sz w:val="20"/>
          <w:szCs w:val="20"/>
          <w:color w:val="auto"/>
        </w:rPr>
      </w:pPr>
      <w:r>
        <w:rPr>
          <w:rFonts w:ascii="Arial" w:cs="Arial" w:eastAsia="Arial" w:hAnsi="Arial"/>
          <w:sz w:val="11"/>
          <w:szCs w:val="11"/>
          <w:b w:val="1"/>
          <w:bCs w:val="1"/>
          <w:color w:val="auto"/>
        </w:rPr>
        <w:t>THE SARBANES-OXLEY ACT OF 2002</w:t>
      </w: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color w:val="auto"/>
        </w:rPr>
        <w:t>I, Jeff Lawson, certify that:</w:t>
      </w:r>
    </w:p>
    <w:p>
      <w:pPr>
        <w:spacing w:after="0" w:line="117" w:lineRule="exact"/>
        <w:rPr>
          <w:sz w:val="20"/>
          <w:szCs w:val="20"/>
          <w:color w:val="auto"/>
        </w:rPr>
      </w:pPr>
    </w:p>
    <w:p>
      <w:pPr>
        <w:ind w:left="860" w:hanging="436"/>
        <w:spacing w:after="0"/>
        <w:tabs>
          <w:tab w:leader="none" w:pos="86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I have reviewed this Annual Report on Form 10-K of Twilio Inc.;</w:t>
      </w:r>
    </w:p>
    <w:p>
      <w:pPr>
        <w:spacing w:after="0" w:line="116" w:lineRule="exact"/>
        <w:rPr>
          <w:rFonts w:ascii="Arial" w:cs="Arial" w:eastAsia="Arial" w:hAnsi="Arial"/>
          <w:sz w:val="11"/>
          <w:szCs w:val="11"/>
          <w:color w:val="auto"/>
        </w:rPr>
      </w:pPr>
    </w:p>
    <w:p>
      <w:pPr>
        <w:ind w:right="180" w:firstLine="424"/>
        <w:spacing w:after="0" w:line="257" w:lineRule="auto"/>
        <w:tabs>
          <w:tab w:leader="none" w:pos="864" w:val="left"/>
        </w:tabs>
        <w:numPr>
          <w:ilvl w:val="0"/>
          <w:numId w:val="106"/>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Arial" w:cs="Arial" w:eastAsia="Arial" w:hAnsi="Arial"/>
          <w:sz w:val="11"/>
          <w:szCs w:val="11"/>
          <w:color w:val="auto"/>
        </w:rPr>
      </w:pPr>
    </w:p>
    <w:p>
      <w:pPr>
        <w:ind w:right="220" w:firstLine="424"/>
        <w:spacing w:after="0" w:line="257" w:lineRule="auto"/>
        <w:tabs>
          <w:tab w:leader="none" w:pos="864" w:val="left"/>
        </w:tabs>
        <w:numPr>
          <w:ilvl w:val="0"/>
          <w:numId w:val="106"/>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1"/>
          <w:szCs w:val="11"/>
          <w:color w:val="auto"/>
        </w:rPr>
      </w:pPr>
    </w:p>
    <w:p>
      <w:pPr>
        <w:ind w:right="60" w:firstLine="424"/>
        <w:spacing w:after="0" w:line="257" w:lineRule="auto"/>
        <w:tabs>
          <w:tab w:leader="none" w:pos="864"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1"/>
          <w:szCs w:val="11"/>
          <w:color w:val="auto"/>
        </w:rPr>
      </w:pPr>
    </w:p>
    <w:p>
      <w:pPr>
        <w:ind w:right="240" w:firstLine="856"/>
        <w:spacing w:after="0" w:line="257" w:lineRule="auto"/>
        <w:tabs>
          <w:tab w:leader="none" w:pos="129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1"/>
          <w:szCs w:val="11"/>
          <w:color w:val="auto"/>
        </w:rPr>
      </w:pPr>
    </w:p>
    <w:p>
      <w:pPr>
        <w:ind w:right="180" w:firstLine="856"/>
        <w:spacing w:after="0" w:line="257" w:lineRule="auto"/>
        <w:tabs>
          <w:tab w:leader="none" w:pos="1296" w:val="left"/>
        </w:tabs>
        <w:numPr>
          <w:ilvl w:val="1"/>
          <w:numId w:val="106"/>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1"/>
          <w:szCs w:val="11"/>
          <w:color w:val="auto"/>
        </w:rPr>
      </w:pPr>
    </w:p>
    <w:p>
      <w:pPr>
        <w:ind w:right="120" w:firstLine="856"/>
        <w:spacing w:after="0" w:line="257" w:lineRule="auto"/>
        <w:tabs>
          <w:tab w:leader="none" w:pos="129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1"/>
          <w:szCs w:val="11"/>
          <w:color w:val="auto"/>
        </w:rPr>
      </w:pPr>
    </w:p>
    <w:p>
      <w:pPr>
        <w:ind w:right="140" w:firstLine="856"/>
        <w:spacing w:after="0" w:line="257" w:lineRule="auto"/>
        <w:tabs>
          <w:tab w:leader="none" w:pos="1296" w:val="left"/>
        </w:tabs>
        <w:numPr>
          <w:ilvl w:val="1"/>
          <w:numId w:val="106"/>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Arial" w:cs="Arial" w:eastAsia="Arial" w:hAnsi="Arial"/>
          <w:sz w:val="11"/>
          <w:szCs w:val="11"/>
          <w:color w:val="auto"/>
        </w:rPr>
      </w:pPr>
    </w:p>
    <w:p>
      <w:pPr>
        <w:ind w:right="300" w:firstLine="424"/>
        <w:spacing w:after="0" w:line="257" w:lineRule="auto"/>
        <w:tabs>
          <w:tab w:leader="none" w:pos="864"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1"/>
          <w:szCs w:val="11"/>
          <w:color w:val="auto"/>
        </w:rPr>
      </w:pPr>
    </w:p>
    <w:p>
      <w:pPr>
        <w:ind w:right="260" w:firstLine="856"/>
        <w:spacing w:after="0" w:line="257" w:lineRule="auto"/>
        <w:tabs>
          <w:tab w:leader="none" w:pos="129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Arial" w:cs="Arial" w:eastAsia="Arial" w:hAnsi="Arial"/>
          <w:sz w:val="11"/>
          <w:szCs w:val="11"/>
          <w:color w:val="auto"/>
        </w:rPr>
      </w:pPr>
    </w:p>
    <w:p>
      <w:pPr>
        <w:ind w:left="1280" w:hanging="424"/>
        <w:spacing w:after="0"/>
        <w:tabs>
          <w:tab w:leader="none" w:pos="128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Date: February 22, 2022</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504063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5040630" cy="57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Jeff Lawson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Chief Executive Officer (Principal Executive Officer)</w:t>
      </w:r>
    </w:p>
    <w:p>
      <w:pPr>
        <w:sectPr>
          <w:pgSz w:w="11900" w:h="16838" w:orient="portrait"/>
          <w:cols w:equalWidth="0" w:num="1">
            <w:col w:w="11300"/>
          </w:cols>
          <w:pgMar w:left="300" w:top="760" w:right="2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1"/>
          <w:szCs w:val="11"/>
          <w:b w:val="1"/>
          <w:bCs w:val="1"/>
          <w:color w:val="auto"/>
        </w:rPr>
        <w:t>Exhibit 31.2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 PURSUANT TO RULE 13a-14(a) OR 15d-14(a) OF</w:t>
      </w:r>
    </w:p>
    <w:p>
      <w:pPr>
        <w:jc w:val="center"/>
        <w:spacing w:after="0"/>
        <w:rPr>
          <w:sz w:val="20"/>
          <w:szCs w:val="20"/>
          <w:color w:val="auto"/>
        </w:rPr>
      </w:pPr>
      <w:r>
        <w:rPr>
          <w:rFonts w:ascii="Arial" w:cs="Arial" w:eastAsia="Arial" w:hAnsi="Arial"/>
          <w:sz w:val="11"/>
          <w:szCs w:val="11"/>
          <w:b w:val="1"/>
          <w:bCs w:val="1"/>
          <w:color w:val="auto"/>
        </w:rPr>
        <w:t>THE SECURITIES EXCHANGE ACT OF 1934,</w:t>
      </w:r>
    </w:p>
    <w:p>
      <w:pPr>
        <w:jc w:val="center"/>
        <w:spacing w:after="0"/>
        <w:rPr>
          <w:sz w:val="20"/>
          <w:szCs w:val="20"/>
          <w:color w:val="auto"/>
        </w:rPr>
      </w:pPr>
      <w:r>
        <w:rPr>
          <w:rFonts w:ascii="Arial" w:cs="Arial" w:eastAsia="Arial" w:hAnsi="Arial"/>
          <w:sz w:val="11"/>
          <w:szCs w:val="11"/>
          <w:b w:val="1"/>
          <w:bCs w:val="1"/>
          <w:color w:val="auto"/>
        </w:rPr>
        <w:t>AS ADOPTED PURSUANT TO SECTION 302 OF</w:t>
      </w:r>
    </w:p>
    <w:p>
      <w:pPr>
        <w:jc w:val="center"/>
        <w:spacing w:after="0"/>
        <w:rPr>
          <w:sz w:val="20"/>
          <w:szCs w:val="20"/>
          <w:color w:val="auto"/>
        </w:rPr>
      </w:pPr>
      <w:r>
        <w:rPr>
          <w:rFonts w:ascii="Arial" w:cs="Arial" w:eastAsia="Arial" w:hAnsi="Arial"/>
          <w:sz w:val="11"/>
          <w:szCs w:val="11"/>
          <w:b w:val="1"/>
          <w:bCs w:val="1"/>
          <w:color w:val="auto"/>
        </w:rPr>
        <w:t>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I, Khozema Z. Shipchandler certify that:</w:t>
      </w:r>
    </w:p>
    <w:p>
      <w:pPr>
        <w:spacing w:after="0" w:line="117" w:lineRule="exact"/>
        <w:rPr>
          <w:sz w:val="20"/>
          <w:szCs w:val="20"/>
          <w:color w:val="auto"/>
        </w:rPr>
      </w:pPr>
    </w:p>
    <w:p>
      <w:pPr>
        <w:ind w:left="860" w:hanging="436"/>
        <w:spacing w:after="0"/>
        <w:tabs>
          <w:tab w:leader="none" w:pos="86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I have reviewed this Annual Report on Form 10-K of Twilio Inc.;</w:t>
      </w:r>
    </w:p>
    <w:p>
      <w:pPr>
        <w:spacing w:after="0" w:line="125" w:lineRule="exact"/>
        <w:rPr>
          <w:rFonts w:ascii="Arial" w:cs="Arial" w:eastAsia="Arial" w:hAnsi="Arial"/>
          <w:sz w:val="11"/>
          <w:szCs w:val="11"/>
          <w:color w:val="auto"/>
        </w:rPr>
      </w:pPr>
    </w:p>
    <w:p>
      <w:pPr>
        <w:ind w:right="180" w:firstLine="424"/>
        <w:spacing w:after="0" w:line="257" w:lineRule="auto"/>
        <w:tabs>
          <w:tab w:leader="none" w:pos="864" w:val="left"/>
        </w:tabs>
        <w:numPr>
          <w:ilvl w:val="0"/>
          <w:numId w:val="107"/>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Arial" w:cs="Arial" w:eastAsia="Arial" w:hAnsi="Arial"/>
          <w:sz w:val="11"/>
          <w:szCs w:val="11"/>
          <w:color w:val="auto"/>
        </w:rPr>
      </w:pPr>
    </w:p>
    <w:p>
      <w:pPr>
        <w:ind w:right="220" w:firstLine="424"/>
        <w:spacing w:after="0" w:line="257" w:lineRule="auto"/>
        <w:tabs>
          <w:tab w:leader="none" w:pos="864" w:val="left"/>
        </w:tabs>
        <w:numPr>
          <w:ilvl w:val="0"/>
          <w:numId w:val="107"/>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1"/>
          <w:szCs w:val="11"/>
          <w:color w:val="auto"/>
        </w:rPr>
      </w:pPr>
    </w:p>
    <w:p>
      <w:pPr>
        <w:ind w:right="60" w:firstLine="424"/>
        <w:spacing w:after="0" w:line="257" w:lineRule="auto"/>
        <w:tabs>
          <w:tab w:leader="none" w:pos="864"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1"/>
          <w:szCs w:val="11"/>
          <w:color w:val="auto"/>
        </w:rPr>
      </w:pPr>
    </w:p>
    <w:p>
      <w:pPr>
        <w:ind w:right="240" w:firstLine="856"/>
        <w:spacing w:after="0" w:line="257" w:lineRule="auto"/>
        <w:tabs>
          <w:tab w:leader="none" w:pos="1290" w:val="left"/>
        </w:tabs>
        <w:numPr>
          <w:ilvl w:val="1"/>
          <w:numId w:val="107"/>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Arial" w:cs="Arial" w:eastAsia="Arial" w:hAnsi="Arial"/>
          <w:sz w:val="11"/>
          <w:szCs w:val="11"/>
          <w:color w:val="auto"/>
        </w:rPr>
      </w:pPr>
    </w:p>
    <w:p>
      <w:pPr>
        <w:ind w:right="180" w:firstLine="856"/>
        <w:spacing w:after="0" w:line="257" w:lineRule="auto"/>
        <w:tabs>
          <w:tab w:leader="none" w:pos="1296" w:val="left"/>
        </w:tabs>
        <w:numPr>
          <w:ilvl w:val="1"/>
          <w:numId w:val="10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1"/>
          <w:szCs w:val="11"/>
          <w:color w:val="auto"/>
        </w:rPr>
      </w:pPr>
    </w:p>
    <w:p>
      <w:pPr>
        <w:ind w:right="120" w:firstLine="856"/>
        <w:spacing w:after="0" w:line="257" w:lineRule="auto"/>
        <w:tabs>
          <w:tab w:leader="none" w:pos="1290" w:val="left"/>
        </w:tabs>
        <w:numPr>
          <w:ilvl w:val="1"/>
          <w:numId w:val="107"/>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1"/>
          <w:szCs w:val="11"/>
          <w:color w:val="auto"/>
        </w:rPr>
      </w:pPr>
    </w:p>
    <w:p>
      <w:pPr>
        <w:ind w:right="140" w:firstLine="856"/>
        <w:spacing w:after="0" w:line="257" w:lineRule="auto"/>
        <w:tabs>
          <w:tab w:leader="none" w:pos="1296" w:val="left"/>
        </w:tabs>
        <w:numPr>
          <w:ilvl w:val="1"/>
          <w:numId w:val="107"/>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1"/>
          <w:szCs w:val="11"/>
          <w:color w:val="auto"/>
        </w:rPr>
      </w:pPr>
    </w:p>
    <w:p>
      <w:pPr>
        <w:ind w:right="300" w:firstLine="424"/>
        <w:spacing w:after="0" w:line="257" w:lineRule="auto"/>
        <w:tabs>
          <w:tab w:leader="none" w:pos="864" w:val="left"/>
        </w:tabs>
        <w:numPr>
          <w:ilvl w:val="0"/>
          <w:numId w:val="107"/>
        </w:numPr>
        <w:rPr>
          <w:rFonts w:ascii="Arial" w:cs="Arial" w:eastAsia="Arial" w:hAnsi="Arial"/>
          <w:sz w:val="11"/>
          <w:szCs w:val="11"/>
          <w:color w:val="auto"/>
        </w:rPr>
      </w:pPr>
      <w:r>
        <w:rPr>
          <w:rFonts w:ascii="Arial" w:cs="Arial" w:eastAsia="Arial" w:hAnsi="Arial"/>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1"/>
          <w:szCs w:val="11"/>
          <w:color w:val="auto"/>
        </w:rPr>
      </w:pPr>
    </w:p>
    <w:p>
      <w:pPr>
        <w:ind w:right="260" w:firstLine="856"/>
        <w:spacing w:after="0" w:line="257" w:lineRule="auto"/>
        <w:tabs>
          <w:tab w:leader="none" w:pos="1290" w:val="left"/>
        </w:tabs>
        <w:numPr>
          <w:ilvl w:val="1"/>
          <w:numId w:val="107"/>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1"/>
          <w:szCs w:val="11"/>
          <w:color w:val="auto"/>
        </w:rPr>
      </w:pPr>
    </w:p>
    <w:p>
      <w:pPr>
        <w:ind w:left="1280" w:hanging="424"/>
        <w:spacing w:after="0"/>
        <w:tabs>
          <w:tab w:leader="none" w:pos="1280" w:val="left"/>
        </w:tabs>
        <w:numPr>
          <w:ilvl w:val="1"/>
          <w:numId w:val="107"/>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Date: February 22, 2022</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273177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2731770" cy="571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Khozema Z. Shipchandler</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Chief Operating Officer (Principal Accounting and Financial Officer)</w:t>
      </w:r>
    </w:p>
    <w:p>
      <w:pPr>
        <w:sectPr>
          <w:pgSz w:w="11900" w:h="16838" w:orient="portrait"/>
          <w:cols w:equalWidth="0" w:num="1">
            <w:col w:w="11300"/>
          </w:cols>
          <w:pgMar w:left="300" w:top="643" w:right="2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1"/>
          <w:szCs w:val="11"/>
          <w:b w:val="1"/>
          <w:bCs w:val="1"/>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 OF 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PURSUANT TO</w:t>
      </w:r>
    </w:p>
    <w:p>
      <w:pPr>
        <w:jc w:val="center"/>
        <w:spacing w:after="0"/>
        <w:rPr>
          <w:sz w:val="20"/>
          <w:szCs w:val="20"/>
          <w:color w:val="auto"/>
        </w:rPr>
      </w:pPr>
      <w:r>
        <w:rPr>
          <w:rFonts w:ascii="Arial" w:cs="Arial" w:eastAsia="Arial" w:hAnsi="Arial"/>
          <w:sz w:val="11"/>
          <w:szCs w:val="11"/>
          <w:b w:val="1"/>
          <w:bCs w:val="1"/>
          <w:color w:val="auto"/>
        </w:rPr>
        <w:t>18 U.S.C. SECTION 1350,</w:t>
      </w:r>
    </w:p>
    <w:p>
      <w:pPr>
        <w:jc w:val="center"/>
        <w:spacing w:after="0"/>
        <w:rPr>
          <w:sz w:val="20"/>
          <w:szCs w:val="20"/>
          <w:color w:val="auto"/>
        </w:rPr>
      </w:pPr>
      <w:r>
        <w:rPr>
          <w:rFonts w:ascii="Arial" w:cs="Arial" w:eastAsia="Arial" w:hAnsi="Arial"/>
          <w:sz w:val="11"/>
          <w:szCs w:val="11"/>
          <w:b w:val="1"/>
          <w:bCs w:val="1"/>
          <w:color w:val="auto"/>
        </w:rPr>
        <w:t>AS ADOPTED PURSUANT TO</w:t>
      </w:r>
    </w:p>
    <w:p>
      <w:pPr>
        <w:jc w:val="center"/>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09" w:lineRule="exact"/>
        <w:rPr>
          <w:sz w:val="20"/>
          <w:szCs w:val="20"/>
          <w:color w:val="auto"/>
        </w:rPr>
      </w:pPr>
    </w:p>
    <w:p>
      <w:pPr>
        <w:ind w:firstLine="432"/>
        <w:spacing w:after="0" w:line="307" w:lineRule="auto"/>
        <w:rPr>
          <w:sz w:val="20"/>
          <w:szCs w:val="20"/>
          <w:color w:val="auto"/>
        </w:rPr>
      </w:pPr>
      <w:r>
        <w:rPr>
          <w:rFonts w:ascii="Arial" w:cs="Arial" w:eastAsia="Arial" w:hAnsi="Arial"/>
          <w:sz w:val="10"/>
          <w:szCs w:val="10"/>
          <w:color w:val="auto"/>
        </w:rPr>
        <w:t>Pursuant to the requirement set forth in Rule 13a-14(b) of the Securities Exchange Act of 1934, as amended, (the “Exchange Act”) and Section 1350 of Chapter 63 of Title 18 of the United States Code (18 U.S.C. §1350), as adopted pursuant to §906 of the Sarbanes-Oxley Act of 2002, Jeff Lawson, Chief Executive Officer of Twilio Inc. (the “Company”), and Khozema Z. Shipchandler, Chief Operating Officer of the Company, each hereby certifies that, to the best of his knowledge:</w:t>
      </w:r>
    </w:p>
    <w:p>
      <w:pPr>
        <w:spacing w:after="0" w:line="84" w:lineRule="exact"/>
        <w:rPr>
          <w:sz w:val="20"/>
          <w:szCs w:val="20"/>
          <w:color w:val="auto"/>
        </w:rPr>
      </w:pPr>
    </w:p>
    <w:p>
      <w:pPr>
        <w:ind w:left="860" w:hanging="436"/>
        <w:spacing w:after="0"/>
        <w:tabs>
          <w:tab w:leader="none" w:pos="860" w:val="left"/>
        </w:tabs>
        <w:numPr>
          <w:ilvl w:val="0"/>
          <w:numId w:val="108"/>
        </w:numPr>
        <w:rPr>
          <w:rFonts w:ascii="Arial" w:cs="Arial" w:eastAsia="Arial" w:hAnsi="Arial"/>
          <w:sz w:val="9"/>
          <w:szCs w:val="9"/>
          <w:color w:val="auto"/>
        </w:rPr>
      </w:pPr>
      <w:r>
        <w:rPr>
          <w:rFonts w:ascii="Arial" w:cs="Arial" w:eastAsia="Arial" w:hAnsi="Arial"/>
          <w:sz w:val="9"/>
          <w:szCs w:val="9"/>
          <w:color w:val="auto"/>
        </w:rPr>
        <w:t>The Company’s Annual Report on Form 10-K for the year ended December 31, 2021, to which this Certification is attached as Exhibit 32.1 (the “Periodic Report”), fully complies with the requirements of Section 13(a) or Section 15(d) of the</w:t>
      </w:r>
    </w:p>
    <w:p>
      <w:pPr>
        <w:spacing w:after="0" w:line="30"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1"/>
          <w:szCs w:val="11"/>
          <w:color w:val="auto"/>
        </w:rPr>
        <w:t>Exchange Act; and</w:t>
      </w:r>
    </w:p>
    <w:p>
      <w:pPr>
        <w:spacing w:after="0" w:line="108" w:lineRule="exact"/>
        <w:rPr>
          <w:rFonts w:ascii="Arial" w:cs="Arial" w:eastAsia="Arial" w:hAnsi="Arial"/>
          <w:sz w:val="9"/>
          <w:szCs w:val="9"/>
          <w:color w:val="auto"/>
        </w:rPr>
      </w:pPr>
    </w:p>
    <w:p>
      <w:pPr>
        <w:ind w:left="860" w:hanging="436"/>
        <w:spacing w:after="0"/>
        <w:tabs>
          <w:tab w:leader="none" w:pos="86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Date: February 22, 2022</w:t>
      </w:r>
    </w:p>
    <w:p>
      <w:pPr>
        <w:spacing w:after="0" w:line="108" w:lineRule="exact"/>
        <w:rPr>
          <w:sz w:val="20"/>
          <w:szCs w:val="20"/>
          <w:color w:val="auto"/>
        </w:rPr>
      </w:pPr>
    </w:p>
    <w:p>
      <w:pPr>
        <w:ind w:left="2580"/>
        <w:spacing w:after="0"/>
        <w:rPr>
          <w:sz w:val="20"/>
          <w:szCs w:val="20"/>
          <w:color w:val="auto"/>
        </w:rPr>
      </w:pPr>
      <w:r>
        <w:rPr>
          <w:rFonts w:ascii="Arial" w:cs="Arial" w:eastAsia="Arial" w:hAnsi="Arial"/>
          <w:sz w:val="11"/>
          <w:szCs w:val="11"/>
          <w:color w:val="auto"/>
        </w:rPr>
        <w:t>/s/ JEFF LAWSON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8890</wp:posOffset>
            </wp:positionV>
            <wp:extent cx="273177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2731770" cy="5715"/>
                    </a:xfrm>
                    <a:prstGeom prst="rect">
                      <a:avLst/>
                    </a:prstGeom>
                    <a:noFill/>
                  </pic:spPr>
                </pic:pic>
              </a:graphicData>
            </a:graphic>
          </wp:anchor>
        </w:drawing>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1"/>
          <w:szCs w:val="11"/>
          <w:color w:val="auto"/>
        </w:rPr>
        <w:t>Jeff Lawson</w:t>
      </w:r>
    </w:p>
    <w:p>
      <w:pPr>
        <w:spacing w:after="0" w:line="45" w:lineRule="exact"/>
        <w:rPr>
          <w:sz w:val="20"/>
          <w:szCs w:val="20"/>
          <w:color w:val="auto"/>
        </w:rPr>
      </w:pPr>
    </w:p>
    <w:p>
      <w:pPr>
        <w:ind w:left="2580"/>
        <w:spacing w:after="0"/>
        <w:rPr>
          <w:sz w:val="20"/>
          <w:szCs w:val="20"/>
          <w:color w:val="auto"/>
        </w:rPr>
      </w:pPr>
      <w:r>
        <w:rPr>
          <w:rFonts w:ascii="Arial" w:cs="Arial" w:eastAsia="Arial" w:hAnsi="Arial"/>
          <w:sz w:val="11"/>
          <w:szCs w:val="11"/>
          <w:i w:val="1"/>
          <w:iCs w:val="1"/>
          <w:color w:val="auto"/>
        </w:rPr>
        <w:t>Chief Executive Officer (Principal Executive Officer)</w:t>
      </w:r>
    </w:p>
    <w:p>
      <w:pPr>
        <w:spacing w:after="0" w:line="189" w:lineRule="exact"/>
        <w:rPr>
          <w:sz w:val="20"/>
          <w:szCs w:val="20"/>
          <w:color w:val="auto"/>
        </w:rPr>
      </w:pPr>
    </w:p>
    <w:p>
      <w:pPr>
        <w:ind w:left="2580"/>
        <w:spacing w:after="0"/>
        <w:rPr>
          <w:sz w:val="20"/>
          <w:szCs w:val="20"/>
          <w:color w:val="auto"/>
        </w:rPr>
      </w:pPr>
      <w:r>
        <w:rPr>
          <w:rFonts w:ascii="Arial" w:cs="Arial" w:eastAsia="Arial" w:hAnsi="Arial"/>
          <w:sz w:val="11"/>
          <w:szCs w:val="11"/>
          <w:color w:val="auto"/>
        </w:rPr>
        <w:t>/s/ KHOZEMA Z. SHIPCHANDLER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8890</wp:posOffset>
            </wp:positionV>
            <wp:extent cx="273177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2731770" cy="5715"/>
                    </a:xfrm>
                    <a:prstGeom prst="rect">
                      <a:avLst/>
                    </a:prstGeom>
                    <a:noFill/>
                  </pic:spPr>
                </pic:pic>
              </a:graphicData>
            </a:graphic>
          </wp:anchor>
        </w:drawing>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1"/>
          <w:szCs w:val="11"/>
          <w:color w:val="auto"/>
        </w:rPr>
        <w:t>Khozema Z. Shipchandler</w:t>
      </w:r>
    </w:p>
    <w:p>
      <w:pPr>
        <w:spacing w:after="0" w:line="45" w:lineRule="exact"/>
        <w:rPr>
          <w:sz w:val="20"/>
          <w:szCs w:val="20"/>
          <w:color w:val="auto"/>
        </w:rPr>
      </w:pPr>
    </w:p>
    <w:p>
      <w:pPr>
        <w:ind w:left="2580"/>
        <w:spacing w:after="0"/>
        <w:rPr>
          <w:sz w:val="20"/>
          <w:szCs w:val="20"/>
          <w:color w:val="auto"/>
        </w:rPr>
      </w:pPr>
      <w:r>
        <w:rPr>
          <w:rFonts w:ascii="Arial" w:cs="Arial" w:eastAsia="Arial" w:hAnsi="Arial"/>
          <w:sz w:val="11"/>
          <w:szCs w:val="11"/>
          <w:i w:val="1"/>
          <w:iCs w:val="1"/>
          <w:color w:val="auto"/>
        </w:rPr>
        <w:t>Chief Operating Officer (Principal Accounting and Financial Officer)</w:t>
      </w:r>
    </w:p>
    <w:sectPr>
      <w:pgSz w:w="11900" w:h="16838" w:orient="portrait"/>
      <w:cols w:equalWidth="0" w:num="1">
        <w:col w:w="11300"/>
      </w:cols>
      <w:pgMar w:left="300" w:top="64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1)"/>
      <w:numFmt w:val="decimal"/>
      <w:start w:val="2"/>
    </w:lvl>
  </w:abstractNum>
  <w:abstractNum w:abstractNumId="39">
    <w:nsid w:val="5DC79EA8"/>
    <w:multiLevelType w:val="hybridMultilevel"/>
    <w:lvl w:ilvl="0">
      <w:lvlJc w:val="left"/>
      <w:lvlText w:val="(%1)"/>
      <w:numFmt w:val="decimal"/>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1."/>
      <w:numFmt w:val="decimal"/>
      <w:start w:val="2"/>
    </w:lvl>
    <w:lvl w:ilvl="1">
      <w:lvlJc w:val="left"/>
      <w:lvlText w:val="(%2)"/>
      <w:numFmt w:val="lowerLetter"/>
      <w:start w:val="1"/>
    </w:lvl>
  </w:abstractNum>
  <w:abstractNum w:abstractNumId="42">
    <w:nsid w:val="51D9C564"/>
    <w:multiLevelType w:val="hybridMultilevel"/>
    <w:lvl w:ilvl="0">
      <w:lvlJc w:val="left"/>
      <w:lvlText w:val="(%1)"/>
      <w:numFmt w:val="lowerLetter"/>
      <w:start w:val="2"/>
    </w:lvl>
  </w:abstractNum>
  <w:abstractNum w:abstractNumId="43">
    <w:nsid w:val="613EFDC5"/>
    <w:multiLevelType w:val="hybridMultilevel"/>
    <w:lvl w:ilvl="0">
      <w:lvlJc w:val="left"/>
      <w:lvlText w:val="(%1)"/>
      <w:numFmt w:val="lowerLetter"/>
      <w:start w:val="3"/>
    </w:lvl>
  </w:abstractNum>
  <w:abstractNum w:abstractNumId="44">
    <w:nsid w:val="BF72B14"/>
    <w:multiLevelType w:val="hybridMultilevel"/>
    <w:lvl w:ilvl="0">
      <w:lvlJc w:val="left"/>
      <w:lvlText w:val="(%1)"/>
      <w:numFmt w:val="lowerLetter"/>
      <w:start w:val="4"/>
    </w:lvl>
  </w:abstractNum>
  <w:abstractNum w:abstractNumId="45">
    <w:nsid w:val="11447B73"/>
    <w:multiLevelType w:val="hybridMultilevel"/>
    <w:lvl w:ilvl="0">
      <w:lvlJc w:val="left"/>
      <w:lvlText w:val="(%1)"/>
      <w:numFmt w:val="lowerLetter"/>
      <w:start w:val="5"/>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1)"/>
      <w:numFmt w:val="lowerLetter"/>
      <w:start w:val="6"/>
    </w:lvl>
  </w:abstractNum>
  <w:abstractNum w:abstractNumId="48">
    <w:nsid w:val="8F2B15E"/>
    <w:multiLevelType w:val="hybridMultilevel"/>
    <w:lvl w:ilvl="0">
      <w:lvlJc w:val="left"/>
      <w:lvlText w:val="(%1)"/>
      <w:numFmt w:val="lowerLetter"/>
      <w:start w:val="7"/>
    </w:lvl>
  </w:abstractNum>
  <w:abstractNum w:abstractNumId="49">
    <w:nsid w:val="1A32234B"/>
    <w:multiLevelType w:val="hybridMultilevel"/>
    <w:lvl w:ilvl="0">
      <w:lvlJc w:val="left"/>
      <w:lvlText w:val="(%1)"/>
      <w:numFmt w:val="lowerLetter"/>
      <w:start w:val="8"/>
    </w:lvl>
  </w:abstractNum>
  <w:abstractNum w:abstractNumId="50">
    <w:nsid w:val="3B0FD379"/>
    <w:multiLevelType w:val="hybridMultilevel"/>
    <w:lvl w:ilvl="0">
      <w:lvlJc w:val="left"/>
      <w:lvlText w:val="(%1)"/>
      <w:numFmt w:val="lowerRoman"/>
      <w:start w:val="1"/>
    </w:lvl>
  </w:abstractNum>
  <w:abstractNum w:abstractNumId="51">
    <w:nsid w:val="68EB2F63"/>
    <w:multiLevelType w:val="hybridMultilevel"/>
    <w:lvl w:ilvl="0">
      <w:lvlJc w:val="left"/>
      <w:lvlText w:val="(%1)"/>
      <w:numFmt w:val="lowerLetter"/>
      <w:start w:val="10"/>
    </w:lvl>
  </w:abstractNum>
  <w:abstractNum w:abstractNumId="52">
    <w:nsid w:val="4962813B"/>
    <w:multiLevelType w:val="hybridMultilevel"/>
    <w:lvl w:ilvl="0">
      <w:lvlJc w:val="left"/>
      <w:lvlText w:val="(%1)"/>
      <w:numFmt w:val="lowerLetter"/>
      <w:start w:val="11"/>
    </w:lvl>
  </w:abstractNum>
  <w:abstractNum w:abstractNumId="53">
    <w:nsid w:val="60B6DF70"/>
    <w:multiLevelType w:val="hybridMultilevel"/>
    <w:lvl w:ilvl="0">
      <w:lvlJc w:val="left"/>
      <w:lvlText w:val="(%1)"/>
      <w:numFmt w:val="lowerLetter"/>
      <w:start w:val="12"/>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1)"/>
      <w:numFmt w:val="lowerLetter"/>
      <w:start w:val="13"/>
    </w:lvl>
  </w:abstractNum>
  <w:abstractNum w:abstractNumId="56">
    <w:nsid w:val="7FFFCA11"/>
    <w:multiLevelType w:val="hybridMultilevel"/>
    <w:lvl w:ilvl="0">
      <w:lvlJc w:val="left"/>
      <w:lvlText w:val="(%1)"/>
      <w:numFmt w:val="lowerLetter"/>
      <w:start w:val="14"/>
    </w:lvl>
  </w:abstractNum>
  <w:abstractNum w:abstractNumId="57">
    <w:nsid w:val="1A27709E"/>
    <w:multiLevelType w:val="hybridMultilevel"/>
    <w:lvl w:ilvl="0">
      <w:lvlJc w:val="left"/>
      <w:lvlText w:val="(%1)"/>
      <w:numFmt w:val="lowerLetter"/>
      <w:start w:val="15"/>
    </w:lvl>
  </w:abstractNum>
  <w:abstractNum w:abstractNumId="58">
    <w:nsid w:val="71EA1109"/>
    <w:multiLevelType w:val="hybridMultilevel"/>
    <w:lvl w:ilvl="0">
      <w:lvlJc w:val="left"/>
      <w:lvlText w:val="(%1)"/>
      <w:numFmt w:val="lowerLetter"/>
      <w:start w:val="16"/>
    </w:lvl>
  </w:abstractNum>
  <w:abstractNum w:abstractNumId="59">
    <w:nsid w:val="100F59DC"/>
    <w:multiLevelType w:val="hybridMultilevel"/>
    <w:lvl w:ilvl="0">
      <w:lvlJc w:val="left"/>
      <w:lvlText w:val="(%1)"/>
      <w:numFmt w:val="lowerLetter"/>
      <w:start w:val="17"/>
    </w:lvl>
  </w:abstractNum>
  <w:abstractNum w:abstractNumId="60">
    <w:nsid w:val="7FB7E0AA"/>
    <w:multiLevelType w:val="hybridMultilevel"/>
    <w:lvl w:ilvl="0">
      <w:lvlJc w:val="left"/>
      <w:lvlText w:val="(%1)"/>
      <w:numFmt w:val="lowerLetter"/>
      <w:start w:val="18"/>
    </w:lvl>
  </w:abstractNum>
  <w:abstractNum w:abstractNumId="61">
    <w:nsid w:val="6EB5BD4"/>
    <w:multiLevelType w:val="hybridMultilevel"/>
    <w:lvl w:ilvl="0">
      <w:lvlJc w:val="left"/>
      <w:lvlText w:val="(%1)"/>
      <w:numFmt w:val="lowerLetter"/>
      <w:start w:val="19"/>
    </w:lvl>
  </w:abstractNum>
  <w:abstractNum w:abstractNumId="62">
    <w:nsid w:val="6F6DD9AC"/>
    <w:multiLevelType w:val="hybridMultilevel"/>
    <w:lvl w:ilvl="0">
      <w:lvlJc w:val="left"/>
      <w:lvlText w:val="(%1)"/>
      <w:numFmt w:val="lowerLetter"/>
      <w:start w:val="20"/>
    </w:lvl>
  </w:abstractNum>
  <w:abstractNum w:abstractNumId="63">
    <w:nsid w:val="94211F2"/>
    <w:multiLevelType w:val="hybridMultilevel"/>
    <w:lvl w:ilvl="0">
      <w:lvlJc w:val="left"/>
      <w:lvlText w:val="(%1)"/>
      <w:numFmt w:val="lowerLetter"/>
      <w:start w:val="21"/>
    </w:lvl>
  </w:abstractNum>
  <w:abstractNum w:abstractNumId="64">
    <w:nsid w:val="885E1B"/>
    <w:multiLevelType w:val="hybridMultilevel"/>
    <w:lvl w:ilvl="0">
      <w:lvlJc w:val="left"/>
      <w:lvlText w:val="(%1)"/>
      <w:numFmt w:val="lowerRoman"/>
      <w:start w:val="5"/>
    </w:lvl>
  </w:abstractNum>
  <w:abstractNum w:abstractNumId="65">
    <w:nsid w:val="76272110"/>
    <w:multiLevelType w:val="hybridMultilevel"/>
    <w:lvl w:ilvl="0">
      <w:lvlJc w:val="left"/>
      <w:lvlText w:val="(%1)"/>
      <w:numFmt w:val="lowerLetter"/>
      <w:start w:val="23"/>
    </w:lvl>
  </w:abstractNum>
  <w:abstractNum w:abstractNumId="66">
    <w:nsid w:val="4C04A8AF"/>
    <w:multiLevelType w:val="hybridMultilevel"/>
    <w:lvl w:ilvl="0">
      <w:lvlJc w:val="left"/>
      <w:lvlText w:val="(%1)"/>
      <w:numFmt w:val="lowerRoman"/>
      <w:start w:val="10"/>
    </w:lvl>
  </w:abstractNum>
  <w:abstractNum w:abstractNumId="67">
    <w:nsid w:val="1716703B"/>
    <w:multiLevelType w:val="hybridMultilevel"/>
    <w:lvl w:ilvl="0">
      <w:lvlJc w:val="left"/>
      <w:lvlText w:val="(%1)"/>
      <w:numFmt w:val="lowerLetter"/>
      <w:start w:val="25"/>
    </w:lvl>
  </w:abstractNum>
  <w:abstractNum w:abstractNumId="68">
    <w:nsid w:val="14E17E33"/>
    <w:multiLevelType w:val="hybridMultilevel"/>
    <w:lvl w:ilvl="0">
      <w:lvlJc w:val="left"/>
      <w:lvlText w:val="(%1)"/>
      <w:numFmt w:val="lowerLetter"/>
      <w:start w:val="26"/>
    </w:lvl>
  </w:abstractNum>
  <w:abstractNum w:abstractNumId="69">
    <w:nsid w:val="3222E7CD"/>
    <w:multiLevelType w:val="hybridMultilevel"/>
    <w:lvl w:ilvl="0">
      <w:lvlJc w:val="left"/>
      <w:lvlText w:val="(%1)"/>
      <w:numFmt w:val="lowerLetter"/>
      <w:start w:val="27"/>
    </w:lvl>
  </w:abstractNum>
  <w:abstractNum w:abstractNumId="70">
    <w:nsid w:val="74DE0EE3"/>
    <w:multiLevelType w:val="hybridMultilevel"/>
    <w:lvl w:ilvl="0">
      <w:lvlJc w:val="left"/>
      <w:lvlText w:val="•"/>
      <w:numFmt w:val="bullet"/>
      <w:start w:val="1"/>
    </w:lvl>
  </w:abstractNum>
  <w:abstractNum w:abstractNumId="71">
    <w:nsid w:val="68EBC550"/>
    <w:multiLevelType w:val="hybridMultilevel"/>
    <w:lvl w:ilvl="0">
      <w:lvlJc w:val="left"/>
      <w:lvlText w:val="%1."/>
      <w:numFmt w:val="decimal"/>
      <w:start w:val="3"/>
    </w:lvl>
  </w:abstractNum>
  <w:abstractNum w:abstractNumId="72">
    <w:nsid w:val="2DF6D648"/>
    <w:multiLevelType w:val="hybridMultilevel"/>
    <w:lvl w:ilvl="0">
      <w:lvlJc w:val="left"/>
      <w:lvlText w:val="•"/>
      <w:numFmt w:val="bullet"/>
      <w:start w:val="1"/>
    </w:lvl>
  </w:abstractNum>
  <w:abstractNum w:abstractNumId="73">
    <w:nsid w:val="46B7D447"/>
    <w:multiLevelType w:val="hybridMultilevel"/>
    <w:lvl w:ilvl="0">
      <w:lvlJc w:val="left"/>
      <w:lvlText w:val="(%1)"/>
      <w:numFmt w:val="decimal"/>
      <w:start w:val="1"/>
    </w:lvl>
  </w:abstractNum>
  <w:abstractNum w:abstractNumId="74">
    <w:nsid w:val="4A2AC315"/>
    <w:multiLevelType w:val="hybridMultilevel"/>
    <w:lvl w:ilvl="0">
      <w:lvlJc w:val="left"/>
      <w:lvlText w:val="(%1)"/>
      <w:numFmt w:val="decimal"/>
      <w:start w:val="1"/>
    </w:lvl>
  </w:abstractNum>
  <w:abstractNum w:abstractNumId="75">
    <w:nsid w:val="39EE015C"/>
    <w:multiLevelType w:val="hybridMultilevel"/>
    <w:lvl w:ilvl="0">
      <w:lvlJc w:val="left"/>
      <w:lvlText w:val="(%1)"/>
      <w:numFmt w:val="decimal"/>
      <w:start w:val="1"/>
    </w:lvl>
  </w:abstractNum>
  <w:abstractNum w:abstractNumId="76">
    <w:nsid w:val="57FC4FBB"/>
    <w:multiLevelType w:val="hybridMultilevel"/>
    <w:lvl w:ilvl="0">
      <w:lvlJc w:val="left"/>
      <w:lvlText w:val="(%1)"/>
      <w:numFmt w:val="lowerLetter"/>
      <w:start w:val="1"/>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
      <w:numFmt w:val="bullet"/>
      <w:start w:val="1"/>
    </w:lvl>
  </w:abstractNum>
  <w:abstractNum w:abstractNumId="79">
    <w:nsid w:val="60EF0119"/>
    <w:multiLevelType w:val="hybridMultilevel"/>
    <w:lvl w:ilvl="0">
      <w:lvlJc w:val="left"/>
      <w:lvlText w:val="(%1)"/>
      <w:numFmt w:val="lowerLetter"/>
      <w:start w:val="2"/>
    </w:lvl>
  </w:abstractNum>
  <w:abstractNum w:abstractNumId="80">
    <w:nsid w:val="26F324BA"/>
    <w:multiLevelType w:val="hybridMultilevel"/>
    <w:lvl w:ilvl="0">
      <w:lvlJc w:val="left"/>
      <w:lvlText w:val="(%1)"/>
      <w:numFmt w:val="lowerLetter"/>
      <w:start w:val="3"/>
    </w:lvl>
  </w:abstractNum>
  <w:abstractNum w:abstractNumId="81">
    <w:nsid w:val="7F01579B"/>
    <w:multiLevelType w:val="hybridMultilevel"/>
    <w:lvl w:ilvl="0">
      <w:lvlJc w:val="left"/>
      <w:lvlText w:val="(%1)"/>
      <w:numFmt w:val="lowerLetter"/>
      <w:start w:val="4"/>
    </w:lvl>
  </w:abstractNum>
  <w:abstractNum w:abstractNumId="82">
    <w:nsid w:val="49DA307D"/>
    <w:multiLevelType w:val="hybridMultilevel"/>
    <w:lvl w:ilvl="0">
      <w:lvlJc w:val="left"/>
      <w:lvlText w:val="%1."/>
      <w:numFmt w:val="decimal"/>
      <w:start w:val="14"/>
    </w:lvl>
  </w:abstractNum>
  <w:abstractNum w:abstractNumId="83">
    <w:nsid w:val="7055A5F5"/>
    <w:multiLevelType w:val="hybridMultilevel"/>
    <w:lvl w:ilvl="0">
      <w:lvlJc w:val="left"/>
      <w:lvlText w:val="%1"/>
      <w:numFmt w:val="decimal"/>
      <w:start w:val="1"/>
    </w:lvl>
    <w:lvl w:ilvl="1">
      <w:lvlJc w:val="left"/>
      <w:lvlText w:val="(%2)"/>
      <w:numFmt w:val="decimal"/>
      <w:start w:val="1"/>
    </w:lvl>
  </w:abstractNum>
  <w:abstractNum w:abstractNumId="84">
    <w:nsid w:val="5FB8370B"/>
    <w:multiLevelType w:val="hybridMultilevel"/>
    <w:lvl w:ilvl="0">
      <w:lvlJc w:val="left"/>
      <w:lvlText w:val="%1."/>
      <w:numFmt w:val="decimal"/>
      <w:start w:val="17"/>
    </w:lvl>
    <w:lvl w:ilvl="1">
      <w:lvlJc w:val="left"/>
      <w:lvlText w:val="%2"/>
      <w:numFmt w:val="decimal"/>
      <w:start w:val="1"/>
    </w:lvl>
  </w:abstractNum>
  <w:abstractNum w:abstractNumId="85">
    <w:nsid w:val="50801EE1"/>
    <w:multiLevelType w:val="hybridMultilevel"/>
    <w:lvl w:ilvl="0">
      <w:lvlJc w:val="left"/>
      <w:lvlText w:val="(%1)"/>
      <w:numFmt w:val="lowerLetter"/>
      <w:start w:val="1"/>
    </w:lvl>
  </w:abstractNum>
  <w:abstractNum w:abstractNumId="86">
    <w:nsid w:val="488AC1A"/>
    <w:multiLevelType w:val="hybridMultilevel"/>
    <w:lvl w:ilvl="0">
      <w:lvlJc w:val="left"/>
      <w:lvlText w:val="(%1)"/>
      <w:numFmt w:val="lowerLetter"/>
      <w:start w:val="2"/>
    </w:lvl>
  </w:abstractNum>
  <w:abstractNum w:abstractNumId="87">
    <w:nsid w:val="5FB8011C"/>
    <w:multiLevelType w:val="hybridMultilevel"/>
    <w:lvl w:ilvl="0">
      <w:lvlJc w:val="left"/>
      <w:lvlText w:val="(%1)"/>
      <w:numFmt w:val="lowerLetter"/>
      <w:start w:val="4"/>
    </w:lvl>
  </w:abstractNum>
  <w:abstractNum w:abstractNumId="88">
    <w:nsid w:val="6AA78F7F"/>
    <w:multiLevelType w:val="hybridMultilevel"/>
    <w:lvl w:ilvl="0">
      <w:lvlJc w:val="left"/>
      <w:lvlText w:val="(%1)"/>
      <w:numFmt w:val="lowerLetter"/>
      <w:start w:val="1"/>
    </w:lvl>
  </w:abstractNum>
  <w:abstractNum w:abstractNumId="89">
    <w:nsid w:val="7672BD23"/>
    <w:multiLevelType w:val="hybridMultilevel"/>
    <w:lvl w:ilvl="0">
      <w:lvlJc w:val="left"/>
      <w:lvlText w:val="%1"/>
      <w:numFmt w:val="decimal"/>
      <w:start w:val="104"/>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1."/>
      <w:numFmt w:val="decimal"/>
      <w:start w:val="1"/>
    </w:lvl>
    <w:lvl w:ilvl="1">
      <w:lvlJc w:val="left"/>
      <w:lvlText w:val="%2."/>
      <w:numFmt w:val="lowerLetter"/>
      <w:start w:val="1"/>
    </w:lvl>
  </w:abstractNum>
  <w:abstractNum w:abstractNumId="94">
    <w:nsid w:val="73A1821B"/>
    <w:multiLevelType w:val="hybridMultilevel"/>
    <w:lvl w:ilvl="0">
      <w:lvlJc w:val="left"/>
      <w:lvlText w:val="%1"/>
      <w:numFmt w:val="decimal"/>
      <w:start w:val="1"/>
    </w:lvl>
    <w:lvl w:ilvl="1">
      <w:lvlJc w:val="left"/>
      <w:lvlText w:val="%2."/>
      <w:numFmt w:val="lowerLetter"/>
      <w:start w:val="1"/>
    </w:lvl>
  </w:abstractNum>
  <w:abstractNum w:abstractNumId="95">
    <w:nsid w:val="7DE67713"/>
    <w:multiLevelType w:val="hybridMultilevel"/>
    <w:lvl w:ilvl="0">
      <w:lvlJc w:val="left"/>
      <w:lvlText w:val="%1."/>
      <w:numFmt w:val="decimal"/>
      <w:start w:val="4"/>
    </w:lvl>
    <w:lvl w:ilvl="1">
      <w:lvlJc w:val="left"/>
      <w:lvlText w:val="%2."/>
      <w:numFmt w:val="lowerLetter"/>
      <w:start w:val="1"/>
    </w:lvl>
  </w:abstractNum>
  <w:abstractNum w:abstractNumId="96">
    <w:nsid w:val="555C55B5"/>
    <w:multiLevelType w:val="hybridMultilevel"/>
    <w:lvl w:ilvl="0">
      <w:lvlJc w:val="left"/>
      <w:lvlText w:val="%1."/>
      <w:numFmt w:val="decimal"/>
      <w:start w:val="6"/>
    </w:lvl>
  </w:abstractNum>
  <w:abstractNum w:abstractNumId="97">
    <w:nsid w:val="3FA62ACA"/>
    <w:multiLevelType w:val="hybridMultilevel"/>
    <w:lvl w:ilvl="0">
      <w:lvlJc w:val="left"/>
      <w:lvlText w:val="%1."/>
      <w:numFmt w:val="decimal"/>
      <w:start w:val="1"/>
    </w:lvl>
    <w:lvl w:ilvl="1">
      <w:lvlJc w:val="left"/>
      <w:lvlText w:val="%2."/>
      <w:numFmt w:val="lowerLetter"/>
      <w:start w:val="1"/>
    </w:lvl>
  </w:abstractNum>
  <w:abstractNum w:abstractNumId="98">
    <w:nsid w:val="14FCE74E"/>
    <w:multiLevelType w:val="hybridMultilevel"/>
    <w:lvl w:ilvl="0">
      <w:lvlJc w:val="left"/>
      <w:lvlText w:val="%1."/>
      <w:numFmt w:val="decimal"/>
      <w:start w:val="6"/>
    </w:lvl>
    <w:lvl w:ilvl="1">
      <w:lvlJc w:val="left"/>
      <w:lvlText w:val="%2."/>
      <w:numFmt w:val="lowerLetter"/>
      <w:start w:val="1"/>
    </w:lvl>
  </w:abstractNum>
  <w:abstractNum w:abstractNumId="99">
    <w:nsid w:val="6A3DD3E8"/>
    <w:multiLevelType w:val="hybridMultilevel"/>
    <w:lvl w:ilvl="0">
      <w:lvlJc w:val="left"/>
      <w:lvlText w:val="%1."/>
      <w:numFmt w:val="lowerLetter"/>
      <w:start w:val="3"/>
    </w:lvl>
  </w:abstractNum>
  <w:abstractNum w:abstractNumId="100">
    <w:nsid w:val="71C91298"/>
    <w:multiLevelType w:val="hybridMultilevel"/>
    <w:lvl w:ilvl="0">
      <w:lvlJc w:val="left"/>
      <w:lvlText w:val="(%1)"/>
      <w:numFmt w:val="lowerRoman"/>
      <w:start w:val="1"/>
    </w:lvl>
  </w:abstractNum>
  <w:abstractNum w:abstractNumId="101">
    <w:nsid w:val="9DAF632"/>
    <w:multiLevelType w:val="hybridMultilevel"/>
    <w:lvl w:ilvl="0">
      <w:lvlJc w:val="left"/>
      <w:lvlText w:val="%1."/>
      <w:numFmt w:val="decimal"/>
      <w:start w:val="1"/>
    </w:lvl>
  </w:abstractNum>
  <w:abstractNum w:abstractNumId="102">
    <w:nsid w:val="53299938"/>
    <w:multiLevelType w:val="hybridMultilevel"/>
    <w:lvl w:ilvl="0">
      <w:lvlJc w:val="left"/>
      <w:lvlText w:val="%1."/>
      <w:numFmt w:val="decimal"/>
      <w:start w:val="5"/>
    </w:lvl>
  </w:abstractNum>
  <w:abstractNum w:abstractNumId="103">
    <w:nsid w:val="1FBFE8E0"/>
    <w:multiLevelType w:val="hybridMultilevel"/>
    <w:lvl w:ilvl="0">
      <w:lvlJc w:val="left"/>
      <w:lvlText w:val="%1."/>
      <w:numFmt w:val="decimal"/>
      <w:start w:val="6"/>
    </w:lvl>
    <w:lvl w:ilvl="1">
      <w:lvlJc w:val="left"/>
      <w:lvlText w:val="%2."/>
      <w:numFmt w:val="lowerLetter"/>
      <w:start w:val="1"/>
    </w:lvl>
  </w:abstractNum>
  <w:abstractNum w:abstractNumId="104">
    <w:nsid w:val="5092CA79"/>
    <w:multiLevelType w:val="hybridMultilevel"/>
    <w:lvl w:ilvl="0">
      <w:lvlJc w:val="left"/>
      <w:lvlText w:val="%1."/>
      <w:numFmt w:val="lowerLetter"/>
      <w:start w:val="3"/>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jpeg"/><Relationship Id="rId176" Type="http://schemas.openxmlformats.org/officeDocument/2006/relationships/image" Target="media/image140.jpeg"/><Relationship Id="rId177" Type="http://schemas.openxmlformats.org/officeDocument/2006/relationships/image" Target="media/image141.jpeg"/><Relationship Id="rId178" Type="http://schemas.openxmlformats.org/officeDocument/2006/relationships/image" Target="media/image142.jpeg"/><Relationship Id="rId179" Type="http://schemas.openxmlformats.org/officeDocument/2006/relationships/image" Target="media/image143.jpeg"/><Relationship Id="rId180" Type="http://schemas.openxmlformats.org/officeDocument/2006/relationships/image" Target="media/image144.jpeg"/><Relationship Id="rId181" Type="http://schemas.openxmlformats.org/officeDocument/2006/relationships/image" Target="media/image145.jpeg"/><Relationship Id="rId182" Type="http://schemas.openxmlformats.org/officeDocument/2006/relationships/image" Target="media/image146.jpeg"/><Relationship Id="rId183" Type="http://schemas.openxmlformats.org/officeDocument/2006/relationships/image" Target="media/image147.jpeg"/><Relationship Id="rId184" Type="http://schemas.openxmlformats.org/officeDocument/2006/relationships/image" Target="media/image148.jpeg"/><Relationship Id="rId185" Type="http://schemas.openxmlformats.org/officeDocument/2006/relationships/image" Target="media/image149.jpeg"/><Relationship Id="rId186" Type="http://schemas.openxmlformats.org/officeDocument/2006/relationships/image" Target="media/image150.jpe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43" Type="http://schemas.openxmlformats.org/officeDocument/2006/relationships/hyperlink" Target="https://www.sec.gov/Archives/edgar/data/0001447669/000144766921000200/agreementandplanofmergeran.htm" TargetMode="External"/><Relationship Id="rId144" Type="http://schemas.openxmlformats.org/officeDocument/2006/relationships/hyperlink" Target="https://www.sec.gov/Archives/edgar/data/1447669/000119312520287018/d36346dex21.htm" TargetMode="External"/><Relationship Id="rId145" Type="http://schemas.openxmlformats.org/officeDocument/2006/relationships/hyperlink" Target="https://www.sec.gov/Archives/edgar/data/0001447669/000119312521249124/d208582dex21.htm" TargetMode="External"/><Relationship Id="rId146" Type="http://schemas.openxmlformats.org/officeDocument/2006/relationships/hyperlink" Target="http://www.sec.gov/Archives/edgar/data/1447669/000104746916013776/a2228886zex-3_1.htm" TargetMode="External"/><Relationship Id="rId147" Type="http://schemas.openxmlformats.org/officeDocument/2006/relationships/hyperlink" Target="https://www.sec.gov/Archives/edgar/data/1447669/000144766920000156/twlo-2020x0630xex31.htm" TargetMode="External"/><Relationship Id="rId148" Type="http://schemas.openxmlformats.org/officeDocument/2006/relationships/hyperlink" Target="http://www.sec.gov/Archives/edgar/data/1447669/000104746916013448/a2227414zex-4_1.htm" TargetMode="External"/><Relationship Id="rId149" Type="http://schemas.openxmlformats.org/officeDocument/2006/relationships/hyperlink" Target="http://www.sec.gov/Archives/edgar/data/1447669/000104746916013448/a2227414zex-4_2.htm" TargetMode="External"/><Relationship Id="rId150" Type="http://schemas.openxmlformats.org/officeDocument/2006/relationships/hyperlink" Target="http://www.sec.gov/Archives/edgar/data/1447669/000110465918034160/a18-13742_1ex4d1.htm" TargetMode="External"/><Relationship Id="rId151" Type="http://schemas.openxmlformats.org/officeDocument/2006/relationships/hyperlink" Target="https://www.sec.gov/Archives/edgar/data/0001447669/000119312521075036/d78974dex41.htm" TargetMode="External"/><Relationship Id="rId153" Type="http://schemas.openxmlformats.org/officeDocument/2006/relationships/hyperlink" Target="https://www.sec.gov/Archives/edgar/data/0001447669/000119312521075036/d78974dex42.htm" TargetMode="External"/><Relationship Id="rId154" Type="http://schemas.openxmlformats.org/officeDocument/2006/relationships/hyperlink" Target="https://www.sec.gov/Archives/edgar/data/0001447669/000144766921000070/twlo-2020x1231ex45descript.htm" TargetMode="External"/><Relationship Id="rId155" Type="http://schemas.openxmlformats.org/officeDocument/2006/relationships/hyperlink" Target="https://www.sec.gov/Archives/edgar/data/0001447669/000144766921000070/twlo-20201231ex101formofin.htm" TargetMode="External"/><Relationship Id="rId156" Type="http://schemas.openxmlformats.org/officeDocument/2006/relationships/hyperlink" Target="https://www.sec.gov/Archives/edgar/data/0001447669/000144766921000070/twlo-20201231ex102twilio20.htm" TargetMode="External"/><Relationship Id="rId157" Type="http://schemas.openxmlformats.org/officeDocument/2006/relationships/hyperlink" Target="https://www.sec.gov/Archives/edgar/data/0001447669/000144766921000070/twlo-2020x1231ex1032016sto.htm" TargetMode="External"/><Relationship Id="rId158" Type="http://schemas.openxmlformats.org/officeDocument/2006/relationships/hyperlink" Target="http://www.sec.gov/Archives/edgar/data/1447669/000144766919000028/twlo-2019x0930ex102.htm" TargetMode="External"/><Relationship Id="rId159" Type="http://schemas.openxmlformats.org/officeDocument/2006/relationships/hyperlink" Target="https://www.sec.gov/Archives/edgar/data/0001447669/000144766921000070/twlo-2020x1231ex105segment.htm" TargetMode="External"/><Relationship Id="rId160" Type="http://schemas.openxmlformats.org/officeDocument/2006/relationships/hyperlink" Target="https://www.sec.gov/Archives/edgar/data/0001447669/000144766921000070/twlo20201231ex106-sendgrid.htm" TargetMode="External"/><Relationship Id="rId161" Type="http://schemas.openxmlformats.org/officeDocument/2006/relationships/hyperlink" Target="https://www.sec.gov/Archives/edgar/data/0001447669/000144766921000070/twlo20201231ex107-twilioxs.htm" TargetMode="External"/><Relationship Id="rId162" Type="http://schemas.openxmlformats.org/officeDocument/2006/relationships/hyperlink" Target="http://www.sec.gov/Archives/edgar/data/1447669/000144766919000028/twlo-20190930ex101.htm" TargetMode="External"/><Relationship Id="rId163" Type="http://schemas.openxmlformats.org/officeDocument/2006/relationships/hyperlink" Target="https://www.sec.gov/Archives/edgar/data/0001447669/000119312521233339/d264424dex991.htm" TargetMode="External"/><Relationship Id="rId164" Type="http://schemas.openxmlformats.org/officeDocument/2006/relationships/hyperlink" Target="https://www.sec.gov/Archives/edgar/data/0001447669/000119312521233339/d264424dex992.htm" TargetMode="External"/><Relationship Id="rId165" Type="http://schemas.openxmlformats.org/officeDocument/2006/relationships/hyperlink" Target="http://www.sec.gov/Archives/edgar/data/1447669/000104746916013448/a2227414zex-10_6.htm" TargetMode="External"/><Relationship Id="rId166" Type="http://schemas.openxmlformats.org/officeDocument/2006/relationships/hyperlink" Target="http://www.sec.gov/Archives/edgar/data/1447669/000110465918067032/a18-18985_1ex10d1.htm" TargetMode="External"/><Relationship Id="rId167" Type="http://schemas.openxmlformats.org/officeDocument/2006/relationships/hyperlink" Target="http://www.sec.gov/Archives/edgar/data/1447669/000110465918067032/a18-18985_1ex10d2.htm" TargetMode="External"/><Relationship Id="rId168" Type="http://schemas.openxmlformats.org/officeDocument/2006/relationships/hyperlink" Target="http://www.sec.gov/Archives/edgar/data/1447669/000110465918063752/a18-37122_1ex10d1.htm" TargetMode="External"/><Relationship Id="rId169" Type="http://schemas.openxmlformats.org/officeDocument/2006/relationships/hyperlink" Target="http://www.sec.gov/Archives/edgar/data/1447669/000110465918031875/a18-8608_1ex10d1.htm" TargetMode="External"/><Relationship Id="rId170" Type="http://schemas.openxmlformats.org/officeDocument/2006/relationships/hyperlink" Target="http://www.sec.gov/Archives/edgar/data/1447669/000110465918031875/a18-8608_1ex10d2.htm" TargetMode="External"/><Relationship Id="rId171" Type="http://schemas.openxmlformats.org/officeDocument/2006/relationships/hyperlink" Target="http://www.sec.gov/Archives/edgar/data/1447669/000110465918034160/a18-13742_1ex10d1.htm" TargetMode="External"/><Relationship Id="rId172" Type="http://schemas.openxmlformats.org/officeDocument/2006/relationships/hyperlink" Target="https://www.sec.gov/Archives/edgar/data/0001447669/000144766921000126/twlo-20210331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2022-02-22T15:29:18Z</dcterms:created>
  <dcterms:modified xsi:type="dcterms:W3CDTF">2022-02-22T15:29:18Z</dcterms:modified>
</cp:coreProperties>
</file>