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8"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8-K/A</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4, 2022</w:t>
      </w:r>
    </w:p>
    <w:p>
      <w:pPr>
        <w:spacing w:after="0" w:line="144"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Twilio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8"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________________________________________</w:t>
      </w:r>
    </w:p>
    <w:p>
      <w:pPr>
        <w:spacing w:after="0" w:line="126"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42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Delaware</w:t>
            </w:r>
          </w:p>
        </w:tc>
        <w:tc>
          <w:tcPr>
            <w:tcW w:w="49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001-37806</w:t>
            </w:r>
          </w:p>
        </w:tc>
        <w:tc>
          <w:tcPr>
            <w:tcW w:w="1980" w:type="dxa"/>
            <w:vAlign w:val="bottom"/>
          </w:tcPr>
          <w:p>
            <w:pPr>
              <w:jc w:val="center"/>
              <w:ind w:left="550"/>
              <w:spacing w:after="0"/>
              <w:rPr>
                <w:sz w:val="20"/>
                <w:szCs w:val="20"/>
                <w:color w:val="auto"/>
              </w:rPr>
            </w:pPr>
            <w:r>
              <w:rPr>
                <w:rFonts w:ascii="Arial" w:cs="Arial" w:eastAsia="Arial" w:hAnsi="Arial"/>
                <w:sz w:val="18"/>
                <w:szCs w:val="18"/>
                <w:b w:val="1"/>
                <w:bCs w:val="1"/>
                <w:color w:val="auto"/>
                <w:w w:val="89"/>
              </w:rPr>
              <w:t>26-2574840</w:t>
            </w:r>
          </w:p>
        </w:tc>
      </w:tr>
      <w:tr>
        <w:trPr>
          <w:trHeight w:val="176"/>
        </w:trPr>
        <w:tc>
          <w:tcPr>
            <w:tcW w:w="2420" w:type="dxa"/>
            <w:vAlign w:val="bottom"/>
          </w:tcPr>
          <w:p>
            <w:pPr>
              <w:jc w:val="center"/>
              <w:ind w:right="430"/>
              <w:spacing w:after="0" w:line="176" w:lineRule="exact"/>
              <w:rPr>
                <w:sz w:val="20"/>
                <w:szCs w:val="20"/>
                <w:color w:val="auto"/>
              </w:rPr>
            </w:pPr>
            <w:r>
              <w:rPr>
                <w:rFonts w:ascii="Arial" w:cs="Arial" w:eastAsia="Arial" w:hAnsi="Arial"/>
                <w:sz w:val="18"/>
                <w:szCs w:val="18"/>
                <w:color w:val="auto"/>
                <w:w w:val="92"/>
              </w:rPr>
              <w:t>(State or other jurisdiction</w:t>
            </w:r>
          </w:p>
        </w:tc>
        <w:tc>
          <w:tcPr>
            <w:tcW w:w="49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3"/>
              </w:rPr>
              <w:t>(Commission</w:t>
            </w:r>
          </w:p>
        </w:tc>
        <w:tc>
          <w:tcPr>
            <w:tcW w:w="1980" w:type="dxa"/>
            <w:vAlign w:val="bottom"/>
          </w:tcPr>
          <w:p>
            <w:pPr>
              <w:jc w:val="center"/>
              <w:ind w:left="55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2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980" w:type="dxa"/>
            <w:vAlign w:val="bottom"/>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291"/>
        </w:trPr>
        <w:tc>
          <w:tcPr>
            <w:tcW w:w="2420" w:type="dxa"/>
            <w:vAlign w:val="bottom"/>
          </w:tcPr>
          <w:p>
            <w:pPr>
              <w:spacing w:after="0"/>
              <w:rPr>
                <w:sz w:val="24"/>
                <w:szCs w:val="24"/>
                <w:color w:val="auto"/>
              </w:rPr>
            </w:pPr>
          </w:p>
        </w:tc>
        <w:tc>
          <w:tcPr>
            <w:tcW w:w="4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101 Spear Street, First Floor</w:t>
            </w:r>
          </w:p>
        </w:tc>
        <w:tc>
          <w:tcPr>
            <w:tcW w:w="1980" w:type="dxa"/>
            <w:vAlign w:val="bottom"/>
          </w:tcPr>
          <w:p>
            <w:pPr>
              <w:spacing w:after="0"/>
              <w:rPr>
                <w:sz w:val="24"/>
                <w:szCs w:val="24"/>
                <w:color w:val="auto"/>
              </w:rPr>
            </w:pPr>
          </w:p>
        </w:tc>
      </w:tr>
      <w:tr>
        <w:trPr>
          <w:trHeight w:val="220"/>
        </w:trPr>
        <w:tc>
          <w:tcPr>
            <w:tcW w:w="2420" w:type="dxa"/>
            <w:vAlign w:val="bottom"/>
          </w:tcPr>
          <w:p>
            <w:pPr>
              <w:spacing w:after="0"/>
              <w:rPr>
                <w:sz w:val="19"/>
                <w:szCs w:val="19"/>
                <w:color w:val="auto"/>
              </w:rPr>
            </w:pPr>
          </w:p>
        </w:tc>
        <w:tc>
          <w:tcPr>
            <w:tcW w:w="49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San Francisco, California 94105</w:t>
            </w:r>
          </w:p>
        </w:tc>
        <w:tc>
          <w:tcPr>
            <w:tcW w:w="198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p>
        </w:tc>
        <w:tc>
          <w:tcPr>
            <w:tcW w:w="4960" w:type="dxa"/>
            <w:vAlign w:val="bottom"/>
          </w:tcPr>
          <w:p>
            <w:pPr>
              <w:jc w:val="center"/>
              <w:ind w:right="10"/>
              <w:spacing w:after="0"/>
              <w:rPr>
                <w:sz w:val="20"/>
                <w:szCs w:val="20"/>
                <w:color w:val="auto"/>
              </w:rPr>
            </w:pPr>
            <w:r>
              <w:rPr>
                <w:rFonts w:ascii="Arial" w:cs="Arial" w:eastAsia="Arial" w:hAnsi="Arial"/>
                <w:sz w:val="18"/>
                <w:szCs w:val="18"/>
                <w:color w:val="auto"/>
                <w:w w:val="92"/>
              </w:rPr>
              <w:t>(Address of principal executive offices) (Zip Code)</w:t>
            </w:r>
          </w:p>
        </w:tc>
        <w:tc>
          <w:tcPr>
            <w:tcW w:w="1980" w:type="dxa"/>
            <w:vAlign w:val="bottom"/>
          </w:tcPr>
          <w:p>
            <w:pPr>
              <w:spacing w:after="0"/>
              <w:rPr>
                <w:sz w:val="20"/>
                <w:szCs w:val="20"/>
                <w:color w:val="auto"/>
              </w:rPr>
            </w:pPr>
          </w:p>
        </w:tc>
      </w:tr>
      <w:tr>
        <w:trPr>
          <w:trHeight w:val="445"/>
        </w:trPr>
        <w:tc>
          <w:tcPr>
            <w:tcW w:w="2420" w:type="dxa"/>
            <w:vAlign w:val="bottom"/>
          </w:tcPr>
          <w:p>
            <w:pPr>
              <w:spacing w:after="0"/>
              <w:rPr>
                <w:sz w:val="24"/>
                <w:szCs w:val="24"/>
                <w:color w:val="auto"/>
              </w:rPr>
            </w:pPr>
          </w:p>
        </w:tc>
        <w:tc>
          <w:tcPr>
            <w:tcW w:w="49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(415) 390-2337</w:t>
            </w:r>
          </w:p>
        </w:tc>
        <w:tc>
          <w:tcPr>
            <w:tcW w:w="1980" w:type="dxa"/>
            <w:vAlign w:val="bottom"/>
          </w:tcPr>
          <w:p>
            <w:pPr>
              <w:spacing w:after="0"/>
              <w:rPr>
                <w:sz w:val="24"/>
                <w:szCs w:val="24"/>
                <w:color w:val="auto"/>
              </w:rPr>
            </w:pPr>
          </w:p>
        </w:tc>
      </w:tr>
      <w:tr>
        <w:trPr>
          <w:trHeight w:val="230"/>
        </w:trPr>
        <w:tc>
          <w:tcPr>
            <w:tcW w:w="2420" w:type="dxa"/>
            <w:vAlign w:val="bottom"/>
          </w:tcPr>
          <w:p>
            <w:pPr>
              <w:spacing w:after="0"/>
              <w:rPr>
                <w:sz w:val="20"/>
                <w:szCs w:val="20"/>
                <w:color w:val="auto"/>
              </w:rPr>
            </w:pPr>
          </w:p>
        </w:tc>
        <w:tc>
          <w:tcPr>
            <w:tcW w:w="4960" w:type="dxa"/>
            <w:vAlign w:val="bottom"/>
          </w:tcPr>
          <w:p>
            <w:pPr>
              <w:jc w:val="center"/>
              <w:ind w:right="30"/>
              <w:spacing w:after="0"/>
              <w:rPr>
                <w:sz w:val="20"/>
                <w:szCs w:val="20"/>
                <w:color w:val="auto"/>
              </w:rPr>
            </w:pPr>
            <w:r>
              <w:rPr>
                <w:rFonts w:ascii="Arial" w:cs="Arial" w:eastAsia="Arial" w:hAnsi="Arial"/>
                <w:sz w:val="18"/>
                <w:szCs w:val="18"/>
                <w:color w:val="auto"/>
                <w:w w:val="89"/>
              </w:rPr>
              <w:t>(Registrant’s telephone number, including area code)</w:t>
            </w:r>
          </w:p>
        </w:tc>
        <w:tc>
          <w:tcPr>
            <w:tcW w:w="198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3"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66" w:lineRule="exact"/>
        <w:rPr>
          <w:rFonts w:ascii="MS PGothic" w:cs="MS PGothic" w:eastAsia="MS PGothic" w:hAnsi="MS PGothic"/>
          <w:sz w:val="36"/>
          <w:szCs w:val="36"/>
          <w:color w:val="auto"/>
          <w:vertAlign w:val="superscript"/>
        </w:rPr>
      </w:pPr>
    </w:p>
    <w:p>
      <w:pPr>
        <w:ind w:left="320" w:hanging="294"/>
        <w:spacing w:after="0"/>
        <w:tabs>
          <w:tab w:leader="none" w:pos="32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20" w:type="dxa"/>
            <w:vAlign w:val="bottom"/>
          </w:tcPr>
          <w:p>
            <w:pPr>
              <w:spacing w:after="0"/>
              <w:rPr>
                <w:sz w:val="24"/>
                <w:szCs w:val="24"/>
                <w:color w:val="auto"/>
              </w:rPr>
            </w:pPr>
          </w:p>
        </w:tc>
        <w:tc>
          <w:tcPr>
            <w:tcW w:w="40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7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Class A Common Stock, par value $0.001 per share</w:t>
            </w: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rPr>
              <w:t>TWLO</w:t>
            </w:r>
          </w:p>
        </w:tc>
        <w:tc>
          <w:tcPr>
            <w:tcW w:w="402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New York Stock Exchange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0" w:type="dxa"/>
            <w:vAlign w:val="bottom"/>
          </w:tcPr>
          <w:p>
            <w:pPr>
              <w:spacing w:after="0"/>
              <w:rPr>
                <w:sz w:val="10"/>
                <w:szCs w:val="10"/>
                <w:color w:val="auto"/>
              </w:rPr>
            </w:pPr>
          </w:p>
        </w:tc>
        <w:tc>
          <w:tcPr>
            <w:tcW w:w="4740" w:type="dxa"/>
            <w:vAlign w:val="bottom"/>
            <w:gridSpan w:val="2"/>
            <w:vMerge w:val="continue"/>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402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auto"/>
                <w:w w:val="89"/>
              </w:rPr>
              <w:t>Long-Term Stock Exchange</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1"/>
        </w:trPr>
        <w:tc>
          <w:tcPr>
            <w:tcW w:w="10880" w:type="dxa"/>
            <w:vAlign w:val="bottom"/>
            <w:gridSpan w:val="6"/>
          </w:tcPr>
          <w:p>
            <w:pPr>
              <w:spacing w:after="0"/>
              <w:rPr>
                <w:sz w:val="20"/>
                <w:szCs w:val="20"/>
                <w:color w:val="auto"/>
              </w:rPr>
            </w:pPr>
            <w:r>
              <w:rPr>
                <w:rFonts w:ascii="Arial" w:cs="Arial" w:eastAsia="Arial" w:hAnsi="Arial"/>
                <w:sz w:val="18"/>
                <w:szCs w:val="18"/>
                <w:color w:val="auto"/>
                <w:w w:val="92"/>
              </w:rPr>
              <w:t>Indicate by check mark whether the registrant is an emerging growth company as defined in Rule 405 of the Securities Act of 1933 (§230.405 of this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gridSpan w:val="5"/>
          </w:tcPr>
          <w:p>
            <w:pPr>
              <w:spacing w:after="0"/>
              <w:rPr>
                <w:sz w:val="20"/>
                <w:szCs w:val="20"/>
                <w:color w:val="auto"/>
              </w:rPr>
            </w:pPr>
            <w:r>
              <w:rPr>
                <w:rFonts w:ascii="Arial" w:cs="Arial" w:eastAsia="Arial" w:hAnsi="Arial"/>
                <w:sz w:val="18"/>
                <w:szCs w:val="18"/>
                <w:color w:val="auto"/>
                <w:w w:val="94"/>
              </w:rPr>
              <w:t>chapter) or Rule 12b-2 of the Securities Exchange Act of 1934 (§240.12b-2 of this chapter).</w:t>
            </w:r>
          </w:p>
        </w:tc>
        <w:tc>
          <w:tcPr>
            <w:tcW w:w="4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9"/>
        </w:trPr>
        <w:tc>
          <w:tcPr>
            <w:tcW w:w="10880" w:type="dxa"/>
            <w:vAlign w:val="bottom"/>
            <w:gridSpan w:val="6"/>
          </w:tcPr>
          <w:p>
            <w:pPr>
              <w:ind w:left="20"/>
              <w:spacing w:after="0"/>
              <w:rPr>
                <w:sz w:val="20"/>
                <w:szCs w:val="20"/>
                <w:color w:val="auto"/>
              </w:rPr>
            </w:pPr>
            <w:r>
              <w:rPr>
                <w:rFonts w:ascii="Arial" w:cs="Arial" w:eastAsia="Arial" w:hAnsi="Arial"/>
                <w:sz w:val="18"/>
                <w:szCs w:val="18"/>
                <w:color w:val="auto"/>
                <w:w w:val="94"/>
              </w:rPr>
              <w:t>If an emerging growth company, indicate by check mark if the registrant has elected not to use the extended transition period for complying with</w:t>
            </w:r>
          </w:p>
        </w:tc>
        <w:tc>
          <w:tcPr>
            <w:tcW w:w="3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10880" w:type="dxa"/>
            <w:vAlign w:val="bottom"/>
            <w:gridSpan w:val="6"/>
          </w:tcPr>
          <w:p>
            <w:pPr>
              <w:ind w:left="20"/>
              <w:spacing w:after="0"/>
              <w:rPr>
                <w:sz w:val="20"/>
                <w:szCs w:val="20"/>
                <w:color w:val="auto"/>
              </w:rPr>
            </w:pPr>
            <w:r>
              <w:rPr>
                <w:rFonts w:ascii="Arial" w:cs="Arial" w:eastAsia="Arial" w:hAnsi="Arial"/>
                <w:sz w:val="18"/>
                <w:szCs w:val="18"/>
                <w:color w:val="auto"/>
              </w:rPr>
              <w:t>any new or revised financial accounting standards provided pursuant to Section 13(a) of the Exchange Act.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 w:name="page2"/>
    <w:bookmarkEnd w:id="1"/>
    <w:p>
      <w:pPr>
        <w:ind w:right="10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On August 4, 2022, the Board of Directors (the “Board”) of Twilio Inc. (“Twilio”) appointed Miyuki Suzuki to the Board as a Class III director. Ms. Suzuki’s appointment to the Board was reported under Item 5.02 on Twilio’s Current Report on Form 8-K filed with the Securities and Exchange Commission (the “SEC”) on August 4, 2022 (the “Initial Form 8-K”). Committee assignments for Ms. Suzuki had not been determined as of the filing of the Initial Form 8-K with the SEC. This Current Report on Form 8-K/A amends the Initial Form 8-K to disclose that on December 8, 2022, the Board appointed Ms. Suzuki to serve on the Compensation and Talent Management Committee of the Board (the “Compensation Committee”), effective December 8, 2022. The Board determined that Ms. Suzuki meets all of the applicable requirements for service on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b w:val="1"/>
                <w:bCs w:val="1"/>
                <w:color w:val="auto"/>
              </w:rPr>
              <w:t>TWILIO INC.</w:t>
            </w:r>
          </w:p>
        </w:tc>
      </w:tr>
      <w:tr>
        <w:trPr>
          <w:trHeight w:val="459"/>
        </w:trPr>
        <w:tc>
          <w:tcPr>
            <w:tcW w:w="3680" w:type="dxa"/>
            <w:vAlign w:val="bottom"/>
          </w:tcPr>
          <w:p>
            <w:pPr>
              <w:spacing w:after="0"/>
              <w:rPr>
                <w:sz w:val="20"/>
                <w:szCs w:val="20"/>
                <w:color w:val="auto"/>
              </w:rPr>
            </w:pPr>
            <w:r>
              <w:rPr>
                <w:rFonts w:ascii="Arial" w:cs="Arial" w:eastAsia="Arial" w:hAnsi="Arial"/>
                <w:sz w:val="18"/>
                <w:szCs w:val="18"/>
                <w:color w:val="auto"/>
              </w:rPr>
              <w:t>Date: December 9, 2022</w:t>
            </w:r>
          </w:p>
        </w:tc>
        <w:tc>
          <w:tcPr>
            <w:tcW w:w="2620" w:type="dxa"/>
            <w:vAlign w:val="bottom"/>
          </w:tcPr>
          <w:p>
            <w:pPr>
              <w:ind w:left="190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Khozema Z. Shipchandler</w:t>
            </w:r>
          </w:p>
        </w:tc>
      </w:tr>
      <w:tr>
        <w:trPr>
          <w:trHeight w:val="222"/>
        </w:trPr>
        <w:tc>
          <w:tcPr>
            <w:tcW w:w="3680" w:type="dxa"/>
            <w:vAlign w:val="bottom"/>
          </w:tcPr>
          <w:p>
            <w:pPr>
              <w:spacing w:after="0"/>
              <w:rPr>
                <w:sz w:val="19"/>
                <w:szCs w:val="19"/>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Name:</w:t>
            </w:r>
          </w:p>
        </w:tc>
        <w:tc>
          <w:tcPr>
            <w:tcW w:w="4880" w:type="dxa"/>
            <w:vAlign w:val="bottom"/>
          </w:tcPr>
          <w:p>
            <w:pPr>
              <w:ind w:left="20"/>
              <w:spacing w:after="0"/>
              <w:rPr>
                <w:sz w:val="20"/>
                <w:szCs w:val="20"/>
                <w:color w:val="auto"/>
              </w:rPr>
            </w:pPr>
            <w:r>
              <w:rPr>
                <w:rFonts w:ascii="Arial" w:cs="Arial" w:eastAsia="Arial" w:hAnsi="Arial"/>
                <w:sz w:val="18"/>
                <w:szCs w:val="18"/>
                <w:color w:val="auto"/>
              </w:rPr>
              <w:t>Khozema Z. Shipchandler</w:t>
            </w:r>
          </w:p>
        </w:tc>
      </w:tr>
      <w:tr>
        <w:trPr>
          <w:trHeight w:val="230"/>
        </w:trPr>
        <w:tc>
          <w:tcPr>
            <w:tcW w:w="3680" w:type="dxa"/>
            <w:vAlign w:val="bottom"/>
          </w:tcPr>
          <w:p>
            <w:pPr>
              <w:spacing w:after="0"/>
              <w:rPr>
                <w:sz w:val="20"/>
                <w:szCs w:val="20"/>
                <w:color w:val="auto"/>
              </w:rPr>
            </w:pPr>
          </w:p>
        </w:tc>
        <w:tc>
          <w:tcPr>
            <w:tcW w:w="2620" w:type="dxa"/>
            <w:vAlign w:val="bottom"/>
          </w:tcPr>
          <w:p>
            <w:pPr>
              <w:ind w:left="1900"/>
              <w:spacing w:after="0"/>
              <w:rPr>
                <w:sz w:val="20"/>
                <w:szCs w:val="20"/>
                <w:color w:val="auto"/>
              </w:rPr>
            </w:pPr>
            <w:r>
              <w:rPr>
                <w:rFonts w:ascii="Arial" w:cs="Arial" w:eastAsia="Arial" w:hAnsi="Arial"/>
                <w:sz w:val="18"/>
                <w:szCs w:val="18"/>
                <w:color w:val="auto"/>
              </w:rPr>
              <w:t>Title:</w:t>
            </w:r>
          </w:p>
        </w:tc>
        <w:tc>
          <w:tcPr>
            <w:tcW w:w="488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bl>
    <w:p>
      <w:pPr>
        <w:spacing w:after="0" w:line="1" w:lineRule="exact"/>
        <w:rPr>
          <w:sz w:val="20"/>
          <w:szCs w:val="20"/>
          <w:color w:val="auto"/>
        </w:rPr>
      </w:pPr>
    </w:p>
    <w:sectPr>
      <w:pgSz w:w="11900" w:h="16838" w:orient="portrait"/>
      <w:cols w:equalWidth="0" w:num="1">
        <w:col w:w="11200"/>
      </w:cols>
      <w:pgMar w:left="320" w:top="103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2022-12-09T15:32:02Z</dcterms:created>
  <dcterms:modified xsi:type="dcterms:W3CDTF">2022-12-09T15:32:02Z</dcterms:modified>
</cp:coreProperties>
</file>