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7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320"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48" w:lineRule="exact"/>
        <w:rPr>
          <w:sz w:val="24"/>
          <w:szCs w:val="24"/>
          <w:color w:val="auto"/>
        </w:rPr>
      </w:pPr>
    </w:p>
    <w:p>
      <w:pPr>
        <w:ind w:left="700" w:hanging="640"/>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001-37806</w:t>
      </w:r>
    </w:p>
    <w:p>
      <w:pPr>
        <w:spacing w:after="0" w:line="2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47625</wp:posOffset>
            </wp:positionV>
            <wp:extent cx="66865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TWILIO INC.</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167" w:lineRule="exact"/>
        <w:rPr>
          <w:sz w:val="24"/>
          <w:szCs w:val="24"/>
          <w:color w:val="auto"/>
        </w:rPr>
      </w:pPr>
    </w:p>
    <w:p>
      <w:pPr>
        <w:ind w:left="2360"/>
        <w:spacing w:after="0"/>
        <w:tabs>
          <w:tab w:leader="none" w:pos="808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26-2574840</w:t>
      </w:r>
    </w:p>
    <w:p>
      <w:pPr>
        <w:spacing w:after="0" w:line="28" w:lineRule="exact"/>
        <w:rPr>
          <w:sz w:val="24"/>
          <w:szCs w:val="24"/>
          <w:color w:val="auto"/>
        </w:rPr>
      </w:pPr>
    </w:p>
    <w:p>
      <w:pPr>
        <w:ind w:left="980"/>
        <w:spacing w:after="0"/>
        <w:tabs>
          <w:tab w:leader="none" w:pos="744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101 Spear Street, Fifth Floor</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 Francisco, California 94105</w:t>
      </w: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(415) 390-2337</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9" w:lineRule="exact"/>
        <w:rPr>
          <w:sz w:val="24"/>
          <w:szCs w:val="24"/>
          <w:color w:val="auto"/>
        </w:rPr>
      </w:pPr>
    </w:p>
    <w:tbl>
      <w:tblPr>
        <w:tblLayout w:type="fixed"/>
        <w:tblInd w:w="100" w:type="dxa"/>
        <w:tblCellMar>
          <w:top w:w="0" w:type="dxa"/>
          <w:left w:w="0" w:type="dxa"/>
          <w:bottom w:w="0" w:type="dxa"/>
          <w:right w:w="0" w:type="dxa"/>
        </w:tblCellMar>
      </w:tblPr>
      <w:tr>
        <w:trPr>
          <w:trHeight w:val="21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TWLO</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0" w:lineRule="exact"/>
        <w:rPr>
          <w:sz w:val="24"/>
          <w:szCs w:val="24"/>
          <w:color w:val="auto"/>
        </w:rPr>
      </w:pPr>
    </w:p>
    <w:p>
      <w:pPr>
        <w:spacing w:after="0" w:line="22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July 23, 2024, 160,599,847 shares of the registrant’s Class A common stock were outstanding.</w:t>
      </w:r>
    </w:p>
    <w:p>
      <w:pPr>
        <w:spacing w:after="0" w:line="123" w:lineRule="exact"/>
        <w:rPr>
          <w:sz w:val="24"/>
          <w:szCs w:val="24"/>
          <w:color w:val="auto"/>
        </w:rPr>
      </w:pPr>
    </w:p>
    <w:p>
      <w:pPr>
        <w:ind w:right="4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18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222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22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6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38" w:lineRule="exact"/>
        <w:rPr>
          <w:sz w:val="24"/>
          <w:szCs w:val="24"/>
          <w:color w:val="auto"/>
        </w:rPr>
      </w:pPr>
    </w:p>
    <w:p>
      <w:pPr>
        <w:ind w:right="56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 - FINANCIAL INFORMATION</w:t>
            </w:r>
          </w:p>
        </w:tc>
        <w:tc>
          <w:tcPr>
            <w:tcW w:w="3400" w:type="dxa"/>
            <w:vAlign w:val="bottom"/>
            <w:gridSpan w:val="5"/>
            <w:vMerge w:val="restart"/>
          </w:tcPr>
          <w:p>
            <w:pPr>
              <w:spacing w:after="0"/>
              <w:rPr>
                <w:sz w:val="20"/>
                <w:szCs w:val="20"/>
                <w:color w:val="auto"/>
              </w:rPr>
            </w:pPr>
          </w:p>
        </w:tc>
        <w:tc>
          <w:tcPr>
            <w:tcW w:w="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20" w:type="dxa"/>
            <w:vAlign w:val="bottom"/>
            <w:tcBorders>
              <w:bottom w:val="single" w:sz="8" w:color="0000FF"/>
            </w:tcBorders>
            <w:gridSpan w:val="6"/>
            <w:vMerge w:val="continue"/>
          </w:tcPr>
          <w:p>
            <w:pPr>
              <w:spacing w:after="0"/>
              <w:rPr>
                <w:sz w:val="13"/>
                <w:szCs w:val="13"/>
                <w:color w:val="auto"/>
              </w:rPr>
            </w:pPr>
          </w:p>
        </w:tc>
        <w:tc>
          <w:tcPr>
            <w:tcW w:w="34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2023</w:t>
            </w:r>
          </w:p>
        </w:tc>
        <w:tc>
          <w:tcPr>
            <w:tcW w:w="1500" w:type="dxa"/>
            <w:vAlign w:val="bottom"/>
            <w:gridSpan w:val="2"/>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Six Months Ended June 30, 2024 and 2023</w:t>
            </w:r>
          </w:p>
        </w:tc>
        <w:tc>
          <w:tcPr>
            <w:tcW w:w="780" w:type="dxa"/>
            <w:vAlign w:val="bottom"/>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780" w:type="dxa"/>
            <w:vAlign w:val="bottom"/>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80" w:type="dxa"/>
            <w:vAlign w:val="bottom"/>
            <w:gridSpan w:val="6"/>
          </w:tcPr>
          <w:p>
            <w:pPr>
              <w:spacing w:after="0"/>
              <w:rPr>
                <w:sz w:val="24"/>
                <w:szCs w:val="24"/>
                <w:color w:val="auto"/>
              </w:rPr>
            </w:pPr>
          </w:p>
        </w:tc>
        <w:tc>
          <w:tcPr>
            <w:tcW w:w="2220" w:type="dxa"/>
            <w:vAlign w:val="bottom"/>
            <w:gridSpan w:val="3"/>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70"/>
              </w:rPr>
              <w:t>11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24"/>
                <w:szCs w:val="24"/>
                <w:color w:val="auto"/>
              </w:rPr>
            </w:pPr>
          </w:p>
        </w:tc>
        <w:tc>
          <w:tcPr>
            <w:tcW w:w="3140" w:type="dxa"/>
            <w:vAlign w:val="bottom"/>
            <w:gridSpan w:val="4"/>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gridSpan w:val="2"/>
          </w:tcPr>
          <w:p>
            <w:pPr>
              <w:spacing w:after="0"/>
              <w:rPr>
                <w:sz w:val="24"/>
                <w:szCs w:val="24"/>
                <w:color w:val="auto"/>
              </w:rPr>
            </w:pP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0"/>
          </w:tcPr>
          <w:p>
            <w:pPr>
              <w:jc w:val="center"/>
              <w:ind w:right="3540"/>
              <w:spacing w:after="0"/>
              <w:rPr>
                <w:sz w:val="20"/>
                <w:szCs w:val="20"/>
                <w:color w:val="auto"/>
              </w:rPr>
            </w:pPr>
            <w:r>
              <w:rPr>
                <w:rFonts w:ascii="Times New Roman" w:cs="Times New Roman" w:eastAsia="Times New Roman" w:hAnsi="Times New Roman"/>
                <w:sz w:val="16"/>
                <w:szCs w:val="16"/>
                <w:b w:val="1"/>
                <w:bCs w:val="1"/>
                <w:color w:val="0000FF"/>
                <w:w w:val="99"/>
              </w:rPr>
              <w:t>PART II - OTHER INFORMATION</w:t>
            </w: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200" w:type="dxa"/>
            <w:vAlign w:val="bottom"/>
            <w:gridSpan w:val="4"/>
          </w:tcPr>
          <w:p>
            <w:pPr>
              <w:spacing w:after="0"/>
              <w:rPr>
                <w:sz w:val="24"/>
                <w:szCs w:val="24"/>
                <w:color w:val="auto"/>
              </w:rPr>
            </w:pPr>
          </w:p>
        </w:tc>
        <w:tc>
          <w:tcPr>
            <w:tcW w:w="2540" w:type="dxa"/>
            <w:vAlign w:val="bottom"/>
            <w:tcBorders>
              <w:top w:val="single" w:sz="8" w:color="0000FF"/>
            </w:tcBorders>
            <w:gridSpan w:val="3"/>
          </w:tcPr>
          <w:p>
            <w:pPr>
              <w:spacing w:after="0"/>
              <w:rPr>
                <w:sz w:val="24"/>
                <w:szCs w:val="24"/>
                <w:color w:val="auto"/>
              </w:rPr>
            </w:pPr>
          </w:p>
        </w:tc>
        <w:tc>
          <w:tcPr>
            <w:tcW w:w="3540" w:type="dxa"/>
            <w:vAlign w:val="bottom"/>
            <w:gridSpan w:val="7"/>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40" w:type="dxa"/>
            <w:vAlign w:val="bottom"/>
            <w:gridSpan w:val="6"/>
          </w:tcPr>
          <w:p>
            <w:pPr>
              <w:spacing w:after="0"/>
              <w:rPr>
                <w:sz w:val="24"/>
                <w:szCs w:val="24"/>
                <w:color w:val="auto"/>
              </w:rPr>
            </w:pP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80" w:type="dxa"/>
            <w:vAlign w:val="bottom"/>
            <w:gridSpan w:val="14"/>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80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81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36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68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760" w:type="dxa"/>
            <w:vAlign w:val="bottom"/>
          </w:tcPr>
          <w:p>
            <w:pPr>
              <w:spacing w:after="0"/>
              <w:rPr>
                <w:sz w:val="16"/>
                <w:szCs w:val="16"/>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655,931</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2,361,063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3,356,064</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562,773</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310,260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329,204</w:t>
            </w:r>
          </w:p>
        </w:tc>
      </w:tr>
      <w:tr>
        <w:trPr>
          <w:trHeight w:val="212"/>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3,963,701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4,903,972</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209,639</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73,959</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593,582</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350,490</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203,777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234,799</w:t>
            </w:r>
          </w:p>
        </w:tc>
      </w:tr>
      <w:tr>
        <w:trPr>
          <w:trHeight w:val="212"/>
        </w:trPr>
        <w:tc>
          <w:tcPr>
            <w:tcW w:w="6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10,507,652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11,609,707</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119,615</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424,311</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144,499</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49,872</w:t>
            </w:r>
          </w:p>
        </w:tc>
      </w:tr>
      <w:tr>
        <w:trPr>
          <w:trHeight w:val="212"/>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738,297</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120,770</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liability, noncurrent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9,191</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988,953</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19,944</w:t>
            </w:r>
          </w:p>
        </w:tc>
      </w:tr>
      <w:tr>
        <w:trPr>
          <w:trHeight w:val="207"/>
        </w:trPr>
        <w:tc>
          <w:tcPr>
            <w:tcW w:w="6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1,828,179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1,877,155</w:t>
            </w:r>
          </w:p>
        </w:tc>
      </w:tr>
      <w:tr>
        <w:trPr>
          <w:trHeight w:val="19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A common stock</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15,136,786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14,797,723</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(6,446,806)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(5,065,972)</w:t>
            </w:r>
          </w:p>
        </w:tc>
      </w:tr>
      <w:tr>
        <w:trPr>
          <w:trHeight w:val="207"/>
        </w:trPr>
        <w:tc>
          <w:tcPr>
            <w:tcW w:w="6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8,679,473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9,732,552</w:t>
            </w:r>
          </w:p>
        </w:tc>
      </w:tr>
      <w:tr>
        <w:trPr>
          <w:trHeight w:val="237"/>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10,507,652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11,609,707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4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2,129,552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2,044,325</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526,657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1,029,666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1,047,880</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1,099,886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996,445</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465,491</w:t>
            </w: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521,485</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247,420</w:t>
            </w: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136,844</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574,882</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647,582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1,162,427</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1,402,356</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(405,911)</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(62,780)</w:t>
            </w: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(46,154)</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(91,204)</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(497,115)</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40"/>
              <w:spacing w:after="0" w:line="152"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940" w:type="dxa"/>
            <w:vAlign w:val="bottom"/>
            <w:vMerge w:val="continue"/>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9"/>
                <w:szCs w:val="9"/>
                <w:color w:val="auto"/>
              </w:rPr>
            </w:pPr>
          </w:p>
        </w:tc>
        <w:tc>
          <w:tcPr>
            <w:tcW w:w="40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9"/>
                <w:szCs w:val="9"/>
                <w:color w:val="auto"/>
              </w:rPr>
            </w:pP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94"/>
        </w:trPr>
        <w:tc>
          <w:tcPr>
            <w:tcW w:w="4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3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170,222,104</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183,490,982</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175,613,672</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184,926,875</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attributable to common stockholders, basic and diluted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23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(508,326)</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(loss) gain on marketable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39,355</w:t>
            </w:r>
          </w:p>
        </w:tc>
        <w:tc>
          <w:tcPr>
            <w:tcW w:w="0" w:type="dxa"/>
            <w:vAlign w:val="bottom"/>
          </w:tcPr>
          <w:p>
            <w:pPr>
              <w:spacing w:after="0"/>
              <w:rPr>
                <w:sz w:val="1"/>
                <w:szCs w:val="1"/>
                <w:color w:val="auto"/>
              </w:rPr>
            </w:pPr>
          </w:p>
        </w:tc>
      </w:tr>
      <w:tr>
        <w:trPr>
          <w:trHeight w:val="213"/>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165"/>
        </w:trPr>
        <w:tc>
          <w:tcPr>
            <w:tcW w:w="55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Net change in market value of effective foreign currency</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Share of other comprehensive (loss) income from equity method</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19,794</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investment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60,886</w:t>
            </w:r>
          </w:p>
        </w:tc>
        <w:tc>
          <w:tcPr>
            <w:tcW w:w="0" w:type="dxa"/>
            <w:vAlign w:val="bottom"/>
          </w:tcPr>
          <w:p>
            <w:pPr>
              <w:spacing w:after="0"/>
              <w:rPr>
                <w:sz w:val="1"/>
                <w:szCs w:val="1"/>
                <w:color w:val="auto"/>
              </w:rPr>
            </w:pPr>
          </w:p>
        </w:tc>
      </w:tr>
      <w:tr>
        <w:trPr>
          <w:trHeight w:val="212"/>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Comprehensive loss attributable to common stockholders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(154,517)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(447,440)</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Three Months Ended June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13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5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177,471,887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$ 14,960,837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(5,508,343)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9,447,730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(31,858)</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1,464,534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(15,229,731)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(906,619)</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of other comprehensive loss from equity method investment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0" w:type="dxa"/>
            <w:vAlign w:val="bottom"/>
          </w:tcPr>
          <w:p>
            <w:pPr>
              <w:spacing w:after="0"/>
              <w:rPr>
                <w:sz w:val="1"/>
                <w:szCs w:val="1"/>
                <w:color w:val="auto"/>
              </w:rPr>
            </w:pPr>
          </w:p>
        </w:tc>
      </w:tr>
      <w:tr>
        <w:trPr>
          <w:trHeight w:val="196"/>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153,401</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164,150,089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$ 15,136,786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(6,446,806)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8,679,473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Six Months Ended June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13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5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181,945,771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$ 14,797,723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(5,065,972)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9,732,552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(87,207)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(87,207)</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3,080,464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returned from escrow</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(21,358,029)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(1,293,647)</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of other comprehensive income from equity method investment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314,462</w:t>
            </w:r>
          </w:p>
        </w:tc>
        <w:tc>
          <w:tcPr>
            <w:tcW w:w="0" w:type="dxa"/>
            <w:vAlign w:val="bottom"/>
          </w:tcPr>
          <w:p>
            <w:pPr>
              <w:spacing w:after="0"/>
              <w:rPr>
                <w:sz w:val="1"/>
                <w:szCs w:val="1"/>
                <w:color w:val="auto"/>
              </w:rPr>
            </w:pPr>
          </w:p>
        </w:tc>
      </w:tr>
      <w:tr>
        <w:trPr>
          <w:trHeight w:val="196"/>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164,150,089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$ 15,136,786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(6,446,806)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8,679,473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 w:name="page8"/>
    <w:bookmarkEnd w:id="7"/>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Three Months Ended June 30,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32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176,121,918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9,617,605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$ 14,233,590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(3,842,965)</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10,318,866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(166,187)</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(166,187)</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1,144,112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39"/>
        </w:trPr>
        <w:tc>
          <w:tcPr>
            <w:tcW w:w="36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Conversion of shares of Class B common stock into shares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9,648,388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(9,648,388)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of 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23,337</w:t>
            </w:r>
          </w:p>
        </w:tc>
        <w:tc>
          <w:tcPr>
            <w:tcW w:w="0" w:type="dxa"/>
            <w:vAlign w:val="bottom"/>
          </w:tcPr>
          <w:p>
            <w:pPr>
              <w:spacing w:after="0"/>
              <w:rPr>
                <w:sz w:val="1"/>
                <w:szCs w:val="1"/>
                <w:color w:val="auto"/>
              </w:rPr>
            </w:pPr>
          </w:p>
        </w:tc>
      </w:tr>
      <w:tr>
        <w:trPr>
          <w:trHeight w:val="139"/>
        </w:trPr>
        <w:tc>
          <w:tcPr>
            <w:tcW w:w="36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Shares of Class A common stock issued and donated to</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8,605</w:t>
            </w:r>
          </w:p>
        </w:tc>
        <w:tc>
          <w:tcPr>
            <w:tcW w:w="0" w:type="dxa"/>
            <w:vAlign w:val="bottom"/>
          </w:tcPr>
          <w:p>
            <w:pPr>
              <w:spacing w:after="0"/>
              <w:rPr>
                <w:sz w:val="1"/>
                <w:szCs w:val="1"/>
                <w:color w:val="auto"/>
              </w:rPr>
            </w:pPr>
          </w:p>
        </w:tc>
      </w:tr>
      <w:tr>
        <w:trPr>
          <w:trHeight w:val="139"/>
        </w:trPr>
        <w:tc>
          <w:tcPr>
            <w:tcW w:w="36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Repurchases of shares of Class A common stock including</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(6,374,327)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(373,141)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(373,147)</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related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39"/>
        </w:trPr>
        <w:tc>
          <w:tcPr>
            <w:tcW w:w="36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 of other comprehensive income from equity method</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5,146</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w:t>
            </w:r>
          </w:p>
        </w:tc>
        <w:tc>
          <w:tcPr>
            <w:tcW w:w="10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159,253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159,253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181,174,616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$ 14,418,946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(60,275)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(4,382,293)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9,976,559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Six Months Ended June 30, 2023</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9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7"/>
                <w:szCs w:val="7"/>
                <w:color w:val="auto"/>
              </w:rPr>
            </w:pPr>
          </w:p>
        </w:tc>
        <w:tc>
          <w:tcPr>
            <w:tcW w:w="10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3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176,358,104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9,617,605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$ 14,055,853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(121,161)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(3,375,836)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10,559,042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(508,326)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(508,326)</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100,406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127,982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4,741</w:t>
            </w:r>
          </w:p>
        </w:tc>
        <w:tc>
          <w:tcPr>
            <w:tcW w:w="0" w:type="dxa"/>
            <w:vAlign w:val="bottom"/>
          </w:tcPr>
          <w:p>
            <w:pPr>
              <w:spacing w:after="0"/>
              <w:rPr>
                <w:sz w:val="1"/>
                <w:szCs w:val="1"/>
                <w:color w:val="auto"/>
              </w:rPr>
            </w:pPr>
          </w:p>
        </w:tc>
      </w:tr>
      <w:tr>
        <w:trPr>
          <w:trHeight w:val="195"/>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2,660,746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0" w:type="dxa"/>
            <w:vAlign w:val="bottom"/>
          </w:tcPr>
          <w:p>
            <w:pPr>
              <w:spacing w:after="0"/>
              <w:rPr>
                <w:sz w:val="1"/>
                <w:szCs w:val="1"/>
                <w:color w:val="auto"/>
              </w:rPr>
            </w:pPr>
          </w:p>
        </w:tc>
      </w:tr>
      <w:tr>
        <w:trPr>
          <w:trHeight w:val="139"/>
        </w:trPr>
        <w:tc>
          <w:tcPr>
            <w:tcW w:w="36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Conversion of shares of Class B common stock into shares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9,745,587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(9,745,587)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of 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579,857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23,337</w:t>
            </w:r>
          </w:p>
        </w:tc>
        <w:tc>
          <w:tcPr>
            <w:tcW w:w="0" w:type="dxa"/>
            <w:vAlign w:val="bottom"/>
          </w:tcPr>
          <w:p>
            <w:pPr>
              <w:spacing w:after="0"/>
              <w:rPr>
                <w:sz w:val="1"/>
                <w:szCs w:val="1"/>
                <w:color w:val="auto"/>
              </w:rPr>
            </w:pPr>
          </w:p>
        </w:tc>
      </w:tr>
      <w:tr>
        <w:trPr>
          <w:trHeight w:val="139"/>
        </w:trPr>
        <w:tc>
          <w:tcPr>
            <w:tcW w:w="36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Shares of Class A common stock issued and donated to</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44,204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2,646</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39,355</w:t>
            </w:r>
          </w:p>
        </w:tc>
        <w:tc>
          <w:tcPr>
            <w:tcW w:w="0" w:type="dxa"/>
            <w:vAlign w:val="bottom"/>
          </w:tcPr>
          <w:p>
            <w:pPr>
              <w:spacing w:after="0"/>
              <w:rPr>
                <w:sz w:val="1"/>
                <w:szCs w:val="1"/>
                <w:color w:val="auto"/>
              </w:rPr>
            </w:pPr>
          </w:p>
        </w:tc>
      </w:tr>
      <w:tr>
        <w:trPr>
          <w:trHeight w:val="139"/>
        </w:trPr>
        <w:tc>
          <w:tcPr>
            <w:tcW w:w="36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Repurchases of shares of Class A common stock including</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(8,276,451)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(498,131)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(498,139)</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related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39"/>
        </w:trPr>
        <w:tc>
          <w:tcPr>
            <w:tcW w:w="36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1,168</w:t>
            </w:r>
          </w:p>
        </w:tc>
        <w:tc>
          <w:tcPr>
            <w:tcW w:w="0" w:type="dxa"/>
            <w:vAlign w:val="bottom"/>
          </w:tcPr>
          <w:p>
            <w:pPr>
              <w:spacing w:after="0"/>
              <w:rPr>
                <w:sz w:val="1"/>
                <w:szCs w:val="1"/>
                <w:color w:val="auto"/>
              </w:rPr>
            </w:pPr>
          </w:p>
        </w:tc>
      </w:tr>
      <w:tr>
        <w:trPr>
          <w:trHeight w:val="193"/>
        </w:trPr>
        <w:tc>
          <w:tcPr>
            <w:tcW w:w="3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 of other comprehensive income from equity method</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19,794</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w:t>
            </w:r>
          </w:p>
        </w:tc>
        <w:tc>
          <w:tcPr>
            <w:tcW w:w="10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324,252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324,252</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10,629</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181,174,616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$ 14,418,946</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(60,275)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(4,382,293)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9,976,559</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TWILIO INC</w:t>
      </w:r>
      <w:r>
        <w:rPr>
          <w:rFonts w:ascii="Times New Roman" w:cs="Times New Roman" w:eastAsia="Times New Roman" w:hAnsi="Times New Roman"/>
          <w:sz w:val="14"/>
          <w:szCs w:val="14"/>
          <w:b w:val="1"/>
          <w:bCs w:val="1"/>
          <w:color w:val="auto"/>
        </w:rPr>
        <w: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7"/>
                <w:szCs w:val="17"/>
                <w:color w:val="auto"/>
              </w:rPr>
            </w:pPr>
          </w:p>
        </w:tc>
      </w:tr>
      <w:tr>
        <w:trPr>
          <w:trHeight w:val="23"/>
        </w:trPr>
        <w:tc>
          <w:tcPr>
            <w:tcW w:w="8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center"/>
              <w:ind w:left="428"/>
              <w:spacing w:after="0"/>
              <w:rPr>
                <w:sz w:val="20"/>
                <w:szCs w:val="20"/>
                <w:color w:val="auto"/>
              </w:rPr>
            </w:pPr>
            <w:r>
              <w:rPr>
                <w:rFonts w:ascii="Times New Roman" w:cs="Times New Roman" w:eastAsia="Times New Roman" w:hAnsi="Times New Roman"/>
                <w:sz w:val="13"/>
                <w:szCs w:val="13"/>
                <w:color w:val="auto"/>
                <w:w w:val="96"/>
              </w:rPr>
              <w:t>(In thousands)</w:t>
            </w:r>
          </w:p>
        </w:tc>
        <w:tc>
          <w:tcPr>
            <w:tcW w:w="720" w:type="dxa"/>
            <w:vAlign w:val="bottom"/>
            <w:shd w:val="clear" w:color="auto" w:fill="CCEEFF"/>
          </w:tcPr>
          <w:p>
            <w:pPr>
              <w:spacing w:after="0"/>
              <w:rPr>
                <w:sz w:val="16"/>
                <w:szCs w:val="16"/>
                <w:color w:val="auto"/>
              </w:rPr>
            </w:pPr>
          </w:p>
        </w:tc>
      </w:tr>
      <w:tr>
        <w:trPr>
          <w:trHeight w:val="195"/>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(87,207)</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(508,326)</w:t>
            </w: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146,388</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reduction to the right-of-use asset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16,074</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amortization of investment premium and discount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5,392</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31,116</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including restructuring</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323,893</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36,067</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21,864</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of losses from equity method investment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62,780</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net assets divested</w:t>
            </w: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32,277</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strategic investments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46,154</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13,275</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5"/>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(92,130)</w:t>
            </w:r>
          </w:p>
        </w:tc>
      </w:tr>
      <w:tr>
        <w:trPr>
          <w:trHeight w:val="21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(45,116)</w:t>
            </w:r>
          </w:p>
        </w:tc>
      </w:tr>
      <w:tr>
        <w:trPr>
          <w:trHeight w:val="195"/>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(19,180)</w:t>
            </w:r>
          </w:p>
        </w:tc>
      </w:tr>
      <w:tr>
        <w:trPr>
          <w:trHeight w:val="21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w:t>
            </w:r>
          </w:p>
        </w:tc>
      </w:tr>
      <w:tr>
        <w:trPr>
          <w:trHeight w:val="195"/>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(44,365)</w:t>
            </w:r>
          </w:p>
        </w:tc>
      </w:tr>
      <w:tr>
        <w:trPr>
          <w:trHeight w:val="21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 and customer deposits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95"/>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(27,864)</w:t>
            </w:r>
          </w:p>
        </w:tc>
      </w:tr>
      <w:tr>
        <w:trPr>
          <w:trHeight w:val="21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r>
      <w:tr>
        <w:trPr>
          <w:trHeight w:val="18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403,466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(14,220)</w:t>
            </w:r>
          </w:p>
        </w:tc>
      </w:tr>
      <w:tr>
        <w:trPr>
          <w:trHeight w:val="189"/>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net of cash acquired and payments related to prior period acquisitions</w:t>
            </w: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 and other investments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(511,734)</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and maturities of marketable securities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1,050,010</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(20,075)</w:t>
            </w:r>
          </w:p>
        </w:tc>
      </w:tr>
      <w:tr>
        <w:trPr>
          <w:trHeight w:val="196"/>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Purchases of long-lived and intangible assets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(8,254)</w:t>
            </w:r>
          </w:p>
        </w:tc>
      </w:tr>
      <w:tr>
        <w:trPr>
          <w:trHeight w:val="20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974,384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509,777</w:t>
            </w:r>
          </w:p>
        </w:tc>
      </w:tr>
      <w:tr>
        <w:trPr>
          <w:trHeight w:val="175"/>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debt and finance leases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w:t>
            </w: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Value of equity awards withheld for tax liabilities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shares of Class A common stock and related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(1,273,699)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(485,121)</w:t>
            </w:r>
          </w:p>
        </w:tc>
      </w:tr>
      <w:tr>
        <w:trPr>
          <w:trHeight w:val="196"/>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Proceeds from exercises of stock options and shares of Class A common stock issued under ESPP</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28,078</w:t>
            </w:r>
          </w:p>
        </w:tc>
      </w:tr>
      <w:tr>
        <w:trPr>
          <w:trHeight w:val="20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(1,261,022)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(469,356)</w:t>
            </w:r>
          </w:p>
        </w:tc>
      </w:tr>
      <w:tr>
        <w:trPr>
          <w:trHeight w:val="190"/>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3"/>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 including cash classified as held for sale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26,309</w:t>
            </w:r>
          </w:p>
        </w:tc>
      </w:tr>
      <w:tr>
        <w:trPr>
          <w:trHeight w:val="196"/>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CLASSIFIED AS HELD FOR SALE</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(7,306)</w:t>
            </w:r>
          </w:p>
        </w:tc>
      </w:tr>
      <w:tr>
        <w:trPr>
          <w:trHeight w:val="203"/>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116,828</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w:t>
            </w:r>
          </w:p>
        </w:tc>
      </w:tr>
      <w:tr>
        <w:trPr>
          <w:trHeight w:val="196"/>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655,931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656,078</w:t>
            </w:r>
          </w:p>
        </w:tc>
      </w:tr>
      <w:tr>
        <w:trPr>
          <w:trHeight w:val="228"/>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772,759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675,081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19,473</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17,578</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39"/>
        </w:trPr>
        <w:tc>
          <w:tcPr>
            <w:tcW w:w="85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 CONDENSED CONSOLIDATED BALANCE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8"/>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SHEETS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755,065</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675,081</w:t>
            </w:r>
          </w:p>
        </w:tc>
      </w:tr>
      <w:tr>
        <w:trPr>
          <w:trHeight w:val="21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in other current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Restricted cash in other long-term assets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772,759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675,081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441" w:right="5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80"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Company’s headquarters are located in San Francisco, California, and the Company has subsidiaries across North America, South America, Europe, Asia and Australia.</w:t>
      </w:r>
    </w:p>
    <w:p>
      <w:pPr>
        <w:spacing w:after="0" w:line="158"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1300" w:hanging="806"/>
        <w:spacing w:after="0"/>
        <w:tabs>
          <w:tab w:leader="none" w:pos="1300"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27, 2024 (“Annual Report”).</w:t>
      </w:r>
    </w:p>
    <w:p>
      <w:pPr>
        <w:spacing w:after="0" w:line="18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but may not include all disclosures including certain notes required by U.S. GAAP on an annual reporting basis.</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2024 or any future period.</w:t>
      </w:r>
    </w:p>
    <w:p>
      <w:pPr>
        <w:spacing w:after="0" w:line="172" w:lineRule="exact"/>
        <w:rPr>
          <w:sz w:val="20"/>
          <w:szCs w:val="20"/>
          <w:color w:val="auto"/>
        </w:rPr>
      </w:pPr>
    </w:p>
    <w:p>
      <w:pPr>
        <w:ind w:left="1300" w:hanging="806"/>
        <w:spacing w:after="0"/>
        <w:tabs>
          <w:tab w:leader="none" w:pos="13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Company and its wholly owned subsidiaries. All intercompany balances and transactions have been eliminated.</w:t>
      </w:r>
    </w:p>
    <w:p>
      <w:pPr>
        <w:spacing w:after="0" w:line="158" w:lineRule="exact"/>
        <w:rPr>
          <w:sz w:val="20"/>
          <w:szCs w:val="20"/>
          <w:color w:val="auto"/>
        </w:rPr>
      </w:pPr>
    </w:p>
    <w:p>
      <w:pPr>
        <w:ind w:left="1300" w:hanging="806"/>
        <w:spacing w:after="0"/>
        <w:tabs>
          <w:tab w:leader="none" w:pos="130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allocation of goodwill to reporting units; impairment assessments of goodwill and indefinite-lived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then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00" w:hanging="806"/>
        <w:spacing w:after="0"/>
        <w:tabs>
          <w:tab w:leader="none" w:pos="13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for contracts with durations of more than one year was $152.6 million as of June 30, 2024, of which 64% is expected to be recognized over the next 12 months and 93% is expected to be recognized over the next 24 months.</w:t>
      </w:r>
    </w:p>
    <w:p>
      <w:pPr>
        <w:spacing w:after="0" w:line="158" w:lineRule="exact"/>
        <w:rPr>
          <w:sz w:val="20"/>
          <w:szCs w:val="20"/>
          <w:color w:val="auto"/>
        </w:rPr>
      </w:pPr>
    </w:p>
    <w:p>
      <w:pPr>
        <w:ind w:left="1300" w:hanging="806"/>
        <w:spacing w:after="0"/>
        <w:tabs>
          <w:tab w:leader="none" w:pos="130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 and Customer Deposits</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Company recorded $138.7 million and $144.5 million as its deferred revenue and customer deposits, respectively. During the three months ended June 30, 2024 and 2023, the Company recognized $32.1 million and $27.2 million of revenue, respectively, that was included in the deferred revenue and customer deposits balances as of the end of the previous year. During the six months ended June 30, 2024 and 2023, the Company recognized $97.4 million and $98.6 million of revenue, respectively, that was included in the deferred revenue and customer deposits balances as of the end of the previous year.</w:t>
      </w:r>
    </w:p>
    <w:p>
      <w:pPr>
        <w:spacing w:after="0" w:line="179" w:lineRule="exact"/>
        <w:rPr>
          <w:sz w:val="20"/>
          <w:szCs w:val="20"/>
          <w:color w:val="auto"/>
        </w:rPr>
      </w:pPr>
    </w:p>
    <w:p>
      <w:pPr>
        <w:ind w:left="1300" w:hanging="806"/>
        <w:spacing w:after="0"/>
        <w:tabs>
          <w:tab w:leader="none" w:pos="13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primarily of cash, cash equivalents, restricted cash, marketable securities and accounts receivable. The Company maintains cash, cash equivalents, restricted cash and marketable securities with financial institutions. Certain balances held by such financial institutions exceed insured limits.</w:t>
      </w:r>
    </w:p>
    <w:p>
      <w:pPr>
        <w:spacing w:after="0" w:line="17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June 30, 2024, and December 31, 2023, the allowance for doubtful accounts was $37.2 million and $42.0 million, respectively, and is recorded in accounts receivable, net, in the accompanying condensed consolidated balance sheets.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three and six months ended June 30, 2024 and 2023, no customer organization accounted for more than 10% of the Company’s total revenue.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and December 31, 2023, no customer organization represented more than 10% of the Company’s gross accounts receivable.</w:t>
      </w:r>
    </w:p>
    <w:p>
      <w:pPr>
        <w:spacing w:after="0" w:line="221" w:lineRule="exact"/>
        <w:rPr>
          <w:sz w:val="20"/>
          <w:szCs w:val="20"/>
          <w:color w:val="auto"/>
        </w:rPr>
      </w:pPr>
    </w:p>
    <w:p>
      <w:pPr>
        <w:ind w:left="1300" w:hanging="806"/>
        <w:spacing w:after="0"/>
        <w:tabs>
          <w:tab w:leader="none" w:pos="13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restructuring expenses when (i) management commits to a restructuring plan, (ii) the restructuring plan identifies all significant actions, (iii) the period of time to complete the restructuring plan indicates that significant changes to the plan are not likely, and (iv) employees who are impacted have been notified of the pending involuntary termination.</w:t>
      </w:r>
    </w:p>
    <w:p>
      <w:pPr>
        <w:spacing w:after="0" w:line="176"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Company enacted workforce reduction plans in February 2023, December 2023 and March 2024. In the six months ended June 30, 2024, restructuring charges incurred and cash paid related to these plans were not significant. The estimated remaining expenses related to these plans are not expected to be significant.</w:t>
      </w:r>
    </w:p>
    <w:p>
      <w:pPr>
        <w:spacing w:after="0" w:line="172" w:lineRule="exact"/>
        <w:rPr>
          <w:sz w:val="20"/>
          <w:szCs w:val="20"/>
          <w:color w:val="auto"/>
        </w:rPr>
      </w:pPr>
    </w:p>
    <w:p>
      <w:pPr>
        <w:ind w:left="1300" w:hanging="806"/>
        <w:spacing w:after="0"/>
        <w:tabs>
          <w:tab w:leader="none" w:pos="130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Guidance, Not yet Adopted</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No.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is intended to improve reportable segment disclosures. The ASU expands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disclosures by requiring disclosure of significant segment expenses that are regularly provided to the Chief Operating Decision Maker (“CODM”) and included within each reported measure of segment profit or loss. It also requires disclosure of the amount and description of the composition of other segment items and interim disclosures of a reportable segment's profit or loss and assets. ASU 2023-07 is effective for fiscal years beginning after December 15, 2023, and interim periods within fiscal years beginning after December 15, 2024, with retrospective application required. Early adoption is permitted. The Company expects to adopt ASU 2023-07 upon its effective date. The adoption will require certain additional disclosure in the notes to the Company’s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 related disclosures. ASU 2023-09 is effective for annual periods beginning after December 15, 2024 and may be applied on a prospective basis. Early adoption is permitted. The Company expects to adopt ASU 2023-09 upon its effective date. The adoption will require certain additional disclosure in the notes to the Company’s consolidated financial statements.</w:t>
      </w:r>
    </w:p>
    <w:p>
      <w:pPr>
        <w:spacing w:after="0" w:line="181" w:lineRule="exact"/>
        <w:rPr>
          <w:sz w:val="20"/>
          <w:szCs w:val="20"/>
          <w:color w:val="auto"/>
        </w:rPr>
      </w:pPr>
    </w:p>
    <w:p>
      <w:pPr>
        <w:ind w:left="500" w:right="9020" w:hanging="492"/>
        <w:spacing w:after="0" w:line="532" w:lineRule="auto"/>
        <w:tabs>
          <w:tab w:leader="none" w:pos="19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i w:val="1"/>
          <w:iCs w:val="1"/>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provide the financial assets measured at fair value on a recurring basis: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10"/>
            <w:vMerge w:val="restart"/>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w w:val="95"/>
              </w:rPr>
              <w:t>Fair Value Hierarchy as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gridSpan w:val="10"/>
            <w:vMerge w:val="continue"/>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gridSpan w:val="4"/>
          </w:tcPr>
          <w:p>
            <w:pPr>
              <w:jc w:val="center"/>
              <w:ind w:right="180"/>
              <w:spacing w:after="0" w:line="91"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Cost or</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3"/>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Gross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3"/>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Losses More</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Losses Less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Than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51"/>
              <w:spacing w:after="0" w:line="129"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Than 12 Months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12 Months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8"/>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483,904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15,287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bills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68,383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480"/>
              <w:spacing w:after="0" w:line="119" w:lineRule="exact"/>
              <w:rPr>
                <w:sz w:val="20"/>
                <w:szCs w:val="20"/>
                <w:color w:val="auto"/>
              </w:rPr>
            </w:pPr>
            <w:r>
              <w:rPr>
                <w:rFonts w:ascii="Times New Roman" w:cs="Times New Roman" w:eastAsia="Times New Roman" w:hAnsi="Times New Roman"/>
                <w:sz w:val="13"/>
                <w:szCs w:val="13"/>
                <w:color w:val="auto"/>
              </w:rPr>
              <w:t>Total included in cash</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567,574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552,287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15,287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567,574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and cash equivalents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433,012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48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Non-U.S. government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8,787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1,926,309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1,907,712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1,918,522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debt securities</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2,368,108</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2,174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451,233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1,907,712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2,358,945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360"/>
              <w:spacing w:after="0" w:line="119" w:lineRule="exact"/>
              <w:rPr>
                <w:sz w:val="20"/>
                <w:szCs w:val="20"/>
                <w:color w:val="auto"/>
              </w:rPr>
            </w:pPr>
            <w:r>
              <w:rPr>
                <w:rFonts w:ascii="Times New Roman" w:cs="Times New Roman" w:eastAsia="Times New Roman" w:hAnsi="Times New Roman"/>
                <w:sz w:val="13"/>
                <w:szCs w:val="13"/>
                <w:color w:val="auto"/>
              </w:rPr>
              <w:t>Total marketable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2,370,226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2,174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453,351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1,907,712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2,361,063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2,937,800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1,005,638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1,922,999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10"/>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Fair Value Hierarchy as of</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Cost or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Losses More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Carrying</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3"/>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Unrealized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3"/>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Losses Less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Than</w:t>
            </w:r>
          </w:p>
        </w:tc>
        <w:tc>
          <w:tcPr>
            <w:tcW w:w="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jc w:val="right"/>
              <w:ind w:right="111"/>
              <w:spacing w:after="0" w:line="61" w:lineRule="exact"/>
              <w:rPr>
                <w:sz w:val="20"/>
                <w:szCs w:val="20"/>
                <w:color w:val="auto"/>
              </w:rPr>
            </w:pPr>
            <w:r>
              <w:rPr>
                <w:rFonts w:ascii="Times New Roman" w:cs="Times New Roman" w:eastAsia="Times New Roman" w:hAnsi="Times New Roman"/>
                <w:sz w:val="7"/>
                <w:szCs w:val="7"/>
                <w:b w:val="1"/>
                <w:bCs w:val="1"/>
                <w:color w:val="auto"/>
              </w:rPr>
              <w:t>Aggregate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Than 12 Months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12 Months</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8"/>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480" w:type="dxa"/>
            <w:vAlign w:val="bottom"/>
          </w:tcPr>
          <w:p>
            <w:pPr>
              <w:ind w:left="480"/>
              <w:spacing w:after="0" w:line="115" w:lineRule="exact"/>
              <w:rPr>
                <w:sz w:val="20"/>
                <w:szCs w:val="20"/>
                <w:color w:val="auto"/>
              </w:rPr>
            </w:pPr>
            <w:r>
              <w:rPr>
                <w:rFonts w:ascii="Times New Roman" w:cs="Times New Roman" w:eastAsia="Times New Roman" w:hAnsi="Times New Roman"/>
                <w:sz w:val="13"/>
                <w:szCs w:val="13"/>
                <w:color w:val="auto"/>
              </w:rPr>
              <w:t>Total included in cash</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and cash equivalents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auto"/>
              </w:rPr>
              <w:t>Non-U.S. government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83,576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2,859,071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2,857,697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debt securities</w:t>
            </w: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3,353,312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(8,796)</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510,156</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3,351,163</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48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Total marketable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3,358,213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(8,796)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515,057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3,356,064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3,766,909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923,753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3,764,760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Interest earned on debt securities was $23.5 million and $50.6 million in the three and six months ended June 30, 2024, respectively, and $16.7 million and $33.9 million in the three and six months ended June 30, 2023, respectively. The interest is recorded as other income, net, in the accompanying condensed consolidated statements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debt securities: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80" w:type="dxa"/>
            <w:vAlign w:val="bottom"/>
          </w:tcPr>
          <w:p>
            <w:pPr>
              <w:spacing w:after="0"/>
              <w:rPr>
                <w:sz w:val="18"/>
                <w:szCs w:val="18"/>
                <w:color w:val="auto"/>
              </w:rPr>
            </w:pPr>
          </w:p>
        </w:tc>
        <w:tc>
          <w:tcPr>
            <w:tcW w:w="244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5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top w:val="single" w:sz="8" w:color="auto"/>
              <w:bottom w:val="single" w:sz="8" w:color="auto"/>
            </w:tcBorders>
          </w:tcPr>
          <w:p>
            <w:pPr>
              <w:spacing w:after="0"/>
              <w:rPr>
                <w:sz w:val="18"/>
                <w:szCs w:val="18"/>
                <w:color w:val="auto"/>
              </w:rPr>
            </w:pPr>
          </w:p>
        </w:tc>
      </w:tr>
      <w:tr>
        <w:trPr>
          <w:trHeight w:val="157"/>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06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060" w:type="dxa"/>
            <w:vAlign w:val="bottom"/>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214"/>
        </w:trPr>
        <w:tc>
          <w:tcPr>
            <w:tcW w:w="5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5"/>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than one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802,685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1,448,256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1,434,149</w:t>
            </w: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 to three years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1,556,260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1,917,014</w:t>
            </w:r>
          </w:p>
        </w:tc>
      </w:tr>
      <w:tr>
        <w:trPr>
          <w:trHeight w:val="207"/>
        </w:trPr>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2,368,108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2,358,945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3,353,312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3,351,163</w:t>
            </w:r>
          </w:p>
        </w:tc>
      </w:tr>
      <w:tr>
        <w:trPr>
          <w:trHeight w:val="2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22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Company held strategic investments with a carrying value of $31.1 million and $30.7 million, respectively, recorded as other long-term assets in the accompanying condensed consolidated balance sheets. The carrying value of these securities is determined under the measurement alternative on a non-recurring basis and adjusted for observable changes in fair value or impairment. There were no significant impairments or adjustments recorded in the six months ended June 30, 2024 related to these investments. During the six months ended June 30, 2023, the Company recorded an impairment loss of $46.2 million related to one of these investments in other expenses, net, in the accompanying condensed consolidated statement of operations.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27"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that are measured at fair value on a recurring basis consist of foreign currency derivative liabilities and are classified as Level 2 financial instruments in the fair value hierarchy. As of June 30, 2024 and December 31, 2023, the aggregate fair value of these liabilities and the associated unrealized losses were not significant.</w:t>
      </w:r>
    </w:p>
    <w:p>
      <w:pPr>
        <w:spacing w:after="0" w:line="176"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that are not measured at fair value on a recurring basis are its Senior Notes due 2029 (“2029 Notes”) and its Senior Notes due 2031 (“2031 Notes”). As of June 30, 2024, the fair values of the 2029 Notes and 2031 Notes were $453.5 million and $443.3 million, respectively. As of December 31, 2023, the fair values of the 2029 Notes and 2031 Notes were $462.4 million and $452.3 million, respectively.</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6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gridSpan w:val="4"/>
          </w:tcPr>
          <w:p>
            <w:pPr>
              <w:jc w:val="right"/>
              <w:ind w:right="145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developments costs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297,655</w:t>
            </w:r>
          </w:p>
        </w:tc>
      </w:tr>
      <w:tr>
        <w:trPr>
          <w:trHeight w:val="216"/>
        </w:trPr>
        <w:tc>
          <w:tcPr>
            <w:tcW w:w="67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Data center equipment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104,543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92,315</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60,905</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14,639</w:t>
            </w:r>
          </w:p>
        </w:tc>
      </w:tr>
      <w:tr>
        <w:trPr>
          <w:trHeight w:val="21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584,615</w:t>
            </w:r>
          </w:p>
        </w:tc>
      </w:tr>
      <w:tr>
        <w:trPr>
          <w:trHeight w:val="216"/>
        </w:trPr>
        <w:tc>
          <w:tcPr>
            <w:tcW w:w="67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Less: accumulated depreciation and amortization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(415,972)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(374,976)</w:t>
            </w:r>
          </w:p>
        </w:tc>
      </w:tr>
      <w:tr>
        <w:trPr>
          <w:trHeight w:val="23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209,639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5" w:lineRule="exact"/>
        <w:rPr>
          <w:sz w:val="20"/>
          <w:szCs w:val="20"/>
          <w:color w:val="auto"/>
        </w:rPr>
      </w:pPr>
    </w:p>
    <w:p>
      <w:pPr>
        <w:ind w:right="500"/>
        <w:spacing w:after="0" w:line="231"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Data center equipment contains $72.4 million in assets held under finance leases as of June 30, 2024 and December 31, 2023. Accumulated depreciation and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amortization includes $62.7 million and $55.9 million of accumulated depreciation for assets held under finance leases as of June 30, 2024, and December 31, 2023, respectively.</w:t>
      </w:r>
    </w:p>
    <w:p>
      <w:pPr>
        <w:spacing w:after="0" w:line="20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$23.3 million and $24.3 million in the three months ended June 30, 2024 and 2023, respectively, and $47.2 million and $44.3 million in the six months ended June 30, 2024 and 2023, respectively.</w:t>
      </w:r>
    </w:p>
    <w:p>
      <w:pPr>
        <w:spacing w:after="0" w:line="121" w:lineRule="exact"/>
        <w:rPr>
          <w:sz w:val="20"/>
          <w:szCs w:val="20"/>
          <w:color w:val="auto"/>
        </w:rPr>
      </w:pPr>
    </w:p>
    <w:p>
      <w:pPr>
        <w:ind w:right="120" w:firstLine="486"/>
        <w:spacing w:after="0" w:line="245" w:lineRule="exact"/>
        <w:rPr>
          <w:sz w:val="20"/>
          <w:szCs w:val="20"/>
          <w:color w:val="auto"/>
        </w:rPr>
      </w:pPr>
      <w:r>
        <w:rPr>
          <w:rFonts w:ascii="Times New Roman" w:cs="Times New Roman" w:eastAsia="Times New Roman" w:hAnsi="Times New Roman"/>
          <w:sz w:val="18"/>
          <w:szCs w:val="18"/>
          <w:color w:val="auto"/>
        </w:rPr>
        <w:t>The Company capitalized $20.4 million and $14.8 million in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development costs in the three months ended June 30, 2024 and 2023, respectively, and $36.5 million and $29.0 million in the six months ended June 30, 2024 and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two operating and reportable segments: Twilio Communications (“Communications”) and Twilio Segment (“Segment”).</w:t>
      </w:r>
    </w:p>
    <w:p>
      <w:pPr>
        <w:spacing w:after="0" w:line="162"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Twilio Communications</w:t>
      </w:r>
      <w:r>
        <w:rPr>
          <w:rFonts w:ascii="Times New Roman" w:cs="Times New Roman" w:eastAsia="Times New Roman" w:hAnsi="Times New Roman"/>
          <w:sz w:val="18"/>
          <w:szCs w:val="18"/>
          <w:color w:val="auto"/>
        </w:rPr>
        <w:t>: The Communications reportable segment consists of a variety of application programming interfaces (“APIs”) and software solutions to optimize communications between Twilio customers and their end users. The key products from which the segment derives its revenue are Messaging, Voice, and Email and Marketing Campaigns.</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Twilio Segment</w:t>
      </w:r>
      <w:r>
        <w:rPr>
          <w:rFonts w:ascii="Times New Roman" w:cs="Times New Roman" w:eastAsia="Times New Roman" w:hAnsi="Times New Roman"/>
          <w:sz w:val="18"/>
          <w:szCs w:val="18"/>
          <w:color w:val="auto"/>
        </w:rPr>
        <w:t>: The Segment reportable segment consists of software products that enable businesses to achieve more effective customer engagement by providing the tools necessary for customers to build direct, personalized relationships with their end users. The key product from which the segment derives its revenue is Segment.</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Presented below is the discrete financial information by reportable segment for the three and six months ended June 30, 2024 and 2023, that is regularly reviewed by the CODM for performance assessment and resource allocation decisions. Prior period amounts were reclassified to conform to the current period’s presentation. Asset information is not presented below since it is not reviewed by the CODM on a segment by segment basis. Revenue, costs of revenue and operating expenses are generally directly attributable to each segment. Certain costs of revenue and operating expenses are allocated based on methodologies that best reflect the patterns of consumption of these costs. Corporate costs consist of costs that support company-wide processes and are managed on the company-wide level, and include costs related to corporate governance and communication, global brand awareness, information security, and certain legal, human resources, finance and accounting expenses.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22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4"/>
        </w:trPr>
        <w:tc>
          <w:tcPr>
            <w:tcW w:w="5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Communications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1,007,302</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964,535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1,979,308</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1,897,483</w:t>
            </w:r>
          </w:p>
        </w:tc>
      </w:tr>
      <w:tr>
        <w:trPr>
          <w:trHeight w:val="21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Segment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146,842</w:t>
            </w:r>
          </w:p>
        </w:tc>
      </w:tr>
      <w:tr>
        <w:trPr>
          <w:trHeight w:val="207"/>
        </w:trPr>
        <w:tc>
          <w:tcPr>
            <w:tcW w:w="5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1,082,502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1,037,761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2,129,552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2,044,325</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Communications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249,930</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192,524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498,940</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372,988</w:t>
            </w:r>
          </w:p>
        </w:tc>
      </w:tr>
      <w:tr>
        <w:trPr>
          <w:trHeight w:val="21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Segment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(36,196)</w:t>
            </w:r>
          </w:p>
        </w:tc>
      </w:tr>
      <w:tr>
        <w:trPr>
          <w:trHeight w:val="213"/>
        </w:trPr>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Corporate costs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(58,796)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(112,858)</w:t>
            </w:r>
          </w:p>
        </w:tc>
      </w:tr>
      <w:tr>
        <w:trPr>
          <w:trHeight w:val="234"/>
        </w:trPr>
        <w:tc>
          <w:tcPr>
            <w:tcW w:w="5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175,319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223,934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non-GAAP income (loss) from operations to loss from operations: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non-GAAP income from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175,319</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120,147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334,929</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223,934</w:t>
            </w:r>
          </w:p>
        </w:tc>
      </w:tr>
      <w:tr>
        <w:trPr>
          <w:trHeight w:val="21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(313,264)</w:t>
            </w: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(100,964)</w:t>
            </w:r>
          </w:p>
        </w:tc>
      </w:tr>
      <w:tr>
        <w:trPr>
          <w:trHeight w:val="21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w:t>
            </w: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net assets held for sale</w:t>
            </w: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w:t>
            </w:r>
          </w:p>
        </w:tc>
      </w:tr>
      <w:tr>
        <w:trPr>
          <w:trHeight w:val="21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Charitable contributions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w:t>
            </w:r>
          </w:p>
        </w:tc>
      </w:tr>
      <w:tr>
        <w:trPr>
          <w:trHeight w:val="21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(136,844)</w:t>
            </w:r>
          </w:p>
        </w:tc>
      </w:tr>
      <w:tr>
        <w:trPr>
          <w:trHeight w:val="21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(31,116)</w:t>
            </w:r>
          </w:p>
        </w:tc>
      </w:tr>
      <w:tr>
        <w:trPr>
          <w:trHeight w:val="212"/>
        </w:trPr>
        <w:tc>
          <w:tcPr>
            <w:tcW w:w="58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(141,827)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(405,911)</w:t>
            </w:r>
          </w:p>
        </w:tc>
      </w:tr>
      <w:tr>
        <w:trPr>
          <w:trHeight w:val="207"/>
        </w:trPr>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expenses, net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(91,204)</w:t>
            </w:r>
          </w:p>
        </w:tc>
      </w:tr>
      <w:tr>
        <w:trPr>
          <w:trHeight w:val="234"/>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(497,115)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 and Hedging</w:t>
      </w:r>
    </w:p>
    <w:p>
      <w:pPr>
        <w:spacing w:after="0" w:line="229" w:lineRule="exact"/>
        <w:rPr>
          <w:sz w:val="20"/>
          <w:szCs w:val="20"/>
          <w:color w:val="auto"/>
        </w:rPr>
      </w:pPr>
    </w:p>
    <w:p>
      <w:pPr>
        <w:ind w:right="440" w:firstLine="486"/>
        <w:spacing w:after="0" w:line="289" w:lineRule="auto"/>
        <w:rPr>
          <w:sz w:val="20"/>
          <w:szCs w:val="20"/>
          <w:color w:val="auto"/>
        </w:rPr>
      </w:pPr>
      <w:r>
        <w:rPr>
          <w:rFonts w:ascii="Times New Roman" w:cs="Times New Roman" w:eastAsia="Times New Roman" w:hAnsi="Times New Roman"/>
          <w:sz w:val="17"/>
          <w:szCs w:val="17"/>
          <w:color w:val="auto"/>
        </w:rPr>
        <w:t>As of June 30, 2024, the Company had outstanding foreign currency forward contracts designated as cash flow hedges with a total sell notional value of $186.1 million. The notional value represents the amount that will be sold upon maturity of the forward contract. As of June 30, 2024, these contracts had maturities of up to 17 months. Gains and losses associated with these foreign currency forward contracts were not significant.</w:t>
      </w:r>
    </w:p>
    <w:p>
      <w:pPr>
        <w:spacing w:after="0" w:line="15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June 30, 2024, the Company did not have any offsetting arrangements.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balance of the Company’s goodwill was $5.2 billion, of which $4.9 billion relates to the Communications reportable segment and $306.1 million relates to the Segment reportable segment. There was no goodwill activity during the six months ended June 30, 2024.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As of June 30, 2024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155,614</w:t>
            </w: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Order backlog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288,113</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2"/>
        </w:trPr>
        <w:tc>
          <w:tcPr>
            <w:tcW w:w="63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(548,126)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293,328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397,473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178,563</w:t>
            </w: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Order backlog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836,239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345,275</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0"/>
        </w:trPr>
        <w:tc>
          <w:tcPr>
            <w:tcW w:w="63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841,454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(490,964)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350,490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was $28.2 million and $50.2 million for the three months ended June 30, 2024 and 2023, respectively, and $57.2 million and $101.1 million for the six months ended June 30, 2024 and 2023, respectively.</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 of June 30, 2024</w:t>
            </w:r>
          </w:p>
        </w:tc>
      </w:tr>
      <w:tr>
        <w:trPr>
          <w:trHeight w:val="162"/>
        </w:trPr>
        <w:tc>
          <w:tcPr>
            <w:tcW w:w="20" w:type="dxa"/>
            <w:vAlign w:val="bottom"/>
          </w:tcPr>
          <w:p>
            <w:pPr>
              <w:spacing w:after="0"/>
              <w:rPr>
                <w:sz w:val="14"/>
                <w:szCs w:val="14"/>
                <w:color w:val="auto"/>
              </w:rPr>
            </w:pPr>
          </w:p>
        </w:tc>
        <w:tc>
          <w:tcPr>
            <w:tcW w:w="846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Year Ended December 31,</w:t>
            </w:r>
          </w:p>
        </w:tc>
        <w:tc>
          <w:tcPr>
            <w:tcW w:w="280" w:type="dxa"/>
            <w:vAlign w:val="bottom"/>
          </w:tcPr>
          <w:p>
            <w:pPr>
              <w:spacing w:after="0"/>
              <w:rPr>
                <w:sz w:val="14"/>
                <w:szCs w:val="14"/>
                <w:color w:val="auto"/>
              </w:rPr>
            </w:pPr>
          </w:p>
        </w:tc>
        <w:tc>
          <w:tcPr>
            <w:tcW w:w="2040" w:type="dxa"/>
            <w:vAlign w:val="bottom"/>
          </w:tcPr>
          <w:p>
            <w:pPr>
              <w:jc w:val="right"/>
              <w:ind w:right="680"/>
              <w:spacing w:after="0"/>
              <w:rPr>
                <w:sz w:val="20"/>
                <w:szCs w:val="20"/>
                <w:color w:val="auto"/>
              </w:rPr>
            </w:pPr>
            <w:r>
              <w:rPr>
                <w:rFonts w:ascii="Times New Roman" w:cs="Times New Roman" w:eastAsia="Times New Roman" w:hAnsi="Times New Roman"/>
                <w:sz w:val="14"/>
                <w:szCs w:val="14"/>
                <w:color w:val="auto"/>
              </w:rPr>
              <w:t>(In thousands)</w:t>
            </w: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(remaining six months)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54,880</w:t>
            </w: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107,862</w:t>
            </w: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42,149</w:t>
            </w: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25,330</w:t>
            </w: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19,055</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38,837</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6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4"/>
          </w:tcPr>
          <w:p>
            <w:pPr>
              <w:jc w:val="right"/>
              <w:ind w:right="133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related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77,593</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bonus and commission</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cost of revenue</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155,721</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other taxes payable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70,913</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 contributions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liability</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29,086</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costs payable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55,508</w:t>
            </w:r>
          </w:p>
        </w:tc>
      </w:tr>
      <w:tr>
        <w:trPr>
          <w:trHeight w:val="212"/>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424,311</w:t>
            </w:r>
          </w:p>
        </w:tc>
      </w:tr>
      <w:tr>
        <w:trPr>
          <w:trHeight w:val="21"/>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69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6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4"/>
          </w:tcPr>
          <w:p>
            <w:pPr>
              <w:jc w:val="right"/>
              <w:ind w:right="137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2029 Senior Notes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Unamortized discount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3"/>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2"/>
        </w:trPr>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carrying amount</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494,764</w:t>
            </w:r>
          </w:p>
        </w:tc>
      </w:tr>
      <w:tr>
        <w:trPr>
          <w:trHeight w:val="194"/>
        </w:trPr>
        <w:tc>
          <w:tcPr>
            <w:tcW w:w="69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2031 Senior Notes</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8"/>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Unamortized discount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07"/>
        </w:trPr>
        <w:tc>
          <w:tcPr>
            <w:tcW w:w="69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carrying amount</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494,540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494,189</w:t>
            </w:r>
          </w:p>
        </w:tc>
      </w:tr>
      <w:tr>
        <w:trPr>
          <w:trHeight w:val="237"/>
        </w:trPr>
        <w:tc>
          <w:tcPr>
            <w:tcW w:w="69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988,953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 Company was in compliance with all of its covenants under the related indentures.</w:t>
      </w: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by Geographic Area</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Revenue by geographic area is based on the IP address or the mailing address of the customer at the time of registration. The following table sets forth revenue by geographic area:</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by geographic area:</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706,451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692,646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1,392,978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1,354,736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689,589</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4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1,082,502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1,037,761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2,129,552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2,044,325</w:t>
            </w:r>
          </w:p>
        </w:tc>
        <w:tc>
          <w:tcPr>
            <w:tcW w:w="20" w:type="dxa"/>
            <w:vAlign w:val="bottom"/>
            <w:tcBorders>
              <w:bottom w:val="single" w:sz="8" w:color="auto"/>
            </w:tcBorders>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revenue by geographic area: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20" w:type="dxa"/>
            <w:vAlign w:val="bottom"/>
          </w:tcPr>
          <w:p>
            <w:pPr>
              <w:spacing w:after="0"/>
              <w:rPr>
                <w:sz w:val="19"/>
                <w:szCs w:val="19"/>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ind w:left="1300" w:hanging="806"/>
        <w:spacing w:after="0"/>
        <w:tabs>
          <w:tab w:leader="none" w:pos="130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and Other Commitments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for its facilities. In the three and six months ended June 30, 2024, the Company did not enter into any significant new lease agreements.</w:t>
      </w:r>
    </w:p>
    <w:p>
      <w:pPr>
        <w:spacing w:after="0" w:line="16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commitments with its cloud infrastructure provider, network service providers and other vendors. In the three and six months ended June 30, 2024, the Company entered into several such agreements with terms up to three years for a total purchase commitment of $25.6 million and $40.8 million, respectively.</w:t>
      </w:r>
    </w:p>
    <w:p>
      <w:pPr>
        <w:spacing w:after="0" w:line="172" w:lineRule="exact"/>
        <w:rPr>
          <w:sz w:val="20"/>
          <w:szCs w:val="20"/>
          <w:color w:val="auto"/>
        </w:rPr>
      </w:pPr>
    </w:p>
    <w:p>
      <w:pPr>
        <w:ind w:left="1300" w:hanging="806"/>
        <w:spacing w:after="0"/>
        <w:tabs>
          <w:tab w:leader="none" w:pos="130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accrues for contingencies when the Company believes that a loss is probable and that it can reasonably estimate the amount of any such loss.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 Significant judgment is required to determine the probability of a loss and to estimate the amount of any probable loss.</w:t>
      </w:r>
    </w:p>
    <w:p>
      <w:pPr>
        <w:spacing w:after="0" w:line="18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58" w:lineRule="exact"/>
        <w:rPr>
          <w:sz w:val="20"/>
          <w:szCs w:val="20"/>
          <w:color w:val="auto"/>
        </w:rPr>
      </w:pPr>
    </w:p>
    <w:p>
      <w:pPr>
        <w:ind w:left="1300" w:hanging="806"/>
        <w:spacing w:after="0"/>
        <w:tabs>
          <w:tab w:leader="none" w:pos="130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spacing w:after="0" w:line="207"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and December 31, 2023, no amounts were accrued related to any outstanding indemnification agreements.</w:t>
      </w:r>
    </w:p>
    <w:p>
      <w:pPr>
        <w:spacing w:after="0" w:line="221" w:lineRule="exact"/>
        <w:rPr>
          <w:sz w:val="20"/>
          <w:szCs w:val="20"/>
          <w:color w:val="auto"/>
        </w:rPr>
      </w:pPr>
    </w:p>
    <w:p>
      <w:pPr>
        <w:ind w:left="1300" w:hanging="806"/>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Taxes</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conducts operations in multiple tax jurisdictions within and outside of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8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spacing w:after="0" w:line="17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 liabilities recorded for the non-income-based taxes were $18.6 million for domestic jurisdictions and $20.2 million for jurisdictions outside of the United States. As of December 31, 2023, these liabilities were $18.0 million and $22.2 million, respectively.</w:t>
      </w:r>
    </w:p>
    <w:p>
      <w:pPr>
        <w:spacing w:after="0" w:line="158" w:lineRule="exact"/>
        <w:rPr>
          <w:sz w:val="20"/>
          <w:szCs w:val="20"/>
          <w:color w:val="auto"/>
        </w:rPr>
      </w:pPr>
    </w:p>
    <w:p>
      <w:pPr>
        <w:jc w:val="center"/>
        <w:ind w:left="500" w:right="9300" w:hanging="492"/>
        <w:spacing w:after="0" w:line="503" w:lineRule="auto"/>
        <w:tabs>
          <w:tab w:leader="none" w:pos="2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Preferred Stock</w:t>
      </w: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authorized 100,000,000 shares of preferred stock, par value $0.001, of which no shares were issued and outstanding.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authorized 1,000,000,000 shares of Class A common stock and 3,170,181 shares of Class B common stock, each with a par value of $0.001 per share. As of June 30, 2024, 164,150,089 shares of Class A common stock and no shares of Class B common stock were issued and outstanding.</w:t>
      </w:r>
    </w:p>
    <w:p>
      <w:pPr>
        <w:spacing w:after="0" w:line="17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authorized 1,000,000,000 shares of Class A common stock and 3,170,181 shares of Class B common stock, each with a par value of $0.001 per share. As of December 31, 2023, 181,945,771 shares of Class A common stock and no shares of Class B common stock were issued and outstanding.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02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1,529,641</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1,722,861</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issued and outstanding</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22,542,340</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18,755,538</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397,837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442,041</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awards available for grant under 2016 Plan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22,580,783</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19,869,260</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issuance pursuant to ESPP</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9,947,222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8,541,701</w:t>
            </w:r>
          </w:p>
        </w:tc>
      </w:tr>
      <w:tr>
        <w:trPr>
          <w:trHeight w:val="207"/>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56,997,823</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49,331,401</w:t>
            </w:r>
          </w:p>
        </w:tc>
      </w:tr>
      <w:tr>
        <w:trPr>
          <w:trHeight w:val="23"/>
        </w:trPr>
        <w:tc>
          <w:tcPr>
            <w:tcW w:w="70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5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February 2023, the board of directors of the Company authorized a repurchase of up to $1.0 billion in aggregate value of its outstanding Class A common stock through a share repurchase program. In March 2024, the board of directors of the Company authorized a second share repurchase program for an additional $2.0 billion in aggregate value of its outstanding Class A common stock. Repurchases under these programs can be made through open market, private transactions or other means, in compliance with applicable federal securities laws, and could include repurchases pursuant to Rule 10b5-1 trading plans. The Company has discretion in determining the conditions under which shares may be repurchased from time to time. Both programs expire on December 31, 2024.</w:t>
      </w:r>
    </w:p>
    <w:p>
      <w:pPr>
        <w:spacing w:after="0" w:line="214"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2024 and 2023, the Company repurchased 15.2 million and 6.4 million shares of its Class A common stock, respectively, for an aggregate purchase price of $898.6 million and $370.0 million, respectively. In the six months ended June 30, 2024 and 2023, the Company repurchased 21.4 million and 8.3 million shares of its Class A common stock, respectively, for an aggregate purchase price of $1.3 billion and $495.0 million, respectively. As of June 30, 2024, approximately $1.0 billion of the aggregate amount authorized under the stock repurchase programs remained available for future repurchases.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2016 Stock Option and Incentive Plan (the “2016 Plan”) provides for granting stock options, restricted stock units, restricted stock awards,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second quarter of 2024, the Company granted performance-based restricted stock units (“PSUs”) covering 516,626 shares that had an aggregate grant date fair value of $34.5 million to certain of its executive employees. The PSUs will vest if certain operational performance or market conditions, as defined in the grant agreements, are met during the performance achievement period, which expires on December 31, 2026. The fair value of the portion of the PSUs with an operational performance target equals the closing price of the Company’s Class A common stock on the date of grant. The expense is recognized on a straight-line basis and only if it is probable that the performance target will be achieved during the performance period. The probability of achievement is assessed each reporting period and adjustments are recorded accordingly. The fair value of the portion of the PSUs with market conditions was determined using a Monte-Carlo simulation model and the expense is recognized on a straight-line basis over the performance achievement period. At the end of the vesting period the number of shares actually issued may range from 0% to 200% of the target based on levels of performance.</w:t>
      </w:r>
    </w:p>
    <w:p>
      <w:pPr>
        <w:spacing w:after="0" w:line="18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total unrecognized compensation cost related to unvested restricted stock units was $1.5 billion which will be amortized over a weighted-average period of 2.9 years. As of June 30, 2024, total unrecognized compensation cost related to unvested stock options, the ESPP, and shares of Class A common stock in escrow subject to future vesting was not significant.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total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4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09"/>
        </w:trPr>
        <w:tc>
          <w:tcPr>
            <w:tcW w:w="5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11,624</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152,669</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90,998</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57,973</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w:t>
            </w:r>
          </w:p>
        </w:tc>
      </w:tr>
      <w:tr>
        <w:trPr>
          <w:trHeight w:val="207"/>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147,657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153,094</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306,263</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323,893</w:t>
            </w:r>
          </w:p>
        </w:tc>
      </w:tr>
      <w:tr>
        <w:trPr>
          <w:trHeight w:val="23"/>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 Attributable to Common Stockholders</w:t>
      </w:r>
    </w:p>
    <w:p>
      <w:pPr>
        <w:spacing w:after="0" w:line="229"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attributable to common stockholders during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4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 (in thousands)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Weighted-average shares used to compute net loss per share attributable to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170,222,104</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183,490,982</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175,613,672</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184,926,875</w:t>
            </w:r>
          </w:p>
        </w:tc>
        <w:tc>
          <w:tcPr>
            <w:tcW w:w="0" w:type="dxa"/>
            <w:vAlign w:val="bottom"/>
          </w:tcPr>
          <w:p>
            <w:pPr>
              <w:spacing w:after="0"/>
              <w:rPr>
                <w:sz w:val="1"/>
                <w:szCs w:val="1"/>
                <w:color w:val="auto"/>
              </w:rPr>
            </w:pPr>
          </w:p>
        </w:tc>
      </w:tr>
      <w:tr>
        <w:trPr>
          <w:trHeight w:val="189"/>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stockholders, basic and diluted</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52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1"/>
        </w:trPr>
        <w:tc>
          <w:tcPr>
            <w:tcW w:w="87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1,907,102</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issued and outstanding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22,542,340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22,092,462</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486,245</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committed under ESPP</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251,810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396,717</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 and restricted stock awards subject to future vesting</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15,936</w:t>
            </w:r>
          </w:p>
        </w:tc>
      </w:tr>
      <w:tr>
        <w:trPr>
          <w:trHeight w:val="237"/>
        </w:trPr>
        <w:tc>
          <w:tcPr>
            <w:tcW w:w="8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24,725,399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24,929,965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historically computed its provision for income taxes for interim periods using an estimated annual effective tax rate (“AETR”) based on anticipated annual pretax income or loss, which was adjusted for discrete items recorded in the period. However, due to the level of forecasted provision for income taxes relative to the forecasted pre-tax income used in computing the effective tax rate, the effective tax rate is highly sensitive to fluctuations in pre-tax income and does not provide a reasonable estimate for income taxes in the interim period. As such, the Company computed its provision for income taxes based on the year-to-date actual effective tax rate for the three and six months ended June 30, 2024. The Company plans to revert to applying a forecasted annual effective tax rate to year-to-date earnings and adjusting for discrete items once that method produces more reasonable results. The primary difference between the Company’s effective tax rate and the federal statutory rate is the full valuation allowance the Company has established on its federal, state and certain foreign net operating losses and credits.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recorded in the three months ended June 30, 2024 consists primarily of federal, state and foreign income taxes and withholding taxes in foreign jurisdictions in which the Company conducts business. The provision for income taxes recorded in the six months ended June 30, 2024 consists primarily of the same factors and also income tax expense from a foreign audit settlement.</w:t>
      </w:r>
    </w:p>
    <w:p>
      <w:pPr>
        <w:spacing w:after="0" w:line="176"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The provision for income taxes recorded in the three and six months ended June 30, 2023 consists primarily of income taxes and withholding taxes, partially offset by an income tax benefit from the release of tax liabilities related to uncertain tax positions for which the statute of limitation had lapsed.</w:t>
      </w:r>
    </w:p>
    <w:p>
      <w:pPr>
        <w:spacing w:after="0" w:line="140"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and various other state and foreign jurisdictions. Because the Company has net operating loss carryforwards for U.S. federal and state jurisdictions, the statute of limitations is open for all tax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six months ended June 30, 2024, the value of the transactions that occurred between the Company and Syniverse were $35.2 million and $69.2 million, respectively. For the three and six months ended June 30, 2023, the value of the transactions that occurred between the Company and Syniverse were $37.3 million and $70.3 million, respectively. These transactions were recorded as cost of revenue in the accompanying condensed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uncertainties and significant market volatility in the global economy on our customers, partners, employees and business;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expectations regarding our revenue, revenue growth, cost of revenue, gross profit, gross margin and operating expenses, our ability to generate positive cash flow and ability to achieve and sustain profitability on GAAP and non-GAAP bases, the factors affecting our results of operations, the timing of future expenses, the end dates for certain types of expenses, and the assumptions underlying such expectations;</w:t>
      </w:r>
    </w:p>
    <w:p>
      <w:pPr>
        <w:spacing w:after="0" w:line="179"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efficiencies we expect to derive from workforce reductions and other cost-saving initiatives, including reducing our global office footprint and stock-based compensation expense;</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unit reorganization, including its expected costs and benefits, related accounting determinations and the shift in our segment reporting structure, and changes to our leadership structure;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corporate culture, and employees as a result of our leadership transition;</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Communications business, including anticipated efficiencies and strategy for streamlining the customer experience, including increased focus on self-service capabilities;</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Segment business, including the targets set as a result of our operational review of Segment, new product releases, increased investment and go-to-market focus to capture market share, and increased revenue growth;</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revenue from existing customers and attract new customers, including enterprises and international organizations;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reliable service levels for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sales and marketing, research and development and additional systems and processes to support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results of our foreign currency hedging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harm caused by compromises in security, data and infrastructure, including cybersecurity protections;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industry standards, laws and regulations applying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progress on our environmental, social and governance (“ESG”) programs, goals and commitments;</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in network service provider fees that we pay in connection with the delivery of communications on our platform;</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right="7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required to prevent, detect and remediate potential cybersecurity threats, incidents and breaches of ours or our customers’ systems or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network service provider coverage and connectivity;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closely with email inbox service providers to maintain deliverability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expected results from changes in our relationships with our larger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form and expand partnerships with technology partners and consulting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such as the use of and demand for cloud communications and customer engagement tools;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artificial intelligence (“AI”) and machine learning (“ML”) and develop and deliver products that incorporate AI and ML and our expectations about CustomerAI and its potential;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into new markets and manage our international expansion;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share repurchase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the interest on our 3.625% senior notes due 2029 (“2029 Notes”) and on our 3.875% notes due 2031 (“2031 Notes,” and together with the 2029 Notes, the “Notes”), and repay such Notes;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other platform users’ violation of our policies or other misuse of our platform; and</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benefits of our past or future strategic acquisitions, divestitures or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audited consolidated financial statements included in our Annual Report on Form 10-K for the year ended December 31, 2023, filed with the SEC on February 27, 2024.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enable businesses of all sizes to revolutionize how they engage with their customers by delivering seamless, trusted and personalized customer experiences at scale. Our leading customer engagement platform comprises communications APIs that enable developers to embed numerous forms of messaging, voice, and email interactions into their customer-facing applications, as well as software products that target specific engagement needs, including our customer data platform, digital engagement centers, marketing campaigns and advanced account security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The value proposition of our offerings has become stronger and our products have become more strategic to our customers as more and more businesses have prioritized building more personalized and more differentiated customer engagement experiences through digital channels.</w:t>
      </w:r>
    </w:p>
    <w:p>
      <w:pPr>
        <w:spacing w:after="0" w:line="19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operate our business in two business units: Communications and Segment. Our Communications business consists of a variety of APIs and software solutions to optimize communications between our customers and their end users. Our key Communications offerings include Messaging, Voice, Flex, Email and Marketing Campaigns, and User Identity and Authentication. Our Segment business consists of software products that enable businesses to leverage their first-party data to create unique customer profiles and achieve more effective customer engagement. Together, our Communications and Segment products power our customer engagement platform. We believe that our two business units are complementary and address adjacent needs and related problems for our customers. Our goal is to create a flywheel for effective customer engagement by combining Segment’s user profiles with our rich Communications data to drive more personalized and intelligent customer interactions. We believe that our business unit structure enables each business unit to execute toward its respective goals with appropriate focus and independence, best positioning us to achieve our long-term plan of creating the leading customer engagement platform.</w:t>
      </w:r>
    </w:p>
    <w:p>
      <w:pPr>
        <w:spacing w:after="0" w:line="18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2023, we revealed CustomerAI, our predictive and generative AI layer, which couples the power of large language models with the rich customer data that flows through our Customer Engagement Platform to help brands unlock enhanced consumer experiences. We believe that our CustomerAI capabilities and initiatives have the potential to increase the power and reach of our platform, make every interaction between our customers and their end users more personalized and intelligent, and accelerate our data and communications flywheel described above, benefiting both our Communications and Segment products.</w:t>
      </w:r>
    </w:p>
    <w:p>
      <w:pPr>
        <w:spacing w:after="0" w:line="21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2024 and 2023, our revenue was $1.08 billion and $1.04 billion, respectively, and our net loss was $31.9 million and $166.2 million, respectively. In the three months ended June 30, 2024 and 2023, our 10 largest Active Customer Accounts generated an aggregate of 10% and 11% of our total revenue,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are focused on profitable growth. To increase revenue and grow market share, we intend to drive product innovation, leverage predictive and generative AI, further enhance our ISV, reseller and other partner relationships, improve our self-service capabilities, cross-sell our products, expand internationally, enhance Segment data warehouse interoperability and reduce time to value for Segment. We also intend to optimize our business and take measures to reduce costs, including simplifying and further automating our business processes, modernizing our infrastructure, focusing on self-service, leveraging AI, and implementing other initiatives targeted at improving efficiencies in our business.</w:t>
      </w:r>
    </w:p>
    <w:p>
      <w:pPr>
        <w:spacing w:after="0" w:line="18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w:t>
      </w:r>
    </w:p>
    <w:p>
      <w:pPr>
        <w:spacing w:after="0" w:line="176" w:lineRule="exact"/>
        <w:rPr>
          <w:sz w:val="20"/>
          <w:szCs w:val="20"/>
          <w:color w:val="auto"/>
        </w:rPr>
      </w:pPr>
    </w:p>
    <w:p>
      <w:pPr>
        <w:ind w:right="320" w:firstLine="486"/>
        <w:spacing w:after="0" w:line="220" w:lineRule="exact"/>
        <w:rPr>
          <w:sz w:val="20"/>
          <w:szCs w:val="20"/>
          <w:color w:val="auto"/>
        </w:rPr>
      </w:pPr>
      <w:r>
        <w:rPr>
          <w:rFonts w:ascii="Times New Roman" w:cs="Times New Roman" w:eastAsia="Times New Roman" w:hAnsi="Times New Roman"/>
          <w:sz w:val="17"/>
          <w:szCs w:val="17"/>
          <w:color w:val="auto"/>
        </w:rPr>
        <w:t>Our gross margin is impacted by a number of factors, including the timing and extent of our investments in our operations; our product mix; our ability to manage our cloud infrastructure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and network service provider fees, including A2P SMS fees; the mix of U.S. messaging termination compared to international messaging termination (which has lower gross margins); changes in foreign exchange rates; the timing of amortization of capitalized software development costs and acquired intangibles; and the extent to which we periodically choose to adjust prices of our products.</w:t>
      </w:r>
    </w:p>
    <w:p>
      <w:pPr>
        <w:spacing w:after="0" w:line="20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gross profit is impacted by our product mix. Our cost of revenue and gross profit are also impacted by changes in hosting fees and network service providers’ fees and our ability to pass these costs through to our customers. We also experience seasonal trends due to increased consumer activity in the fourth quarter, which may result in lower sequential revenue in the first quarter.</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winding down the software component of our Zipwhip business in 2024, which we expect will negatively impact revenue growth rates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are also migrating part of Segment’s architecture to a new infrastructure provider in 2024, which we expect will allow us to recognize greater operational efficiency and scale up new AI-driven products and features. We expect this migration will take several quarters and result in overlapping expenses with our original and new vendors for much of 2024, which we expect to negatively impact Segment gross margins until we complete the migration. We expect to complete the migration by the end of 2024.</w:t>
      </w:r>
    </w:p>
    <w:p>
      <w:pPr>
        <w:spacing w:after="0" w:line="18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expect our prior workforce restructurings to reduce our operating expenses in future periods. We also expect that the new cash bonus program that we introduced in 2024 to reduce or eliminate our use of equity compensation for certain employees will continue to increase our expenses in future periods.</w:t>
      </w:r>
    </w:p>
    <w:p>
      <w:pPr>
        <w:spacing w:after="0" w:line="176"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In February 2023, one of our customers, Oi SA, a Brazilian telecom company, initiated reorganization proceedings in a Brazilian bankruptcy court and exposed us to risks on collections of pre-petition receivables and ongoing revenue. In April 2024, the creditors of Oi SA approved a Judicial Reorganization Plan (the “Oi Reorganization Plan”) that aims to ensure Oi SA’s operational feasibility and continuity of activities and further provides extended and discounted payment terms for pre-petition receivables. The Oi Reorganization Plan was subsequently ratified by the Brazilian bankruptcy court and contains contingencies including but not limited to Oi SA’s completion of financing by July 16, 2024, which was subsequently extended to August 8, 2024. As of June 30, 2024, we have $6.4 million in pre-petition accounts receivable (net of $8.8 million in reserves) and $13.1 million in post-petition accounts receivable due from Oi SA. The customer has been making regular payments on post-petition receivables. If Oi SA fails to comply with its obligations under the Oi Reorganization Plan, if the contingencies contained in the Oi Reorganization Plan are not timely resolved, or if the customer ceases to make payment on post-petition receivables, we may incur additional bad debt expense or reductions in revenue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year-over-year revenue growth and Dollar-Based Net Expansion Rate for the three months ended June 30, 2024 and 2023, and the number of Active Customer Accounts as of June 30, 2024 and 2023.</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9"/>
                <w:szCs w:val="19"/>
                <w:color w:val="auto"/>
              </w:rPr>
            </w:pPr>
          </w:p>
        </w:tc>
      </w:tr>
      <w:tr>
        <w:trPr>
          <w:trHeight w:val="211"/>
        </w:trPr>
        <w:tc>
          <w:tcPr>
            <w:tcW w:w="7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 Accounts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304,000</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(in thousands)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1,082,502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1,037,761</w:t>
            </w:r>
          </w:p>
        </w:tc>
      </w:tr>
      <w:tr>
        <w:trPr>
          <w:trHeight w:val="21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Revenue Growth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Dollar-Based Net Expansion Rate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r>
    </w:tbl>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Active Customer Accounts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Quarterly Report on Form 10-Q, (i) the number of Active Customer Accounts is rounded down to the nearest thousand, (ii) the number of Communications Active Customer Accounts is rounded down to the nearest thousand, and (iii) the number of Segment Active Customer Accounts is rounded down to the nearest hundred.</w:t>
      </w:r>
    </w:p>
    <w:p>
      <w:pPr>
        <w:spacing w:after="0" w:line="18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months ended June 30, 2024 and 2023, revenue from Active Customer Accounts represented over 99% of total revenue in each period.</w:t>
      </w:r>
    </w:p>
    <w:p>
      <w:pPr>
        <w:spacing w:after="0" w:line="143"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Expansion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-43815</wp:posOffset>
            </wp:positionV>
            <wp:extent cx="6413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quarter ended June 30, 2024, our Dollar-Based Net Expansion Rate excludes the contributions from any acquisitions made after April 1, 2023. Revenue from divestitures does not impact the Dollar-Based Net Expansion Rate calculation beginning in the quarter the divestiture closed, unless the divestiture closing date is the last day of a quarter. As a result, for the quarter ended June 30, 2024, our Dollar-Based Net Expansion Rate excludes the contributions from any divestitures made after June 30, 2023. Communications Dollar-Based Net Expansion Rate and Segment Dollar-Based Net Expansion Rate are calculated using the same methodology, but using only revenue attributable to the respective segment and Active Customer Accounts and customer accounts from Zipwhip for that respective segment.</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recognize revenue from our products on either a usage basis or a subscription basis, depending on the nature of the product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customer contract. Our reportable segments contain products that may follow either revenue recognition model.</w:t>
      </w:r>
    </w:p>
    <w:p>
      <w:pPr>
        <w:spacing w:after="0" w:line="160"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The majority of our Communications reportable segment revenue is derived from usage-based fees. The usage-based fees are earned when customers access our cloud-based platform and start using the products. Some examples of our usage-based products are Messaging and Voice. For Messaging products, we primarily charge fees related to the number of text messages sent or received. For Voice products, we primarily charge fees for minutes of call duration. Some examples of the subscription-based Communications products are Email, Marketing Campaigns and Flex. For these products we recognize revenue evenly over the contract term.</w:t>
      </w:r>
    </w:p>
    <w:p>
      <w:pPr>
        <w:spacing w:after="0" w:line="18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Segment reportable segment revenue is derived from Segment products that are subscription-based. For these products we recognize revenue evenly over the contract term. When our usage-based products are embedded into our subscription-based products, we charge for each product separately on a usage or subscription basis, respectively, and record the revenue in the reportable segment in which each product resides.</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Most of our usage-based customers gain access to our products and solutions through our e-commerce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each of the three months ended June 30, 2024 and 2023, we generated 71% of our revenue from usage-based fees.</w:t>
      </w:r>
    </w:p>
    <w:p>
      <w:pPr>
        <w:spacing w:after="0" w:line="187" w:lineRule="exact"/>
        <w:rPr>
          <w:sz w:val="20"/>
          <w:szCs w:val="20"/>
          <w:color w:val="auto"/>
        </w:rPr>
      </w:pPr>
    </w:p>
    <w:p>
      <w:pPr>
        <w:jc w:val="both"/>
        <w:ind w:right="280" w:firstLine="486"/>
        <w:spacing w:after="0" w:line="232" w:lineRule="exact"/>
        <w:rPr>
          <w:sz w:val="20"/>
          <w:szCs w:val="20"/>
          <w:color w:val="auto"/>
        </w:rPr>
      </w:pPr>
      <w:r>
        <w:rPr>
          <w:rFonts w:ascii="Times New Roman" w:cs="Times New Roman" w:eastAsia="Times New Roman" w:hAnsi="Times New Roman"/>
          <w:sz w:val="18"/>
          <w:szCs w:val="18"/>
          <w:color w:val="auto"/>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each of the three months ended June 30, 2024 and 2023, we generated 29% of our revenue from non-usage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fees.</w:t>
      </w:r>
    </w:p>
    <w:p>
      <w:pPr>
        <w:spacing w:after="0" w:line="17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7" w:lineRule="exact"/>
        <w:rPr>
          <w:sz w:val="20"/>
          <w:szCs w:val="20"/>
          <w:color w:val="auto"/>
        </w:rPr>
      </w:pPr>
    </w:p>
    <w:p>
      <w:pPr>
        <w:ind w:right="4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consists primarily of fees paid to network service providers. Cost of revenue also includes cloud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our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 of these costs.</w:t>
      </w:r>
    </w:p>
    <w:p>
      <w:pPr>
        <w:spacing w:after="0" w:line="19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represents revenue less cost of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60" w:firstLine="486"/>
        <w:spacing w:after="0" w:line="239" w:lineRule="exact"/>
        <w:rPr>
          <w:sz w:val="20"/>
          <w:szCs w:val="20"/>
          <w:color w:val="auto"/>
        </w:rPr>
      </w:pPr>
      <w:r>
        <w:rPr>
          <w:rFonts w:ascii="Times New Roman" w:cs="Times New Roman" w:eastAsia="Times New Roman" w:hAnsi="Times New Roman"/>
          <w:sz w:val="18"/>
          <w:szCs w:val="18"/>
          <w:color w:val="auto"/>
        </w:rPr>
        <w:t>The most significant components of operating expenses are personnel costs, which consist of salaries, benefits, sales commissions and bonuses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We also incur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related to our general overhead expenses.</w:t>
      </w:r>
    </w:p>
    <w:p>
      <w:pPr>
        <w:spacing w:after="0" w:line="16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personnel costs, outsourced engineering services,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consumptions of these costs. A small percentage of research and development costs, such as costs related to digital architecture and information security, are not allocated to segments because they support company-wide processes and are managed on a company-wide level.</w:t>
      </w:r>
    </w:p>
    <w:p>
      <w:pPr>
        <w:spacing w:after="0" w:line="185"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are focusing our research and development investment in the highest impact product areas for our future. We are investing strategically in alignment with our focus on building a trusted, leading customer engagement platform.</w:t>
      </w:r>
    </w:p>
    <w:p>
      <w:pPr>
        <w:spacing w:after="0" w:line="1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including commissions and bonuses to our sales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 of these costs. A small percentage of sales and marketing costs, such as costs related to corporate communications and global brand awareness, are not allocated to segments because they support company-wide processes and are managed on a company-wide level.</w:t>
      </w:r>
    </w:p>
    <w:p>
      <w:pPr>
        <w:spacing w:after="0" w:line="185"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We focus our sales and marketing efforts on generating awareness of our company, platform and products, creating sales leads, expanding relationships with existing customers and establishing and promoting our brand, both domestically and internationally.</w:t>
      </w:r>
    </w:p>
    <w:p>
      <w:pPr>
        <w:spacing w:after="0" w:line="160"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personnel costs for our accounting, finance, legal,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 of these costs. A significant portion of general and administrative costs, such as costs related to corporate governance, and certain legal, human resources, finance and accounting functions, support company-wide processes and are managed on a company-wide level and, therefore, are considered corporate costs and are not allocated to segments.</w:t>
      </w:r>
    </w:p>
    <w:p>
      <w:pPr>
        <w:spacing w:after="0" w:line="185"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We expect that we will incur costs associated with supporting the growth of our business. We may also incur higher than usual losses related to deterioration of quality of certain financial assets caused by macroeconomic conditions.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consist primarily of personnel costs, such as employee severance payments, benefits and certain facilitation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our workforce reductions. Restructuring costs also include stock-based compensation expense related to vesting of stock-based awards of the impacted employees.</w:t>
      </w:r>
    </w:p>
    <w:p>
      <w:pPr>
        <w:spacing w:after="0" w:line="173" w:lineRule="exact"/>
        <w:rPr>
          <w:sz w:val="20"/>
          <w:szCs w:val="20"/>
          <w:color w:val="auto"/>
        </w:rPr>
      </w:pPr>
    </w:p>
    <w:p>
      <w:pPr>
        <w:ind w:right="4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Impairment of long-lived assets consists of impairment of intangible assets and certain operating right-of-use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the associated leasehold improvements and property and equipment when the carrying amounts exceed their respective fair values.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other expenses, net consist primarily of our share of losses from our equity method investment, impairment charges and gains and losses related to our strategic investments and marketable securities, including interest income; and debt-related costs, including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income taxes consists primarily of federal, state and foreign income taxes and withholding taxes in foreign jurisdictions in which the Company conducts business.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primary difference between our effective tax rate and the federal statutory rate relates to the valuation allowance the Company established on the federal, state and certain foreign net operating losses and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8" w:lineRule="exact"/>
        <w:rPr>
          <w:sz w:val="20"/>
          <w:szCs w:val="20"/>
          <w:color w:val="auto"/>
        </w:rPr>
      </w:pPr>
    </w:p>
    <w:p>
      <w:pPr>
        <w:ind w:right="20" w:firstLine="486"/>
        <w:spacing w:after="0" w:line="225" w:lineRule="exact"/>
        <w:rPr>
          <w:sz w:val="20"/>
          <w:szCs w:val="20"/>
          <w:color w:val="auto"/>
        </w:rPr>
      </w:pPr>
      <w:r>
        <w:rPr>
          <w:rFonts w:ascii="Times New Roman" w:cs="Times New Roman" w:eastAsia="Times New Roman" w:hAnsi="Times New Roman"/>
          <w:sz w:val="18"/>
          <w:szCs w:val="18"/>
          <w:color w:val="auto"/>
        </w:rPr>
        <w:t>We use the following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 We believe that this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may be helpful to investors because it provides consistency and comparability with past financial performance, facilitates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results of operations and assists in comparisons with other companies, many of which use similar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used by other companies. Whenever we use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GAAP financial measures.</w:t>
      </w:r>
    </w:p>
    <w:p>
      <w:pPr>
        <w:spacing w:after="0" w:line="134"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Profit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-43815</wp:posOffset>
            </wp:positionV>
            <wp:extent cx="6413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780" w:firstLine="486"/>
        <w:spacing w:after="0" w:line="245"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profit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margin as GAAP gross profit and GAAP gross margin, respectively, adjusted to exclude, as applicable, certain expenses as presented in the table below:</w:t>
      </w:r>
    </w:p>
    <w:p>
      <w:pPr>
        <w:spacing w:after="0" w:line="336"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7"/>
                <w:szCs w:val="17"/>
                <w:color w:val="auto"/>
              </w:rPr>
            </w:pPr>
          </w:p>
        </w:tc>
        <w:tc>
          <w:tcPr>
            <w:tcW w:w="1800" w:type="dxa"/>
            <w:vAlign w:val="bottom"/>
            <w:gridSpan w:val="3"/>
          </w:tcPr>
          <w:p>
            <w:pPr>
              <w:jc w:val="cente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555,845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505,755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6,334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29,669</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Non-GAAP gross profit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577,313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541,881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Non-GAAP 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firstLine="486"/>
        <w:spacing w:after="0" w:line="245"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expenses (including categories of operating expenses) as GAAP operating expenses (and categories of operating expenses) adjusted to exclude, as applicable, certain expenses as presented in the table below:</w:t>
      </w:r>
    </w:p>
    <w:p>
      <w:pPr>
        <w:spacing w:after="0" w:line="336"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6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09"/>
        </w:trPr>
        <w:tc>
          <w:tcPr>
            <w:tcW w:w="6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20" w:type="dxa"/>
            <w:vAlign w:val="bottom"/>
          </w:tcPr>
          <w:p>
            <w:pPr>
              <w:spacing w:after="0"/>
              <w:rPr>
                <w:sz w:val="17"/>
                <w:szCs w:val="17"/>
                <w:color w:val="auto"/>
              </w:rPr>
            </w:pPr>
          </w:p>
        </w:tc>
        <w:tc>
          <w:tcPr>
            <w:tcW w:w="1700" w:type="dxa"/>
            <w:vAlign w:val="bottom"/>
            <w:gridSpan w:val="3"/>
          </w:tcPr>
          <w:p>
            <w:pPr>
              <w:jc w:val="center"/>
              <w:ind w:left="600"/>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tcPr>
          <w:p>
            <w:pPr>
              <w:spacing w:after="0"/>
              <w:rPr>
                <w:sz w:val="17"/>
                <w:szCs w:val="17"/>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647,582</w:t>
            </w:r>
          </w:p>
        </w:tc>
      </w:tr>
      <w:tr>
        <w:trPr>
          <w:trHeight w:val="21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(146,464)</w:t>
            </w:r>
          </w:p>
        </w:tc>
      </w:tr>
      <w:tr>
        <w:trPr>
          <w:trHeight w:val="21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(20,521)</w:t>
            </w:r>
          </w:p>
        </w:tc>
      </w:tr>
      <w:tr>
        <w:trPr>
          <w:trHeight w:val="21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r>
      <w:tr>
        <w:trPr>
          <w:trHeight w:val="21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net assets held for sale</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(28,453)</w:t>
            </w:r>
          </w:p>
        </w:tc>
      </w:tr>
      <w:tr>
        <w:trPr>
          <w:trHeight w:val="21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r>
      <w:tr>
        <w:trPr>
          <w:trHeight w:val="21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w:t>
            </w:r>
          </w:p>
        </w:tc>
      </w:tr>
      <w:tr>
        <w:trPr>
          <w:trHeight w:val="21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r>
      <w:tr>
        <w:trPr>
          <w:trHeight w:val="237"/>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421,734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Income from Operations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-43815</wp:posOffset>
            </wp:positionV>
            <wp:extent cx="6413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2"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income from operations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margin as GAAP income (loss) from operations and GAAP operating margin, respectively, adjusted to exclude, as applicable, certain expenses as presented in the table below:</w:t>
      </w:r>
    </w:p>
    <w:p>
      <w:pPr>
        <w:spacing w:after="0" w:line="337"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5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7"/>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7"/>
                <w:szCs w:val="17"/>
                <w:color w:val="auto"/>
              </w:rPr>
            </w:pPr>
          </w:p>
        </w:tc>
        <w:tc>
          <w:tcPr>
            <w:tcW w:w="1800" w:type="dxa"/>
            <w:vAlign w:val="bottom"/>
            <w:gridSpan w:val="3"/>
          </w:tcPr>
          <w:p>
            <w:pPr>
              <w:jc w:val="cente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tcPr>
          <w:p>
            <w:pPr>
              <w:spacing w:after="0"/>
              <w:rPr>
                <w:sz w:val="17"/>
                <w:szCs w:val="17"/>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loss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(19,037)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(141,827)</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147,657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152,798</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50,190</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3,097</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net assets held for sale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28,453</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6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2,155</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1,047</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6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14,902</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9,332</w:t>
            </w:r>
          </w:p>
        </w:tc>
      </w:tr>
      <w:tr>
        <w:trPr>
          <w:trHeight w:val="212"/>
        </w:trPr>
        <w:tc>
          <w:tcPr>
            <w:tcW w:w="5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175,319</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120,147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For the periods presented, we define free cash flow and free cash flow margin as net cash provided by operating activities and operating cash flow margin, respectively, less capitalized software development costs and purchases of long-lived and intangible assets, as presented in the table below:</w:t>
      </w:r>
    </w:p>
    <w:p>
      <w:pPr>
        <w:spacing w:after="0" w:line="205"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6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09"/>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7"/>
                <w:szCs w:val="17"/>
                <w:color w:val="auto"/>
              </w:rPr>
            </w:pPr>
          </w:p>
        </w:tc>
        <w:tc>
          <w:tcPr>
            <w:tcW w:w="1780" w:type="dxa"/>
            <w:vAlign w:val="bottom"/>
            <w:gridSpan w:val="3"/>
          </w:tcPr>
          <w:p>
            <w:pPr>
              <w:jc w:val="cente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tcPr>
          <w:p>
            <w:pPr>
              <w:spacing w:after="0"/>
              <w:rPr>
                <w:sz w:val="17"/>
                <w:szCs w:val="17"/>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213,343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83,646</w:t>
            </w: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(14,681)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(10,215)</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long-lived and 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(1,503)</w:t>
            </w:r>
          </w:p>
        </w:tc>
      </w:tr>
      <w:tr>
        <w:trPr>
          <w:trHeight w:val="212"/>
        </w:trPr>
        <w:tc>
          <w:tcPr>
            <w:tcW w:w="6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197,577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71,928</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Free cash flow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period-to-period comparison of our historical results are not indicative of the results that may be expected in the future.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Data:</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2,129,552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2,044,325</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(1) (2)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526,657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532,006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1,029,666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1,047,880</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555,845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505,755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1,099,886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996,445</w:t>
            </w:r>
          </w:p>
        </w:tc>
        <w:tc>
          <w:tcPr>
            <w:tcW w:w="0" w:type="dxa"/>
            <w:vAlign w:val="bottom"/>
          </w:tcPr>
          <w:p>
            <w:pPr>
              <w:spacing w:after="0"/>
              <w:rPr>
                <w:sz w:val="1"/>
                <w:szCs w:val="1"/>
                <w:color w:val="auto"/>
              </w:rPr>
            </w:pP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465,491</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521,485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247,420</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136,844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574,882</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647,582</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1,162,427</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1,402,356</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(141,827)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(405,911)</w:t>
            </w:r>
          </w:p>
        </w:tc>
        <w:tc>
          <w:tcPr>
            <w:tcW w:w="0" w:type="dxa"/>
            <w:vAlign w:val="bottom"/>
          </w:tcPr>
          <w:p>
            <w:pPr>
              <w:spacing w:after="0"/>
              <w:rPr>
                <w:sz w:val="1"/>
                <w:szCs w:val="1"/>
                <w:color w:val="auto"/>
              </w:rPr>
            </w:pP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(62,780)</w:t>
            </w:r>
          </w:p>
        </w:tc>
        <w:tc>
          <w:tcPr>
            <w:tcW w:w="0" w:type="dxa"/>
            <w:vAlign w:val="bottom"/>
          </w:tcPr>
          <w:p>
            <w:pPr>
              <w:spacing w:after="0"/>
              <w:rPr>
                <w:sz w:val="1"/>
                <w:szCs w:val="1"/>
                <w:color w:val="auto"/>
              </w:rPr>
            </w:pPr>
          </w:p>
        </w:tc>
      </w:tr>
      <w:tr>
        <w:trPr>
          <w:trHeight w:val="213"/>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(91,204)</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(497,115)</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360"/>
              <w:spacing w:after="0" w:line="149"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80" w:type="dxa"/>
            <w:vAlign w:val="bottom"/>
            <w:vMerge w:val="continue"/>
          </w:tcPr>
          <w:p>
            <w:pPr>
              <w:spacing w:after="0"/>
              <w:rPr>
                <w:sz w:val="9"/>
                <w:szCs w:val="9"/>
                <w:color w:val="auto"/>
              </w:rPr>
            </w:pP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Pr>
          <w:p>
            <w:pPr>
              <w:spacing w:after="0"/>
              <w:rPr>
                <w:sz w:val="9"/>
                <w:szCs w:val="9"/>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80" w:type="dxa"/>
            <w:vAlign w:val="bottom"/>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9"/>
                <w:szCs w:val="9"/>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94"/>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3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80" w:type="dxa"/>
            <w:vAlign w:val="bottom"/>
            <w:shd w:val="clear" w:color="auto" w:fill="CCEEFF"/>
          </w:tcPr>
          <w:p>
            <w:pPr>
              <w:ind w:left="360"/>
              <w:spacing w:after="0" w:line="129" w:lineRule="exact"/>
              <w:rPr>
                <w:sz w:val="20"/>
                <w:szCs w:val="20"/>
                <w:color w:val="auto"/>
              </w:rPr>
            </w:pPr>
            <w:r>
              <w:rPr>
                <w:rFonts w:ascii="Times New Roman" w:cs="Times New Roman" w:eastAsia="Times New Roman" w:hAnsi="Times New Roman"/>
                <w:sz w:val="14"/>
                <w:szCs w:val="14"/>
                <w:color w:val="auto"/>
              </w:rPr>
              <w:t>Weighted-average shares used in computing net</w:t>
            </w: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560"/>
              <w:spacing w:after="0" w:line="162" w:lineRule="exact"/>
              <w:rPr>
                <w:sz w:val="20"/>
                <w:szCs w:val="20"/>
                <w:color w:val="auto"/>
              </w:rPr>
            </w:pPr>
            <w:r>
              <w:rPr>
                <w:rFonts w:ascii="Times New Roman" w:cs="Times New Roman" w:eastAsia="Times New Roman" w:hAnsi="Times New Roman"/>
                <w:sz w:val="16"/>
                <w:szCs w:val="16"/>
                <w:color w:val="auto"/>
              </w:rPr>
              <w:t>loss per share attributable to common</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170,222,104</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183,490,982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175,613,672</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184,926,875</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p>
      <w:pPr>
        <w:spacing w:after="0" w:line="188"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250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1"/>
        </w:trPr>
        <w:tc>
          <w:tcPr>
            <w:tcW w:w="4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11,394</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11,624</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162,139</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152,669</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68,104</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90,998</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62,178</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57,973</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w:t>
            </w:r>
          </w:p>
        </w:tc>
      </w:tr>
      <w:tr>
        <w:trPr>
          <w:trHeight w:val="212"/>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147,657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153,094</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306,263</w:t>
            </w:r>
          </w:p>
        </w:tc>
        <w:tc>
          <w:tcPr>
            <w:tcW w:w="4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323,893</w:t>
            </w:r>
          </w:p>
        </w:tc>
      </w:tr>
      <w:tr>
        <w:trPr>
          <w:trHeight w:val="21"/>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Includes amortization of acquired intangibles as follows:</w:t>
      </w:r>
    </w:p>
    <w:p>
      <w:pPr>
        <w:spacing w:after="0" w:line="188"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44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6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1"/>
        </w:trPr>
        <w:tc>
          <w:tcPr>
            <w:tcW w:w="46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4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15,682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59,630</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11,755</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20,101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40,494</w:t>
            </w:r>
          </w:p>
        </w:tc>
      </w:tr>
      <w:tr>
        <w:trPr>
          <w:trHeight w:val="210"/>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28,184</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50,190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57,123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100,964</w:t>
            </w:r>
          </w:p>
        </w:tc>
      </w:tr>
      <w:tr>
        <w:trPr>
          <w:trHeight w:val="20"/>
        </w:trPr>
        <w:tc>
          <w:tcPr>
            <w:tcW w:w="4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our total 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30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5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09"/>
        </w:trPr>
        <w:tc>
          <w:tcPr>
            <w:tcW w:w="5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46"/>
        </w:trPr>
        <w:tc>
          <w:tcPr>
            <w:tcW w:w="55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Condensed Consolidated Statements of Operations, as a percentage of</w:t>
            </w:r>
          </w:p>
        </w:tc>
        <w:tc>
          <w:tcPr>
            <w:tcW w:w="8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5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w:t>
            </w: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46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5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69</w:t>
            </w:r>
          </w:p>
        </w:tc>
      </w:tr>
      <w:tr>
        <w:trPr>
          <w:trHeight w:val="212"/>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7"/>
              </w:rPr>
              <w:t>(14)</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5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6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Less than 0.5% of revenue.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Columns may not add up to 100% due to rounding.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67"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(Dollars in thousands)</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964,535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42,767</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73,226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total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1,037,761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44,741</w:t>
            </w:r>
          </w:p>
        </w:tc>
        <w:tc>
          <w:tcPr>
            <w:tcW w:w="3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60" w:firstLine="486"/>
        <w:spacing w:after="0" w:line="220" w:lineRule="exact"/>
        <w:rPr>
          <w:sz w:val="20"/>
          <w:szCs w:val="20"/>
          <w:color w:val="auto"/>
        </w:rPr>
      </w:pPr>
      <w:r>
        <w:rPr>
          <w:rFonts w:ascii="Times New Roman" w:cs="Times New Roman" w:eastAsia="Times New Roman" w:hAnsi="Times New Roman"/>
          <w:sz w:val="18"/>
          <w:szCs w:val="18"/>
          <w:color w:val="auto"/>
        </w:rPr>
        <w:t>In the three months ended June 30, 2024, Communications revenue increased by $42.8 million, or 4%, compared to the same period last year. This increase was primarily attributable to the increased usage of our products by our existing customers, as reflected in our Communications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102%, as well as $48.6 million in revenue derived from our new Communications Active Customer Accounts. These increases were partially offset by a decrease of $24.8 million related to revenue from our Internet of Things and ValueFirst businesses which we divested during the second and third quarters of 2023, respectively.</w:t>
      </w:r>
    </w:p>
    <w:p>
      <w:pPr>
        <w:spacing w:after="0" w:line="201" w:lineRule="exact"/>
        <w:rPr>
          <w:sz w:val="20"/>
          <w:szCs w:val="20"/>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In the three months ended June 30, 2024, Segment revenue increased by $2.0 million, or 3%, compared to the same period last year. This change was primarily attributable to $8.1 million in revenue derived from our new Segment Active Customer Accounts, partially offset by the decreased usage of our products due to churn and contraction affecting our existing customers in 2023, as reflected in our Segment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93%.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367" w:lineRule="exact"/>
        <w:rPr>
          <w:sz w:val="20"/>
          <w:szCs w:val="20"/>
          <w:color w:val="auto"/>
        </w:rPr>
      </w:pPr>
    </w:p>
    <w:tbl>
      <w:tblPr>
        <w:tblLayout w:type="fixed"/>
        <w:tblInd w:w="132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3"/>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8"/>
                <w:szCs w:val="18"/>
                <w:color w:val="auto"/>
              </w:rPr>
            </w:pPr>
          </w:p>
        </w:tc>
      </w:tr>
      <w:tr>
        <w:trPr>
          <w:trHeight w:val="191"/>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526,657</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532,006</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(5,349)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555,845</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505,755</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50,090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2024, cost of revenue decreased by $5.3 million, or 1%, compared to the same period last year. The decrease was primarily attributable to a $14.0 million decrease in amortization of intangible assets and a $4.8 million decrease in network service providers’ costs, net of the impact of hedging instruments. These decreases were partially offset by a $14.4 million increase in hosting fees.</w:t>
      </w:r>
    </w:p>
    <w:p>
      <w:pPr>
        <w:spacing w:after="0" w:line="17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June 30, 2024, gross profit increased by $50.1 million, or 10%, compared to the same period last year. This increase was attributable to the factors impacting our revenue and cost of revenue, as described above.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7" w:lineRule="exact"/>
        <w:rPr>
          <w:sz w:val="20"/>
          <w:szCs w:val="20"/>
          <w:color w:val="auto"/>
        </w:rPr>
      </w:pPr>
    </w:p>
    <w:tbl>
      <w:tblPr>
        <w:tblLayout w:type="fixed"/>
        <w:tblInd w:w="138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191"/>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(44,044)</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574,882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647,582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2024, research and development expenses increased by $16.8 million, or 7%, compared to the same period last year. The increase was primarily attributable to a $17.3 million increase in total personnel costs, which was primarily driven by a $13.9 million increase in bonus expenses as a result of the introduction of our new cash bonus program, and a $7.4 million increase in stock-based compensation expense. These increases were partially offset by a $5.1 million decrease in salaries expense due to a 14% decrease in average research and development headcount compared to the same period last year.</w:t>
      </w:r>
    </w:p>
    <w:p>
      <w:pPr>
        <w:spacing w:after="0" w:line="18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2024, sales and marketing expenses decreased by $44.0 million, or 17%, compared to the same period last year. The decrease was primarily attributable to a $25.1 million decrease in total personnel costs, which was primarily driven by a 19% decrease in average sales and marketing headcount compared to the same period last year. The decrease in headcount was primarily due to the restructuring of our workforce in December 2023. Sales and marketing expenses also decreased due to an $8.1 million decrease in amortization of intangible assets and a $5.1 million decrease in expenses related to corporate events.</w:t>
      </w:r>
    </w:p>
    <w:p>
      <w:pPr>
        <w:spacing w:after="0" w:line="1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the three months ended June 30, 2024, general and administrative expenses decreased by $20.9 million, or 15%, compared to the same period last year. The decrease was primarily attributable to the $28.5 million loss on net assets held for sale recorded in the 2023 period related to the sale of our ValueFirst business. This decrease was partially offset by a $14.3 million increase in charitable contributions that we made through Twilio.org during the second quarter of 2024. Fluctuations in other general and administrative expense categories were not significant either individually or in the aggregate.</w:t>
      </w:r>
    </w:p>
    <w:p>
      <w:pPr>
        <w:spacing w:after="0" w:line="180" w:lineRule="exact"/>
        <w:rPr>
          <w:sz w:val="20"/>
          <w:szCs w:val="20"/>
          <w:color w:val="auto"/>
        </w:rPr>
      </w:pPr>
    </w:p>
    <w:p>
      <w:pPr>
        <w:ind w:right="280" w:firstLine="486"/>
        <w:spacing w:after="0" w:line="312" w:lineRule="auto"/>
        <w:rPr>
          <w:sz w:val="20"/>
          <w:szCs w:val="20"/>
          <w:color w:val="auto"/>
        </w:rPr>
      </w:pPr>
      <w:r>
        <w:rPr>
          <w:rFonts w:ascii="Times New Roman" w:cs="Times New Roman" w:eastAsia="Times New Roman" w:hAnsi="Times New Roman"/>
          <w:sz w:val="17"/>
          <w:szCs w:val="17"/>
          <w:color w:val="auto"/>
        </w:rPr>
        <w:t>In the three months ended June 30, 2024, restructuring costs decreased by $15.2 million, or 102%, compared to the same period last year. The decrease was primarily attributable to the significant restructuring costs incurred in the 2023 period related to our February 2023 restructuring activities.</w:t>
      </w:r>
    </w:p>
    <w:p>
      <w:pPr>
        <w:spacing w:after="0" w:line="14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2024, impairment of long-lived assets decreased by $9.3 million, or 100%, compared to the same period last year. The prior year charges were related to the impairment of certain of our operating leases and other long-lived assets as a result of permanent office closures in 2023. There were no such impairments in the current period.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72"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18"/>
                <w:szCs w:val="18"/>
                <w:color w:val="auto"/>
              </w:rPr>
            </w:pPr>
          </w:p>
        </w:tc>
      </w:tr>
      <w:tr>
        <w:trPr>
          <w:trHeight w:val="191"/>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(Dollars in thousands)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4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In the three months ended June 30, 2024, other expenses, net, decreased by $16.4 million, or 69%, compared to the same period last year. The decrease was primarily attributable to an $8.4 million decrease in our share of losses from our equity method investment and an $8.7 million increase in other income, net, primarily related to the income earned on our debt securities in the current period. These increases were partially offset by unrealized losses related to fluctuations in foreign currency exchange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for non-GAAP income (loss) from operations, as reviewed by our CODM, for each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and Segment reportable segments for the three months ended June 30, 2024 and 2023:</w:t>
      </w:r>
    </w:p>
    <w:p>
      <w:pPr>
        <w:spacing w:after="0" w:line="250" w:lineRule="exact"/>
        <w:rPr>
          <w:sz w:val="20"/>
          <w:szCs w:val="20"/>
          <w:color w:val="auto"/>
        </w:rPr>
      </w:pPr>
    </w:p>
    <w:tbl>
      <w:tblPr>
        <w:tblLayout w:type="fixed"/>
        <w:tblInd w:w="134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4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188"/>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(Dollars in thousands)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249,930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192,524</w:t>
            </w:r>
          </w:p>
        </w:tc>
        <w:tc>
          <w:tcPr>
            <w:tcW w:w="5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57,406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(15,815)</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(18,979)</w:t>
            </w:r>
          </w:p>
        </w:tc>
        <w:tc>
          <w:tcPr>
            <w:tcW w:w="5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3,164</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29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2024, Communications non-GAAP income from operations increased by $57.4 million, or 30%, compared to the same period last year. The increase was primarily driven by an increase in Communications revenue of $42.8 million, as described in the Revenue section above, a $10.1 million decrease in total Communications personnel costs as a result of a 17% decrease in average Communications headcount compared to the same period last year, a $6.8 million decrease in the provision for doubtful accounts and a $4.8 million decrease in network service providers’ costs, net of the impact of hedging instruments, partially offset by an $11.2 million increase in hosting fees.</w:t>
      </w:r>
    </w:p>
    <w:p>
      <w:pPr>
        <w:spacing w:after="0" w:line="18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2024, Segment non-GAAP loss from operations decreased by $3.2 million, or 17%, compared to the same period last year. The decrease was driven by a decrease in Segment operating expenses of $5.3 million and an increase in Segment revenue of $2.0 million, as described in the Revenue section above, partially offset by an increase in hosting fees of $3.2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53"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(Dollars in thousands)</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1,897,483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81,825</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146,842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total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2,129,552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2,044,325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85,227</w:t>
            </w:r>
          </w:p>
        </w:tc>
        <w:tc>
          <w:tcPr>
            <w:tcW w:w="3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60" w:firstLine="486"/>
        <w:spacing w:after="0" w:line="220" w:lineRule="exact"/>
        <w:rPr>
          <w:sz w:val="20"/>
          <w:szCs w:val="20"/>
          <w:color w:val="auto"/>
        </w:rPr>
      </w:pPr>
      <w:r>
        <w:rPr>
          <w:rFonts w:ascii="Times New Roman" w:cs="Times New Roman" w:eastAsia="Times New Roman" w:hAnsi="Times New Roman"/>
          <w:sz w:val="18"/>
          <w:szCs w:val="18"/>
          <w:color w:val="auto"/>
        </w:rPr>
        <w:t>In the six months ended June 30, 2024, Communications revenue increased by $81.8 million, or 4%, compared to the same period last year. This increase was primarily attributable to the increased usage of our products by our existing customers, as reflected in our Communications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103%, as well as $97.5 million in revenue derived from our new Communications Active Customer Accounts and new customer accounts from Zipwhip. These increases were partially offset by a decrease of $52.8 million related to revenue from our Internet of Things and ValueFirst businesses which we divested during the second and third quarters of 2023, respectively.</w:t>
      </w:r>
    </w:p>
    <w:p>
      <w:pPr>
        <w:spacing w:after="0" w:line="201" w:lineRule="exact"/>
        <w:rPr>
          <w:sz w:val="20"/>
          <w:szCs w:val="20"/>
          <w:color w:val="auto"/>
        </w:rPr>
      </w:pPr>
    </w:p>
    <w:p>
      <w:pPr>
        <w:jc w:val="both"/>
        <w:ind w:right="60" w:firstLine="486"/>
        <w:spacing w:after="0" w:line="232" w:lineRule="exact"/>
        <w:rPr>
          <w:sz w:val="20"/>
          <w:szCs w:val="20"/>
          <w:color w:val="auto"/>
        </w:rPr>
      </w:pPr>
      <w:r>
        <w:rPr>
          <w:rFonts w:ascii="Times New Roman" w:cs="Times New Roman" w:eastAsia="Times New Roman" w:hAnsi="Times New Roman"/>
          <w:sz w:val="18"/>
          <w:szCs w:val="18"/>
          <w:color w:val="auto"/>
        </w:rPr>
        <w:t>In the six months ended June 30, 2024, Segment revenue increased by $3.4 million, or 2%, compared to the same period last year. This change was primarily attributable to $16.6 million in revenue derived from our new Segment Active Customer Accounts, partially offset by the decreased usage of our products due to churn and contraction affecting our existing customers in 2023, as reflected in our Segment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92%.</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367" w:lineRule="exact"/>
        <w:rPr>
          <w:sz w:val="20"/>
          <w:szCs w:val="20"/>
          <w:color w:val="auto"/>
        </w:rPr>
      </w:pPr>
    </w:p>
    <w:tbl>
      <w:tblPr>
        <w:tblLayout w:type="fixed"/>
        <w:tblInd w:w="132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3"/>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8"/>
                <w:szCs w:val="18"/>
                <w:color w:val="auto"/>
              </w:rPr>
            </w:pPr>
          </w:p>
        </w:tc>
      </w:tr>
      <w:tr>
        <w:trPr>
          <w:trHeight w:val="191"/>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(Dollars in thousands)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1,029,666</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1,047,880</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(18,214)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1,099,886</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996,445</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103,441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8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cost of revenue decreased by $18.2 million, or 2%, compared to the same period last year. The decrease was primarily attributable to a $28.3 million decrease in amortization of intangible assets and a $13.7 million decrease in network service providers’ costs, net of the impact of hedging instruments. These decreases were partially offset by a $21.0 million increase in hosting fees and a $4.2 million increase in amortization of internal-use software development costs.</w:t>
      </w:r>
    </w:p>
    <w:p>
      <w:pPr>
        <w:spacing w:after="0" w:line="18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gross profit increased by $103.4 million, or 10%, compared to the same period last year. This increase was attributable to the factors impacting our revenue and cost of revenue,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7" w:lineRule="exact"/>
        <w:rPr>
          <w:sz w:val="20"/>
          <w:szCs w:val="20"/>
          <w:color w:val="auto"/>
        </w:rPr>
      </w:pPr>
    </w:p>
    <w:tbl>
      <w:tblPr>
        <w:tblLayout w:type="fixed"/>
        <w:tblInd w:w="138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191"/>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(127,208)</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1,162,427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1,402,356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(239,929)</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2024, research and development expenses increased by $29.8 million, or 6%, compared to the same period last year. The increase was primarily attributable to a $23.7 million increase in total personnel costs, which was primarily driven by a $28.4 million increase in bonus expenses as a result of our new cash bonus program and an $11.2 million increase in stock-based compensation expense. These increases were partially offset by a $19.6 million decrease in salaries expense due to a 21% decrease in average research and development headcount compared to the same period last year as a result of the restructuring of our workforce in February 2023 and December 2023. The increase in research and development expenses was also attributable to a $6.2 million increase in hosting fees to support development and staging of our products.</w:t>
      </w:r>
    </w:p>
    <w:p>
      <w:pPr>
        <w:spacing w:after="0" w:line="18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the six months ended June 30, 2024, sales and marketing expenses decreased by $89.9 million, or 17%, compared to the same period last year. The decrease was primarily attributable to a $59.0 million decrease in total personnel costs, which was primarily driven by a 23% decrease in average sales and marketing headcount compared to the same period last year. The decrease in headcount was primarily driven by the restructuring of our workforce in February 2023 and December 2023. Sales and marketing expenses also decreased due to a $16.4 million decrease in amortization of intangible assets and a $5.3 million decrease in advertising expenses.</w:t>
      </w:r>
    </w:p>
    <w:p>
      <w:pPr>
        <w:spacing w:after="0" w:line="18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general and administrative expenses decreased by $21.5 million, or 9%, compared to the same period last year. The decrease was primarily attributable to the $32.3 million loss on divested net assets recorded in the 2023 period related to the sale of our ValueFirst and Internet of Things businesses. This decrease was partially offset by a $14.0 million increase in charitable contributions that we made through Twilio.org during the first half of 2024.</w:t>
      </w:r>
    </w:p>
    <w:p>
      <w:pPr>
        <w:spacing w:after="0" w:line="180"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restructuring costs decreased by $127.2 million, or 93%, compared to the same period last year. The decrease was primarily attributable to the significant restructuring costs incurred in the 2023 period related to our February 2023 restructuring activities.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2024, impairment of long-lived assets decreased by $31.1 million, or 100%, compared to the same period last year. The prior year charges were related to the impairment of certain of our operating leases and other long-lived assets as a result of permanent office closures in the first half of 2023. There were no such impairments in the current period.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72"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18"/>
                <w:szCs w:val="18"/>
                <w:color w:val="auto"/>
              </w:rPr>
            </w:pPr>
          </w:p>
        </w:tc>
      </w:tr>
      <w:tr>
        <w:trPr>
          <w:trHeight w:val="191"/>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(Dollars in thousands)</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201"/>
              <w:spacing w:after="0"/>
              <w:rPr>
                <w:sz w:val="20"/>
                <w:szCs w:val="20"/>
                <w:color w:val="auto"/>
              </w:rPr>
            </w:pPr>
            <w:r>
              <w:rPr>
                <w:rFonts w:ascii="Times New Roman" w:cs="Times New Roman" w:eastAsia="Times New Roman" w:hAnsi="Times New Roman"/>
                <w:sz w:val="16"/>
                <w:szCs w:val="16"/>
                <w:color w:val="auto"/>
              </w:rPr>
              <w:t>62,780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rPr>
              <w:t>46,154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(45,487)</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(45,319)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rPr>
              <w:t>(17,730)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2"/>
        </w:trPr>
        <w:tc>
          <w:tcPr>
            <w:tcW w:w="4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91,204</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(82,341)</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other expenses, net, decreased by $82.3 million, or 90%, compared to the same period last year. The decrease was primarily attributable to a $46.2 million impairment of a strategic investment that occurred during the first half of 2023, a $27.6 million increase in other income, net, primarily related to an increase in income earned on our debt securities, and a $9.3 million decrease in our share of losses from our equity method investment.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for non-GAAP income (loss) from operations, as reviewed by our CODM, for each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and Segment reportable segments for the six months ended June 30, 2024 and 2023:</w:t>
      </w:r>
    </w:p>
    <w:p>
      <w:pPr>
        <w:spacing w:after="0" w:line="250" w:lineRule="exact"/>
        <w:rPr>
          <w:sz w:val="20"/>
          <w:szCs w:val="20"/>
          <w:color w:val="auto"/>
        </w:rPr>
      </w:pPr>
    </w:p>
    <w:tbl>
      <w:tblPr>
        <w:tblLayout w:type="fixed"/>
        <w:tblInd w:w="134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4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88"/>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498,940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372,988</w:t>
            </w:r>
          </w:p>
        </w:tc>
        <w:tc>
          <w:tcPr>
            <w:tcW w:w="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125,952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2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(36,809)</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(36,196)</w:t>
            </w:r>
          </w:p>
        </w:tc>
        <w:tc>
          <w:tcPr>
            <w:tcW w:w="5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(613)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bl>
    <w:p>
      <w:pPr>
        <w:spacing w:after="0" w:line="28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2024, Communications non-GAAP income from operations increased by $126.0 million, or 34%, compared to the same period last year. The increase was primarily driven by an increase in Communications revenue of $81.8 million, as described in the Revenue section above, and a $33.4 million decrease in total Communications personnel costs, which was mainly due to the restructuring of our workforce in February 2023 and December 2023. These restructurings contributed to a 25% decrease in average Communications headcount compared to the same period last year. The increase was also due to a $9.2 million decrease in the provision for doubtful accounts and a $13.7 million decrease in network service providers’ costs, net of the impact of hedging instruments, which was partially offset by a $17.1 million increase in hosting fees.</w:t>
      </w:r>
    </w:p>
    <w:p>
      <w:pPr>
        <w:spacing w:after="0" w:line="18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2024, Segment non-GAAP loss from operations increased by $0.6 million, or 2%, compared to the same period last year. The increase was driven by an increase in hosting fees of $3.9 million, partially offset by a decrease in Segment operating expenses of $1.8 million and an increase in Segment revenue of $3.4 million, as described in the Revenue section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we had cash and cash equivalents of $755.1 million and short-term marketable securities of $2.4 billion. Cash equivalents consist of money market funds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w:t>
      </w:r>
    </w:p>
    <w:p>
      <w:pPr>
        <w:spacing w:after="0" w:line="18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9 and Note 11(a) to our condensed consolidated financial statements included elsewhere in this Quarterly Report on Form 10-Q for discussions of our obligations and commitments related to leases, debt and other purchase obligations.</w:t>
      </w:r>
    </w:p>
    <w:p>
      <w:pPr>
        <w:spacing w:after="0" w:line="18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spacing w:after="0" w:line="176" w:lineRule="exact"/>
        <w:rPr>
          <w:sz w:val="20"/>
          <w:szCs w:val="20"/>
          <w:color w:val="auto"/>
        </w:rPr>
      </w:pPr>
    </w:p>
    <w:p>
      <w:pPr>
        <w:ind w:right="48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w:t>
      </w:r>
    </w:p>
    <w:p>
      <w:pPr>
        <w:spacing w:after="0" w:line="252" w:lineRule="auto"/>
        <w:rPr>
          <w:sz w:val="20"/>
          <w:szCs w:val="20"/>
          <w:color w:val="auto"/>
        </w:rPr>
      </w:pPr>
      <w:r>
        <w:rPr>
          <w:rFonts w:ascii="Times New Roman" w:cs="Times New Roman" w:eastAsia="Times New Roman" w:hAnsi="Times New Roman"/>
          <w:sz w:val="18"/>
          <w:szCs w:val="18"/>
          <w:color w:val="auto"/>
        </w:rPr>
        <w:t>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2023, our board of directors authorized a share repurchase program pursuant to which we may repurchase up to $1.0 billion in aggregate value of our common stock. In March 2024, our board of directors authorized a second share repurchase program for an additional $2.0 billion in aggregate value of our common stock. As of June 30, 2024, we have repurchased approximately $2.0 billion of our common stock in the open market under these programs, and approximately $1.0 billion of the aggregate authorized amount remained available for future repurchases. Repurchases under these programs will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The programs expire on December 31, 2024.</w:t>
      </w:r>
    </w:p>
    <w:p>
      <w:pPr>
        <w:spacing w:after="0" w:line="18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2024, we repurchased $898.6 million in aggregate value, or 15.2 million shares, and $1.3 billion in aggregate value, or 21.4 million shares, respectively, of our common stock on the open market under these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 and 2031 Notes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2021, we issued and sold $1.0 billion aggregate principal amount of senior notes, consisting of $500.0 million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3.625% notes due 2029 (the “2029 Notes”) and $500.0 million principal amount of 3.875% notes due 2031 (the “2031 Notes,” and together with the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“Notes”). These Notes are described in detail in Note 14 to our Annual Report on Form 10-K filed with the SEC on February 27,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8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40" w:type="dxa"/>
            <w:vAlign w:val="bottom"/>
            <w:tcBorders>
              <w:bottom w:val="single" w:sz="8" w:color="auto"/>
            </w:tcBorders>
          </w:tcPr>
          <w:p>
            <w:pPr>
              <w:spacing w:after="0"/>
              <w:rPr>
                <w:sz w:val="19"/>
                <w:szCs w:val="19"/>
                <w:color w:val="auto"/>
              </w:rPr>
            </w:pPr>
          </w:p>
        </w:tc>
      </w:tr>
      <w:tr>
        <w:trPr>
          <w:trHeight w:val="211"/>
        </w:trPr>
        <w:tc>
          <w:tcPr>
            <w:tcW w:w="8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1"/>
        </w:trPr>
        <w:tc>
          <w:tcPr>
            <w:tcW w:w="8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Pr>
          <w:p>
            <w:pPr>
              <w:spacing w:after="0"/>
              <w:rPr>
                <w:sz w:val="16"/>
                <w:szCs w:val="16"/>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investing activities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509,777</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(469,356)</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2"/>
        </w:trPr>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 including cash classified as held for sale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26,309</w:t>
            </w:r>
          </w:p>
        </w:tc>
      </w:tr>
      <w:tr>
        <w:trPr>
          <w:trHeight w:val="213"/>
        </w:trPr>
        <w:tc>
          <w:tcPr>
            <w:tcW w:w="8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classified as held for sale</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w:t>
            </w:r>
          </w:p>
        </w:tc>
      </w:tr>
      <w:tr>
        <w:trPr>
          <w:trHeight w:val="237"/>
        </w:trPr>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2024, cash provided by operating activities consisted primarily of our net loss of $87.2 million adjusted for non-cash items, including $306.3 million of stock-based compensation expense, $105.4 million of depreciation and amortization expense, $37.8 million amortization of deferred commissions, $53.5 million of share of losses from equity method investments and $32.7 million of cumulative changes in operating assets and liabilities. With respect to changes in operating assets and liabilities, accounts receivable and prepaid expenses decreased $30.8 million primarily due to timing of cash receipts and pre-payments of certain operating expenses. Accounts payable and other current liabilities decreased $35.4 million primarily driven by timing of payments to vendors. Operating lease liabilities decreased $24.2 million due to payments made against our operating lease obligations.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six months ended June 30, 2023, cash used in operating activities consisted primarily of our net loss of $508.3 million adjusted for non-cash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including $323.9 million of stock-based compensation expense which included the impact of our February 2023 restructuring activities, $146.4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depreciation and amortization expense, $62.8 million of our share of losses from an equity method investment, $46.2 million of impairment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that we acquired in 2021, $36.1 million amortization of deferred commissions, $31.1 million of impairment of operating lease assets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$32.3 million loss on net assets held for sale or divested, $16.1 million of non-cash reduction in our operating right-of-use asset,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$241.2 million of cumulative changes in operating assets and liabilities. With respect to changes in operating assets and liabilities, accounts receivable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increased $137.2 million primarily due to revenue growth, timing of cash receipts and prepayments and certain 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other current liabilities decreased $57.9 million primarily driven by an $18.1 million decrease in the sabbatical benefit accrual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lower headcount and sunsetting of the program. Operating lease liabilities decreased $27.9 million due to payments made against our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obligations. Other long-term assets increased $19.2 million primarily due to an increase in the sales commissions balances related to the growth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2024, cash provided by investing activities was $974.4 million, primarily consisting of $1.0 billion of maturities and sales of marketable securities, net of purchases, partially offset by $25.8 million related to capitalized software development costs and $2.8 million related to purchases of long-lived assets.</w:t>
      </w:r>
    </w:p>
    <w:p>
      <w:pPr>
        <w:spacing w:after="0" w:line="17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2023, cash provided by investing activities was $509.8 million primarily consisting of $538.3 million of proceeds from sales and maturities of marketable securities, net of purchases of marketable securities and other investments; $20.1 million related to capitalized software development costs and $8.3 million related to purchases of long-lived assets.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cash used in financing activities was $1.3 billion, primarily consisting of $1.3 billion of cash paid to repurchase 15.2 million shares of our common stock in the open market, including related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2023, cash used in financing activities was $469.4 million primarily consisting of $485.1 million of cash paid to repurchase 8.3 million shares of our Class A common stock in the open market, including related costs, and $9.8 million in principal payments on debt and finance leases, offset by $28.1 million in proceeds from stock options exercised by our employees and shares issued under our employee stock purchase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as described in our Annual Report on Form 10-K filed with the SEC on February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Refer to Note 2 to the unaudited condensed consolidated financial statements included elsewhere in this Quarterly Report on Form 10-Q for a discussion of recent accounting pronouncements not yet adopted.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spacing w:after="0" w:line="183"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including sensitivities as follows: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486"/>
        <w:spacing w:after="0" w:line="218" w:lineRule="exact"/>
        <w:rPr>
          <w:sz w:val="20"/>
          <w:szCs w:val="20"/>
          <w:color w:val="auto"/>
        </w:rPr>
      </w:pPr>
      <w:r>
        <w:rPr>
          <w:rFonts w:ascii="Times New Roman" w:cs="Times New Roman" w:eastAsia="Times New Roman" w:hAnsi="Times New Roman"/>
          <w:sz w:val="18"/>
          <w:szCs w:val="18"/>
          <w:color w:val="auto"/>
        </w:rPr>
        <w:t>We had cash and cash equivalents of $755.1 million and marketable securities of $2.4 billion as of June 30, 2024. In any given period, cash, cash equivalents and restricted cash may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Risks</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7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condensed consolidated statements of operations included elsewhere in this Quarterly Report on Form 10-Q.</w:t>
      </w:r>
    </w:p>
    <w:p>
      <w:pPr>
        <w:spacing w:after="0" w:line="180"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enter into foreign currency derivative hedging transactions to mitigate our exposure to market risks that may result from changes in foreign currency exchange rates. For further information, refer to Note 6 to our unaudited condensed consolidated financial statements included elsewhere in this Quarterly Report on Form 10-Q.</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 hypothetical 10% change in foreign exchange rates during any of the periods presented would not have had a material impact on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880" w:hanging="386"/>
        <w:spacing w:after="0"/>
        <w:tabs>
          <w:tab w:leader="none" w:pos="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June 30,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9"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 13a-15(d) and 15d-15(d) of the Exchange Act that occurred during the three months ended June 30, 2024, that materially affected, or are reasonably likely to materially affect, our internal control over financial reporting.</w:t>
      </w:r>
    </w:p>
    <w:p>
      <w:pPr>
        <w:spacing w:after="0" w:line="226"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Inherent Limitations on Effectiveness of Controls</w:t>
      </w:r>
    </w:p>
    <w:p>
      <w:pPr>
        <w:spacing w:after="0" w:line="270" w:lineRule="exact"/>
        <w:rPr>
          <w:sz w:val="20"/>
          <w:szCs w:val="20"/>
          <w:color w:val="auto"/>
        </w:rPr>
      </w:pPr>
    </w:p>
    <w:p>
      <w:pPr>
        <w:ind w:right="120" w:firstLine="486"/>
        <w:spacing w:after="0" w:line="222" w:lineRule="exact"/>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control system, misstatements due to error or fraud may occur and not be detected.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Refer to Note 11(b) to our unaudited condensed consolidated financial statements included elsewhere in this Quarterly Report on Form 10-Q for a description of our current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business, results of operations, and financial condition to be harmed, including risks regarding the following: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6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macroeconomic uncertainties;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our quarterly results and our ability to meet securities analysts’ and investors’ expectations;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effectiveness of actions taken to restructure our business in alignment with our strategic priorities;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unit reorganization and further changes to our business organization and reporting segments;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and grow our relationships with existing customers such that they increase their usage of our platform;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new customers in a cost-effective manner;</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increase adoption of our products by enterprises;</w:t>
      </w:r>
    </w:p>
    <w:p>
      <w:pPr>
        <w:spacing w:after="0" w:line="63" w:lineRule="exact"/>
        <w:rPr>
          <w:rFonts w:ascii="Times New Roman" w:cs="Times New Roman" w:eastAsia="Times New Roman" w:hAnsi="Times New Roman"/>
          <w:sz w:val="18"/>
          <w:szCs w:val="18"/>
          <w:i w:val="1"/>
          <w:iCs w:val="1"/>
          <w:color w:val="auto"/>
        </w:rPr>
      </w:pPr>
    </w:p>
    <w:p>
      <w:pPr>
        <w:ind w:left="660" w:right="580" w:hanging="328"/>
        <w:spacing w:after="0" w:line="281"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new products and enhancements that achieve market acceptance and adapt to changing technology and regulations, industry standards and interoperability requirements;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evolution of the markets for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effectively in intensely competitive markets;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history of losses and uncertainty about our future profitability;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integrate and retain highly skilled personnel;</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and enhance our brand and increase market awareness of our company and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disruptions or deterioration in quality of service and connectivity by third-party service providers;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set optimal prices for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international operations;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our largest customers to generate a significant amount of our revenue;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and achieve the expected benefits of acquisitions, partnerships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Cybersecurity, Data Privacy and Intellectual Property</w:t>
      </w:r>
    </w:p>
    <w:p>
      <w:pPr>
        <w:spacing w:after="0" w:line="6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breaches of or incidents impacting our networks or systems, or those of our third-party service providers;</w:t>
      </w:r>
    </w:p>
    <w:p>
      <w:pPr>
        <w:spacing w:after="0" w:line="63" w:lineRule="exact"/>
        <w:rPr>
          <w:rFonts w:ascii="Times New Roman" w:cs="Times New Roman" w:eastAsia="Times New Roman" w:hAnsi="Times New Roman"/>
          <w:sz w:val="18"/>
          <w:szCs w:val="18"/>
          <w:i w:val="1"/>
          <w:iCs w:val="1"/>
          <w:color w:val="auto"/>
        </w:rPr>
      </w:pPr>
    </w:p>
    <w:p>
      <w:pPr>
        <w:ind w:left="660" w:right="300" w:hanging="328"/>
        <w:spacing w:after="0" w:line="281" w:lineRule="auto"/>
        <w:tabs>
          <w:tab w:leader="none" w:pos="65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actual or perceived failure to comply with increasingly stringent laws, regulations and obligations relating to privacy, data protection and data security;</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protect our intellectual property rights;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open source software;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technology and intellectual property;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AI technologies in our platform and business;</w:t>
      </w:r>
    </w:p>
    <w:p>
      <w:pPr>
        <w:sectPr>
          <w:pgSz w:w="11900" w:h="16838" w:orient="portrait"/>
          <w:cols w:equalWidth="0" w:num="1">
            <w:col w:w="11200"/>
          </w:cols>
          <w:pgMar w:left="320" w:top="1103"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and Regulatory Matters</w:t>
      </w:r>
    </w:p>
    <w:p>
      <w:pPr>
        <w:spacing w:after="0" w:line="6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telecommunications-related regulations, and the impact of future legislative or regulatory actions;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or retain geographical, mobile, regional, local or toll-free numbers and to effectively process requests to port such numbers in a timely manner due to industry regulations;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legislation and international laws imposing obligations on the senders of commercial emails;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fraudulent or illegal usage of or activity relating to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and regulations related to the Internet or its infrastructure;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laws and regulations, including export control, economic trade sanctions, and anti-corruption regulations;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standards imposed by private entities and inbox service providers that interfere with the effectiveness of our platform;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legal proceedings or claims against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Accounting Matters</w:t>
      </w:r>
    </w:p>
    <w:p>
      <w:pPr>
        <w:spacing w:after="0" w:line="6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exposure to foreign currency exchange rate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substantial indebtedness that may decrease our business flexibility;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additional capital to support our business and its availability on acceptable terms;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metrics, and assumptions and estimates used to calculate them;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estimates and judgments related to our critical accounting policies;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standards that may cause adverse financial reporting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our goodwill or intangible assets could become impaired;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maintain an effective system of disclosure controls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Tax Matters</w:t>
      </w:r>
    </w:p>
    <w:p>
      <w:pPr>
        <w:spacing w:after="0" w:line="6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use our net operating losses and certain other tax attributes to offset future taxable income and taxes;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tax liabilities or potentially adverse tax consequences on our global operations and structure;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rules and regulations;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Common Stock</w:t>
      </w:r>
    </w:p>
    <w:p>
      <w:pPr>
        <w:spacing w:after="0" w:line="6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of the trading price of our common stock;</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decline in the market price of our common stock due to substantial future sales of shares;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not realize the anticipated long-term stockholder value of our share repurchase programs;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securities or industry analysts changing their recommendations regarding our common stock;</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anti-takeover provisions contained in our governing documents and the exclusive forum provision in our bylaws;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6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occurrence of natural catastrophic events and other events beyond our control; and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initiatives, goals, commitments, and disclosures related to ESG matters.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9" w:right="51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right="3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macroeconomic uncertainties, may continue to adversely impact our business, results of operations and financial condition.</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and conflict in the Middle East, may continue to cause or exacerbate uncertain economic conditions. These macroeconomic conditions have resulted in, and may continue to result in, decreased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w:t>
      </w:r>
    </w:p>
    <w:p>
      <w:pPr>
        <w:spacing w:after="0" w:line="21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current macroeconomic environment has constrained the budgets and financial resources of some of our current and prospective customers, which has caused them to become more budget-conscious and to delay and/or reduce spending. Given that a majority of our revenue is usage-based and impacted by general consumer sentiment and activity, our business may be more immediately and severely impacted by adverse macroeconomic conditions than those that rely primarily on software-as-a-service (“SaaS”) subscription revenue. The current macroeconomic environment has caused certain of our Communications customers to reduce or terminate their usage of our products without notice or termination charges, which has negatively impacted, and, despite recent stabilization in usage volumes, may in the future negatively impact, our Communications revenue. Similarly, the current macroeconomic environment has caused certain of our Segment and other subscription-based customers to renegotiate existing contracts on less advantageous terms to us than those currently in place, reduce or limit their contract value, default on payments due on existing contracts, or fail to renew at the end of their current contract term, which has had, and may continue to have, a negative impact on our revenue. A prolonged economic slowdown could exacerbate these negative effects on revenue and revenue growth in both our Communications and Segment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 as detailed in Part I, Item 2, “Management’s Discussion and Analysis of Financial Condition and Results of Operations—Factors Affecting Our Results of Operations.” If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spacing w:after="0" w:line="189"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common stock to decline.</w:t>
      </w:r>
    </w:p>
    <w:p>
      <w:pPr>
        <w:spacing w:after="0" w:line="15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experience declines. In addition to the other risks described in this “Risk Factors” section, some of the factors that may result in fluctuations to our results of operations include:</w:t>
      </w:r>
    </w:p>
    <w:p>
      <w:pPr>
        <w:spacing w:after="0" w:line="180" w:lineRule="exact"/>
        <w:rPr>
          <w:sz w:val="20"/>
          <w:szCs w:val="20"/>
          <w:color w:val="auto"/>
        </w:rPr>
      </w:pPr>
    </w:p>
    <w:p>
      <w:pPr>
        <w:ind w:left="980" w:right="52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a downturn or recession, rising inflation and interest rates, and geopolitical uncertainty and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organization of our business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and any adverse effects associated with, our workforce reductions;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6" w:name="page47"/>
    <w:bookmarkEnd w:id="46"/>
    <w:p>
      <w:pPr>
        <w:ind w:left="980" w:right="16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customers, obtain renewals from existing customers and cross-sell or otherwise increase revenue from existing customers;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more of our self-service capabilities for customers;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the actions of our competitors, including pricing changes and the introduction of new technologies, products, services and geographies;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incidents impacting our platform, or interruptions to the delivery and use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cloud infrastructure, network services and other third-party technology, including the fees charged by their providers;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of our sales 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complexity of the sales cycle for certain of our products or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that our customers use during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 consumer activity;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or amount of products sold in the United States versus internationally;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mergers, acquisitions, dispositions, or other strategic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our ability to collect accounts receivable from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and our ability to control costs, including our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existing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our ability to effectively hedge our foreign currency exposure;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and regulations that affect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expenses.</w:t>
      </w:r>
    </w:p>
    <w:p>
      <w:pPr>
        <w:spacing w:after="0" w:line="22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7" w:right="519" w:bottom="1440" w:gutter="0" w:footer="0" w:header="0"/>
        </w:sectPr>
      </w:pPr>
    </w:p>
    <w:bookmarkStart w:id="47" w:name="page48"/>
    <w:bookmarkEnd w:id="4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are taking to restructure our business in alignment with our strategic priorities may not be as effective as anticipated.</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have reduced our workforce by approximately 35% since September 2022. While our reductions in force and other efforts to restructure our business were designed to streamline operations, reduce operating costs, improve operating margins, and realign our selling capacity, we may encounter challenges in the execution of these efforts that could prevent us from recognizing the intended benefits of such efforts or otherwise adversely affect our business, results of operations and financial condition.</w:t>
      </w:r>
    </w:p>
    <w:p>
      <w:pPr>
        <w:spacing w:after="0" w:line="180"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As a result of the reductions in force, we have incurred, and may continue to incur, additional costs in the short term, including cash expenditures for employee transitions,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unintended consequences, including employee attrition beyond our intended reduction in force; damage to our corporate culture and decreased employee morale among our remaining employees;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profitability and operational expectations, which could adversely affect our business, results of operations and financial condition. 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With a smaller workforce, we are relying more heavily on our self-service model to drive sales of our Communications products to customers that do not require direct account coverage. Our self-service capabilities may not be as successful as we anticipate, and similarly, our efforts to accelerate Segment sales may not be effective or may take longer than we expect to drive growth. If we experience any of these adverse consequences, our reductions in force and other restructuring efforts may not achieve or sustain their intended benefits, or the benefits, even if achieved, may not be adequate to meet our profitability and operational expectations, which could adversely affect our business, results of operations and financial condition.</w:t>
      </w:r>
    </w:p>
    <w:p>
      <w:pPr>
        <w:spacing w:after="0" w:line="19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spacing w:after="0" w:line="176"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first quarter of 2023, we reorganized our business into business units, and we have since adopted a two-segment reporting structure and further modified our business units and reporting segments. These changes may be disruptive to our business and may not have the desired effects.</w:t>
      </w:r>
    </w:p>
    <w:p>
      <w:pPr>
        <w:spacing w:after="0" w:line="15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the first quarter of 2023, we reorganized our business into two business units—Communications and Data &amp; Applications (subsequently renamed Segment). Beginning with the quarter ended June 30, 2023, we changed our operating and reporting segment structure from one reportable segment to two reportable segments and revised our prior period presentation to conform to the new segments. In the fourth quarter of 2023, we further modified the organization of our business units by moving Flex and Marketing Campaigns from Segment to Communications.</w:t>
      </w:r>
    </w:p>
    <w:p>
      <w:pPr>
        <w:spacing w:after="0" w:line="180"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7"/>
          <w:szCs w:val="17"/>
          <w:color w:val="auto"/>
        </w:rPr>
        <w:t>Our business unit reorganization and changes in our segment reporting structure have required, and will continue to require, significant expenditures, allocation of valuable management resources, and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into business units, and improve and expand our use of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8" w:name="page49"/>
    <w:bookmarkEnd w:id="48"/>
    <w:p>
      <w:pPr>
        <w:ind w:right="360"/>
        <w:spacing w:after="0" w:line="282" w:lineRule="auto"/>
        <w:rPr>
          <w:sz w:val="20"/>
          <w:szCs w:val="20"/>
          <w:color w:val="auto"/>
        </w:rPr>
      </w:pPr>
      <w:r>
        <w:rPr>
          <w:rFonts w:ascii="Times New Roman" w:cs="Times New Roman" w:eastAsia="Times New Roman" w:hAnsi="Times New Roman"/>
          <w:sz w:val="18"/>
          <w:szCs w:val="18"/>
          <w:color w:val="auto"/>
        </w:rPr>
        <w:t>we cannot predict whether we will realize the purpose and anticipated benefits of our business reorganizations and segment reporting changes, and any similar changes in the future, and if we do not, our business, results of operations and financial condition could be adversely affected.</w:t>
      </w:r>
    </w:p>
    <w:p>
      <w:pPr>
        <w:spacing w:after="0" w:line="16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the first quarter of 2024, we conducted an operational review of Segment and developed a plan that we believe will deliver a more effective Segment business. As we announced in March 2024, we are targeting break-even non-GAAP income from operations for Segment by the second quarter of 2025 and we accelerated our target timeline to achieve GAAP operating profitability on a consolidated basis to the fourth quarter of 2025. There is no guarantee that we will achieve these operational and financial targets, and if we do not, it could negatively impact the trust of investors or securities analysts, and our results of operations and stock price could be adversely affected.</w:t>
      </w:r>
    </w:p>
    <w:p>
      <w:pPr>
        <w:spacing w:after="0" w:line="1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There is no guarantee that investors, analysts or the market will understand or favorably view the changes we make to our financial reporting in connection with the shift from one to two segments or that any such changes will have the desired effect. Failure of investors or analysts to understand our revised segment reporting structure may negatively affect their ability to understand our business and operating results, which could adversely affect our stock price. In addition, we test for goodwill impairment at the reporting unit level and consider the difference between the fair value of a reporting unit and its carrying value when determining whether any impairment exists. There can be no assurance that changes to our segment reporting structure and business units will not result in impairment charges in future periods, which could harm our operating results.</w:t>
      </w:r>
    </w:p>
    <w:p>
      <w:pPr>
        <w:spacing w:after="0" w:line="183"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5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products. If our customers do not increase their use of our products,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Customers may terminate or reduce their use of our products for any number of reasons, including dissatisfaction with our products or with the value proposition of our products, our inability to meet their needs and expectations, their use of competitors’ products, macroeconomic conditions, or reductions in their budgets. Additionally,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w:t>
      </w:r>
    </w:p>
    <w:p>
      <w:pPr>
        <w:spacing w:after="0" w:line="18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Customer usage of our products depends on factors generally outside of our control, including macroeconomic conditions, so it is difficult to accurately predict customers’ usage levels. The loss of customers or reductions in their usage levels of our products may each have a negative impact on our business, results of operations and financial condition. Our Dollar-Based Net Expansion Rate has recently stabilized as compared to prior periods, but it may decline in the future if customers are not satisfied with our products and related customer service experience, the value proposition of our products or our ability to meet their needs and expectations, or due to macroeconomic conditions or reductions in customers’ budgets. If a significant number of customers cease using, or reduce their usage of our products, including due to cost-saving measures in the face of macroeconomic uncertainty or changes in the competitive landscape, then we may be required to spend significantly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9" w:name="page50"/>
    <w:bookmarkEnd w:id="49"/>
    <w:p>
      <w:pPr>
        <w:ind w:right="580"/>
        <w:spacing w:after="0" w:line="282" w:lineRule="auto"/>
        <w:rPr>
          <w:sz w:val="20"/>
          <w:szCs w:val="20"/>
          <w:color w:val="auto"/>
        </w:rPr>
      </w:pPr>
      <w:r>
        <w:rPr>
          <w:rFonts w:ascii="Times New Roman" w:cs="Times New Roman" w:eastAsia="Times New Roman" w:hAnsi="Times New Roman"/>
          <w:sz w:val="18"/>
          <w:szCs w:val="18"/>
          <w:color w:val="auto"/>
        </w:rPr>
        <w:t>more on sales and marketing than we currently expect in order to maintain or increase revenue from customers. Such additional sales and marketing expenditures could adversely affect our business, results of operations and financial condition.</w:t>
      </w:r>
    </w:p>
    <w:p>
      <w:pPr>
        <w:spacing w:after="0" w:line="158"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sell additional products to our existing customers in a cost-effective manner, our business, results of operations and financial condition would be adversely affected.</w:t>
      </w:r>
    </w:p>
    <w:p>
      <w:pPr>
        <w:spacing w:after="0" w:line="159"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To grow our business, we must continue to attract new customers in a cost-effective manner, increase revenue from existing customers, and increase gross profits, each of which depends in part on our ability to increase adoption and usage of our products, and successfully market new products, including products with higher gross margins, in a cost-effective manner.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of time and resources in new marketing campaigns and sales motions, and we cannot guarantee that any such investments will lead to wider adoption of our products or to the cost-effective acquisition of additional customers. In addition, new products that we develop may require increasingly sophisticated and more costly sales efforts and result in a longer sales cycle. If we are unable to maintain effective marketing programs, our ability to efficiently attract new customers could be adversely affected, and we may not be able to attract the number and types of new customers we are seeking. In addition, we are continuing to improve and expand our use of self-service capabilities, particularly for our Communications API customers, which may not be as effective as we anticipate in driving adoption or increased usage of our products. If we are unable to successfully increase adoption and usage of our existing and new products, or if our efforts to increase the usage of our products are more expensive or time-consuming than we expect, then our business, results of operations and financial condition would be adversely affected.</w:t>
      </w:r>
    </w:p>
    <w:p>
      <w:pPr>
        <w:spacing w:after="0" w:line="193"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adoption of our products by enterprises, our business, results of operations and financial condition may be adversely affected.</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Historically, a majority of our revenue has been generated as a result of software developers adopting our Communications API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94"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As we seek to increase the adoption of our products by enterprises, including our Segment product, which is primarily aimed at complex customer data platform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 existing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we have experienced, and may continue to experience, certain of our customers failing to renew their contracts with us, reducing or limiting their contract values, and engaging in longer sales cycles as these customers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ind w:right="1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develop new products and product enhancements that achieve market acceptance, as well as adapt and respond effectively to rapidly changing technology and regulations, dynamic industry standards, and evolving interoperability requirements.</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products and to introduce compelling new products that reflect the changing nature of our markets, technology, industry standards, and customer needs and preferences. The success of any enhancements or new products we introduce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typically driven by our developer community and may be outside of our control.</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markets for our products, including the market for communications in general and cloud communications in particular, are subject to rapid technological change, evolving industry standards, and changing regulations, as well as changing customer needs, requirements and preferences. These are all uncertain and we cannot predict the consequences, effects, or introduction of new, disruptive, emerging technologies or the manner and pace at which our markets develop over time, and our ability to compete in these markets depends on predicting and adapting to these changing circumstances. The success of our business will depend, in part, on our ability to adapt and respond effectively to these changes on a timely basis, and anticipating these factors requires that we allocate significant resources without any guarantee that any such investments and efforts will result in initial or enhanced adoption of our products in the marketplace. For example, with the development of next-generation solutions that utilize new and advanced features, including AI and ML, we expect to commit significant resources to developing new products and enhancements incorporating AI and ML, and there is no guarantee that our investments and efforts will result in wider adoption of our products in the marketplace. If new technologies emerge that are able to deliver competitive products and services at lower prices, more efficiently, more conveniently or more securely or if new products are introduced into the market that could render our existing products obsolete, such technologies and products could adversely impact our ability to compete effectively and may lead to customers reducing or terminating their usage of our products. For example, if user authentication practices evolve to reduce or eliminate the use of one-time passwords, our revenue could be adversely affected.</w:t>
      </w:r>
    </w:p>
    <w:p>
      <w:pPr>
        <w:spacing w:after="0" w:line="187"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and such third-party products, our ability to meet the needs and expectations of our current and prospective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Apple, Google, Yahoo and other cell-phone operating system providers or inbox service providers have developed, and may in the future develop, new applications or functions intended to filter spam and unwanted phone calls, messages or emails. Third-party platforms may also implement changes to their privacy policies or practices that may adversely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9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and cost-effectively increase adoption and usage of our existing products, develop and drive adoption of new products, maintain integrations with third-party products, or anticipate and keep pace with changes in technology, customers’ needs and expectations, and industry standards, our business, results of operations and financial condition would be adversely affected.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1" w:name="page52"/>
    <w:bookmarkEnd w:id="5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products continue to evolve and may decline or experience limited growth.</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enterprises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Our ability to do so depends upon a number of factors, including the cost, performance and perceived value associated with such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experience significant growth or demand for our products decreases, then our business, results of operations and financial condition could be adversely affected.</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then our business, results of operations and financial condition could be adversely affected.</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Although we cannot provide any assurance that our business will continue to grow at the same rate or at all in the future, we have experienced substantial growth in our business and operations, which has placed, and may continue to place, significant demands on our management and our operational and financial resources,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our business reorganizations, has required, and will continue to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past reductions in force, reorganization of our business and changes to our leadership structure,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w:t>
      </w:r>
    </w:p>
    <w:p>
      <w:pPr>
        <w:spacing w:after="0" w:line="224"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179" w:lineRule="exact"/>
        <w:rPr>
          <w:sz w:val="20"/>
          <w:szCs w:val="20"/>
          <w:color w:val="auto"/>
        </w:rPr>
      </w:pPr>
    </w:p>
    <w:p>
      <w:pPr>
        <w:ind w:right="4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if we do not compete effectively, our business, results of operations and financial condition could be harmed.</w:t>
      </w:r>
    </w:p>
    <w:p>
      <w:pPr>
        <w:spacing w:after="0" w:line="15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markets for our products are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In our Communications business, our competitors are primarily (i) CPaaS companies that offer communications products and applications, (ii) other software companies that compete with portions of our communications product line, and (iii) regional network service providers that offer limited developer functionality on top of their own physical infrastructure. In our Segment business, our competitors are primarily (i) SaaS companies and marketing cloud platform vendors that offer bundled applications and platforms, (ii) CRM and customer experience vendors and (iii) standalone customer data platform vendors.</w:t>
      </w:r>
    </w:p>
    <w:p>
      <w:pPr>
        <w:spacing w:after="0" w:line="19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52" w:name="page53"/>
    <w:bookmarkEnd w:id="52"/>
    <w:p>
      <w:pPr>
        <w:ind w:right="60"/>
        <w:spacing w:after="0" w:line="261" w:lineRule="auto"/>
        <w:rPr>
          <w:sz w:val="20"/>
          <w:szCs w:val="20"/>
          <w:color w:val="auto"/>
        </w:rPr>
      </w:pPr>
      <w:r>
        <w:rPr>
          <w:rFonts w:ascii="Times New Roman" w:cs="Times New Roman" w:eastAsia="Times New Roman" w:hAnsi="Times New Roman"/>
          <w:sz w:val="18"/>
          <w:szCs w:val="18"/>
          <w:color w:val="auto"/>
        </w:rPr>
        <w:t>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w:t>
      </w:r>
    </w:p>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or sustain profitability in the future.</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including net losses of $87.2 million, $1.0 billion and $1.3 billion in the six months ended June 30, 2024 and the years ended December 31, 2023 and 2022, respectively. We had an accumulated deficit of $6.4 billion as of June 30, 2024. We will need to generate and sustain increased revenue levels, and manage our operating expenses, in future periods to become profitable and achieve our stated profitability goals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associated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spacing w:after="0" w:line="188"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conducted reductions in force and experienced and may continue to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w:t>
      </w:r>
    </w:p>
    <w:p>
      <w:pPr>
        <w:spacing w:after="0" w:line="18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Additionally, loss of services of senior management or other key employees could significantly delay or prevent the achievement of our development and strategic objectives. In January 2024, our co-founder, Jeff Lawson, resigned as Chief Executive Officer and as a member of our board of directors, and Khozema Shipchandler, our former President, Twilio Communications, was appointed as Chief Executive Officer and as a member of our board of directors. We have incurred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ind w:right="60"/>
        <w:spacing w:after="0" w:line="256" w:lineRule="auto"/>
        <w:rPr>
          <w:sz w:val="20"/>
          <w:szCs w:val="20"/>
          <w:color w:val="auto"/>
        </w:rPr>
      </w:pPr>
      <w:r>
        <w:rPr>
          <w:rFonts w:ascii="Times New Roman" w:cs="Times New Roman" w:eastAsia="Times New Roman" w:hAnsi="Times New Roman"/>
          <w:sz w:val="18"/>
          <w:szCs w:val="18"/>
          <w:color w:val="auto"/>
        </w:rPr>
        <w:t>various expenses in connection with the transition and we may face challenges in connection with the transition, such as potential changes to our strategy, corporate culture, and other changes in our management structure or roles.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spacing w:after="0" w:line="187" w:lineRule="exact"/>
        <w:rPr>
          <w:sz w:val="20"/>
          <w:szCs w:val="20"/>
          <w:color w:val="auto"/>
        </w:rPr>
      </w:pPr>
    </w:p>
    <w:p>
      <w:pPr>
        <w:ind w:right="220" w:firstLine="486"/>
        <w:spacing w:after="0" w:line="255" w:lineRule="auto"/>
        <w:rPr>
          <w:sz w:val="20"/>
          <w:szCs w:val="20"/>
          <w:color w:val="auto"/>
        </w:rPr>
      </w:pPr>
      <w:r>
        <w:rPr>
          <w:rFonts w:ascii="Times New Roman" w:cs="Times New Roman" w:eastAsia="Times New Roman" w:hAnsi="Times New Roman"/>
          <w:sz w:val="18"/>
          <w:szCs w:val="18"/>
          <w:color w:val="auto"/>
        </w:rPr>
        <w:t>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We have also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85"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59" w:lineRule="exact"/>
        <w:rPr>
          <w:sz w:val="20"/>
          <w:szCs w:val="20"/>
          <w:color w:val="auto"/>
        </w:rPr>
      </w:pPr>
    </w:p>
    <w:p>
      <w:pPr>
        <w:ind w:right="140" w:firstLine="486"/>
        <w:spacing w:after="0" w:line="273" w:lineRule="auto"/>
        <w:rPr>
          <w:sz w:val="20"/>
          <w:szCs w:val="20"/>
          <w:color w:val="auto"/>
        </w:rPr>
      </w:pPr>
      <w:r>
        <w:rPr>
          <w:rFonts w:ascii="Times New Roman" w:cs="Times New Roman" w:eastAsia="Times New Roman" w:hAnsi="Times New Roman"/>
          <w:sz w:val="17"/>
          <w:szCs w:val="17"/>
          <w:color w:val="auto"/>
        </w:rPr>
        <w:t>We believe that maintaining and enhancing the “Twilio”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7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spacing w:after="0" w:line="172"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spacing w:after="0" w:line="19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For example, in recent years, multiple major U.S. mobile carriers have introduced A2P SMS service offerings that added a new fee for A2P SMS messages delivered to their respective subscribers, and, from time to time, other U.S. mobile carriers have added similar fees.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Passing these fees through to our customers typically has the effect of increasing our Communications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4" w:name="page55"/>
    <w:bookmarkEnd w:id="54"/>
    <w:p>
      <w:pPr>
        <w:spacing w:after="0" w:line="282" w:lineRule="auto"/>
        <w:rPr>
          <w:sz w:val="20"/>
          <w:szCs w:val="20"/>
          <w:color w:val="auto"/>
        </w:rPr>
      </w:pPr>
      <w:r>
        <w:rPr>
          <w:rFonts w:ascii="Times New Roman" w:cs="Times New Roman" w:eastAsia="Times New Roman" w:hAnsi="Times New Roman"/>
          <w:sz w:val="18"/>
          <w:szCs w:val="18"/>
          <w:color w:val="auto"/>
        </w:rPr>
        <w:t>disproportionately large when compared to the underlying prices paid by our customers, or if the market conditions limit our ability to increase the price we charge our customers.</w:t>
      </w:r>
    </w:p>
    <w:p>
      <w:pPr>
        <w:spacing w:after="0" w:line="16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such problems have in the past caused, and may in the future cause, errors, service outages, security incidents, or poor-quality communications on our products, and we could encounter difficulty identifying the source of the problem. The occurrence of errors, service outages, security incidents,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Failure to set optimal prices for our products could adversely impact our business, results of operations and financial condition.</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spacing w:after="0" w:line="18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inherent in global operations.</w:t>
      </w:r>
    </w:p>
    <w:p>
      <w:pPr>
        <w:spacing w:after="0" w:line="22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and the years ended December 31, 2023 and 2022, we derived 35%, 34%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5" w:lineRule="exact"/>
        <w:rPr>
          <w:sz w:val="20"/>
          <w:szCs w:val="20"/>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actions taken by central banks to counter inflation;</w:t>
      </w:r>
    </w:p>
    <w:p>
      <w:pPr>
        <w:spacing w:after="0" w:line="225" w:lineRule="exact"/>
        <w:rPr>
          <w:rFonts w:ascii="Times New Roman" w:cs="Times New Roman" w:eastAsia="Times New Roman" w:hAnsi="Times New Roman"/>
          <w:sz w:val="18"/>
          <w:szCs w:val="18"/>
          <w:color w:val="auto"/>
        </w:rPr>
      </w:pPr>
    </w:p>
    <w:p>
      <w:pPr>
        <w:ind w:left="480" w:right="100" w:hanging="324"/>
        <w:spacing w:after="0" w:line="282"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61"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our products in competitive international markets;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or other changes to our current competitive landscape;</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or more variable network service provider fees outside of the United States;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and support for specific countries;</w:t>
      </w:r>
    </w:p>
    <w:p>
      <w:pPr>
        <w:spacing w:after="0" w:line="225" w:lineRule="exact"/>
        <w:rPr>
          <w:rFonts w:ascii="Times New Roman" w:cs="Times New Roman" w:eastAsia="Times New Roman" w:hAnsi="Times New Roman"/>
          <w:sz w:val="18"/>
          <w:szCs w:val="18"/>
          <w:color w:val="auto"/>
        </w:rPr>
      </w:pPr>
    </w:p>
    <w:p>
      <w:pPr>
        <w:ind w:left="480" w:right="360" w:hanging="324"/>
        <w:spacing w:after="0" w:line="266"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spacing w:after="0" w:line="175" w:lineRule="exact"/>
        <w:rPr>
          <w:rFonts w:ascii="Times New Roman" w:cs="Times New Roman" w:eastAsia="Times New Roman" w:hAnsi="Times New Roman"/>
          <w:sz w:val="18"/>
          <w:szCs w:val="18"/>
          <w:color w:val="auto"/>
        </w:rPr>
      </w:pPr>
    </w:p>
    <w:p>
      <w:pPr>
        <w:jc w:val="both"/>
        <w:ind w:left="480" w:hanging="324"/>
        <w:spacing w:after="0" w:line="266"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industry standards relating to data privacy, data protection, data localization and data security, as well as sustainability and other ESG matters, enacted in countries and other regions in which we operate or do business, and the associated costs and management attention required to support such compliance;</w:t>
      </w:r>
    </w:p>
    <w:p>
      <w:pPr>
        <w:spacing w:after="0" w:line="17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understanding and complying with local laws, regulations and customs in non-U.S. jurisdictions;</w:t>
      </w:r>
    </w:p>
    <w:p>
      <w:pPr>
        <w:spacing w:after="0" w:line="225" w:lineRule="exact"/>
        <w:rPr>
          <w:rFonts w:ascii="Times New Roman" w:cs="Times New Roman" w:eastAsia="Times New Roman" w:hAnsi="Times New Roman"/>
          <w:sz w:val="18"/>
          <w:szCs w:val="18"/>
          <w:color w:val="auto"/>
        </w:rPr>
      </w:pPr>
    </w:p>
    <w:p>
      <w:pPr>
        <w:ind w:left="480" w:right="160" w:hanging="324"/>
        <w:spacing w:after="0" w:line="266"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spacing w:after="0" w:line="175" w:lineRule="exact"/>
        <w:rPr>
          <w:rFonts w:ascii="Times New Roman" w:cs="Times New Roman" w:eastAsia="Times New Roman" w:hAnsi="Times New Roman"/>
          <w:sz w:val="18"/>
          <w:szCs w:val="18"/>
          <w:color w:val="auto"/>
        </w:rPr>
      </w:pPr>
    </w:p>
    <w:p>
      <w:pPr>
        <w:ind w:left="480" w:right="380" w:hanging="324"/>
        <w:spacing w:after="0" w:line="282"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anti-bribery and anti-corruption laws such as the U.S. Foreign Corrupt Practices Act, as amended (“FCPA”) and United Kingdom Bribery Act of 2010;</w:t>
      </w:r>
    </w:p>
    <w:p>
      <w:pPr>
        <w:spacing w:after="0" w:line="161"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policies, tariffs and other non-tariff barriers, such as quotas and local content rules;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limited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480" w:right="140" w:hanging="324"/>
        <w:spacing w:after="0" w:line="282"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61"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U.S. dollars;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225"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between the United States and other countries;</w:t>
      </w:r>
    </w:p>
    <w:p>
      <w:pPr>
        <w:spacing w:after="0" w:line="225" w:lineRule="exact"/>
        <w:rPr>
          <w:rFonts w:ascii="Times New Roman" w:cs="Times New Roman" w:eastAsia="Times New Roman" w:hAnsi="Times New Roman"/>
          <w:sz w:val="18"/>
          <w:szCs w:val="18"/>
          <w:color w:val="auto"/>
        </w:rPr>
      </w:pPr>
    </w:p>
    <w:p>
      <w:pPr>
        <w:jc w:val="both"/>
        <w:ind w:left="480" w:right="360" w:hanging="324"/>
        <w:spacing w:after="0" w:line="282"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61" w:lineRule="exact"/>
        <w:rPr>
          <w:rFonts w:ascii="Times New Roman" w:cs="Times New Roman" w:eastAsia="Times New Roman" w:hAnsi="Times New Roman"/>
          <w:sz w:val="18"/>
          <w:szCs w:val="18"/>
          <w:color w:val="auto"/>
        </w:rPr>
      </w:pPr>
    </w:p>
    <w:p>
      <w:pPr>
        <w:ind w:left="480" w:right="160" w:hanging="324"/>
        <w:spacing w:after="0" w:line="266"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ectPr>
          <w:pgSz w:w="11900" w:h="16838" w:orient="portrait"/>
          <w:cols w:equalWidth="0" w:num="1">
            <w:col w:w="10720"/>
          </w:cols>
          <w:pgMar w:left="820" w:top="1107"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1107" w:right="359" w:bottom="1440" w:gutter="0" w:footer="0" w:header="0"/>
          <w:type w:val="continuous"/>
        </w:sectPr>
      </w:pPr>
    </w:p>
    <w:bookmarkStart w:id="56" w:name="page57"/>
    <w:bookmarkEnd w:id="56"/>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Also, due to costs from our international operations and network service provider fees outside of the United States, which generally are higher than domestic rates, our Communications gross margin for international customers is typically lower than our Communications gross margin for domestic customers. As a result, our Communications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spacing w:after="0" w:line="179" w:lineRule="exact"/>
        <w:rPr>
          <w:sz w:val="20"/>
          <w:szCs w:val="20"/>
          <w:color w:val="auto"/>
        </w:rPr>
      </w:pPr>
    </w:p>
    <w:p>
      <w:pPr>
        <w:ind w:right="4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5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2024 and the years ended December 31, 2023 and 2022, our 10 largest Active Customer Accounts generated an aggregate of 10%, 10% and 12%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83"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5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spacing w:after="0" w:line="188"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acquired businesses’ corporate functions with our corporate functions;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75"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and how to address possible differences in corporate cultures and management philosophies;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compliance, administrative and IT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and technology that allow value to be unlocked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forecasting the financial impact of such acquisitions, partnerships and investments, including accounting charges;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potential actions that may be required in connection with obtaining regulatory approvals.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at times the attention of certain members of our management and resources may be focused on integration of the acquired businesses and diverted from day-to-day business operations, which may disrupt our ongoing business.</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7" w:name="page58"/>
    <w:bookmarkEnd w:id="57"/>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also divest or stop investing in certain businesses or products. For example, in the second quarter of 2023, we sold our Internet of Things assets and liabilities, and in the third quarter of 2023, we sold our ValueFirst business.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Additionally, we are winding down the software component of our Zipwhip business in 2024, which we expect will negatively impact revenue growth rates in 2024. Divestitures or winding down businesses or products could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Intellectual Property</w:t>
      </w:r>
    </w:p>
    <w:p>
      <w:pPr>
        <w:spacing w:after="0" w:line="225" w:lineRule="exact"/>
        <w:rPr>
          <w:sz w:val="20"/>
          <w:szCs w:val="20"/>
          <w:color w:val="auto"/>
        </w:rPr>
      </w:pPr>
    </w:p>
    <w:p>
      <w:pPr>
        <w:ind w:right="2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Breaches of or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will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or service provider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w:t>
      </w:r>
    </w:p>
    <w:p>
      <w:pPr>
        <w:spacing w:after="0" w:line="18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Individuals or entities have in the past attempted and will in the future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cloud services), internal networks, our customers’ systems, our service providers’ networks,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expect to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w:t>
      </w:r>
    </w:p>
    <w:p>
      <w:pPr>
        <w:spacing w:after="0" w:line="195"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7"/>
          <w:szCs w:val="17"/>
          <w:color w:val="auto"/>
        </w:rPr>
        <w:t>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Any data security incidents, including internal malfeasance or inadvertent disclosures by our employees or a third-party’s fraudulent inducement of our employees to disclose information, unauthorized access or usage, the introduction of viruses or other malicious code or any other breach or incident or disruption of our platform, systems, or networks or those of our service providers, could result in loss, corruption, unavailability, or other unauthorized processing of confidential information, and any such event, or the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58" w:name="page59"/>
    <w:bookmarkEnd w:id="58"/>
    <w:p>
      <w:pPr>
        <w:spacing w:after="0" w:line="253" w:lineRule="auto"/>
        <w:rPr>
          <w:sz w:val="20"/>
          <w:szCs w:val="20"/>
          <w:color w:val="auto"/>
        </w:rPr>
      </w:pPr>
      <w:r>
        <w:rPr>
          <w:rFonts w:ascii="Times New Roman" w:cs="Times New Roman" w:eastAsia="Times New Roman" w:hAnsi="Times New Roman"/>
          <w:sz w:val="18"/>
          <w:szCs w:val="18"/>
          <w:color w:val="auto"/>
        </w:rPr>
        <w:t>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2022,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spacing w:after="0" w:line="19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also rely on various third-party service providers to operate our platform and deliver our products, including network service providers, internet service providers, telecommunications carriers, providers of cloud infrastructure and cloud communications, and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then our reputation, customer trust, business, results of operations and financial condition could be adversely affected.</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Furthermore, we are required to comply with laws and regulations that require us to maintain the security of personal information and we may have contractual and other legal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Consequences associated with such security incidents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our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spacing w:after="0" w:line="18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72" w:lineRule="exact"/>
        <w:rPr>
          <w:sz w:val="20"/>
          <w:szCs w:val="20"/>
          <w:color w:val="auto"/>
        </w:rPr>
      </w:pPr>
    </w:p>
    <w:p>
      <w:pPr>
        <w:ind w:right="4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currently in use against the requirements of GDPR.</w:t>
      </w:r>
    </w:p>
    <w:p>
      <w:pPr>
        <w:spacing w:after="0" w:line="18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CCPA (as amended by the California Privacy Rights Act of 2020) imposes obligations on businesses to which it applies. These obligations include, but are not limited to, providing specific disclosures in privacy notices and affording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spacing w:after="0" w:line="255" w:lineRule="auto"/>
        <w:rPr>
          <w:sz w:val="20"/>
          <w:szCs w:val="20"/>
          <w:color w:val="auto"/>
        </w:rPr>
      </w:pPr>
      <w:r>
        <w:rPr>
          <w:rFonts w:ascii="Times New Roman" w:cs="Times New Roman" w:eastAsia="Times New Roman" w:hAnsi="Times New Roman"/>
          <w:sz w:val="18"/>
          <w:szCs w:val="18"/>
          <w:color w:val="auto"/>
        </w:rPr>
        <w:t>California residents (both consumers and employees) certain rights related to their personal information. The CCPA allows for statutory fines for noncompliance. Similar laws have been enacted in 18 other states with 6 laws currently in effect and the remainder becoming effective later in 2024, 2025 and 2026, respectively. Numerous other states, and the U.S. federal government, also have proposed general privacy legislation recently. Additionally, other states have proposed, and in certain cases enacted, other laws and regulations addressing privacy and data security, such as Washington’s My Health, My Data Act, which includes a private right of action.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89"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privacy, data protection and data security. For example, the GDPR, the United Kingdom’s Data Protection Act 2018 (“UK GDPR”) and the new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Artificial Intelligence Act (“AI Act”), once adopted, will impose onerous obligations related to the development, placing on the market and use of AI-related systems. We may have to change our business practices to comply with obligations under these or other new and evolving regimes.</w:t>
      </w:r>
    </w:p>
    <w:p>
      <w:pPr>
        <w:spacing w:after="0" w:line="19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Digital Markets Act and Data Act recently entered into force. Also, the UK Parliament’s on-going debate of the Data Protection and Digital Information (No. 2) Bill which, if enacted, will introduce certain changes to the UK’s data protection laws.</w:t>
      </w:r>
    </w:p>
    <w:p>
      <w:pPr>
        <w:spacing w:after="0" w:line="18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spacing w:after="0" w:line="187"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spacing w:after="0" w:line="176"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18"/>
          <w:szCs w:val="18"/>
          <w:color w:val="auto"/>
        </w:rPr>
        <w:t>from regulators and enforcement action against Meta by the Irish Data Protection Commission. For example, absent appropriate safeguards or other circumstances, the GDPR and laws in Switzerland and the UK generally restrict the transfer of personal information to countries outside of the EEA, Switzerland and the UK such as the United States. On July 10, 2023, the European Commission adopted its adequacy decision for the EU-U.S. Data Privacy Framework. Based on this decision, personal information can flow from the 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a valid mechanism for cross-border data transfers, we and our customers may face increased exposure to regulatory actions, substantial fines, and injunctions against processing or transferring personal information from Europe or elsewhere. The inability to transfer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spacing w:after="0" w:line="195" w:lineRule="exact"/>
        <w:rPr>
          <w:sz w:val="20"/>
          <w:szCs w:val="20"/>
          <w:color w:val="auto"/>
        </w:rPr>
      </w:pPr>
    </w:p>
    <w:p>
      <w:pPr>
        <w:ind w:right="140" w:firstLine="486"/>
        <w:spacing w:after="0" w:line="273" w:lineRule="auto"/>
        <w:rPr>
          <w:sz w:val="20"/>
          <w:szCs w:val="20"/>
          <w:color w:val="auto"/>
        </w:rPr>
      </w:pPr>
      <w:r>
        <w:rPr>
          <w:rFonts w:ascii="Times New Roman" w:cs="Times New Roman" w:eastAsia="Times New Roman" w:hAnsi="Times New Roman"/>
          <w:sz w:val="17"/>
          <w:szCs w:val="17"/>
          <w:color w:val="auto"/>
        </w:rPr>
        <w:t>Evolving laws, regulations, and other actual and asserted obligations relating to privacy, data protection, and data 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spacing w:after="0" w:line="167"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9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8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protect our intellectual property and proprietary rights, could have an adverse effect on our business, results of operations and financial condition.</w:t>
      </w:r>
    </w:p>
    <w:p>
      <w:pPr>
        <w:spacing w:after="0" w:line="22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6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92"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products and subject us to possible litigation.</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91" w:lineRule="exact"/>
        <w:rPr>
          <w:sz w:val="20"/>
          <w:szCs w:val="20"/>
          <w:color w:val="auto"/>
        </w:rPr>
      </w:pPr>
    </w:p>
    <w:p>
      <w:pPr>
        <w:ind w:right="2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and intellectual property of third parties, the loss of which could limit the functionality of our products and disrupt our business.</w:t>
      </w:r>
    </w:p>
    <w:p>
      <w:pPr>
        <w:spacing w:after="0" w:line="15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ind w:right="500"/>
        <w:spacing w:after="0" w:line="266" w:lineRule="auto"/>
        <w:rPr>
          <w:sz w:val="20"/>
          <w:szCs w:val="20"/>
          <w:color w:val="auto"/>
        </w:rPr>
      </w:pPr>
      <w:r>
        <w:rPr>
          <w:rFonts w:ascii="Times New Roman" w:cs="Times New Roman" w:eastAsia="Times New Roman" w:hAnsi="Times New Roman"/>
          <w:sz w:val="18"/>
          <w:szCs w:val="18"/>
          <w:color w:val="auto"/>
        </w:rPr>
        <w:t>redesign our products or platform. In addition, if the third-party technology and intellectual property we use has errors, service outages, security vulnerabilities, or otherwise malfunctions, the functionality of our products and platform may be negatively impacted, our customers may experience outages or reduced service levels, and our business may be adversely affected.</w:t>
      </w:r>
    </w:p>
    <w:p>
      <w:pPr>
        <w:spacing w:after="0" w:line="176"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our products or platform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9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8" w:lineRule="exact"/>
        <w:rPr>
          <w:sz w:val="20"/>
          <w:szCs w:val="20"/>
          <w:color w:val="auto"/>
        </w:rPr>
      </w:pPr>
    </w:p>
    <w:p>
      <w:pPr>
        <w:ind w:right="7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AI technologies in our platform and our business may not produce the desired benefits, and may result in increased liability, reputational harm, or other adverse consequences.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continue to incorporate additional AI solutions and features into our platform and our business, including CustomerAI,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Our investments in AI solutions and features have and may continue to negatively impact our cost of revenue and gross margins, particularly for our Segment business,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ind w:right="80"/>
        <w:spacing w:after="0" w:line="258" w:lineRule="auto"/>
        <w:rPr>
          <w:sz w:val="20"/>
          <w:szCs w:val="20"/>
          <w:color w:val="auto"/>
        </w:rPr>
      </w:pPr>
      <w:r>
        <w:rPr>
          <w:rFonts w:ascii="Times New Roman" w:cs="Times New Roman" w:eastAsia="Times New Roman" w:hAnsi="Times New Roman"/>
          <w:sz w:val="18"/>
          <w:szCs w:val="18"/>
          <w:color w:val="auto"/>
        </w:rPr>
        <w:t>or contractual obligations to which we are or may become subject.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sent a follow-up letter to the agency on February 10, 2023 detailing our fraud mitigation practices and various planned improvements to reduce future risks. There has been no further communication from the agency on this matter. Any enforcement action by the FCC,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w:t>
      </w:r>
    </w:p>
    <w:p>
      <w:pPr>
        <w:spacing w:after="0" w:line="190"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Certain of our products are subject to a number of FCC regulations and laws that are administered by the FCC. Among others, we must comply (in whole or in part) with:</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Act of 1934, as amended, which regulates communications services and the provision of such services;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which limits the use of automatic dialing systems for calls and texts, artificial or prerecorded voice messages and fax machines;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Assistance for Law Enforcement Act, which requires covered entities to assist law enforcement in undertaking electronic surveillance;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safeguard the privacy of certain customer information;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annual FCC regulatory fees and contributions to FCC-administered funds based on our interstate and international revenues;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pertaining to access to our services by people with disabilities and contributions to the Telecommunications Relay Services fund.</w:t>
      </w:r>
    </w:p>
    <w:p>
      <w:pPr>
        <w:spacing w:after="0" w:line="225"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 The FCC also has open proceedings relating to robocalls and robotexts. While we do not currently expect the FCC to require more than the robocall and robotexting measures that we have started to implement, if the FCC were to implement new regulations or requirements that limited the types of customers allowed to use our platform or overly burdensome requirements for our customers, those actions could limit the customers that we are able to serve.</w:t>
      </w:r>
    </w:p>
    <w:p>
      <w:pPr>
        <w:spacing w:after="0" w:line="187"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4" w:name="page65"/>
    <w:bookmarkEnd w:id="64"/>
    <w:p>
      <w:pPr>
        <w:ind w:right="60"/>
        <w:spacing w:after="0" w:line="254" w:lineRule="auto"/>
        <w:rPr>
          <w:sz w:val="20"/>
          <w:szCs w:val="20"/>
          <w:color w:val="auto"/>
        </w:rPr>
      </w:pPr>
      <w:r>
        <w:rPr>
          <w:rFonts w:ascii="Times New Roman" w:cs="Times New Roman" w:eastAsia="Times New Roman" w:hAnsi="Times New Roman"/>
          <w:sz w:val="18"/>
          <w:szCs w:val="18"/>
          <w:color w:val="auto"/>
        </w:rPr>
        <w:t>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9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76"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we continue to expand internationally, we have become subject to telecommunications laws and regulations in the foreign countries where we offer our products. Internationally, we currently offer our products in more than 180 countries and territories.</w:t>
      </w:r>
    </w:p>
    <w:p>
      <w:pPr>
        <w:spacing w:after="0" w:line="16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90"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implement Know-Your-Customer and/or Know-Your-Traffic related processes in the jurisdictions in which we operate, which may create friction for our customers, require management attention, and increase our compliance costs.</w:t>
      </w:r>
    </w:p>
    <w:p>
      <w:pPr>
        <w:spacing w:after="0" w:line="1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84" w:lineRule="exact"/>
        <w:rPr>
          <w:sz w:val="20"/>
          <w:szCs w:val="20"/>
          <w:color w:val="auto"/>
        </w:rPr>
      </w:pPr>
    </w:p>
    <w:p>
      <w:pPr>
        <w:ind w:right="4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spacing w:after="0" w:line="159" w:lineRule="exact"/>
        <w:rPr>
          <w:sz w:val="20"/>
          <w:szCs w:val="20"/>
          <w:color w:val="auto"/>
        </w:rPr>
      </w:pPr>
    </w:p>
    <w:p>
      <w:pPr>
        <w:jc w:val="both"/>
        <w:ind w:right="320" w:firstLine="486"/>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5" w:name="page66"/>
    <w:bookmarkEnd w:id="65"/>
    <w:p>
      <w:pPr>
        <w:spacing w:after="0" w:line="266" w:lineRule="auto"/>
        <w:rPr>
          <w:sz w:val="20"/>
          <w:szCs w:val="20"/>
          <w:color w:val="auto"/>
        </w:rPr>
      </w:pPr>
      <w:r>
        <w:rPr>
          <w:rFonts w:ascii="Times New Roman" w:cs="Times New Roman" w:eastAsia="Times New Roman" w:hAnsi="Times New Roman"/>
          <w:sz w:val="18"/>
          <w:szCs w:val="18"/>
          <w:color w:val="auto"/>
        </w:rPr>
        <w:t>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7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8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8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83"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6" w:name="page67"/>
    <w:bookmarkEnd w:id="66"/>
    <w:p>
      <w:pPr>
        <w:ind w:right="60"/>
        <w:spacing w:after="0" w:line="282" w:lineRule="auto"/>
        <w:rPr>
          <w:sz w:val="20"/>
          <w:szCs w:val="20"/>
          <w:color w:val="auto"/>
        </w:rPr>
      </w:pPr>
      <w:r>
        <w:rPr>
          <w:rFonts w:ascii="Times New Roman" w:cs="Times New Roman" w:eastAsia="Times New Roman" w:hAnsi="Times New Roman"/>
          <w:sz w:val="18"/>
          <w:szCs w:val="18"/>
          <w:color w:val="auto"/>
        </w:rPr>
        <w:t>company in connection with any of the foregoing laws may also require us to change one or more aspects of the way we operate our business, which could impair our ability to attract and retain customers or could increase our operating costs.</w:t>
      </w:r>
    </w:p>
    <w:p>
      <w:pPr>
        <w:spacing w:after="0" w:line="158"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80"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we could face direct liability.</w:t>
      </w:r>
    </w:p>
    <w:p>
      <w:pPr>
        <w:spacing w:after="0" w:line="19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suspended the customers’ accounts and sent the FCC a follow-up letter on February 10, 2023 detailing our fraud mitigation practices and various planned improvements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19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9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fraudulent calls on their accounts, any of which could adversely affect our business, results of operations and financial condition.</w:t>
      </w:r>
    </w:p>
    <w:p>
      <w:pPr>
        <w:spacing w:after="0" w:line="221" w:lineRule="exact"/>
        <w:rPr>
          <w:sz w:val="20"/>
          <w:szCs w:val="20"/>
          <w:color w:val="auto"/>
        </w:rPr>
      </w:pPr>
    </w:p>
    <w:p>
      <w:pPr>
        <w:ind w:right="6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w:t>
      </w:r>
    </w:p>
    <w:p>
      <w:pPr>
        <w:spacing w:after="0" w:line="187"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current legislative and regulatory landscape regarding the regulation of the Internet is subject to uncertainty. For example, in January 2018, the FCC released an order that repealed the “open Internet rules,” often known as “net neutrality,” which could affect the services used by us and our customers. In response to this decision California and a number of states implemented their own net neutrality rules which mirrored parts of the repealed federal regulations. In April 2024, the FCC voted to reinstate substantially all of the net neutrality rules that had been in place prior to the 2018 repeal. Those rules are under review by a federal appeals court. In addition, the results of the 2024 presidential election may influence whether the FCC maintains, modifies or, again, repeals these net neutrality rules. If the net neutrality rules are repealed, we cannot predict whether internet service providers may limit our users’ ability to access our platform or may make our platform a less attractive alternative compared to our competitors’ applications. 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spacing w:after="0" w:line="19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potential liability under export control, economic trade sanctions, anti-corruption, and other laws and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regulations, and such violations could impair our ability to compete in international markets and could subject us to liability for compliance violations.</w:t>
      </w:r>
    </w:p>
    <w:p>
      <w:pPr>
        <w:spacing w:after="0" w:line="20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We take precautions to prevent our products and services from being provided in violation of such laws; however, we are aware of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8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8" w:name="page69"/>
    <w:bookmarkEnd w:id="68"/>
    <w:p>
      <w:pPr>
        <w:ind w:right="180"/>
        <w:spacing w:after="0" w:line="255" w:lineRule="auto"/>
        <w:rPr>
          <w:sz w:val="20"/>
          <w:szCs w:val="20"/>
          <w:color w:val="auto"/>
        </w:rPr>
      </w:pPr>
      <w:r>
        <w:rPr>
          <w:rFonts w:ascii="Times New Roman" w:cs="Times New Roman" w:eastAsia="Times New Roman" w:hAnsi="Times New Roman"/>
          <w:sz w:val="18"/>
          <w:szCs w:val="18"/>
          <w:color w:val="auto"/>
        </w:rPr>
        <w:t>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8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spacing w:after="0" w:line="192"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In the first quarter of 2024, Google and Yahoo began enforcing new email sender requirements aimed at sender authentication, including Domain-based Message Authentication, Reporting and Conformance (“DMARC”) record requirements. These requirements have required us to devote time and resources toward compliance efforts, and these or similar authentication requirements imposed in the future could result in reduced volumes for our email products and could adversely affect our business, financial condition and results of operations.</w:t>
      </w:r>
    </w:p>
    <w:p>
      <w:pPr>
        <w:spacing w:after="0" w:line="19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83" w:lineRule="exact"/>
        <w:rPr>
          <w:sz w:val="20"/>
          <w:szCs w:val="20"/>
          <w:color w:val="auto"/>
        </w:rPr>
      </w:pPr>
    </w:p>
    <w:p>
      <w:pPr>
        <w:ind w:right="4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legal proceedings or claims against us could be costly and time-consuming to defend and could harm our reputation regardless of the outcome.</w:t>
      </w:r>
    </w:p>
    <w:p>
      <w:pPr>
        <w:spacing w:after="0" w:line="159"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9" w:name="page70"/>
    <w:bookmarkEnd w:id="69"/>
    <w:p>
      <w:pPr>
        <w:spacing w:after="0" w:line="258" w:lineRule="auto"/>
        <w:rPr>
          <w:sz w:val="20"/>
          <w:szCs w:val="20"/>
          <w:color w:val="auto"/>
        </w:rPr>
      </w:pPr>
      <w:r>
        <w:rPr>
          <w:rFonts w:ascii="Times New Roman" w:cs="Times New Roman" w:eastAsia="Times New Roman" w:hAnsi="Times New Roman"/>
          <w:sz w:val="18"/>
          <w:szCs w:val="18"/>
          <w:color w:val="auto"/>
        </w:rPr>
        <w:t>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5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As our international operations expand, our exposure to the effects of fluctuations in currency exchange rates grows. For example, global geopolitical events, such as the war in Ukraine and conflict in the Middle East,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9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79"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we had $1.0 billion of indebtedness outstanding (excluding intercompany indebtedness). Our indebtedness may:</w:t>
      </w:r>
    </w:p>
    <w:p>
      <w:pPr>
        <w:spacing w:after="0" w:line="225" w:lineRule="exact"/>
        <w:rPr>
          <w:sz w:val="20"/>
          <w:szCs w:val="20"/>
          <w:color w:val="auto"/>
        </w:rPr>
      </w:pPr>
    </w:p>
    <w:p>
      <w:pPr>
        <w:ind w:left="980" w:right="40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future working capital, capital expenditures, business opportunities,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borrowings under a future revolving credit facility, may be at variable rates of interest;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0" w:name="page71"/>
    <w:bookmarkEnd w:id="70"/>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less leveraged competitors;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2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8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1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86"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business metrics, and real or perceived inaccuracies in such metrics could adversely affect our reputation and our business.</w:t>
      </w:r>
    </w:p>
    <w:p>
      <w:pPr>
        <w:spacing w:after="0" w:line="14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rely on assumptions and estimates to calculate certain of our business metrics that we disclose in SEC filings, press releases and other materials, such as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71" w:name="page72"/>
    <w:bookmarkEnd w:id="71"/>
    <w:p>
      <w:pPr>
        <w:ind w:right="48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1"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4" w:lineRule="exact"/>
        <w:rPr>
          <w:sz w:val="20"/>
          <w:szCs w:val="20"/>
          <w:color w:val="auto"/>
        </w:rPr>
      </w:pPr>
    </w:p>
    <w:p>
      <w:pPr>
        <w:ind w:right="76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practices may cause adverse, unexpected financial reporting fluctuations and affect our results of operations.</w:t>
      </w:r>
    </w:p>
    <w:p>
      <w:pPr>
        <w:spacing w:after="0" w:line="15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22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As of June 30, 2024, we carried a net $5.5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approximately $285.7 million, as described in additional detail in Note 6 to our consolidated financial statements included in our Annual Report on Form 10-K filed with the SEC on February 27, 2024. Any such charges may adversely affect our results of operations.</w:t>
      </w:r>
    </w:p>
    <w:p>
      <w:pPr>
        <w:spacing w:after="0" w:line="185"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72" w:name="page73"/>
    <w:bookmarkEnd w:id="72"/>
    <w:p>
      <w:pPr>
        <w:ind w:right="20"/>
        <w:spacing w:after="0" w:line="261" w:lineRule="auto"/>
        <w:rPr>
          <w:sz w:val="20"/>
          <w:szCs w:val="20"/>
          <w:color w:val="auto"/>
        </w:rPr>
      </w:pPr>
      <w:r>
        <w:rPr>
          <w:rFonts w:ascii="Times New Roman" w:cs="Times New Roman" w:eastAsia="Times New Roman" w:hAnsi="Times New Roman"/>
          <w:sz w:val="18"/>
          <w:szCs w:val="18"/>
          <w:color w:val="auto"/>
        </w:rPr>
        <w:t>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59"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2023, we had U.S. federal, state and foreign net operating loss carryforwards (“NOLs”), of $3.4 billion, $2.6 billion and $1.0 billion,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8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 which could harm our business, results of operations and financial condition.</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conduct operations in many tax jurisdictions throughout the United States and internationally. In many of these jurisdictions, non-income-based taxes, such as sales,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spacing w:after="0" w:line="18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80"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$18.6 million and $20.2 million for domestic jurisdictions and jurisdictions outside of the United States, respectively, on our June 30, 2024 balance sheet for these tax payments. These estimates include several key assumptions, including, but not limited to, the taxability of our products, the jurisdictions in which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73" w:name="page74"/>
    <w:bookmarkEnd w:id="73"/>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in 2020, San Francisco City and County assessed us for $38.8 million in taxes, including interest and penalties, which exceeded the $11.5 million we had accrued for that assessment. We paid the full amount under protest and filed a lawsuit on May 27, 2021 contesting the assessment. We entered into a settlement agreement in November 2023 pursuant to which San Francisco paid us $18.0 million in settlement of our claims.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or our tax positions may materially and adversely affect our income taxes.</w:t>
      </w:r>
    </w:p>
    <w:p>
      <w:pPr>
        <w:spacing w:after="0" w:line="229" w:lineRule="exact"/>
        <w:rPr>
          <w:sz w:val="20"/>
          <w:szCs w:val="20"/>
          <w:color w:val="auto"/>
        </w:rPr>
      </w:pPr>
    </w:p>
    <w:p>
      <w:pPr>
        <w:ind w:right="18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9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of corporations with adjusted financial statement income exceeding $1.0 billion, effective for tax years beginning after December 31, 2022, and a 1% excise tax on share repurchases occurring after December 31, 2022, which resulted in an excise tax payable calculated on our 2023 and 2024 share repurchases.</w:t>
      </w:r>
    </w:p>
    <w:p>
      <w:pPr>
        <w:spacing w:after="0" w:line="19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2024. If the requirement to capitalize Section 174 expenditures is not modified by legislation, it will continue to impact our effective tax rate and our cash tax liability.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ind w:firstLine="486"/>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for large multinational companies. On December 15, 2022, the European Union (EU) Member States formally adopted the EU’s Pillar Two Directive and various countries have enacted or are in the process of enacting legislation on these rules. These changes, when enacted by various countries in which we do business, may increase our taxes in these countries.</w:t>
      </w:r>
    </w:p>
    <w:p>
      <w:pPr>
        <w:spacing w:after="0" w:line="21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Changes to these and other areas in relation to international tax reform, including future actions taken by foreign governments in response to the Tax Act, could increase uncertainty and may adversely affect our tax rate and cash flow in future years.</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may continue to be volatile, and you could lose all or part of your investment.</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and may continue to, fluctuate significantly in response to numerous factors, many of which are beyond our control and may not be related to our operating performance, including:</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3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shares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the publication of reports or statements by securities analysts or investors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regulations or regulatory enforcement in the United States or internationally;</w:t>
      </w:r>
    </w:p>
    <w:p>
      <w:pPr>
        <w:spacing w:after="0" w:line="225"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 or actual or anticipated changes in our strategy or the organization of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5" w:name="page76"/>
    <w:bookmarkEnd w:id="75"/>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including changes in the pace of hiring; and</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foreign markets, including the effects of the war in Ukraine and conflict in the Middle East on the global economy, changes in the labor market, supply chain disruptions, inflation, increased interest rates, instability and volatility in the banking and financial services sector, and slow or negative growth of our markets.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could cause the market price of our common stock to decline.</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79"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programs, and any failure to repurchase our common stock after we have announced our intention to do so may negatively impact our stock price.</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February 2023, our board of directors authorized the repurchase of up to $1.0 billion of our common stock from time to time through a share repurchase program. In March 2024, our board of directors authorized an additional $2.0 billion share repurchase program. Through June 30, 2024, we have repurchased $2.0 billion of our common stock on the open market under this program, such that up to $1.0 billion remained available for repurchase as of June 30, 2024. Under our share repurchase programs,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programs terminate at 11:59 pm Pacific Time on December 31, 2024, do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19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programs could cause our stock price to be higher than it otherwise would be and could potentially reduce the market liquidity for our stock. Although our share repurchase programs are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8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72"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change their recommendations regarding our common stock adversely, the trading price of our common stock and trading volume could decline.</w:t>
      </w:r>
    </w:p>
    <w:p>
      <w:pPr>
        <w:spacing w:after="0" w:line="15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76" w:name="page77"/>
    <w:bookmarkEnd w:id="76"/>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spacing w:after="0" w:line="176" w:lineRule="exact"/>
        <w:rPr>
          <w:sz w:val="20"/>
          <w:szCs w:val="20"/>
          <w:color w:val="auto"/>
        </w:rPr>
      </w:pPr>
    </w:p>
    <w:p>
      <w:pPr>
        <w:ind w:left="980" w:right="30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classified into three classes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instead requiring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10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exclusive forum for the following types of actions or proceedings under Delaware statutory or common law:</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 owed by our directors, officers, employees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(the “Delaware Forum Provision”).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77" w:name="page78"/>
    <w:bookmarkEnd w:id="77"/>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never paid dividends and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and conflict in the Middle East, could cause disruptions in our or our customers’ businesses, national economies or the world economy as a whole.</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3"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8" w:name="page79"/>
    <w:bookmarkEnd w:id="7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and/or business could be negatively impacted by ESG matters and/or our reporting of such matters.</w:t>
      </w:r>
    </w:p>
    <w:p>
      <w:pPr>
        <w:spacing w:after="0" w:line="229"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Impact and DEI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8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we issued 22,102 shares of our common stock to an independent donor advised fund to further our Twilio.org philanthropic goals. The shares were “restricted securities” for purposes of Rule 144 under the Securities Act, and had an aggregate fair market value on the date of donation of $1.3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June 30, 2024:</w:t>
      </w:r>
    </w:p>
    <w:p>
      <w:pPr>
        <w:spacing w:after="0" w:line="200" w:lineRule="exact"/>
        <w:rPr>
          <w:sz w:val="20"/>
          <w:szCs w:val="20"/>
          <w:color w:val="auto"/>
        </w:rPr>
      </w:pPr>
    </w:p>
    <w:p>
      <w:pPr>
        <w:spacing w:after="0" w:line="31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40" w:type="dxa"/>
            <w:vAlign w:val="bottom"/>
            <w:gridSpan w:val="2"/>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2"/>
                <w:szCs w:val="12"/>
                <w:color w:val="auto"/>
              </w:rPr>
            </w:pPr>
          </w:p>
        </w:tc>
        <w:tc>
          <w:tcPr>
            <w:tcW w:w="222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2220" w:type="dxa"/>
            <w:vAlign w:val="bottom"/>
          </w:tcPr>
          <w:p>
            <w:pPr>
              <w:jc w:val="center"/>
              <w:ind w:right="24"/>
              <w:spacing w:after="0" w:line="202" w:lineRule="exact"/>
              <w:rPr>
                <w:sz w:val="20"/>
                <w:szCs w:val="20"/>
                <w:color w:val="auto"/>
              </w:rPr>
            </w:pPr>
            <w:r>
              <w:rPr>
                <w:rFonts w:ascii="Times New Roman" w:cs="Times New Roman" w:eastAsia="Times New Roman" w:hAnsi="Times New Roman"/>
                <w:sz w:val="14"/>
                <w:szCs w:val="14"/>
                <w:b w:val="1"/>
                <w:bCs w:val="1"/>
                <w:color w:val="auto"/>
                <w:w w:val="99"/>
              </w:rPr>
              <w:t>the Plans or Programs</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1 - 30, 2024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60.30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1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1 - 31, 2024</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60.41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1 - 30,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55.76</w:t>
            </w: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15,230</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22" w:lineRule="exact"/>
        <w:rPr>
          <w:sz w:val="20"/>
          <w:szCs w:val="20"/>
          <w:color w:val="auto"/>
        </w:rPr>
      </w:pPr>
    </w:p>
    <w:p>
      <w:pPr>
        <w:ind w:right="240" w:firstLine="8"/>
        <w:spacing w:after="0" w:line="262" w:lineRule="auto"/>
        <w:tabs>
          <w:tab w:leader="none" w:pos="163"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February 2023, our board of directors authorized a share repurchase program to repurchase up to $1.0 billion in aggregate value of our Class A common stock. In March 2024, our board of directors authorized an additional $2.0 billion share repurchase program. Repurchases under these programs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programs expire on December 31, 2024. Refer to Note 12 — Stockholders' Equity in Part I, Item 1, of this Quarterly Report on Form 10-Q for additional information related to share repurchases.</w:t>
      </w:r>
    </w:p>
    <w:p>
      <w:pPr>
        <w:spacing w:after="0" w:line="177" w:lineRule="exact"/>
        <w:rPr>
          <w:rFonts w:ascii="Times New Roman" w:cs="Times New Roman" w:eastAsia="Times New Roman" w:hAnsi="Times New Roman"/>
          <w:sz w:val="19"/>
          <w:szCs w:val="19"/>
          <w:color w:val="auto"/>
          <w:vertAlign w:val="superscript"/>
        </w:rPr>
      </w:pPr>
    </w:p>
    <w:p>
      <w:pPr>
        <w:ind w:left="180" w:hanging="172"/>
        <w:spacing w:after="0"/>
        <w:tabs>
          <w:tab w:leader="none" w:pos="18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costs associated with the repurchases.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 following “Rule 10b5-1 trading arrangement” (as defined in Item 408 of Regulation S-K) was adopted which was intended to satisfy the affirmative defense in Rule 10b5-1(c):</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May 21, 2024, Dana Wagner our Chief Legal Officer, adopted a Rule 10b5-1 trading plan providing for the sale of up to an aggregate of 104,525 shares of common stock held by Mr. Wagner, plus any shares acquired pursuant to equity awards granted after the adoption of the plan or purchased under our employee stock purchase plan prior to the termination of the plan. The number of shares listed above for Mr. Wagner includes performance-based awards presented at their target amounts and</w:t>
      </w:r>
    </w:p>
    <w:p>
      <w:pPr>
        <w:sectPr>
          <w:pgSz w:w="11900" w:h="16838" w:orient="portrait"/>
          <w:cols w:equalWidth="0" w:num="1">
            <w:col w:w="11200"/>
          </w:cols>
          <w:pgMar w:left="320" w:top="1103" w:right="37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type w:val="continuous"/>
        </w:sectPr>
      </w:pPr>
    </w:p>
    <w:bookmarkStart w:id="79" w:name="page80"/>
    <w:bookmarkEnd w:id="79"/>
    <w:p>
      <w:pPr>
        <w:ind w:right="140"/>
        <w:spacing w:after="0" w:line="282" w:lineRule="auto"/>
        <w:rPr>
          <w:sz w:val="20"/>
          <w:szCs w:val="20"/>
          <w:color w:val="auto"/>
        </w:rPr>
      </w:pPr>
      <w:r>
        <w:rPr>
          <w:rFonts w:ascii="Times New Roman" w:cs="Times New Roman" w:eastAsia="Times New Roman" w:hAnsi="Times New Roman"/>
          <w:sz w:val="18"/>
          <w:szCs w:val="18"/>
          <w:color w:val="auto"/>
        </w:rPr>
        <w:t>shares subject to limit orders that may or may not execute. The number of shares eligible for sale will also be reduced by shares sold in mandatory transactions to cover withholding taxes. The duration of the plan is until August 15, 2025 or earlier if all transactions under the plan have been completed.</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 other directors or officers adopted or terminated a “Rule 10b5-1 trading arrangement” or a “non-Rule 10b5-1 trading arrangement” (each as defined in Item 408 of Regulation S-K) during the last fiscal quarter.</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incorporated by reference or are filed with this Quarterly Report on Form 10-Q, in each case as indicated therein.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gridSpan w:val="9"/>
          </w:tcPr>
          <w:p>
            <w:pPr>
              <w:ind w:left="9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8"/>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Amended and Restated Certificate of Incorporation</w:t>
            </w:r>
          </w:p>
        </w:tc>
        <w:tc>
          <w:tcPr>
            <w:tcW w:w="2240" w:type="dxa"/>
            <w:vAlign w:val="bottom"/>
            <w:gridSpan w:val="9"/>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Amended and Restated Non-Employee Director Compensation Policy</w:t>
              </w:r>
            </w:hyperlink>
          </w:p>
        </w:tc>
        <w:tc>
          <w:tcPr>
            <w:tcW w:w="1160" w:type="dxa"/>
            <w:vAlign w:val="bottom"/>
            <w:gridSpan w:val="8"/>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001-37806</w:t>
            </w:r>
          </w:p>
        </w:tc>
        <w:tc>
          <w:tcPr>
            <w:tcW w:w="100" w:type="dxa"/>
            <w:vAlign w:val="bottom"/>
          </w:tcPr>
          <w:p>
            <w:pPr>
              <w:spacing w:after="0"/>
              <w:rPr>
                <w:sz w:val="20"/>
                <w:szCs w:val="20"/>
                <w:color w:val="auto"/>
              </w:rPr>
            </w:pP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8, 2024</w:t>
            </w: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Exchange Act Rules 13a-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0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14(a) or 15d-14(a), as adopted pursuant to Section 302 of the Sarbanes-Oxley Act</w:t>
            </w:r>
          </w:p>
        </w:tc>
        <w:tc>
          <w:tcPr>
            <w:tcW w:w="20" w:type="dxa"/>
            <w:vAlign w:val="bottom"/>
            <w:tcBorders>
              <w:bottom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gridSpan w:val="7"/>
          </w:tcPr>
          <w:p>
            <w:pPr>
              <w:spacing w:after="0" w:line="115" w:lineRule="exact"/>
              <w:rPr>
                <w:sz w:val="20"/>
                <w:szCs w:val="20"/>
                <w:color w:val="auto"/>
              </w:rPr>
            </w:pPr>
            <w:r>
              <w:rPr>
                <w:rFonts w:ascii="Times New Roman" w:cs="Times New Roman" w:eastAsia="Times New Roman" w:hAnsi="Times New Roman"/>
                <w:sz w:val="13"/>
                <w:szCs w:val="13"/>
                <w:color w:val="0000FF"/>
              </w:rPr>
              <w:t>of 2002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Exchange Act Rules 13a-</w:t>
            </w:r>
          </w:p>
        </w:tc>
        <w:tc>
          <w:tcPr>
            <w:tcW w:w="540" w:type="dxa"/>
            <w:vAlign w:val="bottom"/>
            <w:gridSpan w:val="7"/>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0" w:type="dxa"/>
            <w:vAlign w:val="bottom"/>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14(a) or 15d-14(a), as adopted pursuant to Section 302 of the Sarbanes-Oxley Act</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7"/>
          </w:tcPr>
          <w:p>
            <w:pPr>
              <w:spacing w:after="0" w:line="115" w:lineRule="exact"/>
              <w:rPr>
                <w:sz w:val="20"/>
                <w:szCs w:val="20"/>
                <w:color w:val="auto"/>
              </w:rPr>
            </w:pPr>
            <w:r>
              <w:rPr>
                <w:rFonts w:ascii="Times New Roman" w:cs="Times New Roman" w:eastAsia="Times New Roman" w:hAnsi="Times New Roman"/>
                <w:sz w:val="13"/>
                <w:szCs w:val="13"/>
                <w:color w:val="0000FF"/>
              </w:rPr>
              <w:t>of 2002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and Chief Financial Officer pursuant to</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0" w:type="dxa"/>
            <w:vAlign w:val="bottom"/>
            <w:tcBorders>
              <w:top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 Sarbanes-Oxley</w:t>
            </w:r>
          </w:p>
        </w:tc>
        <w:tc>
          <w:tcPr>
            <w:tcW w:w="40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8"/>
          </w:tcPr>
          <w:p>
            <w:pPr>
              <w:spacing w:after="0" w:line="115" w:lineRule="exact"/>
              <w:rPr>
                <w:sz w:val="20"/>
                <w:szCs w:val="20"/>
                <w:color w:val="auto"/>
              </w:rPr>
            </w:pPr>
            <w:r>
              <w:rPr>
                <w:rFonts w:ascii="Times New Roman" w:cs="Times New Roman" w:eastAsia="Times New Roman" w:hAnsi="Times New Roman"/>
                <w:sz w:val="13"/>
                <w:szCs w:val="13"/>
                <w:color w:val="0000FF"/>
              </w:rPr>
              <w:t>Act of 2002</w:t>
            </w:r>
          </w:p>
        </w:tc>
        <w:tc>
          <w:tcPr>
            <w:tcW w:w="44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9"/>
                <w:szCs w:val="19"/>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document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1"/>
                <w:szCs w:val="21"/>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22"/>
                <w:szCs w:val="22"/>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22"/>
                <w:szCs w:val="22"/>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22"/>
                <w:szCs w:val="22"/>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22"/>
                <w:szCs w:val="22"/>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120" w:right="5440" w:hanging="1094"/>
        <w:spacing w:after="0" w:line="261" w:lineRule="auto"/>
        <w:tabs>
          <w:tab w:leader="none" w:pos="1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 contained in Exhibits 101)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25" w:lineRule="exact"/>
        <w:rPr>
          <w:sz w:val="20"/>
          <w:szCs w:val="20"/>
          <w:color w:val="auto"/>
        </w:rPr>
      </w:pPr>
    </w:p>
    <w:p>
      <w:pPr>
        <w:ind w:right="2140" w:firstLine="8"/>
        <w:spacing w:after="0" w:line="255" w:lineRule="auto"/>
        <w:tabs>
          <w:tab w:leader="none" w:pos="22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Refiling a version of the Amended and Restated Certificate of Incorporation that includes the correct name of the Company’s Delaware registered agent and a conformed signature of the authorized officer that executed the Amended and Restated Certificate of Incorporation. The Amended and Restated Certificate of Incorporation otherwise matches the form previously filed as Exhibit 3.1 to Form S-1/A filed by the Company with the Securities and Exchange Commission on June 13, 2016.</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 or arrangement.</w:t>
      </w:r>
    </w:p>
    <w:p>
      <w:pPr>
        <w:spacing w:after="0" w:line="14" w:lineRule="exact"/>
        <w:rPr>
          <w:rFonts w:ascii="Times New Roman" w:cs="Times New Roman" w:eastAsia="Times New Roman" w:hAnsi="Times New Roman"/>
          <w:sz w:val="14"/>
          <w:szCs w:val="14"/>
          <w:color w:val="auto"/>
        </w:rPr>
      </w:pPr>
    </w:p>
    <w:p>
      <w:pPr>
        <w:ind w:right="8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0" w:name="page81"/>
    <w:bookmarkEnd w:id="8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304" w:lineRule="exact"/>
        <w:rPr>
          <w:sz w:val="20"/>
          <w:szCs w:val="20"/>
          <w:color w:val="auto"/>
        </w:rPr>
      </w:pPr>
    </w:p>
    <w:p>
      <w:pPr>
        <w:ind w:left="780"/>
        <w:spacing w:after="0"/>
        <w:tabs>
          <w:tab w:leader="none" w:pos="7140" w:val="left"/>
        </w:tabs>
        <w:rPr>
          <w:sz w:val="20"/>
          <w:szCs w:val="20"/>
          <w:color w:val="auto"/>
        </w:rPr>
      </w:pPr>
      <w:r>
        <w:rPr>
          <w:rFonts w:ascii="Times New Roman" w:cs="Times New Roman" w:eastAsia="Times New Roman" w:hAnsi="Times New Roman"/>
          <w:sz w:val="16"/>
          <w:szCs w:val="16"/>
          <w:color w:val="auto"/>
        </w:rPr>
        <w:t>August 1, 2024</w:t>
      </w:r>
      <w:r>
        <w:rPr>
          <w:sz w:val="20"/>
          <w:szCs w:val="20"/>
          <w:color w:val="auto"/>
        </w:rPr>
        <w:tab/>
      </w: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20320</wp:posOffset>
            </wp:positionV>
            <wp:extent cx="31718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color w:val="auto"/>
        </w:rPr>
        <w:t>Khozema Z. Shipchandler</w:t>
      </w:r>
    </w:p>
    <w:p>
      <w:pPr>
        <w:jc w:val="center"/>
        <w:ind w:left="5500"/>
        <w:spacing w:after="0"/>
        <w:rPr>
          <w:sz w:val="20"/>
          <w:szCs w:val="20"/>
          <w:color w:val="auto"/>
        </w:rPr>
      </w:pPr>
      <w:r>
        <w:rPr>
          <w:rFonts w:ascii="Times New Roman" w:cs="Times New Roman" w:eastAsia="Times New Roman" w:hAnsi="Times New Roman"/>
          <w:sz w:val="16"/>
          <w:szCs w:val="16"/>
          <w:i w:val="1"/>
          <w:iCs w:val="1"/>
          <w:color w:val="auto"/>
        </w:rPr>
        <w:t>Director and Chief Executive Officer (Principal Executive Officer)</w:t>
      </w:r>
    </w:p>
    <w:p>
      <w:pPr>
        <w:spacing w:after="0" w:line="230" w:lineRule="exact"/>
        <w:rPr>
          <w:sz w:val="20"/>
          <w:szCs w:val="20"/>
          <w:color w:val="auto"/>
        </w:rPr>
      </w:pPr>
    </w:p>
    <w:p>
      <w:pPr>
        <w:ind w:left="780"/>
        <w:spacing w:after="0"/>
        <w:tabs>
          <w:tab w:leader="none" w:pos="7580" w:val="left"/>
        </w:tabs>
        <w:rPr>
          <w:sz w:val="20"/>
          <w:szCs w:val="20"/>
          <w:color w:val="auto"/>
        </w:rPr>
      </w:pPr>
      <w:r>
        <w:rPr>
          <w:rFonts w:ascii="Times New Roman" w:cs="Times New Roman" w:eastAsia="Times New Roman" w:hAnsi="Times New Roman"/>
          <w:sz w:val="16"/>
          <w:szCs w:val="16"/>
          <w:color w:val="auto"/>
        </w:rPr>
        <w:t>August 1, 2024</w:t>
      </w:r>
      <w:r>
        <w:rPr>
          <w:sz w:val="20"/>
          <w:szCs w:val="20"/>
          <w:color w:val="auto"/>
        </w:rPr>
        <w:tab/>
      </w: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20320</wp:posOffset>
            </wp:positionV>
            <wp:extent cx="31718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color w:val="auto"/>
        </w:rPr>
        <w:t>Aidan Viggiano</w:t>
      </w:r>
    </w:p>
    <w:p>
      <w:pPr>
        <w:jc w:val="center"/>
        <w:ind w:left="550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1103" w:right="4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Twilio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the laws of the State of Delaware, hereby certifies as follows:</w:t>
      </w:r>
    </w:p>
    <w:p>
      <w:pPr>
        <w:spacing w:after="0" w:line="229" w:lineRule="exact"/>
        <w:rPr>
          <w:sz w:val="20"/>
          <w:szCs w:val="20"/>
          <w:color w:val="auto"/>
        </w:rPr>
      </w:pPr>
    </w:p>
    <w:p>
      <w:pPr>
        <w:ind w:right="840" w:firstLine="656"/>
        <w:spacing w:after="0" w:line="282" w:lineRule="auto"/>
        <w:tabs>
          <w:tab w:leader="none" w:pos="1295"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was originally incorporated under the name of Twilio Inc., and the original Certificate of Incorporation of the Corporation was filed with the Secretary of State of the State of Delaware on March 13, 2008.</w:t>
      </w:r>
    </w:p>
    <w:p>
      <w:pPr>
        <w:spacing w:after="0" w:line="161" w:lineRule="exact"/>
        <w:rPr>
          <w:rFonts w:ascii="Times New Roman" w:cs="Times New Roman" w:eastAsia="Times New Roman" w:hAnsi="Times New Roman"/>
          <w:sz w:val="18"/>
          <w:szCs w:val="18"/>
          <w:color w:val="010000"/>
        </w:rPr>
      </w:pPr>
    </w:p>
    <w:p>
      <w:pPr>
        <w:ind w:right="380" w:firstLine="656"/>
        <w:spacing w:after="0" w:line="266" w:lineRule="auto"/>
        <w:tabs>
          <w:tab w:leader="none" w:pos="1285"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Amended and Restated Certificate of Incorporation was duly adopted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has been duly approved by the written consent of the stockholders of the Corporation in accordance with Section 228 of the DGCL.</w:t>
      </w:r>
    </w:p>
    <w:p>
      <w:pPr>
        <w:spacing w:after="0" w:line="17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Certificate of Incorporation of the Corporation is hereby amended and restated in its entirety to read as follows:</w:t>
      </w: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Twilio Inc.</w:t>
      </w: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21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2711 Centerville Road, Suite 400, Wilmington, County of New Castle, DE 19808. The name of its registered agent at such address is Corporation Service Company.</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229" w:lineRule="exact"/>
        <w:rPr>
          <w:sz w:val="20"/>
          <w:szCs w:val="20"/>
          <w:color w:val="auto"/>
        </w:rPr>
      </w:pPr>
    </w:p>
    <w:p>
      <w:pPr>
        <w:ind w:right="80" w:firstLine="656"/>
        <w:spacing w:after="0" w:line="261" w:lineRule="auto"/>
        <w:tabs>
          <w:tab w:leader="none" w:pos="1295"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Classes of Stock</w:t>
      </w:r>
      <w:r>
        <w:rPr>
          <w:rFonts w:ascii="Times New Roman" w:cs="Times New Roman" w:eastAsia="Times New Roman" w:hAnsi="Times New Roman"/>
          <w:sz w:val="18"/>
          <w:szCs w:val="18"/>
          <w:color w:val="auto"/>
        </w:rPr>
        <w:t>. The total number of shares of capital stock that the Corporation shall have authority to issue is 1,200,000,000, consisting of the following: 1,000,000,000 shares of Class A Common Stock, par value $0.001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100,000,000 shares of Class B Common Stock, par value $0.001 per share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100,000,000 shares of undesignated Preferred Stock, par value $0.001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Immediately upon the acceptance of this Amended and Restated Certificate of Incorporation for filing by the Secretary of State of the State of Delaware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share of the Corporation’s capital stock issued and outstanding or held as treasury stock immediately prior to the Effective Time, shall, automatically and without further action by any stockholder, be reclassified as, and shall become, one share of Class B Common Stock.</w:t>
      </w:r>
    </w:p>
    <w:p>
      <w:pPr>
        <w:spacing w:after="0" w:line="176" w:lineRule="exact"/>
        <w:rPr>
          <w:sz w:val="20"/>
          <w:szCs w:val="20"/>
          <w:color w:val="auto"/>
        </w:rPr>
      </w:pPr>
    </w:p>
    <w:p>
      <w:pPr>
        <w:ind w:right="80" w:firstLine="656"/>
        <w:spacing w:after="0" w:line="259" w:lineRule="auto"/>
        <w:tabs>
          <w:tab w:leader="none" w:pos="1285"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Rights of Preferred Stock</w:t>
      </w:r>
      <w:r>
        <w:rPr>
          <w:rFonts w:ascii="Times New Roman" w:cs="Times New Roman" w:eastAsia="Times New Roman" w:hAnsi="Times New Roman"/>
          <w:sz w:val="18"/>
          <w:szCs w:val="18"/>
          <w:color w:val="auto"/>
        </w:rPr>
        <w:t>.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w:t>
      </w:r>
    </w:p>
    <w:p>
      <w:pPr>
        <w:sectPr>
          <w:pgSz w:w="11900" w:h="16838" w:orient="portrait"/>
          <w:cols w:equalWidth="0" w:num="1">
            <w:col w:w="11240"/>
          </w:cols>
          <w:pgMar w:left="320" w:top="347" w:right="339" w:bottom="1440" w:gutter="0" w:footer="0" w:header="0"/>
        </w:sectPr>
      </w:pPr>
    </w:p>
    <w:bookmarkStart w:id="82" w:name="page83"/>
    <w:bookmarkEnd w:id="82"/>
    <w:p>
      <w:pPr>
        <w:ind w:right="400"/>
        <w:spacing w:after="0" w:line="286" w:lineRule="auto"/>
        <w:rPr>
          <w:sz w:val="20"/>
          <w:szCs w:val="20"/>
          <w:color w:val="auto"/>
        </w:rPr>
      </w:pPr>
      <w:r>
        <w:rPr>
          <w:rFonts w:ascii="Times New Roman" w:cs="Times New Roman" w:eastAsia="Times New Roman" w:hAnsi="Times New Roman"/>
          <w:sz w:val="18"/>
          <w:szCs w:val="18"/>
          <w:color w:val="auto"/>
        </w:rPr>
        <w:t>certificate pursuant to the applicable law of the State of Delaware (such certificate being hereinafter referred to as a “</w:t>
      </w:r>
      <w:r>
        <w:rPr>
          <w:rFonts w:ascii="Times New Roman" w:cs="Times New Roman" w:eastAsia="Times New Roman" w:hAnsi="Times New Roman"/>
          <w:sz w:val="18"/>
          <w:szCs w:val="18"/>
          <w:b w:val="1"/>
          <w:bCs w:val="1"/>
          <w:color w:val="auto"/>
        </w:rPr>
        <w:t>Preferred Stock Designation</w:t>
      </w:r>
      <w:r>
        <w:rPr>
          <w:rFonts w:ascii="Times New Roman" w:cs="Times New Roman" w:eastAsia="Times New Roman" w:hAnsi="Times New Roman"/>
          <w:sz w:val="18"/>
          <w:szCs w:val="18"/>
          <w:color w:val="auto"/>
        </w:rPr>
        <w:t>”), setting forth such resolution or resolutions.</w:t>
      </w:r>
    </w:p>
    <w:p>
      <w:pPr>
        <w:spacing w:after="0" w:line="159" w:lineRule="exact"/>
        <w:rPr>
          <w:sz w:val="20"/>
          <w:szCs w:val="20"/>
          <w:color w:val="auto"/>
        </w:rPr>
      </w:pPr>
    </w:p>
    <w:p>
      <w:pPr>
        <w:jc w:val="both"/>
        <w:ind w:firstLine="656"/>
        <w:spacing w:after="0" w:line="281" w:lineRule="auto"/>
        <w:tabs>
          <w:tab w:leader="none" w:pos="1285" w:val="left"/>
        </w:tabs>
        <w:numPr>
          <w:ilvl w:val="0"/>
          <w:numId w:val="4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Vote to Increase or Decrease Authorized Shares of Preferred Stock</w:t>
      </w:r>
      <w:r>
        <w:rPr>
          <w:rFonts w:ascii="Times New Roman" w:cs="Times New Roman" w:eastAsia="Times New Roman" w:hAnsi="Times New Roman"/>
          <w:sz w:val="17"/>
          <w:szCs w:val="17"/>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164" w:lineRule="exact"/>
        <w:rPr>
          <w:rFonts w:ascii="Times New Roman" w:cs="Times New Roman" w:eastAsia="Times New Roman" w:hAnsi="Times New Roman"/>
          <w:sz w:val="17"/>
          <w:szCs w:val="17"/>
          <w:color w:val="010000"/>
        </w:rPr>
      </w:pPr>
    </w:p>
    <w:p>
      <w:pPr>
        <w:ind w:right="280" w:firstLine="656"/>
        <w:spacing w:after="0" w:line="282" w:lineRule="auto"/>
        <w:tabs>
          <w:tab w:leader="none" w:pos="1295"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Rights of Class A Common Stock and Class B Common Stock</w:t>
      </w:r>
      <w:r>
        <w:rPr>
          <w:rFonts w:ascii="Times New Roman" w:cs="Times New Roman" w:eastAsia="Times New Roman" w:hAnsi="Times New Roman"/>
          <w:sz w:val="18"/>
          <w:szCs w:val="18"/>
          <w:color w:val="auto"/>
        </w:rPr>
        <w:t>. The relative powers, rights, qualifications, limitations and restrictions granted to or imposed on the shares of Class A Common Stock and Class B Common Stock are as follows:</w:t>
      </w:r>
    </w:p>
    <w:p>
      <w:pPr>
        <w:spacing w:after="0" w:line="16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right="280" w:firstLine="1304"/>
        <w:spacing w:after="0" w:line="258" w:lineRule="auto"/>
        <w:tabs>
          <w:tab w:leader="none" w:pos="1941"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Right to Vote Together; Exception</w:t>
      </w:r>
      <w:r>
        <w:rPr>
          <w:rFonts w:ascii="Times New Roman" w:cs="Times New Roman" w:eastAsia="Times New Roman" w:hAnsi="Times New Roman"/>
          <w:sz w:val="18"/>
          <w:szCs w:val="18"/>
          <w:color w:val="auto"/>
        </w:rPr>
        <w:t xml:space="preserve">. Except as otherwise expressly provided herein or required by applicable law, the holders of Class A Common Stock and Class B Common Stock shall vote together as one class on all matters submitted to a vote of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subject to the terms of any Preferred Stock Designation, the number of authorized shares of Class A Common Stock or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may be increased or decreased (but not below the number of shares thereof then outstanding) by the affirmative vote of the holders of a majority of the voting power of the capital stock of the Corporation entitled to vote.</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38"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175" w:lineRule="exact"/>
        <w:rPr>
          <w:rFonts w:ascii="Times New Roman" w:cs="Times New Roman" w:eastAsia="Times New Roman" w:hAnsi="Times New Roman"/>
          <w:sz w:val="18"/>
          <w:szCs w:val="18"/>
          <w:color w:val="010000"/>
        </w:rPr>
      </w:pPr>
    </w:p>
    <w:p>
      <w:pPr>
        <w:ind w:right="40" w:firstLine="656"/>
        <w:spacing w:after="0" w:line="266" w:lineRule="auto"/>
        <w:tabs>
          <w:tab w:leader="none" w:pos="1296"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175" w:lineRule="exact"/>
        <w:rPr>
          <w:rFonts w:ascii="Times New Roman" w:cs="Times New Roman" w:eastAsia="Times New Roman" w:hAnsi="Times New Roman"/>
          <w:sz w:val="18"/>
          <w:szCs w:val="18"/>
          <w:color w:val="010000"/>
        </w:rPr>
      </w:pPr>
    </w:p>
    <w:p>
      <w:pPr>
        <w:ind w:firstLine="1304"/>
        <w:spacing w:after="0" w:line="255" w:lineRule="auto"/>
        <w:tabs>
          <w:tab w:leader="none" w:pos="1941"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88" w:lineRule="exact"/>
        <w:rPr>
          <w:rFonts w:ascii="Times New Roman" w:cs="Times New Roman" w:eastAsia="Times New Roman" w:hAnsi="Times New Roman"/>
          <w:sz w:val="18"/>
          <w:szCs w:val="18"/>
          <w:color w:val="010000"/>
        </w:rPr>
      </w:pPr>
    </w:p>
    <w:p>
      <w:pPr>
        <w:ind w:right="20" w:firstLine="1304"/>
        <w:spacing w:after="0" w:line="258" w:lineRule="auto"/>
        <w:tabs>
          <w:tab w:leader="none" w:pos="1938"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Subdivision or Combination</w:t>
      </w:r>
      <w:r>
        <w:rPr>
          <w:rFonts w:ascii="Times New Roman" w:cs="Times New Roman" w:eastAsia="Times New Roman" w:hAnsi="Times New Roman"/>
          <w:sz w:val="18"/>
          <w:szCs w:val="18"/>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83" w:lineRule="exact"/>
        <w:rPr>
          <w:rFonts w:ascii="Times New Roman" w:cs="Times New Roman" w:eastAsia="Times New Roman" w:hAnsi="Times New Roman"/>
          <w:sz w:val="18"/>
          <w:szCs w:val="18"/>
          <w:color w:val="010000"/>
        </w:rPr>
      </w:pPr>
    </w:p>
    <w:p>
      <w:pPr>
        <w:jc w:val="both"/>
        <w:ind w:right="180" w:firstLine="1304"/>
        <w:spacing w:after="0" w:line="266" w:lineRule="auto"/>
        <w:tabs>
          <w:tab w:leader="none" w:pos="1941"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Equal Treatment in a Change of Control or any Merger Transaction</w:t>
      </w:r>
      <w:r>
        <w:rPr>
          <w:rFonts w:ascii="Times New Roman" w:cs="Times New Roman" w:eastAsia="Times New Roman" w:hAnsi="Times New Roman"/>
          <w:sz w:val="18"/>
          <w:szCs w:val="18"/>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13" w:right="379" w:bottom="1440" w:gutter="0" w:footer="0" w:header="0"/>
        </w:sectPr>
      </w:pPr>
    </w:p>
    <w:bookmarkStart w:id="83" w:name="page84"/>
    <w:bookmarkEnd w:id="83"/>
    <w:p>
      <w:pPr>
        <w:ind w:right="60"/>
        <w:spacing w:after="0" w:line="255" w:lineRule="auto"/>
        <w:rPr>
          <w:sz w:val="20"/>
          <w:szCs w:val="20"/>
          <w:color w:val="auto"/>
        </w:rPr>
      </w:pPr>
      <w:r>
        <w:rPr>
          <w:rFonts w:ascii="Times New Roman" w:cs="Times New Roman" w:eastAsia="Times New Roman" w:hAnsi="Times New Roman"/>
          <w:sz w:val="18"/>
          <w:szCs w:val="18"/>
          <w:color w:val="auto"/>
        </w:rPr>
        <w:t>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89"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of 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right="20" w:firstLine="1304"/>
        <w:spacing w:after="0" w:line="282" w:lineRule="auto"/>
        <w:tabs>
          <w:tab w:leader="none" w:pos="1941"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Each one (1) share of Class B Common Stock shall be convertible into one (1) share of Class A Common Stock at the option of the holder thereof at any time upon written notice to the transfer agent of the Corporation.</w:t>
      </w:r>
    </w:p>
    <w:p>
      <w:pPr>
        <w:spacing w:after="0" w:line="161" w:lineRule="exact"/>
        <w:rPr>
          <w:rFonts w:ascii="Times New Roman" w:cs="Times New Roman" w:eastAsia="Times New Roman" w:hAnsi="Times New Roman"/>
          <w:sz w:val="18"/>
          <w:szCs w:val="18"/>
          <w:color w:val="010000"/>
        </w:rPr>
      </w:pPr>
    </w:p>
    <w:p>
      <w:pPr>
        <w:ind w:right="160" w:firstLine="1304"/>
        <w:spacing w:after="0" w:line="282" w:lineRule="auto"/>
        <w:tabs>
          <w:tab w:leader="none" w:pos="1938"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Shares of Class B Common Stock shall automatically, without any further action, convert into an equal number of shares of Class A Common Stock upon the earlier of:</w:t>
      </w:r>
    </w:p>
    <w:p>
      <w:pPr>
        <w:spacing w:after="0" w:line="159" w:lineRule="exact"/>
        <w:rPr>
          <w:rFonts w:ascii="Times New Roman" w:cs="Times New Roman" w:eastAsia="Times New Roman" w:hAnsi="Times New Roman"/>
          <w:sz w:val="18"/>
          <w:szCs w:val="18"/>
          <w:color w:val="010000"/>
        </w:rPr>
      </w:pPr>
    </w:p>
    <w:p>
      <w:pPr>
        <w:ind w:left="660" w:right="140" w:firstLine="1292"/>
        <w:spacing w:after="0" w:line="261" w:lineRule="auto"/>
        <w:tabs>
          <w:tab w:leader="none" w:pos="2598"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Transfer of such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conversion shall occur in the case of a Transfer by a Class B Stockholder, for tax or estate planning purposes, to any of the persons or entities listed in clauses (A) through (E) below (each,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and from any such Permitted Transferee back to such Class B Stockholder and/or any other Permitted Transferee established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Class B Stockholder:</w:t>
      </w:r>
    </w:p>
    <w:p>
      <w:pPr>
        <w:spacing w:after="0" w:line="181" w:lineRule="exact"/>
        <w:rPr>
          <w:rFonts w:ascii="Times New Roman" w:cs="Times New Roman" w:eastAsia="Times New Roman" w:hAnsi="Times New Roman"/>
          <w:sz w:val="18"/>
          <w:szCs w:val="18"/>
          <w:color w:val="010000"/>
        </w:rPr>
      </w:pPr>
    </w:p>
    <w:p>
      <w:pPr>
        <w:ind w:left="1300" w:firstLine="1300"/>
        <w:spacing w:after="0" w:line="261" w:lineRule="auto"/>
        <w:tabs>
          <w:tab w:leader="none" w:pos="3237" w:val="left"/>
        </w:tabs>
        <w:numPr>
          <w:ilvl w:val="3"/>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family member of such Class B Stockholder, which shall include with respect to any natural person who is a Class B Stockholder, the spouse, domestic partner, parents, grandparents, lineal descendants, siblings and lineal descendants of siblings of such Class B Stockholder;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lineal descendants shall include adopted persons, but only so long as they are adopted during minority;</w:t>
      </w:r>
    </w:p>
    <w:p>
      <w:pPr>
        <w:spacing w:after="0" w:line="179" w:lineRule="exact"/>
        <w:rPr>
          <w:rFonts w:ascii="Times New Roman" w:cs="Times New Roman" w:eastAsia="Times New Roman" w:hAnsi="Times New Roman"/>
          <w:sz w:val="18"/>
          <w:szCs w:val="18"/>
          <w:color w:val="010000"/>
        </w:rPr>
      </w:pPr>
    </w:p>
    <w:p>
      <w:pPr>
        <w:ind w:left="1300" w:right="40" w:firstLine="1300"/>
        <w:spacing w:after="0" w:line="255" w:lineRule="auto"/>
        <w:tabs>
          <w:tab w:leader="none" w:pos="3241" w:val="left"/>
        </w:tabs>
        <w:numPr>
          <w:ilvl w:val="3"/>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trust for the benefit of such Class B Stockholder or persons other than the Class B Stockholder so long as the Class B Stockholder and/or family members of such Class B Stockholder have sole dispositive power and exclusive Voting Control with respect to the shares of Class B Common Stock held by such 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 does not involve any payment of cash, securities, property or other consideration (other than an interest in such trust) to the Class B Stockholder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such Class B Stockholder and/or family members of such Class B Stockholder no longer have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88" w:lineRule="exact"/>
        <w:rPr>
          <w:rFonts w:ascii="Times New Roman" w:cs="Times New Roman" w:eastAsia="Times New Roman" w:hAnsi="Times New Roman"/>
          <w:sz w:val="18"/>
          <w:szCs w:val="18"/>
          <w:color w:val="010000"/>
        </w:rPr>
      </w:pPr>
    </w:p>
    <w:p>
      <w:pPr>
        <w:ind w:left="1300" w:right="200" w:firstLine="1300"/>
        <w:spacing w:after="0" w:line="256" w:lineRule="auto"/>
        <w:tabs>
          <w:tab w:leader="none" w:pos="3241" w:val="left"/>
        </w:tabs>
        <w:numPr>
          <w:ilvl w:val="3"/>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trust under the terms of which such Class B Stockholder has retained a “qualified interest” within the meaning of §2702(b)(1) of the Internal Revenue Code (or successor provision) and/or a reversionary interest so long as the Class B Stockholder has sole dispositive power and exclusive Voting Control with respect to the shares of Class B Common Stock held by such trust;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the Class B Stockholder no longer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84" w:name="page85"/>
    <w:bookmarkEnd w:id="84"/>
    <w:p>
      <w:pPr>
        <w:ind w:left="1260" w:right="120" w:firstLine="1300"/>
        <w:spacing w:after="0" w:line="254" w:lineRule="auto"/>
        <w:tabs>
          <w:tab w:leader="none" w:pos="3197" w:val="left"/>
        </w:tabs>
        <w:numPr>
          <w:ilvl w:val="2"/>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Individual Retirement Account, as defined in Section 408(a) of the Internal Revenue Code (or successor provision), or a pension, profit sharing, stock bonus or other type of plan or trust of which such Class B Stockholder is a participant or beneficiary and which satisfies the requirements for qualification under Section 401 of the Internal Revenue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Class B Stockholder has sole dispositive power and exclusive Voting Control with respect to the shares of Class B Common Stock held in such account, plan or trust,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the Class B Stockholder no longer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spacing w:after="0" w:line="191" w:lineRule="exact"/>
        <w:rPr>
          <w:rFonts w:ascii="Times New Roman" w:cs="Times New Roman" w:eastAsia="Times New Roman" w:hAnsi="Times New Roman"/>
          <w:sz w:val="18"/>
          <w:szCs w:val="18"/>
          <w:color w:val="010000"/>
        </w:rPr>
      </w:pPr>
    </w:p>
    <w:p>
      <w:pPr>
        <w:ind w:left="1260" w:right="40" w:firstLine="1300"/>
        <w:spacing w:after="0" w:line="253" w:lineRule="auto"/>
        <w:tabs>
          <w:tab w:leader="none" w:pos="3191" w:val="left"/>
        </w:tabs>
        <w:numPr>
          <w:ilvl w:val="2"/>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and/or family members of such Class B Stockholder retain sole dispositive power and exclusive Voting Control with respect to the shares of Class B Common Stock held by such corporation, partnership or limited liability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the Class B Stockholder and/or family members of such Class B Stockholder no longer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shares, partnership interests or membership interests, as applicable, or no longer has sufficient legally enforceable rights to ensure the Class B Stockholder and/or family members of such Class B Stockholder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 and</w:t>
      </w:r>
    </w:p>
    <w:p>
      <w:pPr>
        <w:spacing w:after="0" w:line="191" w:lineRule="exact"/>
        <w:rPr>
          <w:rFonts w:ascii="Times New Roman" w:cs="Times New Roman" w:eastAsia="Times New Roman" w:hAnsi="Times New Roman"/>
          <w:sz w:val="18"/>
          <w:szCs w:val="18"/>
          <w:color w:val="010000"/>
        </w:rPr>
      </w:pPr>
    </w:p>
    <w:p>
      <w:pPr>
        <w:ind w:left="620" w:right="20" w:firstLine="1292"/>
        <w:spacing w:after="0" w:line="258" w:lineRule="auto"/>
        <w:tabs>
          <w:tab w:leader="none" w:pos="2554" w:val="left"/>
        </w:tabs>
        <w:numPr>
          <w:ilvl w:val="1"/>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conversion pursuant to this subsection (ii) shall occur in the case of a Class B Stockholder or its Permitted Transferees that furnishes a certification satisfactory to the Corporation prior to the specified date.</w:t>
      </w:r>
    </w:p>
    <w:p>
      <w:pPr>
        <w:spacing w:after="0" w:line="183" w:lineRule="exact"/>
        <w:rPr>
          <w:rFonts w:ascii="Times New Roman" w:cs="Times New Roman" w:eastAsia="Times New Roman" w:hAnsi="Times New Roman"/>
          <w:sz w:val="18"/>
          <w:szCs w:val="18"/>
          <w:color w:val="010000"/>
        </w:rPr>
      </w:pPr>
    </w:p>
    <w:p>
      <w:pPr>
        <w:ind w:left="1900" w:hanging="636"/>
        <w:spacing w:after="0"/>
        <w:tabs>
          <w:tab w:leader="none" w:pos="190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Upon Death or Incapacity of a Class B Stockholder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620" w:right="320" w:firstLine="1292"/>
        <w:spacing w:after="0" w:line="266" w:lineRule="auto"/>
        <w:tabs>
          <w:tab w:leader="none" w:pos="2558" w:val="left"/>
        </w:tabs>
        <w:numPr>
          <w:ilvl w:val="1"/>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share of Class B Common Stock held of record by a Class B Stockholder who is a natural person, or by such Class B Stockholder’s Permitted Transferees, shall automatically, without any further action, convert into one (1) fully paid and nonassessable share of Class A Common Stock upon the death or Incapacity of such Class B Stockholder.</w:t>
      </w:r>
    </w:p>
    <w:p>
      <w:pPr>
        <w:spacing w:after="0" w:line="175" w:lineRule="exact"/>
        <w:rPr>
          <w:rFonts w:ascii="Times New Roman" w:cs="Times New Roman" w:eastAsia="Times New Roman" w:hAnsi="Times New Roman"/>
          <w:sz w:val="18"/>
          <w:szCs w:val="18"/>
          <w:color w:val="010000"/>
        </w:rPr>
      </w:pPr>
    </w:p>
    <w:p>
      <w:pPr>
        <w:ind w:left="-40" w:firstLine="1304"/>
        <w:spacing w:after="0" w:line="266" w:lineRule="auto"/>
        <w:tabs>
          <w:tab w:leader="none" w:pos="1898"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Automatic Conversion of all Outstanding Class B Common Stock</w:t>
      </w:r>
      <w:r>
        <w:rPr>
          <w:rFonts w:ascii="Times New Roman" w:cs="Times New Roman" w:eastAsia="Times New Roman" w:hAnsi="Times New Roman"/>
          <w:sz w:val="18"/>
          <w:szCs w:val="18"/>
          <w:color w:val="auto"/>
        </w:rPr>
        <w:t>. Each one (1) share of Class B Common Stock shall automatically, without any further action, convert into one (1) share of Class A Common Stock upon the date specified by affirmative vote of the holders of at least sixty-six and two-thirds percent (66-2/3%) of the outstanding shares of Class B Common Stock, voting as a single class.</w:t>
      </w:r>
    </w:p>
    <w:p>
      <w:pPr>
        <w:spacing w:after="0" w:line="175" w:lineRule="exact"/>
        <w:rPr>
          <w:rFonts w:ascii="Times New Roman" w:cs="Times New Roman" w:eastAsia="Times New Roman" w:hAnsi="Times New Roman"/>
          <w:sz w:val="18"/>
          <w:szCs w:val="18"/>
          <w:color w:val="010000"/>
        </w:rPr>
      </w:pPr>
    </w:p>
    <w:p>
      <w:pPr>
        <w:ind w:left="-40" w:right="20" w:firstLine="1304"/>
        <w:spacing w:after="0" w:line="261" w:lineRule="auto"/>
        <w:tabs>
          <w:tab w:leader="none" w:pos="1901"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Final Conversion of Class B Common Stock</w:t>
      </w:r>
      <w:r>
        <w:rPr>
          <w:rFonts w:ascii="Times New Roman" w:cs="Times New Roman" w:eastAsia="Times New Roman" w:hAnsi="Times New Roman"/>
          <w:sz w:val="18"/>
          <w:szCs w:val="18"/>
          <w:color w:val="auto"/>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by the Secretary of State of the State of Delaware required thereby, and upon such retirement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60" w:top="14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cancellation, all references to Class B Common Stock in this Amended and Restated Certificate of Incorporation shall be eliminated.</w:t>
      </w:r>
    </w:p>
    <w:p>
      <w:pPr>
        <w:spacing w:after="0" w:line="225" w:lineRule="exact"/>
        <w:rPr>
          <w:sz w:val="20"/>
          <w:szCs w:val="20"/>
          <w:color w:val="auto"/>
        </w:rPr>
      </w:pPr>
    </w:p>
    <w:p>
      <w:pPr>
        <w:ind w:firstLine="1304"/>
        <w:spacing w:after="0" w:line="256" w:lineRule="auto"/>
        <w:tabs>
          <w:tab w:leader="none" w:pos="1935"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spacing w:after="0" w:line="187" w:lineRule="exact"/>
        <w:rPr>
          <w:rFonts w:ascii="Times New Roman" w:cs="Times New Roman" w:eastAsia="Times New Roman" w:hAnsi="Times New Roman"/>
          <w:sz w:val="18"/>
          <w:szCs w:val="18"/>
          <w:color w:val="010000"/>
        </w:rPr>
      </w:pPr>
    </w:p>
    <w:p>
      <w:pPr>
        <w:ind w:right="20" w:firstLine="1304"/>
        <w:spacing w:after="0" w:line="255" w:lineRule="auto"/>
        <w:tabs>
          <w:tab w:leader="none" w:pos="1938"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Immediate Effect</w:t>
      </w:r>
      <w:r>
        <w:rPr>
          <w:rFonts w:ascii="Times New Roman" w:cs="Times New Roman" w:eastAsia="Times New Roman" w:hAnsi="Times New Roman"/>
          <w:sz w:val="18"/>
          <w:szCs w:val="18"/>
          <w:color w:val="auto"/>
        </w:rPr>
        <w:t>. In the event of a conversion of shares of Class B Common Stock to shares of Class A Common Stock pursuant to this Section D.3 or upon the Final Conversion Date,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Shares of Class B Common Stock that are converted into shares of Class A Common Stock as provided in this Section D.3 shall be retired and may not be reissued.</w:t>
      </w:r>
    </w:p>
    <w:p>
      <w:pPr>
        <w:spacing w:after="0" w:line="188" w:lineRule="exact"/>
        <w:rPr>
          <w:rFonts w:ascii="Times New Roman" w:cs="Times New Roman" w:eastAsia="Times New Roman" w:hAnsi="Times New Roman"/>
          <w:sz w:val="18"/>
          <w:szCs w:val="18"/>
          <w:color w:val="010000"/>
        </w:rPr>
      </w:pPr>
    </w:p>
    <w:p>
      <w:pPr>
        <w:jc w:val="both"/>
        <w:ind w:right="160" w:firstLine="1304"/>
        <w:spacing w:after="0" w:line="261" w:lineRule="auto"/>
        <w:tabs>
          <w:tab w:leader="none" w:pos="1938"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79" w:lineRule="exact"/>
        <w:rPr>
          <w:rFonts w:ascii="Times New Roman" w:cs="Times New Roman" w:eastAsia="Times New Roman" w:hAnsi="Times New Roman"/>
          <w:sz w:val="18"/>
          <w:szCs w:val="18"/>
          <w:color w:val="010000"/>
        </w:rPr>
      </w:pPr>
    </w:p>
    <w:p>
      <w:pPr>
        <w:ind w:right="80" w:firstLine="656"/>
        <w:spacing w:after="0" w:line="261" w:lineRule="auto"/>
        <w:tabs>
          <w:tab w:leader="none" w:pos="1289" w:val="left"/>
        </w:tabs>
        <w:numPr>
          <w:ilvl w:val="0"/>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Further Issuances</w:t>
      </w:r>
      <w:r>
        <w:rPr>
          <w:rFonts w:ascii="Times New Roman" w:cs="Times New Roman" w:eastAsia="Times New Roman" w:hAnsi="Times New Roman"/>
          <w:sz w:val="18"/>
          <w:szCs w:val="18"/>
          <w:color w:val="auto"/>
        </w:rPr>
        <w:t xml:space="preserve">. Except for the issuance of Class B Common Stock issuable upon exercise of Rights outstanding at the Effective Time or a dividend payable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D.2(a), the Corporation shall not at any time after the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following terms, where capitalized in this Amended and Restated Certificate of Incorporation, shall have the meanings ascribed to them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Share Issuance</w:t>
      </w:r>
      <w:r>
        <w:rPr>
          <w:rFonts w:ascii="Times New Roman" w:cs="Times New Roman" w:eastAsia="Times New Roman" w:hAnsi="Times New Roman"/>
          <w:sz w:val="18"/>
          <w:szCs w:val="18"/>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183"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means (i) the sale, lease, exchange, or other disposition (other than liens and encumbrances created in the ordinary course of business, including liens or encumbrances to secure indebtedness for borrowed money that are approved by the Corporation’s Board of Directors, so long as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86" w:name="page87"/>
    <w:bookmarkEnd w:id="86"/>
    <w:p>
      <w:pPr>
        <w:spacing w:after="0" w:line="252" w:lineRule="auto"/>
        <w:rPr>
          <w:sz w:val="20"/>
          <w:szCs w:val="20"/>
          <w:color w:val="auto"/>
        </w:rPr>
      </w:pPr>
      <w:r>
        <w:rPr>
          <w:rFonts w:ascii="Times New Roman" w:cs="Times New Roman" w:eastAsia="Times New Roman" w:hAnsi="Times New Roman"/>
          <w:sz w:val="18"/>
          <w:szCs w:val="18"/>
          <w:color w:val="auto"/>
        </w:rPr>
        <w:t xml:space="preserve">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sale, lease, exchange or other disposition of property or assets exclusively between or among the Corporation and any direct or indirect subsidiary or subsidiaries of the Corporation shall not be deemed a “</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 à 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 a vis each other) as such stockholders owned the voting securities of the Corporation immediately prior to the transaction; and (iv) any Change of Control Share Issuance.</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Stockholder</w:t>
      </w:r>
      <w:r>
        <w:rPr>
          <w:rFonts w:ascii="Times New Roman" w:cs="Times New Roman" w:eastAsia="Times New Roman" w:hAnsi="Times New Roman"/>
          <w:sz w:val="18"/>
          <w:szCs w:val="18"/>
          <w:color w:val="auto"/>
        </w:rPr>
        <w:t>” means (i) the registered holder of a share of Class B Common Stock at the Effective Time and (ii) the registered holder of any shares of Class B Common Stock that are originally issued by the Corporation after the Effective Time.</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(i) any dividend or distribution of cash, property or shares of the Corporation’s capital stock; and (ii) any distribution following or in connection with any liquidation, dissolution or winding up of the Corporation, either voluntary or involuntary.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Conversion Date</w:t>
      </w:r>
      <w:r>
        <w:rPr>
          <w:rFonts w:ascii="Times New Roman" w:cs="Times New Roman" w:eastAsia="Times New Roman" w:hAnsi="Times New Roman"/>
          <w:sz w:val="18"/>
          <w:szCs w:val="18"/>
          <w:color w:val="auto"/>
        </w:rPr>
        <w:t>” means 5:00 p.m. in New York City, New York on the first Trading Day falling on or after the seventh (7th) year anniversary of the Effective Time.</w:t>
      </w:r>
    </w:p>
    <w:p>
      <w:pPr>
        <w:spacing w:after="0" w:line="15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shall mean that such holder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7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means any option, warrant, restricted stock unit, conversion right or contractual right of any kind to acquire shares of the Corporation’s authorized but unissued capital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417" w:right="399" w:bottom="1440" w:gutter="0" w:footer="0" w:header="0"/>
        </w:sectPr>
      </w:pPr>
    </w:p>
    <w:bookmarkStart w:id="87" w:name="page88"/>
    <w:bookmarkEnd w:id="87"/>
    <w:p>
      <w:pPr>
        <w:ind w:right="4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w:t>
      </w:r>
      <w:r>
        <w:rPr>
          <w:rFonts w:ascii="Times New Roman" w:cs="Times New Roman" w:eastAsia="Times New Roman" w:hAnsi="Times New Roman"/>
          <w:sz w:val="18"/>
          <w:szCs w:val="18"/>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any successor exchange of either the New York Stock Exchange or NASDAQ.</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Securities Exchange is open for trading.</w:t>
      </w:r>
    </w:p>
    <w:p>
      <w:pPr>
        <w:spacing w:after="0" w:line="22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xml:space="preserve">” shall also include,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following shall not be considered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xml:space="preserve">”: (a) the grant of a proxy to officers or directors of the Corporation at the request of the Board of Directors of the Corporation in connection with actions to be taken at an annual or special meeting of stockholders; (b) the pledge of shares of Class B Common Stock by a Class B Stockholder that creates a mere security interest in such shares pursuant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loan or indebtedness transaction so long as the Class B Stockholder continues to exercise Voting Control over such pledged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foreclosure on such shares of Class B Common Stock or other similar action by the pledge shall constitute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or (c) the fact that, as of the Effective Time or at any time after the Effective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of such shares of Class B Common Stock.</w:t>
      </w:r>
    </w:p>
    <w:p>
      <w:pPr>
        <w:spacing w:after="0" w:line="179"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Control</w:t>
      </w:r>
      <w:r>
        <w:rPr>
          <w:rFonts w:ascii="Times New Roman" w:cs="Times New Roman" w:eastAsia="Times New Roman" w:hAnsi="Times New Roman"/>
          <w:sz w:val="18"/>
          <w:szCs w:val="18"/>
          <w:color w:val="auto"/>
        </w:rPr>
        <w:t>” with respect to a share of Class B Common Stock means the exclusive power (whether directly or indirectly) to vote or direct the voting of such share of Class B Common Stock by proxy, voting agreement, or otherwise.</w:t>
      </w:r>
    </w:p>
    <w:p>
      <w:pPr>
        <w:spacing w:after="0" w:line="1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229"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of Directors.</w:t>
      </w:r>
    </w:p>
    <w:p>
      <w:pPr>
        <w:spacing w:after="0" w:line="225" w:lineRule="exact"/>
        <w:rPr>
          <w:rFonts w:ascii="Times New Roman" w:cs="Times New Roman" w:eastAsia="Times New Roman" w:hAnsi="Times New Roman"/>
          <w:sz w:val="18"/>
          <w:szCs w:val="18"/>
          <w:color w:val="010000"/>
        </w:rPr>
      </w:pPr>
    </w:p>
    <w:p>
      <w:pPr>
        <w:ind w:right="220" w:firstLine="656"/>
        <w:spacing w:after="0" w:line="258" w:lineRule="auto"/>
        <w:tabs>
          <w:tab w:leader="none" w:pos="1285"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Number of Directors; Election</w:t>
      </w:r>
      <w:r>
        <w:rPr>
          <w:rFonts w:ascii="Times New Roman" w:cs="Times New Roman" w:eastAsia="Times New Roman" w:hAnsi="Times New Roman"/>
          <w:sz w:val="18"/>
          <w:szCs w:val="18"/>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spacing w:after="0" w:line="183" w:lineRule="exact"/>
        <w:rPr>
          <w:rFonts w:ascii="Times New Roman" w:cs="Times New Roman" w:eastAsia="Times New Roman" w:hAnsi="Times New Roman"/>
          <w:sz w:val="18"/>
          <w:szCs w:val="18"/>
          <w:color w:val="010000"/>
        </w:rPr>
      </w:pPr>
    </w:p>
    <w:p>
      <w:pPr>
        <w:ind w:firstLine="656"/>
        <w:spacing w:after="0" w:line="253" w:lineRule="auto"/>
        <w:tabs>
          <w:tab w:leader="none" w:pos="1285"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Classified Board Structure</w:t>
      </w:r>
      <w:r>
        <w:rPr>
          <w:rFonts w:ascii="Times New Roman" w:cs="Times New Roman" w:eastAsia="Times New Roman" w:hAnsi="Times New Roman"/>
          <w:sz w:val="18"/>
          <w:szCs w:val="18"/>
          <w:color w:val="auto"/>
        </w:rPr>
        <w:t>. From and after the Effective Time,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regularly-scheduled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13" w:right="359" w:bottom="1440" w:gutter="0" w:footer="0" w:header="0"/>
        </w:sectPr>
      </w:pPr>
    </w:p>
    <w:bookmarkStart w:id="88" w:name="page89"/>
    <w:bookmarkEnd w:id="88"/>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provisions of this Article VI, each director shall serve until his or her successor is duly elected and qualified or until his or her death, resignation,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83" w:lineRule="exact"/>
        <w:rPr>
          <w:sz w:val="20"/>
          <w:szCs w:val="20"/>
          <w:color w:val="auto"/>
        </w:rPr>
      </w:pPr>
    </w:p>
    <w:p>
      <w:pPr>
        <w:ind w:right="60" w:firstLine="656"/>
        <w:spacing w:after="0" w:line="255" w:lineRule="auto"/>
        <w:tabs>
          <w:tab w:leader="none" w:pos="1295"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Subject to the rights of holders of any series of Preferred Stock with respect to the election of directors, for so long as the board of directors is divided into classes pursuant to Article VI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spacing w:after="0" w:line="18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229"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Written Ballot</w:t>
      </w:r>
      <w:r>
        <w:rPr>
          <w:rFonts w:ascii="Times New Roman" w:cs="Times New Roman" w:eastAsia="Times New Roman" w:hAnsi="Times New Roman"/>
          <w:sz w:val="18"/>
          <w:szCs w:val="18"/>
          <w:color w:val="auto"/>
        </w:rPr>
        <w:t>. Elections of directors need not be by written ballot unless the Bylaws of the Corporation shall so provide.</w:t>
      </w:r>
    </w:p>
    <w:p>
      <w:pPr>
        <w:spacing w:after="0" w:line="225" w:lineRule="exact"/>
        <w:rPr>
          <w:rFonts w:ascii="Times New Roman" w:cs="Times New Roman" w:eastAsia="Times New Roman" w:hAnsi="Times New Roman"/>
          <w:sz w:val="18"/>
          <w:szCs w:val="18"/>
          <w:color w:val="010000"/>
        </w:rPr>
      </w:pPr>
    </w:p>
    <w:p>
      <w:pPr>
        <w:ind w:right="540" w:firstLine="656"/>
        <w:spacing w:after="0" w:line="282" w:lineRule="auto"/>
        <w:tabs>
          <w:tab w:leader="none" w:pos="1285"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statute, the Board of Directors is expressly authorized to adopt, amend or repeal the Bylaws of the Corporation.</w:t>
      </w:r>
    </w:p>
    <w:p>
      <w:pPr>
        <w:spacing w:after="0" w:line="161" w:lineRule="exact"/>
        <w:rPr>
          <w:rFonts w:ascii="Times New Roman" w:cs="Times New Roman" w:eastAsia="Times New Roman" w:hAnsi="Times New Roman"/>
          <w:sz w:val="18"/>
          <w:szCs w:val="18"/>
          <w:color w:val="010000"/>
        </w:rPr>
      </w:pPr>
    </w:p>
    <w:p>
      <w:pPr>
        <w:jc w:val="both"/>
        <w:ind w:right="40" w:firstLine="656"/>
        <w:spacing w:after="0" w:line="266" w:lineRule="auto"/>
        <w:tabs>
          <w:tab w:leader="none" w:pos="1285"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(i) the Board of Directors pursuant to a resolution adopted by a majority of the Board of Directors; (ii) the chairman of the Board of Directors; (iii) the chief executive officer of the Corporation; or (iv) the president of the Corporation (in the absence of a chief executive officer).</w:t>
      </w:r>
    </w:p>
    <w:p>
      <w:pPr>
        <w:spacing w:after="0" w:line="175" w:lineRule="exact"/>
        <w:rPr>
          <w:rFonts w:ascii="Times New Roman" w:cs="Times New Roman" w:eastAsia="Times New Roman" w:hAnsi="Times New Roman"/>
          <w:sz w:val="18"/>
          <w:szCs w:val="18"/>
          <w:color w:val="010000"/>
        </w:rPr>
      </w:pPr>
    </w:p>
    <w:p>
      <w:pPr>
        <w:ind w:right="40" w:firstLine="656"/>
        <w:spacing w:after="0" w:line="266" w:lineRule="auto"/>
        <w:tabs>
          <w:tab w:leader="none" w:pos="1295"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spacing w:after="0" w:line="17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2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Neither any amendment nor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the Corporation’s Certificate of Incorporation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respect of any matter occurring, or any cause of action, suit or proceeding accruing or arising or that, but for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would accrue or arise, prior to such amendment, repeal or adoption of an inconsistent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17" w:right="37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20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87"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provided, however,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400" w:right="379" w:bottom="1440" w:gutter="0" w:footer="0" w:header="0"/>
        </w:sectPr>
      </w:pPr>
    </w:p>
    <w:bookmarkStart w:id="90" w:name="page91"/>
    <w:bookmarkEnd w:id="9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Amended and Restated Certificate of Incorporation has been signed on behalf of the Corporation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effective this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June, 2016.</w:t>
      </w:r>
    </w:p>
    <w:p>
      <w:pPr>
        <w:spacing w:after="0" w:line="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29" w:lineRule="exact"/>
        <w:rPr>
          <w:sz w:val="20"/>
          <w:szCs w:val="20"/>
          <w:color w:val="auto"/>
        </w:rPr>
      </w:pPr>
    </w:p>
    <w:p>
      <w:pPr>
        <w:ind w:left="454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-7620</wp:posOffset>
            </wp:positionV>
            <wp:extent cx="8102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10260"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Jeff Lawson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1413" w:right="6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Khozema Z. Shipchandler, certify that:</w:t>
      </w:r>
    </w:p>
    <w:p>
      <w:pPr>
        <w:spacing w:after="0" w:line="181"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Twilio Inc.;</w:t>
      </w:r>
    </w:p>
    <w:p>
      <w:pPr>
        <w:spacing w:after="0" w:line="194" w:lineRule="exact"/>
        <w:rPr>
          <w:rFonts w:ascii="Times New Roman" w:cs="Times New Roman" w:eastAsia="Times New Roman" w:hAnsi="Times New Roman"/>
          <w:sz w:val="16"/>
          <w:szCs w:val="16"/>
          <w:color w:val="auto"/>
        </w:rPr>
      </w:pPr>
    </w:p>
    <w:p>
      <w:pPr>
        <w:ind w:right="520" w:firstLine="656"/>
        <w:spacing w:after="0" w:line="280" w:lineRule="auto"/>
        <w:tabs>
          <w:tab w:leader="none" w:pos="129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right="480" w:firstLine="656"/>
        <w:spacing w:after="0" w:line="298" w:lineRule="auto"/>
        <w:tabs>
          <w:tab w:leader="none" w:pos="129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right="20" w:firstLine="656"/>
        <w:spacing w:after="0" w:line="272" w:lineRule="auto"/>
        <w:tabs>
          <w:tab w:leader="none" w:pos="129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right="80" w:firstLine="1304"/>
        <w:spacing w:after="0" w:line="272" w:lineRule="auto"/>
        <w:tabs>
          <w:tab w:leader="none" w:pos="1935"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right="200" w:firstLine="1304"/>
        <w:spacing w:after="0" w:line="272" w:lineRule="auto"/>
        <w:tabs>
          <w:tab w:leader="none" w:pos="194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right="560" w:firstLine="1304"/>
        <w:spacing w:after="0" w:line="280" w:lineRule="auto"/>
        <w:tabs>
          <w:tab w:leader="none" w:pos="1935"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right="100" w:firstLine="1304"/>
        <w:spacing w:after="0" w:line="272" w:lineRule="auto"/>
        <w:tabs>
          <w:tab w:leader="none" w:pos="194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6"/>
          <w:szCs w:val="16"/>
          <w:color w:val="auto"/>
        </w:rPr>
      </w:pPr>
    </w:p>
    <w:p>
      <w:pPr>
        <w:ind w:right="240" w:firstLine="656"/>
        <w:spacing w:after="0" w:line="298" w:lineRule="auto"/>
        <w:tabs>
          <w:tab w:leader="none" w:pos="129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6"/>
          <w:szCs w:val="16"/>
          <w:color w:val="auto"/>
        </w:rPr>
      </w:pPr>
    </w:p>
    <w:p>
      <w:pPr>
        <w:ind w:right="20" w:firstLine="1304"/>
        <w:spacing w:after="0" w:line="298" w:lineRule="auto"/>
        <w:tabs>
          <w:tab w:leader="none" w:pos="1935"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right="480" w:firstLine="1304"/>
        <w:spacing w:after="0" w:line="280" w:lineRule="auto"/>
        <w:tabs>
          <w:tab w:leader="none" w:pos="194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1, 2024</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997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ectPr>
          <w:pgSz w:w="11900" w:h="16838" w:orient="portrait"/>
          <w:cols w:equalWidth="0" w:num="1">
            <w:col w:w="11240"/>
          </w:cols>
          <w:pgMar w:left="320" w:top="106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Aidan Viggiano, certify that:</w:t>
      </w:r>
    </w:p>
    <w:p>
      <w:pPr>
        <w:spacing w:after="0" w:line="194"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Twilio Inc.;</w:t>
      </w:r>
    </w:p>
    <w:p>
      <w:pPr>
        <w:spacing w:after="0" w:line="180" w:lineRule="exact"/>
        <w:rPr>
          <w:rFonts w:ascii="Times New Roman" w:cs="Times New Roman" w:eastAsia="Times New Roman" w:hAnsi="Times New Roman"/>
          <w:sz w:val="16"/>
          <w:szCs w:val="16"/>
          <w:color w:val="auto"/>
        </w:rPr>
      </w:pPr>
    </w:p>
    <w:p>
      <w:pPr>
        <w:ind w:right="520" w:firstLine="656"/>
        <w:spacing w:after="0" w:line="298" w:lineRule="auto"/>
        <w:tabs>
          <w:tab w:leader="none" w:pos="129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right="480" w:firstLine="656"/>
        <w:spacing w:after="0" w:line="280" w:lineRule="auto"/>
        <w:tabs>
          <w:tab w:leader="none" w:pos="129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right="20" w:firstLine="656"/>
        <w:spacing w:after="0" w:line="263" w:lineRule="auto"/>
        <w:tabs>
          <w:tab w:leader="none" w:pos="129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right="80" w:firstLine="1304"/>
        <w:spacing w:after="0" w:line="272" w:lineRule="auto"/>
        <w:tabs>
          <w:tab w:leader="none" w:pos="193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6"/>
          <w:szCs w:val="16"/>
          <w:color w:val="auto"/>
        </w:rPr>
      </w:pPr>
    </w:p>
    <w:p>
      <w:pPr>
        <w:ind w:right="200" w:firstLine="1304"/>
        <w:spacing w:after="0" w:line="263" w:lineRule="auto"/>
        <w:tabs>
          <w:tab w:leader="none" w:pos="1944"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right="560" w:firstLine="1304"/>
        <w:spacing w:after="0" w:line="298" w:lineRule="auto"/>
        <w:tabs>
          <w:tab w:leader="none" w:pos="193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right="100" w:firstLine="1304"/>
        <w:spacing w:after="0" w:line="272" w:lineRule="auto"/>
        <w:tabs>
          <w:tab w:leader="none" w:pos="1944"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right="240" w:firstLine="656"/>
        <w:spacing w:after="0" w:line="280" w:lineRule="auto"/>
        <w:tabs>
          <w:tab w:leader="none" w:pos="129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right="20" w:firstLine="1304"/>
        <w:spacing w:after="0" w:line="280" w:lineRule="auto"/>
        <w:tabs>
          <w:tab w:leader="none" w:pos="193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right="480" w:firstLine="1304"/>
        <w:spacing w:after="0" w:line="280" w:lineRule="auto"/>
        <w:tabs>
          <w:tab w:leader="none" w:pos="1944"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1,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0976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Aidan Viggiano</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ectPr>
          <w:pgSz w:w="11900" w:h="16838" w:orient="portrait"/>
          <w:cols w:equalWidth="0" w:num="1">
            <w:col w:w="11240"/>
          </w:cols>
          <w:pgMar w:left="320" w:top="89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spacing w:after="0" w:line="151" w:lineRule="exact"/>
        <w:rPr>
          <w:sz w:val="20"/>
          <w:szCs w:val="20"/>
          <w:color w:val="auto"/>
        </w:rPr>
      </w:pPr>
    </w:p>
    <w:p>
      <w:pPr>
        <w:ind w:right="640" w:firstLine="656"/>
        <w:spacing w:after="0" w:line="298" w:lineRule="auto"/>
        <w:tabs>
          <w:tab w:leader="none" w:pos="129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June 30, 2024, to which this Certification is attached as Exhibit 32.1 (the “Periodic Report”), fully complies with the requirements of Section 13(a) or Section 15(d) of the Exchange Act; and</w:t>
      </w:r>
    </w:p>
    <w:p>
      <w:pPr>
        <w:spacing w:after="0" w:line="110"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Periodic Report fairly presents, in all material respects, the financial condition and results of operations of the</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1, 2024</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40976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pacing w:after="0" w:line="2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40976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Aidan Viggiano</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2"/>
    </w:lvl>
    <w:lvl w:ilvl="1">
      <w:lvlJc w:val="left"/>
      <w:lvlText w:val="(%2)"/>
      <w:numFmt w:val="lowerLetter"/>
      <w:start w:val="1"/>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Letter"/>
      <w:start w:val="3"/>
    </w:lvl>
  </w:abstractNum>
  <w:abstractNum w:abstractNumId="5">
    <w:nsid w:val="737B8DDC"/>
    <w:multiLevelType w:val="hybridMultilevel"/>
    <w:lvl w:ilvl="0">
      <w:lvlJc w:val="left"/>
      <w:lvlText w:val="(%1)"/>
      <w:numFmt w:val="lowerLetter"/>
      <w:start w:val="4"/>
    </w:lvl>
  </w:abstractNum>
  <w:abstractNum w:abstractNumId="6">
    <w:nsid w:val="6CEAF087"/>
    <w:multiLevelType w:val="hybridMultilevel"/>
    <w:lvl w:ilvl="0">
      <w:lvlJc w:val="left"/>
      <w:lvlText w:val="(%1)"/>
      <w:numFmt w:val="lowerLetter"/>
      <w:start w:val="5"/>
    </w:lvl>
  </w:abstractNum>
  <w:abstractNum w:abstractNumId="7">
    <w:nsid w:val="22221A70"/>
    <w:multiLevelType w:val="hybridMultilevel"/>
    <w:lvl w:ilvl="0">
      <w:lvlJc w:val="left"/>
      <w:lvlText w:val="(%1)"/>
      <w:numFmt w:val="lowerLetter"/>
      <w:start w:val="6"/>
    </w:lvl>
  </w:abstractNum>
  <w:abstractNum w:abstractNumId="8">
    <w:nsid w:val="4516DDE9"/>
    <w:multiLevelType w:val="hybridMultilevel"/>
    <w:lvl w:ilvl="0">
      <w:lvlJc w:val="left"/>
      <w:lvlText w:val="(%1)"/>
      <w:numFmt w:val="lowerLetter"/>
      <w:start w:val="7"/>
    </w:lvl>
  </w:abstractNum>
  <w:abstractNum w:abstractNumId="9">
    <w:nsid w:val="3006C83E"/>
    <w:multiLevelType w:val="hybridMultilevel"/>
    <w:lvl w:ilvl="0">
      <w:lvlJc w:val="left"/>
      <w:lvlText w:val="(%1)"/>
      <w:numFmt w:val="lowerLetter"/>
      <w:start w:val="8"/>
    </w:lvl>
  </w:abstractNum>
  <w:abstractNum w:abstractNumId="10">
    <w:nsid w:val="614FD4A1"/>
    <w:multiLevelType w:val="hybridMultilevel"/>
    <w:lvl w:ilvl="0">
      <w:lvlJc w:val="left"/>
      <w:lvlText w:val="%1."/>
      <w:numFmt w:val="decimal"/>
      <w:start w:val="3"/>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2"/>
    </w:lvl>
  </w:abstractNum>
  <w:abstractNum w:abstractNumId="13">
    <w:nsid w:val="440BADFC"/>
    <w:multiLevelType w:val="hybridMultilevel"/>
    <w:lvl w:ilvl="0">
      <w:lvlJc w:val="left"/>
      <w:lvlText w:val="(%1)"/>
      <w:numFmt w:val="lowerLetter"/>
      <w:start w:val="3"/>
    </w:lvl>
  </w:abstractNum>
  <w:abstractNum w:abstractNumId="14">
    <w:nsid w:val="5072367"/>
    <w:multiLevelType w:val="hybridMultilevel"/>
    <w:lvl w:ilvl="0">
      <w:lvlJc w:val="left"/>
      <w:lvlText w:val="(%1)"/>
      <w:numFmt w:val="lowerLetter"/>
      <w:start w:val="4"/>
    </w:lvl>
  </w:abstractNum>
  <w:abstractNum w:abstractNumId="15">
    <w:nsid w:val="3804823E"/>
    <w:multiLevelType w:val="hybridMultilevel"/>
    <w:lvl w:ilvl="0">
      <w:lvlJc w:val="left"/>
      <w:lvlText w:val="%1."/>
      <w:numFmt w:val="decimal"/>
      <w:start w:val="12"/>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04"/>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upperLetter"/>
      <w:start w:val="1"/>
    </w:lvl>
  </w:abstractNum>
  <w:abstractNum w:abstractNumId="41">
    <w:nsid w:val="579478FE"/>
    <w:multiLevelType w:val="hybridMultilevel"/>
    <w:lvl w:ilvl="0">
      <w:lvlJc w:val="left"/>
      <w:lvlText w:val="%1."/>
      <w:numFmt w:val="upperLetter"/>
      <w:start w:val="1"/>
    </w:lvl>
  </w:abstractNum>
  <w:abstractNum w:abstractNumId="42">
    <w:nsid w:val="749ABB43"/>
    <w:multiLevelType w:val="hybridMultilevel"/>
    <w:lvl w:ilvl="0">
      <w:lvlJc w:val="left"/>
      <w:lvlText w:val="%1."/>
      <w:numFmt w:val="upperLetter"/>
      <w:start w:val="2"/>
    </w:lvl>
  </w:abstractNum>
  <w:abstractNum w:abstractNumId="43">
    <w:nsid w:val="3DC240FB"/>
    <w:multiLevelType w:val="hybridMultilevel"/>
    <w:lvl w:ilvl="0">
      <w:lvlJc w:val="left"/>
      <w:lvlText w:val="%1."/>
      <w:numFmt w:val="upperLetter"/>
      <w:start w:val="3"/>
    </w:lvl>
  </w:abstractNum>
  <w:abstractNum w:abstractNumId="44">
    <w:nsid w:val="1BA026FA"/>
    <w:multiLevelType w:val="hybridMultilevel"/>
    <w:lvl w:ilvl="0">
      <w:lvlJc w:val="left"/>
      <w:lvlText w:val="%1."/>
      <w:numFmt w:val="decimal"/>
      <w:start w:val="1"/>
    </w:lvl>
    <w:lvl w:ilvl="1">
      <w:lvlJc w:val="left"/>
      <w:lvlText w:val="(%2)"/>
      <w:numFmt w:val="lowerLetter"/>
      <w:start w:val="1"/>
    </w:lvl>
  </w:abstractNum>
  <w:abstractNum w:abstractNumId="45">
    <w:nsid w:val="79A1DE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6">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47">
    <w:nsid w:val="12E685F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8">
    <w:nsid w:val="70C6A529"/>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49">
    <w:nsid w:val="520EEDD1"/>
    <w:multiLevelType w:val="hybridMultilevel"/>
    <w:lvl w:ilvl="0">
      <w:lvlJc w:val="left"/>
      <w:lvlText w:val="%1"/>
      <w:numFmt w:val="upperLetter"/>
      <w:start w:val="1"/>
    </w:lvl>
    <w:lvl w:ilvl="1">
      <w:lvlJc w:val="left"/>
      <w:lvlText w:val="(%2)"/>
      <w:numFmt w:val="lowerLetter"/>
      <w:start w:val="6"/>
    </w:lvl>
  </w:abstractNum>
  <w:abstractNum w:abstractNumId="50">
    <w:nsid w:val="374A3FE6"/>
    <w:multiLevelType w:val="hybridMultilevel"/>
    <w:lvl w:ilvl="0">
      <w:lvlJc w:val="left"/>
      <w:lvlText w:val="%1."/>
      <w:numFmt w:val="upperLetter"/>
      <w:start w:val="5"/>
    </w:lvl>
    <w:lvl w:ilvl="1">
      <w:lvlJc w:val="left"/>
      <w:lvlText w:val="%2"/>
      <w:numFmt w:val="lowerLetter"/>
      <w:start w:val="1"/>
    </w:lvl>
  </w:abstractNum>
  <w:abstractNum w:abstractNumId="51">
    <w:nsid w:val="4F4EF005"/>
    <w:multiLevelType w:val="hybridMultilevel"/>
    <w:lvl w:ilvl="0">
      <w:lvlJc w:val="left"/>
      <w:lvlText w:val="%1."/>
      <w:numFmt w:val="upperLetter"/>
      <w:start w:val="1"/>
    </w:lvl>
  </w:abstractNum>
  <w:abstractNum w:abstractNumId="52">
    <w:nsid w:val="23F9C13C"/>
    <w:multiLevelType w:val="hybridMultilevel"/>
    <w:lvl w:ilvl="0">
      <w:lvlJc w:val="left"/>
      <w:lvlText w:val="%1."/>
      <w:numFmt w:val="upperLetter"/>
      <w:start w:val="4"/>
    </w:lvl>
  </w:abstractNum>
  <w:abstractNum w:abstractNumId="53">
    <w:nsid w:val="649BB77C"/>
    <w:multiLevelType w:val="hybridMultilevel"/>
    <w:lvl w:ilvl="0">
      <w:lvlJc w:val="left"/>
      <w:lvlText w:val="%1."/>
      <w:numFmt w:val="upp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98" Type="http://schemas.openxmlformats.org/officeDocument/2006/relationships/hyperlink" Target="https://www.sec.gov/Archives/edgar/data/1447669/000144766924000074/twilioincnon-employeedi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2024-08-01T15:27:51Z</dcterms:created>
  <dcterms:modified xsi:type="dcterms:W3CDTF">2024-08-01T15:27:51Z</dcterms:modified>
</cp:coreProperties>
</file>